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440" w:lineRule="exact"/>
        <w:ind w:left="0" w:right="0" w:firstLine="0"/>
        <w:jc w:val="left"/>
        <w:outlineLvl w:val="9"/>
        <w:rPr>
          <w:rFonts w:hint="eastAsia" w:ascii="仿宋" w:hAnsi="仿宋" w:eastAsia="仿宋" w:cs="仿宋"/>
          <w:color w:val="auto"/>
          <w:spacing w:val="0"/>
          <w:w w:val="100"/>
          <w:kern w:val="0"/>
          <w:position w:val="0"/>
          <w:sz w:val="2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440" w:lineRule="exact"/>
        <w:ind w:left="0" w:right="0" w:firstLine="0"/>
        <w:jc w:val="left"/>
        <w:outlineLvl w:val="9"/>
        <w:rPr>
          <w:rFonts w:hint="eastAsia" w:ascii="仿宋" w:hAnsi="仿宋" w:eastAsia="仿宋" w:cs="仿宋"/>
          <w:color w:val="auto"/>
          <w:spacing w:val="0"/>
          <w:w w:val="100"/>
          <w:kern w:val="0"/>
          <w:position w:val="0"/>
          <w:sz w:val="2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625" w:beforeLines="200" w:beforeAutospacing="0" w:after="0" w:afterAutospacing="0" w:line="480" w:lineRule="auto"/>
        <w:ind w:left="0" w:right="0" w:firstLine="0"/>
        <w:jc w:val="center"/>
        <w:textAlignment w:val="auto"/>
        <w:outlineLvl w:val="9"/>
        <w:rPr>
          <w:rFonts w:hint="eastAsia" w:ascii="仿宋" w:hAnsi="仿宋" w:eastAsia="仿宋" w:cs="仿宋"/>
          <w:b/>
          <w:bCs/>
          <w:color w:val="auto"/>
          <w:spacing w:val="0"/>
          <w:w w:val="100"/>
          <w:kern w:val="0"/>
          <w:position w:val="0"/>
          <w:sz w:val="48"/>
          <w:szCs w:val="48"/>
          <w:u w:val="none" w:color="auto"/>
          <w:vertAlign w:val="baseline"/>
          <w:lang w:eastAsia="en-US"/>
        </w:rPr>
      </w:pPr>
      <w:r>
        <w:rPr>
          <w:rFonts w:hint="eastAsia" w:ascii="仿宋" w:hAnsi="仿宋" w:eastAsia="仿宋" w:cs="仿宋"/>
          <w:b/>
          <w:bCs/>
          <w:color w:val="auto"/>
          <w:spacing w:val="0"/>
          <w:w w:val="100"/>
          <w:kern w:val="0"/>
          <w:position w:val="0"/>
          <w:sz w:val="48"/>
          <w:szCs w:val="48"/>
          <w:u w:val="none" w:color="auto"/>
          <w:vertAlign w:val="baseline"/>
          <w:lang w:val="en-US" w:eastAsia="zh-CN"/>
        </w:rPr>
        <w:t>镇平县</w:t>
      </w:r>
      <w:r>
        <w:rPr>
          <w:rFonts w:hint="eastAsia" w:ascii="仿宋" w:hAnsi="仿宋" w:eastAsia="仿宋" w:cs="仿宋"/>
          <w:b/>
          <w:bCs/>
          <w:color w:val="auto"/>
          <w:spacing w:val="0"/>
          <w:w w:val="100"/>
          <w:kern w:val="0"/>
          <w:position w:val="0"/>
          <w:sz w:val="48"/>
          <w:szCs w:val="48"/>
          <w:u w:val="none" w:color="auto"/>
          <w:vertAlign w:val="baseline"/>
          <w:lang w:eastAsia="en-US"/>
        </w:rPr>
        <w:t>城市区域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625" w:beforeLines="200" w:beforeAutospacing="0" w:after="0" w:afterAutospacing="0" w:line="480" w:lineRule="auto"/>
        <w:ind w:left="0" w:right="0" w:firstLine="0"/>
        <w:jc w:val="center"/>
        <w:textAlignment w:val="auto"/>
        <w:outlineLvl w:val="9"/>
        <w:rPr>
          <w:rFonts w:hint="eastAsia" w:ascii="仿宋" w:hAnsi="仿宋" w:cs="仿宋"/>
          <w:b/>
          <w:bCs/>
          <w:color w:val="auto"/>
          <w:spacing w:val="0"/>
          <w:w w:val="100"/>
          <w:kern w:val="0"/>
          <w:position w:val="0"/>
          <w:sz w:val="48"/>
          <w:szCs w:val="48"/>
          <w:u w:val="none" w:color="auto"/>
          <w:vertAlign w:val="baseline"/>
          <w:lang w:val="en-US" w:eastAsia="zh-CN"/>
        </w:rPr>
      </w:pPr>
      <w:r>
        <w:rPr>
          <w:rFonts w:hint="eastAsia" w:ascii="仿宋" w:hAnsi="仿宋" w:eastAsia="仿宋" w:cs="仿宋"/>
          <w:b/>
          <w:bCs/>
          <w:color w:val="auto"/>
          <w:spacing w:val="0"/>
          <w:w w:val="100"/>
          <w:kern w:val="0"/>
          <w:position w:val="0"/>
          <w:sz w:val="48"/>
          <w:szCs w:val="48"/>
          <w:u w:val="none" w:color="auto"/>
          <w:vertAlign w:val="baseline"/>
          <w:lang w:val="en-US" w:eastAsia="zh-CN"/>
        </w:rPr>
        <w:t>声环境功能区划分技术报</w:t>
      </w:r>
      <w:r>
        <w:rPr>
          <w:rFonts w:hint="eastAsia" w:ascii="仿宋" w:hAnsi="仿宋" w:cs="仿宋"/>
          <w:b/>
          <w:bCs/>
          <w:color w:val="auto"/>
          <w:spacing w:val="0"/>
          <w:w w:val="100"/>
          <w:kern w:val="0"/>
          <w:position w:val="0"/>
          <w:sz w:val="48"/>
          <w:szCs w:val="48"/>
          <w:u w:val="none" w:color="auto"/>
          <w:vertAlign w:val="baseline"/>
          <w:lang w:val="en-US" w:eastAsia="zh-CN"/>
        </w:rPr>
        <w:t>（</w:t>
      </w:r>
      <w:r>
        <w:rPr>
          <w:rFonts w:hint="default" w:ascii="仿宋" w:hAnsi="仿宋" w:cs="仿宋"/>
          <w:b/>
          <w:bCs/>
          <w:color w:val="auto"/>
          <w:spacing w:val="0"/>
          <w:w w:val="100"/>
          <w:kern w:val="0"/>
          <w:position w:val="0"/>
          <w:sz w:val="48"/>
          <w:szCs w:val="48"/>
          <w:u w:val="none" w:color="auto"/>
          <w:vertAlign w:val="baseline"/>
          <w:lang w:val="en-US" w:eastAsia="zh-CN"/>
        </w:rPr>
        <w:t>2022-2027</w:t>
      </w:r>
      <w:r>
        <w:rPr>
          <w:rFonts w:hint="eastAsia" w:ascii="仿宋" w:hAnsi="仿宋" w:cs="仿宋"/>
          <w:b/>
          <w:bCs/>
          <w:color w:val="auto"/>
          <w:spacing w:val="0"/>
          <w:w w:val="100"/>
          <w:kern w:val="0"/>
          <w:position w:val="0"/>
          <w:sz w:val="48"/>
          <w:szCs w:val="48"/>
          <w:u w:val="none" w:color="auto"/>
          <w:vertAlign w:val="baseline"/>
          <w:lang w:val="en-US" w:eastAsia="zh-CN"/>
        </w:rPr>
        <w:t>）</w:t>
      </w:r>
    </w:p>
    <w:p>
      <w:pPr>
        <w:pStyle w:val="2"/>
        <w:rPr>
          <w:rFonts w:hint="default"/>
          <w:lang w:val="en-US" w:eastAsia="zh-CN"/>
        </w:rPr>
      </w:pPr>
      <w:r>
        <w:rPr>
          <w:rFonts w:hint="default" w:ascii="仿宋" w:hAnsi="仿宋" w:cs="仿宋"/>
          <w:b/>
          <w:bCs/>
          <w:color w:val="auto"/>
          <w:spacing w:val="0"/>
          <w:w w:val="100"/>
          <w:kern w:val="0"/>
          <w:position w:val="0"/>
          <w:sz w:val="48"/>
          <w:szCs w:val="48"/>
          <w:u w:val="none" w:color="auto"/>
          <w:vertAlign w:val="baseline"/>
          <w:lang w:val="en-US" w:eastAsia="zh-CN"/>
        </w:rPr>
        <w:t xml:space="preserve">        </w:t>
      </w:r>
      <w:bookmarkStart w:id="97" w:name="_GoBack"/>
      <w:bookmarkEnd w:id="97"/>
      <w:r>
        <w:rPr>
          <w:rFonts w:hint="eastAsia" w:ascii="仿宋" w:hAnsi="仿宋" w:cs="仿宋"/>
          <w:b/>
          <w:bCs/>
          <w:color w:val="auto"/>
          <w:spacing w:val="0"/>
          <w:w w:val="100"/>
          <w:kern w:val="0"/>
          <w:position w:val="0"/>
          <w:sz w:val="48"/>
          <w:szCs w:val="48"/>
          <w:u w:val="none" w:color="auto"/>
          <w:vertAlign w:val="baseline"/>
          <w:lang w:val="en-US" w:eastAsia="zh-CN"/>
        </w:rPr>
        <w:t>（公示稿）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44"/>
          <w:szCs w:val="44"/>
          <w:u w:val="none" w:color="auto"/>
          <w:vertAlign w:val="baseli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outlineLvl w:val="9"/>
        <w:rPr>
          <w:rFonts w:hint="eastAsia" w:ascii="仿宋" w:hAnsi="仿宋" w:eastAsia="仿宋" w:cs="仿宋"/>
          <w:color w:val="auto"/>
          <w:spacing w:val="0"/>
          <w:w w:val="100"/>
          <w:kern w:val="0"/>
          <w:position w:val="0"/>
          <w:sz w:val="32"/>
          <w:szCs w:val="32"/>
          <w:u w:val="none" w:color="auto"/>
          <w:vertAlign w:val="baseline"/>
          <w:lang w:val="en-US" w:eastAsia="zh-CN"/>
        </w:rPr>
      </w:pPr>
      <w:r>
        <w:rPr>
          <w:rFonts w:hint="eastAsia" w:ascii="仿宋" w:hAnsi="仿宋" w:eastAsia="仿宋" w:cs="仿宋"/>
          <w:color w:val="auto"/>
          <w:spacing w:val="0"/>
          <w:w w:val="100"/>
          <w:kern w:val="0"/>
          <w:position w:val="0"/>
          <w:sz w:val="32"/>
          <w:szCs w:val="32"/>
          <w:u w:val="none" w:color="auto"/>
          <w:vertAlign w:val="baseline"/>
          <w:lang w:val="en-US" w:eastAsia="zh-CN"/>
        </w:rPr>
        <w:t>编制单位：南阳市生态环境局镇平分局</w:t>
      </w:r>
    </w:p>
    <w:p>
      <w:pPr>
        <w:jc w:val="center"/>
        <w:rPr>
          <w:rFonts w:hint="eastAsia" w:ascii="仿宋" w:hAnsi="仿宋" w:eastAsia="仿宋" w:cs="仿宋"/>
          <w:sz w:val="32"/>
          <w:szCs w:val="32"/>
        </w:rPr>
      </w:pPr>
      <w:r>
        <w:rPr>
          <w:rFonts w:hint="eastAsia" w:ascii="仿宋" w:hAnsi="仿宋" w:eastAsia="仿宋" w:cs="仿宋"/>
          <w:sz w:val="32"/>
          <w:szCs w:val="32"/>
        </w:rPr>
        <w:t>编制时间:</w:t>
      </w:r>
      <w:r>
        <w:rPr>
          <w:rFonts w:hint="eastAsia" w:ascii="仿宋" w:hAnsi="仿宋" w:eastAsia="仿宋" w:cs="仿宋"/>
          <w:sz w:val="32"/>
          <w:szCs w:val="32"/>
          <w:lang w:eastAsia="zh-CN"/>
        </w:rPr>
        <w:t>二〇二二年十月</w:t>
      </w:r>
    </w:p>
    <w:p>
      <w:pPr>
        <w:rPr>
          <w:rFonts w:hint="eastAsia" w:ascii="仿宋" w:hAnsi="仿宋" w:eastAsia="仿宋" w:cs="仿宋"/>
        </w:rPr>
        <w:sectPr>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kern w:val="2"/>
          <w:sz w:val="21"/>
          <w:szCs w:val="24"/>
          <w:lang w:val="en-US" w:eastAsia="zh-CN" w:bidi="ar-SA"/>
        </w:rPr>
        <w:id w:val="147465486"/>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24"/>
              <w:szCs w:val="24"/>
            </w:rPr>
          </w:pPr>
          <w:r>
            <w:rPr>
              <w:rFonts w:ascii="宋体" w:hAnsi="宋体" w:eastAsia="宋体"/>
              <w:sz w:val="24"/>
              <w:szCs w:val="24"/>
            </w:rPr>
            <w:t>目录</w:t>
          </w:r>
        </w:p>
        <w:p>
          <w:pPr>
            <w:pStyle w:val="7"/>
            <w:tabs>
              <w:tab w:val="right" w:leader="dot" w:pos="8306"/>
            </w:tabs>
          </w:pPr>
          <w:r>
            <w:rPr>
              <w:sz w:val="24"/>
              <w:szCs w:val="24"/>
            </w:rPr>
            <w:fldChar w:fldCharType="begin"/>
          </w:r>
          <w:r>
            <w:rPr>
              <w:sz w:val="24"/>
              <w:szCs w:val="24"/>
            </w:rPr>
            <w:instrText xml:space="preserve">TOC \o "1-3" \h \u </w:instrText>
          </w:r>
          <w:r>
            <w:rPr>
              <w:sz w:val="24"/>
              <w:szCs w:val="24"/>
            </w:rPr>
            <w:fldChar w:fldCharType="separate"/>
          </w:r>
        </w:p>
        <w:p>
          <w:pPr>
            <w:pStyle w:val="7"/>
            <w:tabs>
              <w:tab w:val="right" w:leader="dot" w:pos="8306"/>
            </w:tabs>
          </w:pPr>
          <w:r>
            <w:rPr>
              <w:szCs w:val="24"/>
            </w:rPr>
            <w:fldChar w:fldCharType="begin"/>
          </w:r>
          <w:r>
            <w:rPr>
              <w:szCs w:val="24"/>
            </w:rPr>
            <w:instrText xml:space="preserve"> HYPERLINK \l _Toc17506 </w:instrText>
          </w:r>
          <w:r>
            <w:rPr>
              <w:szCs w:val="24"/>
            </w:rPr>
            <w:fldChar w:fldCharType="separate"/>
          </w:r>
          <w:r>
            <w:rPr>
              <w:rFonts w:hint="default" w:ascii="仿宋" w:hAnsi="仿宋" w:eastAsia="仿宋" w:cs="仿宋"/>
              <w:bCs/>
              <w:szCs w:val="32"/>
              <w:lang w:val="en-US" w:eastAsia="zh-CN"/>
            </w:rPr>
            <w:t xml:space="preserve">1. </w:t>
          </w:r>
          <w:r>
            <w:rPr>
              <w:rFonts w:hint="eastAsia" w:ascii="仿宋" w:hAnsi="仿宋" w:eastAsia="仿宋" w:cs="仿宋"/>
              <w:bCs/>
              <w:szCs w:val="32"/>
              <w:lang w:val="en-US" w:eastAsia="zh-CN"/>
            </w:rPr>
            <w:t>总论</w:t>
          </w:r>
          <w:r>
            <w:tab/>
          </w:r>
          <w:r>
            <w:fldChar w:fldCharType="begin"/>
          </w:r>
          <w:r>
            <w:instrText xml:space="preserve"> PAGEREF _Toc17506 </w:instrText>
          </w:r>
          <w:r>
            <w:fldChar w:fldCharType="separate"/>
          </w:r>
          <w:r>
            <w:t>1</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_Toc16982 </w:instrText>
          </w:r>
          <w:r>
            <w:rPr>
              <w:szCs w:val="24"/>
            </w:rPr>
            <w:fldChar w:fldCharType="separate"/>
          </w:r>
          <w:r>
            <w:rPr>
              <w:rFonts w:hint="default" w:ascii="仿宋" w:hAnsi="仿宋" w:eastAsia="仿宋" w:cs="仿宋"/>
              <w:bCs/>
              <w:szCs w:val="28"/>
              <w:lang w:val="en-US" w:eastAsia="zh-CN"/>
            </w:rPr>
            <w:t xml:space="preserve">1.1. </w:t>
          </w:r>
          <w:r>
            <w:rPr>
              <w:rFonts w:hint="eastAsia" w:ascii="仿宋" w:hAnsi="仿宋" w:eastAsia="仿宋" w:cs="仿宋"/>
              <w:bCs/>
              <w:szCs w:val="28"/>
              <w:lang w:val="en-US" w:eastAsia="zh-CN"/>
            </w:rPr>
            <w:t>区划背景</w:t>
          </w:r>
          <w:r>
            <w:tab/>
          </w:r>
          <w:r>
            <w:fldChar w:fldCharType="begin"/>
          </w:r>
          <w:r>
            <w:instrText xml:space="preserve"> PAGEREF _Toc16982 </w:instrText>
          </w:r>
          <w:r>
            <w:fldChar w:fldCharType="separate"/>
          </w:r>
          <w:r>
            <w:t>1</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_Toc17140 </w:instrText>
          </w:r>
          <w:r>
            <w:rPr>
              <w:szCs w:val="24"/>
            </w:rPr>
            <w:fldChar w:fldCharType="separate"/>
          </w:r>
          <w:r>
            <w:rPr>
              <w:rFonts w:hint="default" w:ascii="仿宋" w:hAnsi="仿宋" w:eastAsia="仿宋" w:cs="仿宋"/>
              <w:bCs/>
              <w:szCs w:val="28"/>
              <w:lang w:val="en-US" w:eastAsia="zh-CN"/>
            </w:rPr>
            <w:t xml:space="preserve">1.2. </w:t>
          </w:r>
          <w:r>
            <w:rPr>
              <w:rFonts w:hint="eastAsia" w:ascii="仿宋" w:hAnsi="仿宋" w:eastAsia="仿宋" w:cs="仿宋"/>
              <w:bCs/>
              <w:szCs w:val="28"/>
              <w:lang w:val="en-US" w:eastAsia="zh-CN"/>
            </w:rPr>
            <w:t>区划依据</w:t>
          </w:r>
          <w:r>
            <w:tab/>
          </w:r>
          <w:r>
            <w:fldChar w:fldCharType="begin"/>
          </w:r>
          <w:r>
            <w:instrText xml:space="preserve"> PAGEREF _Toc17140 </w:instrText>
          </w:r>
          <w:r>
            <w:fldChar w:fldCharType="separate"/>
          </w:r>
          <w:r>
            <w:t>1</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_Toc22108 </w:instrText>
          </w:r>
          <w:r>
            <w:rPr>
              <w:szCs w:val="24"/>
            </w:rPr>
            <w:fldChar w:fldCharType="separate"/>
          </w:r>
          <w:r>
            <w:rPr>
              <w:rFonts w:hint="default" w:ascii="仿宋" w:hAnsi="仿宋" w:eastAsia="仿宋" w:cs="仿宋"/>
              <w:bCs/>
              <w:szCs w:val="28"/>
              <w:lang w:val="en-US" w:eastAsia="zh-CN"/>
            </w:rPr>
            <w:t xml:space="preserve">1.3. </w:t>
          </w:r>
          <w:r>
            <w:rPr>
              <w:rFonts w:hint="eastAsia" w:ascii="仿宋" w:hAnsi="仿宋" w:eastAsia="仿宋" w:cs="仿宋"/>
              <w:bCs/>
              <w:szCs w:val="28"/>
              <w:lang w:val="en-US" w:eastAsia="zh-CN"/>
            </w:rPr>
            <w:t>区划范围</w:t>
          </w:r>
          <w:r>
            <w:tab/>
          </w:r>
          <w:r>
            <w:fldChar w:fldCharType="begin"/>
          </w:r>
          <w:r>
            <w:instrText xml:space="preserve"> PAGEREF _Toc22108 </w:instrText>
          </w:r>
          <w:r>
            <w:fldChar w:fldCharType="separate"/>
          </w:r>
          <w:r>
            <w:t>2</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_Toc3657 </w:instrText>
          </w:r>
          <w:r>
            <w:rPr>
              <w:szCs w:val="24"/>
            </w:rPr>
            <w:fldChar w:fldCharType="separate"/>
          </w:r>
          <w:r>
            <w:rPr>
              <w:rFonts w:hint="default" w:ascii="仿宋" w:hAnsi="仿宋" w:eastAsia="仿宋" w:cs="仿宋"/>
              <w:bCs/>
              <w:szCs w:val="28"/>
              <w:lang w:val="en-US" w:eastAsia="zh-CN"/>
            </w:rPr>
            <w:t xml:space="preserve">1.4. </w:t>
          </w:r>
          <w:r>
            <w:rPr>
              <w:rFonts w:hint="eastAsia" w:ascii="仿宋" w:hAnsi="仿宋" w:eastAsia="仿宋" w:cs="仿宋"/>
              <w:bCs/>
              <w:szCs w:val="28"/>
              <w:lang w:val="en-US" w:eastAsia="zh-CN"/>
            </w:rPr>
            <w:t>区划工作程序</w:t>
          </w:r>
          <w:r>
            <w:tab/>
          </w:r>
          <w:r>
            <w:fldChar w:fldCharType="begin"/>
          </w:r>
          <w:r>
            <w:instrText xml:space="preserve"> PAGEREF _Toc3657 </w:instrText>
          </w:r>
          <w:r>
            <w:fldChar w:fldCharType="separate"/>
          </w:r>
          <w:r>
            <w:t>2</w:t>
          </w:r>
          <w:r>
            <w:fldChar w:fldCharType="end"/>
          </w:r>
          <w:r>
            <w:rPr>
              <w:szCs w:val="24"/>
            </w:rPr>
            <w:fldChar w:fldCharType="end"/>
          </w:r>
        </w:p>
        <w:p>
          <w:pPr>
            <w:pStyle w:val="7"/>
            <w:tabs>
              <w:tab w:val="right" w:leader="dot" w:pos="8306"/>
            </w:tabs>
          </w:pPr>
          <w:r>
            <w:rPr>
              <w:szCs w:val="24"/>
            </w:rPr>
            <w:fldChar w:fldCharType="begin"/>
          </w:r>
          <w:r>
            <w:rPr>
              <w:szCs w:val="24"/>
            </w:rPr>
            <w:instrText xml:space="preserve"> HYPERLINK \l _Toc14915 </w:instrText>
          </w:r>
          <w:r>
            <w:rPr>
              <w:szCs w:val="24"/>
            </w:rPr>
            <w:fldChar w:fldCharType="separate"/>
          </w:r>
          <w:r>
            <w:rPr>
              <w:rFonts w:hint="default" w:ascii="仿宋" w:hAnsi="仿宋" w:eastAsia="仿宋" w:cs="仿宋"/>
              <w:bCs/>
              <w:szCs w:val="32"/>
              <w:lang w:val="en-US" w:eastAsia="zh-CN"/>
            </w:rPr>
            <w:t xml:space="preserve">2. </w:t>
          </w:r>
          <w:r>
            <w:rPr>
              <w:rFonts w:hint="eastAsia" w:ascii="仿宋" w:hAnsi="仿宋" w:eastAsia="仿宋" w:cs="仿宋"/>
              <w:bCs/>
              <w:szCs w:val="32"/>
              <w:lang w:val="en-US" w:eastAsia="zh-CN"/>
            </w:rPr>
            <w:t>镇平县基本概况</w:t>
          </w:r>
          <w:r>
            <w:tab/>
          </w:r>
          <w:r>
            <w:fldChar w:fldCharType="begin"/>
          </w:r>
          <w:r>
            <w:instrText xml:space="preserve"> PAGEREF _Toc14915 </w:instrText>
          </w:r>
          <w:r>
            <w:fldChar w:fldCharType="separate"/>
          </w:r>
          <w:r>
            <w:t>4</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_Toc31874 </w:instrText>
          </w:r>
          <w:r>
            <w:rPr>
              <w:szCs w:val="24"/>
            </w:rPr>
            <w:fldChar w:fldCharType="separate"/>
          </w:r>
          <w:r>
            <w:rPr>
              <w:rFonts w:hint="default" w:ascii="仿宋" w:hAnsi="仿宋" w:eastAsia="仿宋" w:cs="仿宋"/>
              <w:bCs/>
              <w:szCs w:val="28"/>
              <w:lang w:val="en-US" w:eastAsia="zh-CN"/>
            </w:rPr>
            <w:t xml:space="preserve">2.1. </w:t>
          </w:r>
          <w:r>
            <w:rPr>
              <w:rFonts w:hint="eastAsia" w:ascii="仿宋" w:hAnsi="仿宋" w:eastAsia="仿宋" w:cs="仿宋"/>
              <w:bCs/>
              <w:szCs w:val="28"/>
              <w:lang w:val="en-US" w:eastAsia="zh-CN"/>
            </w:rPr>
            <w:t>区域特征</w:t>
          </w:r>
          <w:r>
            <w:tab/>
          </w:r>
          <w:r>
            <w:fldChar w:fldCharType="begin"/>
          </w:r>
          <w:r>
            <w:instrText xml:space="preserve"> PAGEREF _Toc31874 </w:instrText>
          </w:r>
          <w:r>
            <w:fldChar w:fldCharType="separate"/>
          </w:r>
          <w:r>
            <w:t>4</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_Toc24307 </w:instrText>
          </w:r>
          <w:r>
            <w:rPr>
              <w:szCs w:val="24"/>
            </w:rPr>
            <w:fldChar w:fldCharType="separate"/>
          </w:r>
          <w:r>
            <w:rPr>
              <w:rFonts w:hint="default" w:ascii="仿宋" w:hAnsi="仿宋" w:eastAsia="仿宋" w:cs="仿宋"/>
              <w:bCs/>
              <w:szCs w:val="28"/>
              <w:lang w:val="en-US" w:eastAsia="zh-CN"/>
            </w:rPr>
            <w:t xml:space="preserve">2.1.1. </w:t>
          </w:r>
          <w:r>
            <w:rPr>
              <w:rFonts w:hint="eastAsia" w:ascii="仿宋" w:hAnsi="仿宋" w:eastAsia="仿宋" w:cs="仿宋"/>
              <w:bCs/>
              <w:szCs w:val="28"/>
              <w:lang w:val="en-US" w:eastAsia="zh-CN"/>
            </w:rPr>
            <w:t>区域优势</w:t>
          </w:r>
          <w:r>
            <w:tab/>
          </w:r>
          <w:r>
            <w:fldChar w:fldCharType="begin"/>
          </w:r>
          <w:r>
            <w:instrText xml:space="preserve"> PAGEREF _Toc24307 </w:instrText>
          </w:r>
          <w:r>
            <w:fldChar w:fldCharType="separate"/>
          </w:r>
          <w:r>
            <w:t>4</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_Toc2308 </w:instrText>
          </w:r>
          <w:r>
            <w:rPr>
              <w:szCs w:val="24"/>
            </w:rPr>
            <w:fldChar w:fldCharType="separate"/>
          </w:r>
          <w:r>
            <w:rPr>
              <w:rFonts w:hint="default" w:ascii="仿宋" w:hAnsi="仿宋" w:eastAsia="仿宋" w:cs="仿宋"/>
              <w:bCs/>
              <w:szCs w:val="28"/>
              <w:lang w:val="en-US" w:eastAsia="zh-CN"/>
            </w:rPr>
            <w:t xml:space="preserve">2.1.2. </w:t>
          </w:r>
          <w:r>
            <w:rPr>
              <w:rFonts w:hint="eastAsia" w:ascii="仿宋" w:hAnsi="仿宋" w:eastAsia="仿宋" w:cs="仿宋"/>
              <w:bCs/>
              <w:szCs w:val="28"/>
              <w:lang w:val="en-US" w:eastAsia="zh-CN"/>
            </w:rPr>
            <w:t>交通优势</w:t>
          </w:r>
          <w:r>
            <w:tab/>
          </w:r>
          <w:r>
            <w:fldChar w:fldCharType="begin"/>
          </w:r>
          <w:r>
            <w:instrText xml:space="preserve"> PAGEREF _Toc2308 </w:instrText>
          </w:r>
          <w:r>
            <w:fldChar w:fldCharType="separate"/>
          </w:r>
          <w:r>
            <w:t>4</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_Toc28627 </w:instrText>
          </w:r>
          <w:r>
            <w:rPr>
              <w:szCs w:val="24"/>
            </w:rPr>
            <w:fldChar w:fldCharType="separate"/>
          </w:r>
          <w:r>
            <w:rPr>
              <w:rFonts w:hint="default" w:ascii="仿宋" w:hAnsi="仿宋" w:eastAsia="仿宋" w:cs="仿宋"/>
              <w:bCs/>
              <w:szCs w:val="28"/>
              <w:lang w:val="en-US" w:eastAsia="zh-CN"/>
            </w:rPr>
            <w:t xml:space="preserve">2.1.3. </w:t>
          </w:r>
          <w:r>
            <w:rPr>
              <w:rFonts w:hint="eastAsia" w:ascii="仿宋" w:hAnsi="仿宋" w:eastAsia="仿宋" w:cs="仿宋"/>
              <w:bCs/>
              <w:szCs w:val="28"/>
              <w:lang w:val="en-US" w:eastAsia="zh-CN"/>
            </w:rPr>
            <w:t>地形复杂</w:t>
          </w:r>
          <w:r>
            <w:tab/>
          </w:r>
          <w:r>
            <w:fldChar w:fldCharType="begin"/>
          </w:r>
          <w:r>
            <w:instrText xml:space="preserve"> PAGEREF _Toc28627 </w:instrText>
          </w:r>
          <w:r>
            <w:fldChar w:fldCharType="separate"/>
          </w:r>
          <w:r>
            <w:t>5</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_Toc16592 </w:instrText>
          </w:r>
          <w:r>
            <w:rPr>
              <w:szCs w:val="24"/>
            </w:rPr>
            <w:fldChar w:fldCharType="separate"/>
          </w:r>
          <w:r>
            <w:rPr>
              <w:rFonts w:hint="default" w:ascii="仿宋" w:hAnsi="仿宋" w:eastAsia="仿宋" w:cs="仿宋"/>
              <w:bCs/>
              <w:szCs w:val="28"/>
              <w:lang w:val="en-US" w:eastAsia="zh-CN"/>
            </w:rPr>
            <w:t xml:space="preserve">2.1.4. </w:t>
          </w:r>
          <w:r>
            <w:rPr>
              <w:rFonts w:hint="eastAsia" w:ascii="仿宋" w:hAnsi="仿宋" w:eastAsia="仿宋" w:cs="仿宋"/>
              <w:bCs/>
              <w:szCs w:val="28"/>
              <w:lang w:val="en-US" w:eastAsia="zh-CN"/>
            </w:rPr>
            <w:t>气候怡人</w:t>
          </w:r>
          <w:r>
            <w:tab/>
          </w:r>
          <w:r>
            <w:fldChar w:fldCharType="begin"/>
          </w:r>
          <w:r>
            <w:instrText xml:space="preserve"> PAGEREF _Toc16592 </w:instrText>
          </w:r>
          <w:r>
            <w:fldChar w:fldCharType="separate"/>
          </w:r>
          <w:r>
            <w:t>7</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_Toc24654 </w:instrText>
          </w:r>
          <w:r>
            <w:rPr>
              <w:szCs w:val="24"/>
            </w:rPr>
            <w:fldChar w:fldCharType="separate"/>
          </w:r>
          <w:r>
            <w:rPr>
              <w:rFonts w:hint="default" w:ascii="仿宋" w:hAnsi="仿宋" w:eastAsia="仿宋" w:cs="仿宋"/>
              <w:bCs/>
              <w:szCs w:val="28"/>
              <w:lang w:val="en-US" w:eastAsia="zh-CN"/>
            </w:rPr>
            <w:t xml:space="preserve">2.1.5. </w:t>
          </w:r>
          <w:r>
            <w:rPr>
              <w:rFonts w:hint="eastAsia" w:ascii="仿宋" w:hAnsi="仿宋" w:eastAsia="仿宋" w:cs="仿宋"/>
              <w:bCs/>
              <w:szCs w:val="28"/>
              <w:lang w:val="en-US" w:eastAsia="zh-CN"/>
            </w:rPr>
            <w:t>水系及水文</w:t>
          </w:r>
          <w:r>
            <w:tab/>
          </w:r>
          <w:r>
            <w:fldChar w:fldCharType="begin"/>
          </w:r>
          <w:r>
            <w:instrText xml:space="preserve"> PAGEREF _Toc24654 </w:instrText>
          </w:r>
          <w:r>
            <w:fldChar w:fldCharType="separate"/>
          </w:r>
          <w:r>
            <w:t>8</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_Toc8806 </w:instrText>
          </w:r>
          <w:r>
            <w:rPr>
              <w:szCs w:val="24"/>
            </w:rPr>
            <w:fldChar w:fldCharType="separate"/>
          </w:r>
          <w:r>
            <w:rPr>
              <w:rFonts w:hint="default" w:ascii="仿宋" w:hAnsi="仿宋" w:eastAsia="仿宋" w:cs="仿宋"/>
              <w:bCs/>
              <w:szCs w:val="28"/>
              <w:lang w:val="en-US" w:eastAsia="zh-CN"/>
            </w:rPr>
            <w:t xml:space="preserve">2.1.6. </w:t>
          </w:r>
          <w:r>
            <w:rPr>
              <w:rFonts w:hint="eastAsia" w:ascii="仿宋" w:hAnsi="仿宋" w:eastAsia="仿宋" w:cs="仿宋"/>
              <w:bCs/>
              <w:szCs w:val="28"/>
              <w:lang w:val="en-US" w:eastAsia="zh-CN"/>
            </w:rPr>
            <w:t>矿产资源</w:t>
          </w:r>
          <w:r>
            <w:tab/>
          </w:r>
          <w:r>
            <w:fldChar w:fldCharType="begin"/>
          </w:r>
          <w:r>
            <w:instrText xml:space="preserve"> PAGEREF _Toc8806 </w:instrText>
          </w:r>
          <w:r>
            <w:fldChar w:fldCharType="separate"/>
          </w:r>
          <w:r>
            <w:t>9</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_Toc12957 </w:instrText>
          </w:r>
          <w:r>
            <w:rPr>
              <w:szCs w:val="24"/>
            </w:rPr>
            <w:fldChar w:fldCharType="separate"/>
          </w:r>
          <w:r>
            <w:rPr>
              <w:rFonts w:hint="default" w:ascii="仿宋" w:hAnsi="仿宋" w:eastAsia="仿宋" w:cs="仿宋"/>
              <w:bCs/>
              <w:szCs w:val="28"/>
              <w:lang w:val="en-US" w:eastAsia="zh-CN"/>
            </w:rPr>
            <w:t xml:space="preserve">2.1.7. </w:t>
          </w:r>
          <w:r>
            <w:rPr>
              <w:rFonts w:hint="eastAsia" w:ascii="仿宋" w:hAnsi="仿宋" w:eastAsia="仿宋" w:cs="仿宋"/>
              <w:bCs/>
              <w:szCs w:val="28"/>
              <w:lang w:val="en-US" w:eastAsia="zh-CN"/>
            </w:rPr>
            <w:t>行政区划及人口</w:t>
          </w:r>
          <w:r>
            <w:tab/>
          </w:r>
          <w:r>
            <w:fldChar w:fldCharType="begin"/>
          </w:r>
          <w:r>
            <w:instrText xml:space="preserve"> PAGEREF _Toc12957 </w:instrText>
          </w:r>
          <w:r>
            <w:fldChar w:fldCharType="separate"/>
          </w:r>
          <w:r>
            <w:t>10</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_Toc5610 </w:instrText>
          </w:r>
          <w:r>
            <w:rPr>
              <w:szCs w:val="24"/>
            </w:rPr>
            <w:fldChar w:fldCharType="separate"/>
          </w:r>
          <w:r>
            <w:rPr>
              <w:rFonts w:hint="default" w:ascii="仿宋" w:hAnsi="仿宋" w:eastAsia="仿宋" w:cs="仿宋"/>
              <w:bCs/>
              <w:szCs w:val="28"/>
              <w:lang w:val="en-US" w:eastAsia="zh-CN"/>
            </w:rPr>
            <w:t xml:space="preserve">2.2. </w:t>
          </w:r>
          <w:r>
            <w:rPr>
              <w:rFonts w:hint="eastAsia" w:ascii="仿宋" w:hAnsi="仿宋" w:eastAsia="仿宋" w:cs="仿宋"/>
              <w:bCs/>
              <w:szCs w:val="28"/>
              <w:lang w:val="en-US" w:eastAsia="zh-CN"/>
            </w:rPr>
            <w:t>规划分析</w:t>
          </w:r>
          <w:r>
            <w:tab/>
          </w:r>
          <w:r>
            <w:fldChar w:fldCharType="begin"/>
          </w:r>
          <w:r>
            <w:instrText xml:space="preserve"> PAGEREF _Toc5610 </w:instrText>
          </w:r>
          <w:r>
            <w:fldChar w:fldCharType="separate"/>
          </w:r>
          <w:r>
            <w:t>12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_Toc10714 </w:instrText>
          </w:r>
          <w:r>
            <w:rPr>
              <w:szCs w:val="24"/>
            </w:rPr>
            <w:fldChar w:fldCharType="separate"/>
          </w:r>
          <w:r>
            <w:rPr>
              <w:rFonts w:hint="default" w:ascii="仿宋" w:hAnsi="仿宋" w:eastAsia="仿宋" w:cs="仿宋"/>
              <w:bCs/>
              <w:szCs w:val="28"/>
              <w:lang w:val="en-US" w:eastAsia="zh-CN"/>
            </w:rPr>
            <w:t xml:space="preserve">2.2.1. </w:t>
          </w:r>
          <w:r>
            <w:rPr>
              <w:rFonts w:hint="eastAsia" w:ascii="仿宋" w:hAnsi="仿宋" w:eastAsia="仿宋" w:cs="仿宋"/>
              <w:bCs/>
              <w:szCs w:val="28"/>
              <w:lang w:val="en-US" w:eastAsia="zh-CN"/>
            </w:rPr>
            <w:t>镇平县城乡总体规划修编（2018-2035年）</w:t>
          </w:r>
          <w:r>
            <w:tab/>
          </w:r>
          <w:r>
            <w:fldChar w:fldCharType="begin"/>
          </w:r>
          <w:r>
            <w:instrText xml:space="preserve"> PAGEREF _Toc10714 </w:instrText>
          </w:r>
          <w:r>
            <w:fldChar w:fldCharType="separate"/>
          </w:r>
          <w:r>
            <w:t>12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_Toc1905 </w:instrText>
          </w:r>
          <w:r>
            <w:rPr>
              <w:szCs w:val="24"/>
            </w:rPr>
            <w:fldChar w:fldCharType="separate"/>
          </w:r>
          <w:r>
            <w:rPr>
              <w:rFonts w:hint="default" w:ascii="仿宋" w:hAnsi="仿宋" w:eastAsia="仿宋" w:cs="仿宋"/>
              <w:bCs/>
              <w:szCs w:val="28"/>
              <w:lang w:val="en-US" w:eastAsia="zh-CN"/>
            </w:rPr>
            <w:t xml:space="preserve">2.2.2. </w:t>
          </w:r>
          <w:r>
            <w:rPr>
              <w:rFonts w:hint="eastAsia" w:ascii="仿宋" w:hAnsi="仿宋" w:eastAsia="仿宋" w:cs="仿宋"/>
              <w:bCs/>
              <w:szCs w:val="28"/>
              <w:lang w:val="en-US" w:eastAsia="zh-CN"/>
            </w:rPr>
            <w:t>规划期限</w:t>
          </w:r>
          <w:r>
            <w:tab/>
          </w:r>
          <w:r>
            <w:fldChar w:fldCharType="begin"/>
          </w:r>
          <w:r>
            <w:instrText xml:space="preserve"> PAGEREF _Toc1905 </w:instrText>
          </w:r>
          <w:r>
            <w:fldChar w:fldCharType="separate"/>
          </w:r>
          <w:r>
            <w:t>12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_Toc27043 </w:instrText>
          </w:r>
          <w:r>
            <w:rPr>
              <w:szCs w:val="24"/>
            </w:rPr>
            <w:fldChar w:fldCharType="separate"/>
          </w:r>
          <w:r>
            <w:rPr>
              <w:rFonts w:hint="default" w:ascii="仿宋" w:hAnsi="仿宋" w:eastAsia="仿宋" w:cs="仿宋"/>
              <w:bCs/>
              <w:szCs w:val="28"/>
              <w:lang w:val="en-US" w:eastAsia="zh-CN"/>
            </w:rPr>
            <w:t xml:space="preserve">2.2.3. </w:t>
          </w:r>
          <w:r>
            <w:rPr>
              <w:rFonts w:hint="eastAsia" w:ascii="仿宋" w:hAnsi="仿宋" w:eastAsia="仿宋" w:cs="仿宋"/>
              <w:bCs/>
              <w:szCs w:val="28"/>
              <w:lang w:val="en-US" w:eastAsia="zh-CN"/>
            </w:rPr>
            <w:t>规划层次与城市规划区范围</w:t>
          </w:r>
          <w:r>
            <w:tab/>
          </w:r>
          <w:r>
            <w:fldChar w:fldCharType="begin"/>
          </w:r>
          <w:r>
            <w:instrText xml:space="preserve"> PAGEREF _Toc27043 </w:instrText>
          </w:r>
          <w:r>
            <w:fldChar w:fldCharType="separate"/>
          </w:r>
          <w:r>
            <w:t>12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_Toc15510 </w:instrText>
          </w:r>
          <w:r>
            <w:rPr>
              <w:szCs w:val="24"/>
            </w:rPr>
            <w:fldChar w:fldCharType="separate"/>
          </w:r>
          <w:r>
            <w:rPr>
              <w:rFonts w:hint="default" w:ascii="仿宋" w:hAnsi="仿宋" w:eastAsia="仿宋" w:cs="仿宋"/>
              <w:bCs/>
              <w:szCs w:val="28"/>
              <w:lang w:val="en-US" w:eastAsia="zh-CN"/>
            </w:rPr>
            <w:t xml:space="preserve">2.2.4. </w:t>
          </w:r>
          <w:r>
            <w:rPr>
              <w:rFonts w:hint="eastAsia" w:ascii="仿宋" w:hAnsi="仿宋" w:eastAsia="仿宋" w:cs="仿宋"/>
              <w:bCs/>
              <w:szCs w:val="28"/>
              <w:lang w:val="en-US" w:eastAsia="zh-CN"/>
            </w:rPr>
            <w:t>城市发展总目标</w:t>
          </w:r>
          <w:r>
            <w:tab/>
          </w:r>
          <w:r>
            <w:fldChar w:fldCharType="begin"/>
          </w:r>
          <w:r>
            <w:instrText xml:space="preserve"> PAGEREF _Toc15510 </w:instrText>
          </w:r>
          <w:r>
            <w:fldChar w:fldCharType="separate"/>
          </w:r>
          <w:r>
            <w:t>12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_Toc22486 </w:instrText>
          </w:r>
          <w:r>
            <w:rPr>
              <w:szCs w:val="24"/>
            </w:rPr>
            <w:fldChar w:fldCharType="separate"/>
          </w:r>
          <w:r>
            <w:rPr>
              <w:rFonts w:hint="default" w:ascii="仿宋" w:hAnsi="仿宋" w:eastAsia="仿宋" w:cs="仿宋"/>
              <w:bCs/>
              <w:szCs w:val="28"/>
              <w:lang w:val="en-US" w:eastAsia="zh-CN"/>
            </w:rPr>
            <w:t xml:space="preserve">2.2.5. </w:t>
          </w:r>
          <w:r>
            <w:rPr>
              <w:rFonts w:hint="eastAsia" w:ascii="仿宋" w:hAnsi="仿宋" w:eastAsia="仿宋" w:cs="仿宋"/>
              <w:bCs/>
              <w:szCs w:val="28"/>
              <w:lang w:val="en-US" w:eastAsia="zh-CN"/>
            </w:rPr>
            <w:t>城镇化水平与城镇人口</w:t>
          </w:r>
          <w:r>
            <w:tab/>
          </w:r>
          <w:r>
            <w:fldChar w:fldCharType="begin"/>
          </w:r>
          <w:r>
            <w:instrText xml:space="preserve"> PAGEREF _Toc22486 </w:instrText>
          </w:r>
          <w:r>
            <w:fldChar w:fldCharType="separate"/>
          </w:r>
          <w:r>
            <w:t>13</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_Toc1986 </w:instrText>
          </w:r>
          <w:r>
            <w:rPr>
              <w:szCs w:val="24"/>
            </w:rPr>
            <w:fldChar w:fldCharType="separate"/>
          </w:r>
          <w:r>
            <w:rPr>
              <w:rFonts w:hint="default" w:ascii="仿宋" w:hAnsi="仿宋" w:eastAsia="仿宋" w:cs="仿宋"/>
              <w:bCs/>
              <w:szCs w:val="28"/>
              <w:lang w:val="en-US" w:eastAsia="zh-CN"/>
            </w:rPr>
            <w:t xml:space="preserve">2.2.6. </w:t>
          </w:r>
          <w:r>
            <w:rPr>
              <w:rFonts w:hint="eastAsia" w:ascii="仿宋" w:hAnsi="仿宋" w:eastAsia="仿宋" w:cs="仿宋"/>
              <w:bCs/>
              <w:szCs w:val="28"/>
              <w:lang w:val="en-US" w:eastAsia="zh-CN"/>
            </w:rPr>
            <w:t>城乡发展战略</w:t>
          </w:r>
          <w:r>
            <w:tab/>
          </w:r>
          <w:r>
            <w:fldChar w:fldCharType="begin"/>
          </w:r>
          <w:r>
            <w:instrText xml:space="preserve"> PAGEREF _Toc1986 </w:instrText>
          </w:r>
          <w:r>
            <w:fldChar w:fldCharType="separate"/>
          </w:r>
          <w:r>
            <w:t>13</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_Toc31019 </w:instrText>
          </w:r>
          <w:r>
            <w:rPr>
              <w:szCs w:val="24"/>
            </w:rPr>
            <w:fldChar w:fldCharType="separate"/>
          </w:r>
          <w:r>
            <w:rPr>
              <w:rFonts w:hint="default" w:ascii="仿宋" w:hAnsi="仿宋" w:eastAsia="仿宋" w:cs="仿宋"/>
              <w:bCs/>
              <w:szCs w:val="28"/>
              <w:lang w:val="en-US" w:eastAsia="zh-CN"/>
            </w:rPr>
            <w:t xml:space="preserve">2.2.7. </w:t>
          </w:r>
          <w:r>
            <w:rPr>
              <w:rFonts w:hint="eastAsia" w:ascii="仿宋" w:hAnsi="仿宋" w:eastAsia="仿宋" w:cs="仿宋"/>
              <w:bCs/>
              <w:szCs w:val="28"/>
              <w:lang w:val="en-US" w:eastAsia="zh-CN"/>
            </w:rPr>
            <w:t>空间规划结构</w:t>
          </w:r>
          <w:r>
            <w:tab/>
          </w:r>
          <w:r>
            <w:fldChar w:fldCharType="begin"/>
          </w:r>
          <w:r>
            <w:instrText xml:space="preserve"> PAGEREF _Toc31019 </w:instrText>
          </w:r>
          <w:r>
            <w:fldChar w:fldCharType="separate"/>
          </w:r>
          <w:r>
            <w:t>15</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_Toc20185 </w:instrText>
          </w:r>
          <w:r>
            <w:rPr>
              <w:szCs w:val="24"/>
            </w:rPr>
            <w:fldChar w:fldCharType="separate"/>
          </w:r>
          <w:r>
            <w:rPr>
              <w:rFonts w:hint="default" w:ascii="仿宋" w:hAnsi="仿宋" w:eastAsia="仿宋" w:cs="仿宋"/>
              <w:bCs/>
              <w:szCs w:val="28"/>
              <w:lang w:val="en-US" w:eastAsia="zh-CN"/>
            </w:rPr>
            <w:t xml:space="preserve">2.2.8. </w:t>
          </w:r>
          <w:r>
            <w:rPr>
              <w:rFonts w:hint="eastAsia" w:ascii="仿宋" w:hAnsi="仿宋" w:eastAsia="仿宋" w:cs="仿宋"/>
              <w:bCs/>
              <w:szCs w:val="28"/>
              <w:lang w:val="en-US" w:eastAsia="zh-CN"/>
            </w:rPr>
            <w:t>用地规划</w:t>
          </w:r>
          <w:r>
            <w:tab/>
          </w:r>
          <w:r>
            <w:fldChar w:fldCharType="begin"/>
          </w:r>
          <w:r>
            <w:instrText xml:space="preserve"> PAGEREF _Toc20185 </w:instrText>
          </w:r>
          <w:r>
            <w:fldChar w:fldCharType="separate"/>
          </w:r>
          <w:r>
            <w:t>15</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_Toc1983 </w:instrText>
          </w:r>
          <w:r>
            <w:rPr>
              <w:szCs w:val="24"/>
            </w:rPr>
            <w:fldChar w:fldCharType="separate"/>
          </w:r>
          <w:r>
            <w:rPr>
              <w:rFonts w:hint="default" w:ascii="仿宋" w:hAnsi="仿宋" w:eastAsia="仿宋" w:cs="仿宋"/>
              <w:bCs/>
              <w:szCs w:val="28"/>
              <w:lang w:val="en-US" w:eastAsia="zh-CN"/>
            </w:rPr>
            <w:t xml:space="preserve">2.2.9. </w:t>
          </w:r>
          <w:r>
            <w:rPr>
              <w:rFonts w:hint="eastAsia" w:ascii="仿宋" w:hAnsi="仿宋" w:eastAsia="仿宋" w:cs="仿宋"/>
              <w:bCs/>
              <w:szCs w:val="28"/>
              <w:lang w:val="en-US" w:eastAsia="zh-CN"/>
            </w:rPr>
            <w:t>居住用地规划</w:t>
          </w:r>
          <w:r>
            <w:tab/>
          </w:r>
          <w:r>
            <w:fldChar w:fldCharType="begin"/>
          </w:r>
          <w:r>
            <w:instrText xml:space="preserve"> PAGEREF _Toc1983 </w:instrText>
          </w:r>
          <w:r>
            <w:fldChar w:fldCharType="separate"/>
          </w:r>
          <w:r>
            <w:t>16</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_Toc18473 </w:instrText>
          </w:r>
          <w:r>
            <w:rPr>
              <w:szCs w:val="24"/>
            </w:rPr>
            <w:fldChar w:fldCharType="separate"/>
          </w:r>
          <w:r>
            <w:rPr>
              <w:rFonts w:hint="default" w:ascii="仿宋" w:hAnsi="仿宋" w:eastAsia="仿宋" w:cs="仿宋"/>
              <w:bCs/>
              <w:szCs w:val="28"/>
              <w:lang w:val="en-US" w:eastAsia="zh-CN"/>
            </w:rPr>
            <w:t xml:space="preserve">2.2.10. </w:t>
          </w:r>
          <w:r>
            <w:rPr>
              <w:rFonts w:hint="eastAsia" w:ascii="仿宋" w:hAnsi="仿宋" w:eastAsia="仿宋" w:cs="仿宋"/>
              <w:bCs/>
              <w:szCs w:val="28"/>
              <w:lang w:val="en-US" w:eastAsia="zh-CN"/>
            </w:rPr>
            <w:t>综合交通规划</w:t>
          </w:r>
          <w:r>
            <w:tab/>
          </w:r>
          <w:r>
            <w:fldChar w:fldCharType="begin"/>
          </w:r>
          <w:r>
            <w:instrText xml:space="preserve"> PAGEREF _Toc18473 </w:instrText>
          </w:r>
          <w:r>
            <w:fldChar w:fldCharType="separate"/>
          </w:r>
          <w:r>
            <w:t>17</w:t>
          </w:r>
          <w:r>
            <w:fldChar w:fldCharType="end"/>
          </w:r>
          <w:r>
            <w:rPr>
              <w:szCs w:val="24"/>
            </w:rPr>
            <w:fldChar w:fldCharType="end"/>
          </w:r>
        </w:p>
        <w:p>
          <w:pPr>
            <w:pStyle w:val="7"/>
            <w:tabs>
              <w:tab w:val="right" w:leader="dot" w:pos="8306"/>
            </w:tabs>
          </w:pPr>
          <w:r>
            <w:rPr>
              <w:szCs w:val="24"/>
            </w:rPr>
            <w:fldChar w:fldCharType="begin"/>
          </w:r>
          <w:r>
            <w:rPr>
              <w:szCs w:val="24"/>
            </w:rPr>
            <w:instrText xml:space="preserve"> HYPERLINK \l _Toc15050 </w:instrText>
          </w:r>
          <w:r>
            <w:rPr>
              <w:szCs w:val="24"/>
            </w:rPr>
            <w:fldChar w:fldCharType="separate"/>
          </w:r>
          <w:r>
            <w:rPr>
              <w:rFonts w:hint="default" w:ascii="仿宋" w:hAnsi="仿宋" w:eastAsia="仿宋" w:cs="仿宋"/>
              <w:bCs/>
              <w:szCs w:val="32"/>
              <w:lang w:val="en-US" w:eastAsia="zh-CN"/>
            </w:rPr>
            <w:t xml:space="preserve">3. </w:t>
          </w:r>
          <w:r>
            <w:rPr>
              <w:rFonts w:hint="eastAsia" w:ascii="仿宋" w:hAnsi="仿宋" w:eastAsia="仿宋" w:cs="仿宋"/>
              <w:bCs/>
              <w:szCs w:val="32"/>
              <w:lang w:val="en-US" w:eastAsia="zh-CN"/>
            </w:rPr>
            <w:t>城市声环境功能区划分方案</w:t>
          </w:r>
          <w:r>
            <w:tab/>
          </w:r>
          <w:r>
            <w:fldChar w:fldCharType="begin"/>
          </w:r>
          <w:r>
            <w:instrText xml:space="preserve"> PAGEREF _Toc15050 </w:instrText>
          </w:r>
          <w:r>
            <w:fldChar w:fldCharType="separate"/>
          </w:r>
          <w:r>
            <w:t>24</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_Toc10173 </w:instrText>
          </w:r>
          <w:r>
            <w:rPr>
              <w:szCs w:val="24"/>
            </w:rPr>
            <w:fldChar w:fldCharType="separate"/>
          </w:r>
          <w:r>
            <w:rPr>
              <w:rFonts w:hint="default" w:ascii="仿宋" w:hAnsi="仿宋" w:eastAsia="仿宋" w:cs="仿宋"/>
              <w:bCs/>
              <w:szCs w:val="28"/>
              <w:lang w:val="en-US" w:eastAsia="zh-CN"/>
            </w:rPr>
            <w:t xml:space="preserve">3.1. </w:t>
          </w:r>
          <w:r>
            <w:rPr>
              <w:rFonts w:hint="eastAsia" w:ascii="仿宋" w:hAnsi="仿宋" w:eastAsia="仿宋" w:cs="仿宋"/>
              <w:bCs/>
              <w:szCs w:val="28"/>
              <w:lang w:val="en-US" w:eastAsia="zh-CN"/>
            </w:rPr>
            <w:t>指导思想</w:t>
          </w:r>
          <w:r>
            <w:tab/>
          </w:r>
          <w:r>
            <w:fldChar w:fldCharType="begin"/>
          </w:r>
          <w:r>
            <w:instrText xml:space="preserve"> PAGEREF _Toc10173 </w:instrText>
          </w:r>
          <w:r>
            <w:fldChar w:fldCharType="separate"/>
          </w:r>
          <w:r>
            <w:t>24</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_Toc12556 </w:instrText>
          </w:r>
          <w:r>
            <w:rPr>
              <w:szCs w:val="24"/>
            </w:rPr>
            <w:fldChar w:fldCharType="separate"/>
          </w:r>
          <w:r>
            <w:rPr>
              <w:rFonts w:hint="default" w:ascii="仿宋" w:hAnsi="仿宋" w:eastAsia="仿宋" w:cs="仿宋"/>
              <w:bCs/>
              <w:szCs w:val="28"/>
              <w:lang w:val="en-US" w:eastAsia="zh-CN"/>
            </w:rPr>
            <w:t xml:space="preserve">3.2. </w:t>
          </w:r>
          <w:r>
            <w:rPr>
              <w:rFonts w:hint="eastAsia" w:ascii="仿宋" w:hAnsi="仿宋" w:eastAsia="仿宋" w:cs="仿宋"/>
              <w:bCs/>
              <w:szCs w:val="28"/>
              <w:lang w:val="en-US" w:eastAsia="zh-CN"/>
            </w:rPr>
            <w:t>区划原则</w:t>
          </w:r>
          <w:r>
            <w:tab/>
          </w:r>
          <w:r>
            <w:fldChar w:fldCharType="begin"/>
          </w:r>
          <w:r>
            <w:instrText xml:space="preserve"> PAGEREF _Toc12556 </w:instrText>
          </w:r>
          <w:r>
            <w:fldChar w:fldCharType="separate"/>
          </w:r>
          <w:r>
            <w:t>25</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_Toc2199 </w:instrText>
          </w:r>
          <w:r>
            <w:rPr>
              <w:szCs w:val="24"/>
            </w:rPr>
            <w:fldChar w:fldCharType="separate"/>
          </w:r>
          <w:r>
            <w:rPr>
              <w:rFonts w:hint="default" w:ascii="仿宋" w:hAnsi="仿宋" w:eastAsia="仿宋" w:cs="仿宋"/>
              <w:bCs/>
              <w:szCs w:val="28"/>
              <w:lang w:val="en-US" w:eastAsia="zh-CN"/>
            </w:rPr>
            <w:t xml:space="preserve">3.3. </w:t>
          </w:r>
          <w:r>
            <w:rPr>
              <w:rFonts w:hint="eastAsia" w:ascii="仿宋" w:hAnsi="仿宋" w:eastAsia="仿宋" w:cs="仿宋"/>
              <w:bCs/>
              <w:szCs w:val="28"/>
              <w:lang w:val="en-US" w:eastAsia="zh-CN"/>
            </w:rPr>
            <w:t>声环境功能区类别及限值</w:t>
          </w:r>
          <w:r>
            <w:tab/>
          </w:r>
          <w:r>
            <w:fldChar w:fldCharType="begin"/>
          </w:r>
          <w:r>
            <w:instrText xml:space="preserve"> PAGEREF _Toc2199 </w:instrText>
          </w:r>
          <w:r>
            <w:fldChar w:fldCharType="separate"/>
          </w:r>
          <w:r>
            <w:t>25</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_Toc15298 </w:instrText>
          </w:r>
          <w:r>
            <w:rPr>
              <w:szCs w:val="24"/>
            </w:rPr>
            <w:fldChar w:fldCharType="separate"/>
          </w:r>
          <w:r>
            <w:rPr>
              <w:rFonts w:hint="default" w:ascii="仿宋" w:hAnsi="仿宋" w:eastAsia="仿宋" w:cs="仿宋"/>
              <w:bCs/>
              <w:szCs w:val="28"/>
              <w:lang w:val="en-US" w:eastAsia="zh-CN"/>
            </w:rPr>
            <w:t xml:space="preserve">3.3.1. </w:t>
          </w:r>
          <w:r>
            <w:rPr>
              <w:rFonts w:hint="eastAsia" w:ascii="仿宋" w:hAnsi="仿宋" w:eastAsia="仿宋" w:cs="仿宋"/>
              <w:bCs/>
              <w:szCs w:val="28"/>
              <w:lang w:val="en-US" w:eastAsia="zh-CN"/>
            </w:rPr>
            <w:t>声环境功能区类别</w:t>
          </w:r>
          <w:r>
            <w:tab/>
          </w:r>
          <w:r>
            <w:fldChar w:fldCharType="begin"/>
          </w:r>
          <w:r>
            <w:instrText xml:space="preserve"> PAGEREF _Toc15298 </w:instrText>
          </w:r>
          <w:r>
            <w:fldChar w:fldCharType="separate"/>
          </w:r>
          <w:r>
            <w:t>25</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_Toc30802 </w:instrText>
          </w:r>
          <w:r>
            <w:rPr>
              <w:szCs w:val="24"/>
            </w:rPr>
            <w:fldChar w:fldCharType="separate"/>
          </w:r>
          <w:r>
            <w:rPr>
              <w:rFonts w:hint="default" w:ascii="仿宋" w:hAnsi="仿宋" w:eastAsia="仿宋" w:cs="仿宋"/>
              <w:bCs/>
              <w:szCs w:val="28"/>
              <w:lang w:val="en-US" w:eastAsia="zh-CN"/>
            </w:rPr>
            <w:t xml:space="preserve">3.3.2. </w:t>
          </w:r>
          <w:r>
            <w:rPr>
              <w:rFonts w:hint="eastAsia" w:ascii="仿宋" w:hAnsi="仿宋" w:eastAsia="仿宋" w:cs="仿宋"/>
              <w:bCs/>
              <w:szCs w:val="28"/>
              <w:lang w:val="en-US" w:eastAsia="zh-CN"/>
            </w:rPr>
            <w:t>噪声限值</w:t>
          </w:r>
          <w:r>
            <w:tab/>
          </w:r>
          <w:r>
            <w:fldChar w:fldCharType="begin"/>
          </w:r>
          <w:r>
            <w:instrText xml:space="preserve"> PAGEREF _Toc30802 </w:instrText>
          </w:r>
          <w:r>
            <w:fldChar w:fldCharType="separate"/>
          </w:r>
          <w:r>
            <w:t>26</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_Toc30236 </w:instrText>
          </w:r>
          <w:r>
            <w:rPr>
              <w:szCs w:val="24"/>
            </w:rPr>
            <w:fldChar w:fldCharType="separate"/>
          </w:r>
          <w:r>
            <w:rPr>
              <w:rFonts w:hint="default" w:ascii="仿宋" w:hAnsi="仿宋" w:eastAsia="仿宋" w:cs="仿宋"/>
              <w:bCs/>
              <w:szCs w:val="28"/>
              <w:lang w:val="en-US" w:eastAsia="zh-CN"/>
            </w:rPr>
            <w:t xml:space="preserve">3.4. </w:t>
          </w:r>
          <w:r>
            <w:rPr>
              <w:rFonts w:hint="eastAsia" w:ascii="仿宋" w:hAnsi="仿宋" w:eastAsia="仿宋" w:cs="仿宋"/>
              <w:bCs/>
              <w:szCs w:val="28"/>
              <w:lang w:val="en-US" w:eastAsia="zh-CN"/>
            </w:rPr>
            <w:t>区划方法</w:t>
          </w:r>
          <w:r>
            <w:tab/>
          </w:r>
          <w:r>
            <w:fldChar w:fldCharType="begin"/>
          </w:r>
          <w:r>
            <w:instrText xml:space="preserve"> PAGEREF _Toc30236 </w:instrText>
          </w:r>
          <w:r>
            <w:fldChar w:fldCharType="separate"/>
          </w:r>
          <w:r>
            <w:t>27</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_Toc317 </w:instrText>
          </w:r>
          <w:r>
            <w:rPr>
              <w:szCs w:val="24"/>
            </w:rPr>
            <w:fldChar w:fldCharType="separate"/>
          </w:r>
          <w:r>
            <w:rPr>
              <w:rFonts w:hint="default" w:ascii="仿宋" w:hAnsi="仿宋" w:eastAsia="仿宋" w:cs="仿宋"/>
              <w:bCs/>
              <w:szCs w:val="28"/>
              <w:lang w:val="en-US" w:eastAsia="zh-CN"/>
            </w:rPr>
            <w:t xml:space="preserve">3.4.1. </w:t>
          </w:r>
          <w:r>
            <w:rPr>
              <w:rFonts w:hint="eastAsia" w:ascii="仿宋" w:hAnsi="仿宋" w:eastAsia="仿宋" w:cs="仿宋"/>
              <w:bCs/>
              <w:szCs w:val="28"/>
              <w:lang w:val="en-US" w:eastAsia="zh-CN"/>
            </w:rPr>
            <w:t>区划的划分次序</w:t>
          </w:r>
          <w:r>
            <w:tab/>
          </w:r>
          <w:r>
            <w:fldChar w:fldCharType="begin"/>
          </w:r>
          <w:r>
            <w:instrText xml:space="preserve"> PAGEREF _Toc317 </w:instrText>
          </w:r>
          <w:r>
            <w:fldChar w:fldCharType="separate"/>
          </w:r>
          <w:r>
            <w:t>27</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_Toc13710 </w:instrText>
          </w:r>
          <w:r>
            <w:rPr>
              <w:szCs w:val="24"/>
            </w:rPr>
            <w:fldChar w:fldCharType="separate"/>
          </w:r>
          <w:r>
            <w:rPr>
              <w:rFonts w:hint="default" w:ascii="仿宋" w:hAnsi="仿宋" w:eastAsia="仿宋" w:cs="仿宋"/>
              <w:bCs/>
              <w:szCs w:val="28"/>
              <w:lang w:val="en-US" w:eastAsia="zh-CN"/>
            </w:rPr>
            <w:t xml:space="preserve">3.4.2. </w:t>
          </w:r>
          <w:r>
            <w:rPr>
              <w:rFonts w:hint="eastAsia" w:ascii="仿宋" w:hAnsi="仿宋" w:eastAsia="仿宋" w:cs="仿宋"/>
              <w:bCs/>
              <w:szCs w:val="28"/>
              <w:lang w:val="en-US" w:eastAsia="zh-CN"/>
            </w:rPr>
            <w:t>0～3类声环境功能区划分</w:t>
          </w:r>
          <w:r>
            <w:tab/>
          </w:r>
          <w:r>
            <w:fldChar w:fldCharType="begin"/>
          </w:r>
          <w:r>
            <w:instrText xml:space="preserve"> PAGEREF _Toc13710 </w:instrText>
          </w:r>
          <w:r>
            <w:fldChar w:fldCharType="separate"/>
          </w:r>
          <w:r>
            <w:t>27</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_Toc11763 </w:instrText>
          </w:r>
          <w:r>
            <w:rPr>
              <w:szCs w:val="24"/>
            </w:rPr>
            <w:fldChar w:fldCharType="separate"/>
          </w:r>
          <w:r>
            <w:rPr>
              <w:rFonts w:hint="default" w:ascii="仿宋" w:hAnsi="仿宋" w:eastAsia="仿宋" w:cs="仿宋"/>
              <w:bCs/>
              <w:szCs w:val="28"/>
              <w:lang w:val="en-US" w:eastAsia="zh-CN"/>
            </w:rPr>
            <w:t xml:space="preserve">3.4.3. </w:t>
          </w:r>
          <w:r>
            <w:rPr>
              <w:rFonts w:hint="eastAsia" w:ascii="仿宋" w:hAnsi="仿宋" w:eastAsia="仿宋" w:cs="仿宋"/>
              <w:bCs/>
              <w:szCs w:val="28"/>
              <w:lang w:val="en-US" w:eastAsia="zh-CN"/>
            </w:rPr>
            <w:t>4类声环境功能区划分</w:t>
          </w:r>
          <w:r>
            <w:tab/>
          </w:r>
          <w:r>
            <w:fldChar w:fldCharType="begin"/>
          </w:r>
          <w:r>
            <w:instrText xml:space="preserve"> PAGEREF _Toc11763 </w:instrText>
          </w:r>
          <w:r>
            <w:fldChar w:fldCharType="separate"/>
          </w:r>
          <w:r>
            <w:t>28</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_Toc365 </w:instrText>
          </w:r>
          <w:r>
            <w:rPr>
              <w:szCs w:val="24"/>
            </w:rPr>
            <w:fldChar w:fldCharType="separate"/>
          </w:r>
          <w:r>
            <w:rPr>
              <w:rFonts w:hint="default" w:ascii="仿宋" w:hAnsi="仿宋" w:eastAsia="仿宋" w:cs="仿宋"/>
              <w:bCs/>
              <w:szCs w:val="28"/>
              <w:lang w:val="en-US" w:eastAsia="zh-CN"/>
            </w:rPr>
            <w:t xml:space="preserve">3.4.4. </w:t>
          </w:r>
          <w:r>
            <w:rPr>
              <w:rFonts w:hint="eastAsia" w:ascii="仿宋" w:hAnsi="仿宋" w:eastAsia="仿宋" w:cs="仿宋"/>
              <w:bCs/>
              <w:szCs w:val="28"/>
              <w:lang w:val="en-US" w:eastAsia="zh-CN"/>
            </w:rPr>
            <w:t>声环境功能区划结果</w:t>
          </w:r>
          <w:r>
            <w:tab/>
          </w:r>
          <w:r>
            <w:fldChar w:fldCharType="begin"/>
          </w:r>
          <w:r>
            <w:instrText xml:space="preserve"> PAGEREF _Toc365 </w:instrText>
          </w:r>
          <w:r>
            <w:fldChar w:fldCharType="separate"/>
          </w:r>
          <w:r>
            <w:t>28</w:t>
          </w:r>
          <w:r>
            <w:fldChar w:fldCharType="end"/>
          </w:r>
          <w:r>
            <w:rPr>
              <w:szCs w:val="24"/>
            </w:rPr>
            <w:fldChar w:fldCharType="end"/>
          </w:r>
        </w:p>
        <w:p>
          <w:pPr>
            <w:pStyle w:val="7"/>
            <w:tabs>
              <w:tab w:val="right" w:leader="dot" w:pos="8306"/>
            </w:tabs>
          </w:pPr>
          <w:r>
            <w:rPr>
              <w:szCs w:val="24"/>
            </w:rPr>
            <w:fldChar w:fldCharType="begin"/>
          </w:r>
          <w:r>
            <w:rPr>
              <w:szCs w:val="24"/>
            </w:rPr>
            <w:instrText xml:space="preserve"> HYPERLINK \l _Toc6898 </w:instrText>
          </w:r>
          <w:r>
            <w:rPr>
              <w:szCs w:val="24"/>
            </w:rPr>
            <w:fldChar w:fldCharType="separate"/>
          </w:r>
          <w:r>
            <w:rPr>
              <w:rFonts w:hint="default" w:ascii="仿宋" w:hAnsi="仿宋" w:eastAsia="仿宋" w:cs="仿宋"/>
              <w:bCs/>
              <w:szCs w:val="32"/>
              <w:lang w:val="en-US" w:eastAsia="zh-CN"/>
            </w:rPr>
            <w:t xml:space="preserve">4. </w:t>
          </w:r>
          <w:r>
            <w:rPr>
              <w:rFonts w:hint="eastAsia" w:ascii="仿宋" w:hAnsi="仿宋" w:eastAsia="仿宋" w:cs="仿宋"/>
              <w:bCs/>
              <w:szCs w:val="32"/>
              <w:lang w:val="en-US" w:eastAsia="zh-CN"/>
            </w:rPr>
            <w:t>声环境功能区划分结果的可行性分析</w:t>
          </w:r>
          <w:r>
            <w:tab/>
          </w:r>
          <w:r>
            <w:fldChar w:fldCharType="begin"/>
          </w:r>
          <w:r>
            <w:instrText xml:space="preserve"> PAGEREF _Toc6898 </w:instrText>
          </w:r>
          <w:r>
            <w:fldChar w:fldCharType="separate"/>
          </w:r>
          <w:r>
            <w:t>34</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_Toc29882 </w:instrText>
          </w:r>
          <w:r>
            <w:rPr>
              <w:szCs w:val="24"/>
            </w:rPr>
            <w:fldChar w:fldCharType="separate"/>
          </w:r>
          <w:r>
            <w:rPr>
              <w:rFonts w:hint="default" w:ascii="仿宋" w:hAnsi="仿宋" w:eastAsia="仿宋" w:cs="仿宋"/>
              <w:bCs/>
              <w:szCs w:val="28"/>
              <w:lang w:val="en-US" w:eastAsia="zh-CN"/>
            </w:rPr>
            <w:t xml:space="preserve">4.1. </w:t>
          </w:r>
          <w:r>
            <w:rPr>
              <w:rFonts w:hint="eastAsia" w:ascii="仿宋" w:hAnsi="仿宋" w:eastAsia="仿宋" w:cs="仿宋"/>
              <w:bCs/>
              <w:szCs w:val="28"/>
              <w:lang w:val="en-US" w:eastAsia="zh-CN"/>
            </w:rPr>
            <w:t>区划范围与城市规划的一致性分析</w:t>
          </w:r>
          <w:r>
            <w:tab/>
          </w:r>
          <w:r>
            <w:fldChar w:fldCharType="begin"/>
          </w:r>
          <w:r>
            <w:instrText xml:space="preserve"> PAGEREF _Toc29882 </w:instrText>
          </w:r>
          <w:r>
            <w:fldChar w:fldCharType="separate"/>
          </w:r>
          <w:r>
            <w:t>34</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_Toc3530 </w:instrText>
          </w:r>
          <w:r>
            <w:rPr>
              <w:szCs w:val="24"/>
            </w:rPr>
            <w:fldChar w:fldCharType="separate"/>
          </w:r>
          <w:r>
            <w:rPr>
              <w:rFonts w:hint="eastAsia" w:ascii="仿宋" w:hAnsi="仿宋" w:eastAsia="仿宋" w:cs="仿宋"/>
              <w:szCs w:val="28"/>
              <w:lang w:val="en-US" w:eastAsia="zh-CN"/>
            </w:rPr>
            <w:t>（1）1类声环境功能区</w:t>
          </w:r>
          <w:r>
            <w:tab/>
          </w:r>
          <w:r>
            <w:fldChar w:fldCharType="begin"/>
          </w:r>
          <w:r>
            <w:instrText xml:space="preserve"> PAGEREF _Toc3530 </w:instrText>
          </w:r>
          <w:r>
            <w:fldChar w:fldCharType="separate"/>
          </w:r>
          <w:r>
            <w:t>34</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_Toc17166 </w:instrText>
          </w:r>
          <w:r>
            <w:rPr>
              <w:szCs w:val="24"/>
            </w:rPr>
            <w:fldChar w:fldCharType="separate"/>
          </w:r>
          <w:r>
            <w:rPr>
              <w:rFonts w:hint="eastAsia" w:ascii="仿宋" w:hAnsi="仿宋" w:eastAsia="仿宋" w:cs="仿宋"/>
              <w:szCs w:val="28"/>
              <w:lang w:val="en-US" w:eastAsia="zh-CN"/>
            </w:rPr>
            <w:t>（2）2类声环境功能区</w:t>
          </w:r>
          <w:r>
            <w:tab/>
          </w:r>
          <w:r>
            <w:fldChar w:fldCharType="begin"/>
          </w:r>
          <w:r>
            <w:instrText xml:space="preserve"> PAGEREF _Toc17166 </w:instrText>
          </w:r>
          <w:r>
            <w:fldChar w:fldCharType="separate"/>
          </w:r>
          <w:r>
            <w:t>35</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_Toc1749 </w:instrText>
          </w:r>
          <w:r>
            <w:rPr>
              <w:szCs w:val="24"/>
            </w:rPr>
            <w:fldChar w:fldCharType="separate"/>
          </w:r>
          <w:r>
            <w:rPr>
              <w:rFonts w:hint="eastAsia" w:ascii="仿宋" w:hAnsi="仿宋" w:eastAsia="仿宋" w:cs="仿宋"/>
              <w:szCs w:val="28"/>
              <w:lang w:val="en-US" w:eastAsia="zh-CN"/>
            </w:rPr>
            <w:t>（3）3类声环境功能区</w:t>
          </w:r>
          <w:r>
            <w:tab/>
          </w:r>
          <w:r>
            <w:fldChar w:fldCharType="begin"/>
          </w:r>
          <w:r>
            <w:instrText xml:space="preserve"> PAGEREF _Toc1749 </w:instrText>
          </w:r>
          <w:r>
            <w:fldChar w:fldCharType="separate"/>
          </w:r>
          <w:r>
            <w:t>35</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_Toc8696 </w:instrText>
          </w:r>
          <w:r>
            <w:rPr>
              <w:szCs w:val="24"/>
            </w:rPr>
            <w:fldChar w:fldCharType="separate"/>
          </w:r>
          <w:r>
            <w:rPr>
              <w:rFonts w:hint="eastAsia" w:ascii="仿宋" w:hAnsi="仿宋" w:eastAsia="仿宋" w:cs="仿宋"/>
              <w:szCs w:val="28"/>
              <w:lang w:val="en-US" w:eastAsia="zh-CN"/>
            </w:rPr>
            <w:t>（4）4类声环境功能区</w:t>
          </w:r>
          <w:r>
            <w:tab/>
          </w:r>
          <w:r>
            <w:fldChar w:fldCharType="begin"/>
          </w:r>
          <w:r>
            <w:instrText xml:space="preserve"> PAGEREF _Toc8696 </w:instrText>
          </w:r>
          <w:r>
            <w:fldChar w:fldCharType="separate"/>
          </w:r>
          <w:r>
            <w:t>35</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_Toc10647 </w:instrText>
          </w:r>
          <w:r>
            <w:rPr>
              <w:szCs w:val="24"/>
            </w:rPr>
            <w:fldChar w:fldCharType="separate"/>
          </w:r>
          <w:r>
            <w:rPr>
              <w:rFonts w:hint="default" w:ascii="仿宋" w:hAnsi="仿宋" w:eastAsia="仿宋" w:cs="仿宋"/>
              <w:bCs/>
              <w:szCs w:val="28"/>
              <w:lang w:val="en-US" w:eastAsia="zh-CN"/>
            </w:rPr>
            <w:t xml:space="preserve">4.2. </w:t>
          </w:r>
          <w:r>
            <w:rPr>
              <w:rFonts w:hint="eastAsia" w:ascii="仿宋" w:hAnsi="仿宋" w:eastAsia="仿宋" w:cs="仿宋"/>
              <w:bCs/>
              <w:szCs w:val="28"/>
              <w:lang w:val="en-US" w:eastAsia="zh-CN"/>
            </w:rPr>
            <w:t>划分结果与环境管理的可操作性分析</w:t>
          </w:r>
          <w:r>
            <w:tab/>
          </w:r>
          <w:r>
            <w:fldChar w:fldCharType="begin"/>
          </w:r>
          <w:r>
            <w:instrText xml:space="preserve"> PAGEREF _Toc10647 </w:instrText>
          </w:r>
          <w:r>
            <w:fldChar w:fldCharType="separate"/>
          </w:r>
          <w:r>
            <w:t>36</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_Toc8791 </w:instrText>
          </w:r>
          <w:r>
            <w:rPr>
              <w:szCs w:val="24"/>
            </w:rPr>
            <w:fldChar w:fldCharType="separate"/>
          </w:r>
          <w:r>
            <w:rPr>
              <w:rFonts w:hint="default" w:ascii="仿宋" w:hAnsi="仿宋" w:eastAsia="仿宋" w:cs="仿宋"/>
              <w:bCs/>
              <w:szCs w:val="28"/>
              <w:lang w:val="en-US" w:eastAsia="zh-CN"/>
            </w:rPr>
            <w:t xml:space="preserve">4.3. </w:t>
          </w:r>
          <w:r>
            <w:rPr>
              <w:rFonts w:hint="eastAsia" w:ascii="仿宋" w:hAnsi="仿宋" w:eastAsia="仿宋" w:cs="仿宋"/>
              <w:bCs/>
              <w:szCs w:val="28"/>
            </w:rPr>
            <w:t>可行性分析的结论</w:t>
          </w:r>
          <w:r>
            <w:tab/>
          </w:r>
          <w:r>
            <w:fldChar w:fldCharType="begin"/>
          </w:r>
          <w:r>
            <w:instrText xml:space="preserve"> PAGEREF _Toc8791 </w:instrText>
          </w:r>
          <w:r>
            <w:fldChar w:fldCharType="separate"/>
          </w:r>
          <w:r>
            <w:t>36</w:t>
          </w:r>
          <w:r>
            <w:fldChar w:fldCharType="end"/>
          </w:r>
          <w:r>
            <w:rPr>
              <w:szCs w:val="24"/>
            </w:rPr>
            <w:fldChar w:fldCharType="end"/>
          </w:r>
        </w:p>
        <w:p>
          <w:pPr>
            <w:pStyle w:val="7"/>
            <w:tabs>
              <w:tab w:val="right" w:leader="dot" w:pos="8306"/>
            </w:tabs>
          </w:pPr>
          <w:r>
            <w:rPr>
              <w:szCs w:val="24"/>
            </w:rPr>
            <w:fldChar w:fldCharType="begin"/>
          </w:r>
          <w:r>
            <w:rPr>
              <w:szCs w:val="24"/>
            </w:rPr>
            <w:instrText xml:space="preserve"> HYPERLINK \l _Toc31028 </w:instrText>
          </w:r>
          <w:r>
            <w:rPr>
              <w:szCs w:val="24"/>
            </w:rPr>
            <w:fldChar w:fldCharType="separate"/>
          </w:r>
          <w:r>
            <w:rPr>
              <w:rFonts w:hint="default" w:ascii="仿宋" w:hAnsi="仿宋" w:eastAsia="仿宋" w:cs="仿宋"/>
              <w:bCs/>
              <w:szCs w:val="32"/>
              <w:lang w:val="en-US" w:eastAsia="zh-CN"/>
            </w:rPr>
            <w:t xml:space="preserve">5. </w:t>
          </w:r>
          <w:r>
            <w:rPr>
              <w:rFonts w:hint="eastAsia" w:ascii="仿宋" w:hAnsi="仿宋" w:eastAsia="仿宋" w:cs="仿宋"/>
              <w:bCs/>
              <w:szCs w:val="32"/>
              <w:lang w:val="en-US" w:eastAsia="zh-CN"/>
            </w:rPr>
            <w:t>对策及建议</w:t>
          </w:r>
          <w:r>
            <w:tab/>
          </w:r>
          <w:r>
            <w:fldChar w:fldCharType="begin"/>
          </w:r>
          <w:r>
            <w:instrText xml:space="preserve"> PAGEREF _Toc31028 </w:instrText>
          </w:r>
          <w:r>
            <w:fldChar w:fldCharType="separate"/>
          </w:r>
          <w:r>
            <w:t>37</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_Toc8561 </w:instrText>
          </w:r>
          <w:r>
            <w:rPr>
              <w:szCs w:val="24"/>
            </w:rPr>
            <w:fldChar w:fldCharType="separate"/>
          </w:r>
          <w:r>
            <w:rPr>
              <w:rFonts w:hint="default" w:ascii="仿宋" w:hAnsi="仿宋" w:eastAsia="仿宋" w:cs="仿宋"/>
              <w:bCs/>
              <w:szCs w:val="28"/>
              <w:lang w:val="en-US" w:eastAsia="zh-CN"/>
            </w:rPr>
            <w:t xml:space="preserve">5.1. </w:t>
          </w:r>
          <w:r>
            <w:rPr>
              <w:rFonts w:hint="eastAsia" w:ascii="仿宋" w:hAnsi="仿宋" w:eastAsia="仿宋" w:cs="仿宋"/>
              <w:bCs/>
              <w:szCs w:val="28"/>
            </w:rPr>
            <w:t>城市噪声控制措施</w:t>
          </w:r>
          <w:r>
            <w:tab/>
          </w:r>
          <w:r>
            <w:fldChar w:fldCharType="begin"/>
          </w:r>
          <w:r>
            <w:instrText xml:space="preserve"> PAGEREF _Toc8561 </w:instrText>
          </w:r>
          <w:r>
            <w:fldChar w:fldCharType="separate"/>
          </w:r>
          <w:r>
            <w:t>37</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_Toc4524 </w:instrText>
          </w:r>
          <w:r>
            <w:rPr>
              <w:szCs w:val="24"/>
            </w:rPr>
            <w:fldChar w:fldCharType="separate"/>
          </w:r>
          <w:r>
            <w:rPr>
              <w:rFonts w:hint="default" w:ascii="仿宋" w:hAnsi="仿宋" w:eastAsia="仿宋" w:cs="仿宋"/>
              <w:bCs/>
              <w:szCs w:val="28"/>
              <w:lang w:val="en-US" w:eastAsia="zh-CN"/>
            </w:rPr>
            <w:t xml:space="preserve">5.1.1. </w:t>
          </w:r>
          <w:r>
            <w:rPr>
              <w:rFonts w:hint="eastAsia" w:ascii="仿宋" w:hAnsi="仿宋" w:eastAsia="仿宋" w:cs="仿宋"/>
              <w:bCs/>
              <w:szCs w:val="28"/>
            </w:rPr>
            <w:t>依规实施城市建设，加强声环境功能区管控</w:t>
          </w:r>
          <w:r>
            <w:tab/>
          </w:r>
          <w:r>
            <w:fldChar w:fldCharType="begin"/>
          </w:r>
          <w:r>
            <w:instrText xml:space="preserve"> PAGEREF _Toc4524 </w:instrText>
          </w:r>
          <w:r>
            <w:fldChar w:fldCharType="separate"/>
          </w:r>
          <w:r>
            <w:t>37</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_Toc30679 </w:instrText>
          </w:r>
          <w:r>
            <w:rPr>
              <w:szCs w:val="24"/>
            </w:rPr>
            <w:fldChar w:fldCharType="separate"/>
          </w:r>
          <w:r>
            <w:rPr>
              <w:rFonts w:hint="default" w:ascii="仿宋" w:hAnsi="仿宋" w:eastAsia="仿宋" w:cs="仿宋"/>
              <w:bCs/>
              <w:szCs w:val="28"/>
              <w:lang w:val="en-US" w:eastAsia="zh-CN"/>
            </w:rPr>
            <w:t xml:space="preserve">5.1.2. </w:t>
          </w:r>
          <w:r>
            <w:rPr>
              <w:rFonts w:hint="eastAsia" w:ascii="仿宋" w:hAnsi="仿宋" w:eastAsia="仿宋" w:cs="仿宋"/>
              <w:bCs/>
              <w:szCs w:val="28"/>
            </w:rPr>
            <w:t>强化依法管理，严控各类噪声源</w:t>
          </w:r>
          <w:r>
            <w:tab/>
          </w:r>
          <w:r>
            <w:fldChar w:fldCharType="begin"/>
          </w:r>
          <w:r>
            <w:instrText xml:space="preserve"> PAGEREF _Toc30679 </w:instrText>
          </w:r>
          <w:r>
            <w:fldChar w:fldCharType="separate"/>
          </w:r>
          <w:r>
            <w:t>38</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_Toc2989 </w:instrText>
          </w:r>
          <w:r>
            <w:rPr>
              <w:szCs w:val="24"/>
            </w:rPr>
            <w:fldChar w:fldCharType="separate"/>
          </w:r>
          <w:r>
            <w:rPr>
              <w:rFonts w:hint="default" w:ascii="仿宋" w:hAnsi="仿宋" w:eastAsia="仿宋" w:cs="仿宋"/>
              <w:bCs/>
              <w:szCs w:val="28"/>
              <w:lang w:val="en-US" w:eastAsia="zh-CN"/>
            </w:rPr>
            <w:t xml:space="preserve">5.2. </w:t>
          </w:r>
          <w:r>
            <w:rPr>
              <w:rFonts w:hint="eastAsia" w:ascii="仿宋" w:hAnsi="仿宋" w:eastAsia="仿宋" w:cs="仿宋"/>
              <w:bCs/>
              <w:szCs w:val="28"/>
            </w:rPr>
            <w:t>城市噪声监管建议</w:t>
          </w:r>
          <w:r>
            <w:tab/>
          </w:r>
          <w:r>
            <w:fldChar w:fldCharType="begin"/>
          </w:r>
          <w:r>
            <w:instrText xml:space="preserve"> PAGEREF _Toc2989 </w:instrText>
          </w:r>
          <w:r>
            <w:fldChar w:fldCharType="separate"/>
          </w:r>
          <w:r>
            <w:t>42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_Toc31833 </w:instrText>
          </w:r>
          <w:r>
            <w:rPr>
              <w:szCs w:val="24"/>
            </w:rPr>
            <w:fldChar w:fldCharType="separate"/>
          </w:r>
          <w:r>
            <w:rPr>
              <w:rFonts w:hint="default" w:ascii="仿宋" w:hAnsi="仿宋" w:eastAsia="仿宋" w:cs="仿宋"/>
              <w:bCs/>
              <w:szCs w:val="28"/>
              <w:lang w:val="en-US" w:eastAsia="zh-CN"/>
            </w:rPr>
            <w:t xml:space="preserve">5.2.1. </w:t>
          </w:r>
          <w:r>
            <w:rPr>
              <w:rFonts w:hint="eastAsia" w:ascii="仿宋" w:hAnsi="仿宋" w:eastAsia="仿宋" w:cs="仿宋"/>
              <w:bCs/>
              <w:szCs w:val="28"/>
            </w:rPr>
            <w:t>开展噪声达标区创建</w:t>
          </w:r>
          <w:r>
            <w:tab/>
          </w:r>
          <w:r>
            <w:fldChar w:fldCharType="begin"/>
          </w:r>
          <w:r>
            <w:instrText xml:space="preserve"> PAGEREF _Toc31833 </w:instrText>
          </w:r>
          <w:r>
            <w:fldChar w:fldCharType="separate"/>
          </w:r>
          <w:r>
            <w:t>42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_Toc26684 </w:instrText>
          </w:r>
          <w:r>
            <w:rPr>
              <w:szCs w:val="24"/>
            </w:rPr>
            <w:fldChar w:fldCharType="separate"/>
          </w:r>
          <w:r>
            <w:rPr>
              <w:rFonts w:hint="default" w:ascii="仿宋" w:hAnsi="仿宋" w:eastAsia="仿宋" w:cs="仿宋"/>
              <w:bCs/>
              <w:szCs w:val="28"/>
              <w:lang w:val="en-US" w:eastAsia="zh-CN"/>
            </w:rPr>
            <w:t xml:space="preserve">5.2.2. </w:t>
          </w:r>
          <w:r>
            <w:rPr>
              <w:rFonts w:hint="eastAsia" w:ascii="仿宋" w:hAnsi="仿宋" w:eastAsia="仿宋" w:cs="仿宋"/>
              <w:bCs/>
              <w:szCs w:val="28"/>
            </w:rPr>
            <w:t>加强建设项目审批管理</w:t>
          </w:r>
          <w:r>
            <w:tab/>
          </w:r>
          <w:r>
            <w:fldChar w:fldCharType="begin"/>
          </w:r>
          <w:r>
            <w:instrText xml:space="preserve"> PAGEREF _Toc26684 </w:instrText>
          </w:r>
          <w:r>
            <w:fldChar w:fldCharType="separate"/>
          </w:r>
          <w:r>
            <w:t>42</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_Toc25486 </w:instrText>
          </w:r>
          <w:r>
            <w:rPr>
              <w:szCs w:val="24"/>
            </w:rPr>
            <w:fldChar w:fldCharType="separate"/>
          </w:r>
          <w:r>
            <w:rPr>
              <w:rFonts w:hint="default" w:ascii="仿宋" w:hAnsi="仿宋" w:eastAsia="仿宋" w:cs="仿宋"/>
              <w:bCs/>
              <w:szCs w:val="28"/>
              <w:lang w:val="en-US" w:eastAsia="zh-CN"/>
            </w:rPr>
            <w:t xml:space="preserve">5.2.3. </w:t>
          </w:r>
          <w:r>
            <w:rPr>
              <w:rFonts w:hint="eastAsia" w:ascii="仿宋" w:hAnsi="仿宋" w:eastAsia="仿宋" w:cs="仿宋"/>
              <w:bCs/>
              <w:szCs w:val="28"/>
            </w:rPr>
            <w:t>完善噪声投诉与处理工作机制</w:t>
          </w:r>
          <w:r>
            <w:tab/>
          </w:r>
          <w:r>
            <w:fldChar w:fldCharType="begin"/>
          </w:r>
          <w:r>
            <w:instrText xml:space="preserve"> PAGEREF _Toc25486 </w:instrText>
          </w:r>
          <w:r>
            <w:fldChar w:fldCharType="separate"/>
          </w:r>
          <w:r>
            <w:t>43</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_Toc2707 </w:instrText>
          </w:r>
          <w:r>
            <w:rPr>
              <w:szCs w:val="24"/>
            </w:rPr>
            <w:fldChar w:fldCharType="separate"/>
          </w:r>
          <w:r>
            <w:rPr>
              <w:rFonts w:hint="default" w:ascii="仿宋" w:hAnsi="仿宋" w:eastAsia="仿宋" w:cs="仿宋"/>
              <w:bCs/>
              <w:szCs w:val="28"/>
              <w:lang w:val="en-US" w:eastAsia="zh-CN"/>
            </w:rPr>
            <w:t xml:space="preserve">5.2.4. </w:t>
          </w:r>
          <w:r>
            <w:rPr>
              <w:rFonts w:hint="eastAsia" w:ascii="仿宋" w:hAnsi="仿宋" w:eastAsia="仿宋" w:cs="仿宋"/>
              <w:bCs/>
              <w:szCs w:val="28"/>
            </w:rPr>
            <w:t>加大环境噪声监管力度</w:t>
          </w:r>
          <w:r>
            <w:tab/>
          </w:r>
          <w:r>
            <w:fldChar w:fldCharType="begin"/>
          </w:r>
          <w:r>
            <w:instrText xml:space="preserve"> PAGEREF _Toc2707 </w:instrText>
          </w:r>
          <w:r>
            <w:fldChar w:fldCharType="separate"/>
          </w:r>
          <w:r>
            <w:t>43</w:t>
          </w:r>
          <w:r>
            <w:fldChar w:fldCharType="end"/>
          </w:r>
          <w:r>
            <w:rPr>
              <w:szCs w:val="24"/>
            </w:rPr>
            <w:fldChar w:fldCharType="end"/>
          </w:r>
        </w:p>
        <w:p>
          <w:pPr>
            <w:pStyle w:val="4"/>
            <w:tabs>
              <w:tab w:val="right" w:leader="dot" w:pos="8306"/>
            </w:tabs>
          </w:pPr>
          <w:r>
            <w:rPr>
              <w:szCs w:val="24"/>
            </w:rPr>
            <w:fldChar w:fldCharType="begin"/>
          </w:r>
          <w:r>
            <w:rPr>
              <w:szCs w:val="24"/>
            </w:rPr>
            <w:instrText xml:space="preserve"> HYPERLINK \l _Toc2246 </w:instrText>
          </w:r>
          <w:r>
            <w:rPr>
              <w:szCs w:val="24"/>
            </w:rPr>
            <w:fldChar w:fldCharType="separate"/>
          </w:r>
          <w:r>
            <w:rPr>
              <w:rFonts w:hint="default" w:ascii="仿宋" w:hAnsi="仿宋" w:eastAsia="仿宋" w:cs="仿宋"/>
              <w:bCs/>
              <w:szCs w:val="28"/>
              <w:lang w:val="en-US" w:eastAsia="zh-CN"/>
            </w:rPr>
            <w:t xml:space="preserve">5.2.5. </w:t>
          </w:r>
          <w:r>
            <w:rPr>
              <w:rFonts w:hint="eastAsia" w:ascii="仿宋" w:hAnsi="仿宋" w:eastAsia="仿宋" w:cs="仿宋"/>
              <w:bCs/>
              <w:szCs w:val="28"/>
            </w:rPr>
            <w:t>加强城区声环境监测</w:t>
          </w:r>
          <w:r>
            <w:tab/>
          </w:r>
          <w:r>
            <w:fldChar w:fldCharType="begin"/>
          </w:r>
          <w:r>
            <w:instrText xml:space="preserve"> PAGEREF _Toc2246 </w:instrText>
          </w:r>
          <w:r>
            <w:fldChar w:fldCharType="separate"/>
          </w:r>
          <w:r>
            <w:t>44</w:t>
          </w:r>
          <w:r>
            <w:fldChar w:fldCharType="end"/>
          </w:r>
          <w:r>
            <w:rPr>
              <w:szCs w:val="24"/>
            </w:rPr>
            <w:fldChar w:fldCharType="end"/>
          </w:r>
        </w:p>
        <w:p>
          <w:pPr>
            <w:pStyle w:val="8"/>
            <w:tabs>
              <w:tab w:val="right" w:leader="dot" w:pos="8306"/>
            </w:tabs>
          </w:pPr>
          <w:r>
            <w:rPr>
              <w:szCs w:val="24"/>
            </w:rPr>
            <w:fldChar w:fldCharType="begin"/>
          </w:r>
          <w:r>
            <w:rPr>
              <w:szCs w:val="24"/>
            </w:rPr>
            <w:instrText xml:space="preserve"> HYPERLINK \l _Toc14806 </w:instrText>
          </w:r>
          <w:r>
            <w:rPr>
              <w:szCs w:val="24"/>
            </w:rPr>
            <w:fldChar w:fldCharType="separate"/>
          </w:r>
          <w:r>
            <w:rPr>
              <w:rFonts w:hint="default" w:ascii="仿宋" w:hAnsi="仿宋" w:eastAsia="仿宋" w:cs="仿宋"/>
              <w:bCs/>
              <w:szCs w:val="28"/>
              <w:lang w:val="en-US" w:eastAsia="zh-CN"/>
            </w:rPr>
            <w:t xml:space="preserve">5.3. </w:t>
          </w:r>
          <w:r>
            <w:rPr>
              <w:rFonts w:hint="eastAsia" w:ascii="仿宋" w:hAnsi="仿宋" w:eastAsia="仿宋" w:cs="仿宋"/>
              <w:bCs/>
              <w:szCs w:val="28"/>
            </w:rPr>
            <w:t>其他建议</w:t>
          </w:r>
          <w:r>
            <w:tab/>
          </w:r>
          <w:r>
            <w:fldChar w:fldCharType="begin"/>
          </w:r>
          <w:r>
            <w:instrText xml:space="preserve"> PAGEREF _Toc14806 </w:instrText>
          </w:r>
          <w:r>
            <w:fldChar w:fldCharType="separate"/>
          </w:r>
          <w:r>
            <w:t>44</w:t>
          </w:r>
          <w:r>
            <w:fldChar w:fldCharType="end"/>
          </w:r>
          <w:r>
            <w:rPr>
              <w:szCs w:val="24"/>
            </w:rPr>
            <w:fldChar w:fldCharType="end"/>
          </w:r>
        </w:p>
        <w:p>
          <w:r>
            <w:rPr>
              <w:szCs w:val="24"/>
            </w:rPr>
            <w:fldChar w:fldCharType="end"/>
          </w:r>
        </w:p>
      </w:sdtContent>
    </w:sdt>
    <w:p>
      <w:pPr>
        <w:widowControl w:val="0"/>
        <w:numPr>
          <w:ilvl w:val="0"/>
          <w:numId w:val="0"/>
        </w:numPr>
        <w:jc w:val="left"/>
        <w:outlineLvl w:val="0"/>
        <w:rPr>
          <w:rFonts w:hint="eastAsia" w:ascii="仿宋" w:hAnsi="仿宋" w:eastAsia="仿宋" w:cs="仿宋"/>
          <w:b/>
          <w:bCs/>
          <w:sz w:val="24"/>
          <w:szCs w:val="24"/>
          <w:lang w:val="en-US" w:eastAsia="zh-CN"/>
        </w:rPr>
      </w:pPr>
      <w:bookmarkStart w:id="0" w:name="_Toc8116"/>
    </w:p>
    <w:p>
      <w:pPr>
        <w:widowControl w:val="0"/>
        <w:numPr>
          <w:ilvl w:val="0"/>
          <w:numId w:val="0"/>
        </w:numPr>
        <w:jc w:val="left"/>
        <w:outlineLvl w:val="0"/>
        <w:rPr>
          <w:rFonts w:hint="eastAsia" w:ascii="仿宋" w:hAnsi="仿宋" w:eastAsia="仿宋" w:cs="仿宋"/>
          <w:b/>
          <w:bCs/>
          <w:sz w:val="24"/>
          <w:szCs w:val="24"/>
          <w:lang w:val="en-US" w:eastAsia="zh-CN"/>
        </w:rPr>
      </w:pPr>
    </w:p>
    <w:p>
      <w:pPr>
        <w:widowControl w:val="0"/>
        <w:numPr>
          <w:ilvl w:val="0"/>
          <w:numId w:val="0"/>
        </w:numPr>
        <w:jc w:val="left"/>
        <w:outlineLvl w:val="0"/>
        <w:rPr>
          <w:rFonts w:hint="eastAsia" w:ascii="仿宋" w:hAnsi="仿宋" w:eastAsia="仿宋" w:cs="仿宋"/>
          <w:b/>
          <w:bCs/>
          <w:sz w:val="24"/>
          <w:szCs w:val="24"/>
          <w:lang w:val="en-US" w:eastAsia="zh-CN"/>
        </w:rPr>
      </w:pPr>
    </w:p>
    <w:p>
      <w:pPr>
        <w:widowControl w:val="0"/>
        <w:numPr>
          <w:ilvl w:val="0"/>
          <w:numId w:val="0"/>
        </w:numPr>
        <w:jc w:val="left"/>
        <w:outlineLvl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附图附件：</w:t>
      </w:r>
      <w:bookmarkEnd w:id="0"/>
    </w:p>
    <w:p>
      <w:pPr>
        <w:pStyle w:val="2"/>
        <w:rPr>
          <w:rFonts w:hint="eastAsia"/>
          <w:sz w:val="24"/>
          <w:szCs w:val="24"/>
          <w:lang w:val="en-US" w:eastAsia="zh-CN"/>
        </w:rPr>
      </w:pPr>
      <w:r>
        <w:rPr>
          <w:rFonts w:hint="eastAsia"/>
          <w:sz w:val="24"/>
          <w:szCs w:val="24"/>
          <w:lang w:val="en-US" w:eastAsia="zh-CN"/>
        </w:rPr>
        <w:t>镇平县城市区域声环境功能区划分图（2022-2027）</w:t>
      </w:r>
    </w:p>
    <w:p>
      <w:pPr>
        <w:pStyle w:val="2"/>
        <w:rPr>
          <w:rFonts w:hint="eastAsia"/>
          <w:sz w:val="24"/>
          <w:szCs w:val="24"/>
          <w:lang w:val="en-US" w:eastAsia="zh-CN"/>
        </w:rPr>
      </w:pPr>
      <w:r>
        <w:rPr>
          <w:rFonts w:hint="default"/>
          <w:sz w:val="24"/>
          <w:szCs w:val="24"/>
          <w:lang w:val="en-US" w:eastAsia="zh-CN"/>
        </w:rPr>
        <w:t>县域空间布局现状图</w:t>
      </w:r>
      <w:r>
        <w:rPr>
          <w:rFonts w:hint="eastAsia"/>
          <w:sz w:val="24"/>
          <w:szCs w:val="24"/>
          <w:lang w:val="en-US" w:eastAsia="zh-CN"/>
        </w:rPr>
        <w:t>（2017年）</w:t>
      </w:r>
    </w:p>
    <w:p>
      <w:pPr>
        <w:pStyle w:val="2"/>
        <w:rPr>
          <w:rFonts w:hint="eastAsia"/>
          <w:sz w:val="24"/>
          <w:szCs w:val="24"/>
          <w:lang w:val="en-US" w:eastAsia="zh-CN"/>
        </w:rPr>
      </w:pPr>
      <w:r>
        <w:rPr>
          <w:rFonts w:hint="eastAsia"/>
          <w:sz w:val="24"/>
          <w:szCs w:val="24"/>
          <w:lang w:val="en-US" w:eastAsia="zh-CN"/>
        </w:rPr>
        <w:t>中心城区道路系统规划图</w:t>
      </w:r>
    </w:p>
    <w:p>
      <w:pPr>
        <w:pStyle w:val="2"/>
        <w:rPr>
          <w:rFonts w:hint="eastAsia"/>
          <w:sz w:val="24"/>
          <w:szCs w:val="24"/>
          <w:lang w:val="en-US" w:eastAsia="zh-CN"/>
        </w:rPr>
      </w:pPr>
      <w:r>
        <w:rPr>
          <w:rFonts w:hint="eastAsia"/>
          <w:sz w:val="24"/>
          <w:szCs w:val="24"/>
          <w:lang w:val="en-US" w:eastAsia="zh-CN"/>
        </w:rPr>
        <w:t>县域综合交通现状图（2017年）</w:t>
      </w:r>
    </w:p>
    <w:p>
      <w:pPr>
        <w:pStyle w:val="2"/>
        <w:rPr>
          <w:rFonts w:hint="default"/>
          <w:sz w:val="24"/>
          <w:szCs w:val="24"/>
          <w:lang w:val="en-US" w:eastAsia="zh-CN"/>
        </w:rPr>
      </w:pPr>
      <w:r>
        <w:rPr>
          <w:rFonts w:hint="eastAsia"/>
          <w:sz w:val="24"/>
          <w:szCs w:val="24"/>
          <w:lang w:val="en-US" w:eastAsia="zh-CN"/>
        </w:rPr>
        <w:t>中心城区近期建设规划图（2020年）</w:t>
      </w:r>
    </w:p>
    <w:p>
      <w:pPr>
        <w:pStyle w:val="2"/>
        <w:rPr>
          <w:rFonts w:hint="eastAsia"/>
          <w:sz w:val="24"/>
          <w:szCs w:val="24"/>
          <w:lang w:val="en-US" w:eastAsia="zh-CN"/>
        </w:rPr>
      </w:pPr>
      <w:r>
        <w:rPr>
          <w:rFonts w:hint="eastAsia"/>
          <w:sz w:val="24"/>
          <w:szCs w:val="24"/>
          <w:lang w:val="en-US" w:eastAsia="zh-CN"/>
        </w:rPr>
        <w:t>中心城区远景用地规划图</w:t>
      </w:r>
    </w:p>
    <w:p>
      <w:pPr>
        <w:pStyle w:val="2"/>
        <w:rPr>
          <w:rFonts w:hint="default"/>
          <w:sz w:val="24"/>
          <w:szCs w:val="24"/>
          <w:lang w:val="en-US" w:eastAsia="zh-CN"/>
        </w:rPr>
      </w:pPr>
      <w:r>
        <w:rPr>
          <w:rFonts w:hint="eastAsia"/>
          <w:sz w:val="24"/>
          <w:szCs w:val="24"/>
          <w:lang w:val="en-US" w:eastAsia="zh-CN"/>
        </w:rPr>
        <w:t>中心城区总体城市设计结构图</w:t>
      </w:r>
    </w:p>
    <w:p>
      <w:pPr>
        <w:pStyle w:val="2"/>
        <w:rPr>
          <w:rFonts w:hint="eastAsia" w:ascii="仿宋" w:hAnsi="仿宋" w:eastAsia="仿宋" w:cs="仿宋"/>
          <w:b/>
          <w:bCs/>
          <w:sz w:val="32"/>
          <w:szCs w:val="32"/>
          <w:lang w:val="en-US" w:eastAsia="zh-CN"/>
        </w:rPr>
      </w:pPr>
    </w:p>
    <w:p>
      <w:pPr>
        <w:pStyle w:val="2"/>
        <w:rPr>
          <w:rFonts w:hint="eastAsia" w:ascii="仿宋" w:hAnsi="仿宋" w:eastAsia="仿宋" w:cs="仿宋"/>
          <w:b/>
          <w:bCs/>
          <w:sz w:val="32"/>
          <w:szCs w:val="32"/>
          <w:lang w:val="en-US" w:eastAsia="zh-CN"/>
        </w:rPr>
        <w:sectPr>
          <w:headerReference r:id="rId3" w:type="default"/>
          <w:footerReference r:id="rId4" w:type="default"/>
          <w:pgSz w:w="11906" w:h="16838"/>
          <w:pgMar w:top="1440" w:right="1800" w:bottom="1440" w:left="1800" w:header="851" w:footer="992" w:gutter="0"/>
          <w:pgNumType w:fmt="upperRoman" w:start="1"/>
          <w:cols w:space="425" w:num="1"/>
          <w:docGrid w:type="lines" w:linePitch="312" w:charSpace="0"/>
        </w:sectPr>
      </w:pPr>
    </w:p>
    <w:p>
      <w:pPr>
        <w:numPr>
          <w:ilvl w:val="0"/>
          <w:numId w:val="1"/>
        </w:numPr>
        <w:ind w:left="225" w:leftChars="0" w:hanging="225" w:firstLineChars="0"/>
        <w:jc w:val="center"/>
        <w:outlineLvl w:val="0"/>
        <w:rPr>
          <w:rFonts w:hint="eastAsia" w:ascii="仿宋" w:hAnsi="仿宋" w:eastAsia="仿宋" w:cs="仿宋"/>
          <w:b/>
          <w:bCs/>
          <w:sz w:val="32"/>
          <w:szCs w:val="32"/>
          <w:lang w:val="en-US" w:eastAsia="zh-CN"/>
        </w:rPr>
      </w:pPr>
      <w:bookmarkStart w:id="1" w:name="_Toc17506"/>
      <w:r>
        <w:rPr>
          <w:rFonts w:hint="eastAsia" w:ascii="仿宋" w:hAnsi="仿宋" w:eastAsia="仿宋" w:cs="仿宋"/>
          <w:b/>
          <w:bCs/>
          <w:sz w:val="32"/>
          <w:szCs w:val="32"/>
          <w:lang w:val="en-US" w:eastAsia="zh-CN"/>
        </w:rPr>
        <w:t>总论</w:t>
      </w:r>
      <w:bookmarkEnd w:id="1"/>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2" w:name="_Toc15176"/>
      <w:bookmarkStart w:id="3" w:name="_Toc16982"/>
      <w:r>
        <w:rPr>
          <w:rFonts w:hint="eastAsia" w:ascii="仿宋" w:hAnsi="仿宋" w:eastAsia="仿宋" w:cs="仿宋"/>
          <w:b/>
          <w:bCs/>
          <w:sz w:val="28"/>
          <w:szCs w:val="28"/>
          <w:lang w:val="en-US" w:eastAsia="zh-CN"/>
        </w:rPr>
        <w:t>区划背景</w:t>
      </w:r>
      <w:bookmarkEnd w:id="2"/>
      <w:bookmarkEnd w:id="3"/>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随着我国社会经济的快速发展，人们对生活环境的关注度愈加重视，而声环境是构建城市居民良好生活环境的关键要素之一，也是城市居民较为敏感的环境要素。因此，根据城市发展规范等地域特征，依据相关技术规范，进行科学、合理的城市声环境功能区划分，对于加强城市声环境综合整治、提高环境管理水平、创造一个安静舒适的人居环境具有重要的指导意义。</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促进社会经济的可持续发展，进一步规范环境噪声管理，强化声环境污染防治，提高区域声环境质量，营造良好的人居环境，依据《中华人民共和国环境噪声污染防治法》等有关法律法规的规定，按照《声环境功能区划分技术规范》（GB/T15190-2014），结合</w:t>
      </w:r>
      <w:r>
        <w:rPr>
          <w:rFonts w:hint="eastAsia" w:ascii="仿宋" w:hAnsi="仿宋" w:eastAsia="仿宋" w:cs="仿宋"/>
          <w:sz w:val="28"/>
          <w:szCs w:val="28"/>
          <w:lang w:val="en-US" w:eastAsia="zh-CN"/>
        </w:rPr>
        <w:t>镇平</w:t>
      </w:r>
      <w:r>
        <w:rPr>
          <w:rFonts w:hint="eastAsia" w:ascii="仿宋" w:hAnsi="仿宋" w:eastAsia="仿宋" w:cs="仿宋"/>
          <w:sz w:val="28"/>
          <w:szCs w:val="28"/>
        </w:rPr>
        <w:t>县城建设现状及未来发展规划，包括</w:t>
      </w:r>
      <w:r>
        <w:rPr>
          <w:rFonts w:hint="eastAsia" w:ascii="仿宋" w:hAnsi="仿宋" w:eastAsia="仿宋" w:cs="仿宋"/>
          <w:sz w:val="28"/>
          <w:szCs w:val="28"/>
          <w:lang w:eastAsia="zh-CN"/>
        </w:rPr>
        <w:t>镇平</w:t>
      </w:r>
      <w:r>
        <w:rPr>
          <w:rFonts w:hint="eastAsia" w:ascii="仿宋" w:hAnsi="仿宋" w:eastAsia="仿宋" w:cs="仿宋"/>
          <w:sz w:val="28"/>
          <w:szCs w:val="28"/>
        </w:rPr>
        <w:t>县城区总体规划、</w:t>
      </w:r>
      <w:r>
        <w:rPr>
          <w:rFonts w:hint="eastAsia" w:ascii="仿宋" w:hAnsi="仿宋" w:eastAsia="仿宋" w:cs="仿宋"/>
          <w:sz w:val="28"/>
          <w:szCs w:val="28"/>
          <w:lang w:eastAsia="zh-CN"/>
        </w:rPr>
        <w:t>镇平</w:t>
      </w:r>
      <w:r>
        <w:rPr>
          <w:rFonts w:hint="eastAsia" w:ascii="仿宋" w:hAnsi="仿宋" w:eastAsia="仿宋" w:cs="仿宋"/>
          <w:sz w:val="28"/>
          <w:szCs w:val="28"/>
        </w:rPr>
        <w:t>县交通道路网等资料的基础上，对</w:t>
      </w:r>
      <w:r>
        <w:rPr>
          <w:rFonts w:hint="eastAsia" w:ascii="仿宋" w:hAnsi="仿宋" w:eastAsia="仿宋" w:cs="仿宋"/>
          <w:sz w:val="28"/>
          <w:szCs w:val="28"/>
          <w:lang w:eastAsia="zh-CN"/>
        </w:rPr>
        <w:t>镇平</w:t>
      </w:r>
      <w:r>
        <w:rPr>
          <w:rFonts w:hint="eastAsia" w:ascii="仿宋" w:hAnsi="仿宋" w:eastAsia="仿宋" w:cs="仿宋"/>
          <w:sz w:val="28"/>
          <w:szCs w:val="28"/>
        </w:rPr>
        <w:t>县城区声环境功能进行划分，以期为合理规划</w:t>
      </w:r>
      <w:r>
        <w:rPr>
          <w:rFonts w:hint="eastAsia" w:ascii="仿宋" w:hAnsi="仿宋" w:eastAsia="仿宋" w:cs="仿宋"/>
          <w:sz w:val="28"/>
          <w:szCs w:val="28"/>
          <w:lang w:eastAsia="zh-CN"/>
        </w:rPr>
        <w:t>镇平</w:t>
      </w:r>
      <w:r>
        <w:rPr>
          <w:rFonts w:hint="eastAsia" w:ascii="仿宋" w:hAnsi="仿宋" w:eastAsia="仿宋" w:cs="仿宋"/>
          <w:sz w:val="28"/>
          <w:szCs w:val="28"/>
        </w:rPr>
        <w:t>县城区总体布局提供一定的理论依据，并为</w:t>
      </w:r>
      <w:r>
        <w:rPr>
          <w:rFonts w:hint="eastAsia" w:ascii="仿宋" w:hAnsi="仿宋" w:eastAsia="仿宋" w:cs="仿宋"/>
          <w:sz w:val="28"/>
          <w:szCs w:val="28"/>
          <w:lang w:eastAsia="zh-CN"/>
        </w:rPr>
        <w:t>镇平</w:t>
      </w:r>
      <w:r>
        <w:rPr>
          <w:rFonts w:hint="eastAsia" w:ascii="仿宋" w:hAnsi="仿宋" w:eastAsia="仿宋" w:cs="仿宋"/>
          <w:sz w:val="28"/>
          <w:szCs w:val="28"/>
        </w:rPr>
        <w:t>县城区环境质量评价、建设项目审批等提供一定的规范依据。</w:t>
      </w:r>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4" w:name="_Toc2191"/>
      <w:bookmarkStart w:id="5" w:name="_Toc17140"/>
      <w:r>
        <w:rPr>
          <w:rFonts w:hint="eastAsia" w:ascii="仿宋" w:hAnsi="仿宋" w:eastAsia="仿宋" w:cs="仿宋"/>
          <w:b/>
          <w:bCs/>
          <w:sz w:val="28"/>
          <w:szCs w:val="28"/>
          <w:lang w:val="en-US" w:eastAsia="zh-CN"/>
        </w:rPr>
        <w:t>区划依据</w:t>
      </w:r>
      <w:bookmarkEnd w:id="4"/>
      <w:bookmarkEnd w:id="5"/>
    </w:p>
    <w:p>
      <w:pPr>
        <w:spacing w:line="440" w:lineRule="exact"/>
        <w:ind w:left="638" w:leftChars="304" w:firstLine="0" w:firstLineChars="0"/>
        <w:rPr>
          <w:rFonts w:hint="eastAsia" w:ascii="仿宋" w:hAnsi="仿宋" w:eastAsia="仿宋" w:cs="仿宋"/>
          <w:sz w:val="28"/>
          <w:szCs w:val="28"/>
          <w:lang w:eastAsia="zh-CN"/>
        </w:rPr>
      </w:pPr>
      <w:r>
        <w:rPr>
          <w:rFonts w:hint="eastAsia" w:ascii="仿宋" w:hAnsi="仿宋" w:eastAsia="仿宋" w:cs="仿宋"/>
          <w:sz w:val="28"/>
          <w:szCs w:val="28"/>
        </w:rPr>
        <w:t>（1）《中华人民共和国环境保护法》（2014年4月24日第十二届全国人民代表大会常务委员会第八次会议通过，自2015年1月1日起施行）</w:t>
      </w:r>
      <w:r>
        <w:rPr>
          <w:rFonts w:hint="eastAsia" w:ascii="仿宋" w:hAnsi="仿宋" w:eastAsia="仿宋" w:cs="仿宋"/>
          <w:sz w:val="28"/>
          <w:szCs w:val="28"/>
          <w:lang w:eastAsia="zh-CN"/>
        </w:rPr>
        <w:t>；</w:t>
      </w:r>
    </w:p>
    <w:p>
      <w:pPr>
        <w:spacing w:line="440" w:lineRule="exact"/>
        <w:ind w:left="638" w:leftChars="304" w:firstLine="0" w:firstLineChars="0"/>
        <w:rPr>
          <w:rFonts w:hint="eastAsia" w:ascii="仿宋" w:hAnsi="仿宋" w:eastAsia="仿宋" w:cs="仿宋"/>
          <w:sz w:val="28"/>
          <w:szCs w:val="28"/>
          <w:lang w:eastAsia="zh-CN"/>
        </w:rPr>
      </w:pPr>
      <w:r>
        <w:rPr>
          <w:rFonts w:hint="eastAsia" w:ascii="仿宋" w:hAnsi="仿宋" w:eastAsia="仿宋" w:cs="仿宋"/>
          <w:sz w:val="28"/>
          <w:szCs w:val="28"/>
        </w:rPr>
        <w:t>（2）《中华人民共和国噪声污染防治法》</w:t>
      </w:r>
      <w:r>
        <w:rPr>
          <w:rFonts w:hint="eastAsia" w:ascii="仿宋" w:hAnsi="仿宋" w:eastAsia="仿宋" w:cs="仿宋"/>
          <w:sz w:val="28"/>
          <w:szCs w:val="28"/>
          <w:lang w:eastAsia="zh-CN"/>
        </w:rPr>
        <w:t>（已于2021年12月24日由全国人大常委会审议通过，自2022年6月5日起施行）；</w:t>
      </w:r>
    </w:p>
    <w:p>
      <w:pPr>
        <w:spacing w:line="440" w:lineRule="exact"/>
        <w:ind w:left="638" w:leftChars="304" w:firstLine="0" w:firstLineChars="0"/>
        <w:rPr>
          <w:rFonts w:hint="eastAsia" w:ascii="仿宋" w:hAnsi="仿宋" w:eastAsia="仿宋" w:cs="仿宋"/>
          <w:sz w:val="28"/>
          <w:szCs w:val="28"/>
        </w:rPr>
      </w:pPr>
      <w:r>
        <w:rPr>
          <w:rFonts w:hint="eastAsia" w:ascii="仿宋" w:hAnsi="仿宋" w:eastAsia="仿宋" w:cs="仿宋"/>
          <w:sz w:val="28"/>
          <w:szCs w:val="28"/>
        </w:rPr>
        <w:t>（3）《关于加强环境噪声污染防治工作改善城乡声环境质量的指导意见》（环发（2010）144号）；</w:t>
      </w:r>
    </w:p>
    <w:p>
      <w:pPr>
        <w:spacing w:line="440" w:lineRule="exact"/>
        <w:ind w:left="638" w:leftChars="304" w:firstLine="0" w:firstLineChars="0"/>
        <w:rPr>
          <w:rFonts w:hint="eastAsia" w:ascii="仿宋" w:hAnsi="仿宋" w:eastAsia="仿宋" w:cs="仿宋"/>
          <w:sz w:val="28"/>
          <w:szCs w:val="28"/>
        </w:rPr>
      </w:pPr>
      <w:r>
        <w:rPr>
          <w:rFonts w:hint="eastAsia" w:ascii="仿宋" w:hAnsi="仿宋" w:eastAsia="仿宋" w:cs="仿宋"/>
          <w:sz w:val="28"/>
          <w:szCs w:val="28"/>
        </w:rPr>
        <w:t>（4）《地面交通噪声污染防治技术政策》（环法［2010］7号）</w:t>
      </w:r>
    </w:p>
    <w:p>
      <w:pPr>
        <w:spacing w:line="440" w:lineRule="exact"/>
        <w:ind w:left="638" w:leftChars="304" w:firstLine="0" w:firstLineChars="0"/>
        <w:rPr>
          <w:rFonts w:hint="eastAsia" w:ascii="仿宋" w:hAnsi="仿宋" w:eastAsia="仿宋" w:cs="仿宋"/>
          <w:sz w:val="28"/>
          <w:szCs w:val="28"/>
        </w:rPr>
      </w:pPr>
      <w:r>
        <w:rPr>
          <w:rFonts w:hint="eastAsia" w:ascii="仿宋" w:hAnsi="仿宋" w:eastAsia="仿宋" w:cs="仿宋"/>
          <w:sz w:val="28"/>
          <w:szCs w:val="28"/>
        </w:rPr>
        <w:t>（5）《关于加强和规范声环境功能区划分管理工作的通知》（环办大气函（2017）1709号）；</w:t>
      </w:r>
    </w:p>
    <w:p>
      <w:pPr>
        <w:spacing w:line="440" w:lineRule="exact"/>
        <w:ind w:left="638" w:leftChars="304" w:firstLine="0" w:firstLineChars="0"/>
        <w:rPr>
          <w:rFonts w:hint="eastAsia" w:ascii="仿宋" w:hAnsi="仿宋" w:eastAsia="仿宋" w:cs="仿宋"/>
          <w:sz w:val="28"/>
          <w:szCs w:val="28"/>
          <w:lang w:eastAsia="zh-CN"/>
        </w:rPr>
      </w:pPr>
      <w:r>
        <w:rPr>
          <w:rFonts w:hint="eastAsia" w:ascii="仿宋" w:hAnsi="仿宋" w:eastAsia="仿宋" w:cs="仿宋"/>
          <w:sz w:val="28"/>
          <w:szCs w:val="28"/>
        </w:rPr>
        <w:t>（6）《声环境功能划分技术规范》（GB/T15190-2014）</w:t>
      </w:r>
      <w:r>
        <w:rPr>
          <w:rFonts w:hint="eastAsia" w:ascii="仿宋" w:hAnsi="仿宋" w:eastAsia="仿宋" w:cs="仿宋"/>
          <w:sz w:val="28"/>
          <w:szCs w:val="28"/>
          <w:lang w:eastAsia="zh-CN"/>
        </w:rPr>
        <w:t>；</w:t>
      </w:r>
    </w:p>
    <w:p>
      <w:pPr>
        <w:spacing w:line="440" w:lineRule="exact"/>
        <w:ind w:left="638" w:leftChars="304" w:firstLine="0" w:firstLineChars="0"/>
        <w:rPr>
          <w:rFonts w:hint="eastAsia" w:ascii="仿宋" w:hAnsi="仿宋" w:eastAsia="仿宋" w:cs="仿宋"/>
          <w:sz w:val="28"/>
          <w:szCs w:val="28"/>
          <w:lang w:eastAsia="zh-CN"/>
        </w:rPr>
      </w:pPr>
      <w:r>
        <w:rPr>
          <w:rFonts w:hint="eastAsia" w:ascii="仿宋" w:hAnsi="仿宋" w:eastAsia="仿宋" w:cs="仿宋"/>
          <w:sz w:val="28"/>
          <w:szCs w:val="28"/>
        </w:rPr>
        <w:t>（7）《声环境质量标准》（GB3096-2008）</w:t>
      </w:r>
      <w:r>
        <w:rPr>
          <w:rFonts w:hint="eastAsia" w:ascii="仿宋" w:hAnsi="仿宋" w:eastAsia="仿宋" w:cs="仿宋"/>
          <w:sz w:val="28"/>
          <w:szCs w:val="28"/>
          <w:lang w:eastAsia="zh-CN"/>
        </w:rPr>
        <w:t>；</w:t>
      </w:r>
    </w:p>
    <w:p>
      <w:pPr>
        <w:spacing w:line="440" w:lineRule="exact"/>
        <w:ind w:left="638" w:leftChars="304" w:firstLine="0" w:firstLineChars="0"/>
        <w:rPr>
          <w:rFonts w:hint="eastAsia" w:ascii="仿宋" w:hAnsi="仿宋" w:eastAsia="仿宋" w:cs="仿宋"/>
          <w:sz w:val="28"/>
          <w:szCs w:val="28"/>
        </w:rPr>
      </w:pPr>
      <w:r>
        <w:rPr>
          <w:rFonts w:hint="eastAsia" w:ascii="仿宋" w:hAnsi="仿宋" w:eastAsia="仿宋" w:cs="仿宋"/>
          <w:sz w:val="28"/>
          <w:szCs w:val="28"/>
        </w:rPr>
        <w:t>（8）《工业企业厂界环境噪声排放标准》（GB12348-2008）；</w:t>
      </w:r>
    </w:p>
    <w:p>
      <w:pPr>
        <w:spacing w:line="440" w:lineRule="exact"/>
        <w:ind w:left="638" w:leftChars="304" w:firstLine="0" w:firstLineChars="0"/>
        <w:rPr>
          <w:rFonts w:hint="eastAsia" w:ascii="仿宋" w:hAnsi="仿宋" w:eastAsia="仿宋" w:cs="仿宋"/>
          <w:sz w:val="28"/>
          <w:szCs w:val="28"/>
        </w:rPr>
      </w:pPr>
      <w:r>
        <w:rPr>
          <w:rFonts w:hint="eastAsia" w:ascii="仿宋" w:hAnsi="仿宋" w:eastAsia="仿宋" w:cs="仿宋"/>
          <w:sz w:val="28"/>
          <w:szCs w:val="28"/>
        </w:rPr>
        <w:t>（9）《城市用地分类与规划建设用地标准》（GB50137-2011）；</w:t>
      </w:r>
    </w:p>
    <w:p>
      <w:pPr>
        <w:spacing w:line="440" w:lineRule="exact"/>
        <w:ind w:left="638" w:leftChars="304" w:firstLine="0" w:firstLineChars="0"/>
        <w:rPr>
          <w:rFonts w:hint="eastAsia" w:ascii="仿宋" w:hAnsi="仿宋" w:eastAsia="仿宋" w:cs="仿宋"/>
          <w:sz w:val="28"/>
          <w:szCs w:val="28"/>
          <w:lang w:val="en-US" w:eastAsia="zh-CN"/>
        </w:rPr>
      </w:pPr>
      <w:r>
        <w:rPr>
          <w:rFonts w:hint="eastAsia" w:ascii="仿宋" w:hAnsi="仿宋" w:eastAsia="仿宋" w:cs="仿宋"/>
          <w:sz w:val="28"/>
          <w:szCs w:val="28"/>
        </w:rPr>
        <w:t>（</w:t>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镇平</w:t>
      </w:r>
      <w:r>
        <w:rPr>
          <w:rFonts w:hint="eastAsia" w:ascii="仿宋" w:hAnsi="仿宋" w:eastAsia="仿宋" w:cs="仿宋"/>
          <w:color w:val="auto"/>
          <w:sz w:val="28"/>
          <w:szCs w:val="28"/>
        </w:rPr>
        <w:t>县</w:t>
      </w:r>
      <w:r>
        <w:rPr>
          <w:rFonts w:hint="eastAsia" w:ascii="仿宋" w:hAnsi="仿宋" w:eastAsia="仿宋" w:cs="仿宋"/>
          <w:color w:val="auto"/>
          <w:sz w:val="28"/>
          <w:szCs w:val="28"/>
          <w:lang w:val="en-US" w:eastAsia="zh-CN"/>
        </w:rPr>
        <w:t>城乡</w:t>
      </w:r>
      <w:r>
        <w:rPr>
          <w:rFonts w:hint="eastAsia" w:ascii="仿宋" w:hAnsi="仿宋" w:eastAsia="仿宋" w:cs="仿宋"/>
          <w:color w:val="auto"/>
          <w:sz w:val="28"/>
          <w:szCs w:val="28"/>
        </w:rPr>
        <w:t>总体规划</w:t>
      </w:r>
      <w:r>
        <w:rPr>
          <w:rFonts w:hint="eastAsia" w:ascii="仿宋" w:hAnsi="仿宋" w:eastAsia="仿宋" w:cs="仿宋"/>
          <w:color w:val="auto"/>
          <w:sz w:val="28"/>
          <w:szCs w:val="28"/>
          <w:lang w:val="en-US" w:eastAsia="zh-CN"/>
        </w:rPr>
        <w:t>修编</w:t>
      </w:r>
      <w:r>
        <w:rPr>
          <w:rFonts w:hint="eastAsia" w:ascii="仿宋" w:hAnsi="仿宋" w:eastAsia="仿宋" w:cs="仿宋"/>
          <w:color w:val="auto"/>
          <w:sz w:val="28"/>
          <w:szCs w:val="28"/>
        </w:rPr>
        <w:t>》（201</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-203</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年）</w:t>
      </w:r>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6" w:name="_Toc4737"/>
      <w:bookmarkStart w:id="7" w:name="_Toc22108"/>
      <w:r>
        <w:rPr>
          <w:rFonts w:hint="eastAsia" w:ascii="仿宋" w:hAnsi="仿宋" w:eastAsia="仿宋" w:cs="仿宋"/>
          <w:b/>
          <w:bCs/>
          <w:sz w:val="28"/>
          <w:szCs w:val="28"/>
          <w:lang w:val="en-US" w:eastAsia="zh-CN"/>
        </w:rPr>
        <w:t>区划范围</w:t>
      </w:r>
      <w:bookmarkEnd w:id="6"/>
      <w:bookmarkEnd w:id="7"/>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东至将军路及东侧建设用地，南至南外环路，西至石杨路及西侧建设用地，北至毕兴路、宁西铁路，以及沪陕高速</w:t>
      </w:r>
      <w:r>
        <w:rPr>
          <w:rFonts w:hint="eastAsia" w:ascii="仿宋" w:hAnsi="仿宋" w:eastAsia="仿宋" w:cs="仿宋"/>
          <w:color w:val="auto"/>
          <w:sz w:val="28"/>
          <w:szCs w:val="28"/>
          <w:lang w:val="en-US" w:eastAsia="zh-CN"/>
        </w:rPr>
        <w:t>南</w:t>
      </w:r>
      <w:r>
        <w:rPr>
          <w:rFonts w:hint="eastAsia" w:ascii="仿宋" w:hAnsi="仿宋" w:eastAsia="仿宋" w:cs="仿宋"/>
          <w:color w:val="auto"/>
          <w:sz w:val="28"/>
          <w:szCs w:val="28"/>
        </w:rPr>
        <w:t>侧杨营组团建设用地，总建设用地面积49.49平方公里。在此范围内划分中心城区城市区域声环境功能区。详见附图。</w:t>
      </w:r>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8" w:name="_Toc3657"/>
      <w:bookmarkStart w:id="9" w:name="_Toc6153"/>
      <w:r>
        <w:rPr>
          <w:rFonts w:hint="eastAsia" w:ascii="仿宋" w:hAnsi="仿宋" w:eastAsia="仿宋" w:cs="仿宋"/>
          <w:b/>
          <w:bCs/>
          <w:sz w:val="28"/>
          <w:szCs w:val="28"/>
          <w:lang w:val="en-US" w:eastAsia="zh-CN"/>
        </w:rPr>
        <w:t>区划工作程序</w:t>
      </w:r>
      <w:bookmarkEnd w:id="8"/>
      <w:bookmarkEnd w:id="9"/>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河南省生态环境厅关于尽快推进声环境功能区划分管理工作的通知》（豫环办［2020］33号）、《声环境功能划分技术规范》（GB/T15190-2014）制定城市区域声环境功能区划初步方案。收集中心城区用地现状统计资料、城市总体规划、分区规划及相关图件；依据区划方法初步划定各区划单元；把多个区域类型相同且相邻的单元连成片；对初步划定的区划方案进行分析、调整，并征求相关部门意见；根据相关意见调整优化区划方案并绘制区划图；经地方环境保护主管部门组织评审后报县政府审批、公布实施。</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0" w:firstLineChars="200"/>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城市区域声环境功能区分工作程序见下图。</w:t>
      </w:r>
      <w:r>
        <w:rPr>
          <w:rFonts w:hint="eastAsia" w:ascii="仿宋" w:hAnsi="仿宋" w:eastAsia="仿宋" w:cs="仿宋"/>
          <w:b/>
          <w:bCs/>
          <w:sz w:val="28"/>
          <w:szCs w:val="28"/>
          <w:lang w:val="en-US" w:eastAsia="zh-CN"/>
        </w:rPr>
        <w:br w:type="page"/>
      </w:r>
    </w:p>
    <w:p>
      <w:pPr>
        <w:rPr>
          <w:rFonts w:hint="eastAsia" w:ascii="仿宋" w:hAnsi="仿宋" w:eastAsia="仿宋" w:cs="仿宋"/>
          <w:b/>
          <w:bCs/>
          <w:sz w:val="28"/>
          <w:szCs w:val="28"/>
          <w:lang w:val="en-US" w:eastAsia="zh-CN"/>
        </w:rPr>
      </w:pPr>
      <w:r>
        <w:rPr>
          <w:rFonts w:hint="eastAsia" w:ascii="仿宋" w:hAnsi="仿宋" w:eastAsia="仿宋" w:cs="仿宋"/>
          <w:sz w:val="28"/>
        </w:rPr>
        <mc:AlternateContent>
          <mc:Choice Requires="wpg">
            <w:drawing>
              <wp:anchor distT="0" distB="0" distL="114300" distR="114300" simplePos="0" relativeHeight="251659264" behindDoc="0" locked="0" layoutInCell="1" allowOverlap="1">
                <wp:simplePos x="0" y="0"/>
                <wp:positionH relativeFrom="column">
                  <wp:posOffset>587375</wp:posOffset>
                </wp:positionH>
                <wp:positionV relativeFrom="paragraph">
                  <wp:posOffset>295910</wp:posOffset>
                </wp:positionV>
                <wp:extent cx="4074160" cy="7870190"/>
                <wp:effectExtent l="4445" t="4445" r="20955" b="19685"/>
                <wp:wrapNone/>
                <wp:docPr id="78" name="组合 78"/>
                <wp:cNvGraphicFramePr/>
                <a:graphic xmlns:a="http://schemas.openxmlformats.org/drawingml/2006/main">
                  <a:graphicData uri="http://schemas.microsoft.com/office/word/2010/wordprocessingGroup">
                    <wpg:wgp>
                      <wpg:cNvGrpSpPr/>
                      <wpg:grpSpPr>
                        <a:xfrm>
                          <a:off x="0" y="0"/>
                          <a:ext cx="4074160" cy="7870190"/>
                          <a:chOff x="3658" y="53552"/>
                          <a:chExt cx="6416" cy="12394"/>
                        </a:xfrm>
                      </wpg:grpSpPr>
                      <wps:wsp>
                        <wps:cNvPr id="27" name="直接连接符 27"/>
                        <wps:cNvCnPr/>
                        <wps:spPr>
                          <a:xfrm>
                            <a:off x="4376" y="57764"/>
                            <a:ext cx="5169" cy="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7" name="组合 77"/>
                        <wpg:cNvGrpSpPr/>
                        <wpg:grpSpPr>
                          <a:xfrm>
                            <a:off x="3658" y="53552"/>
                            <a:ext cx="6416" cy="12394"/>
                            <a:chOff x="3640" y="53551"/>
                            <a:chExt cx="6416" cy="12394"/>
                          </a:xfrm>
                        </wpg:grpSpPr>
                        <wps:wsp>
                          <wps:cNvPr id="12" name="文本框 12"/>
                          <wps:cNvSpPr txBox="1"/>
                          <wps:spPr>
                            <a:xfrm>
                              <a:off x="5690" y="62698"/>
                              <a:ext cx="2428" cy="5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确定划定分区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5654" y="63900"/>
                              <a:ext cx="2428" cy="8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审核修改后</w:t>
                                </w:r>
                              </w:p>
                              <w:p>
                                <w:pPr>
                                  <w:jc w:val="center"/>
                                  <w:rPr>
                                    <w:rFonts w:hint="default" w:eastAsiaTheme="minorEastAsia"/>
                                    <w:lang w:val="en-US" w:eastAsia="zh-CN"/>
                                  </w:rPr>
                                </w:pPr>
                                <w:r>
                                  <w:rPr>
                                    <w:rFonts w:hint="eastAsia"/>
                                  </w:rPr>
                                  <w:t>上报</w:t>
                                </w:r>
                                <w:r>
                                  <w:rPr>
                                    <w:rFonts w:hint="eastAsia"/>
                                    <w:lang w:val="en-US" w:eastAsia="zh-CN"/>
                                  </w:rPr>
                                  <w:t>县</w:t>
                                </w:r>
                                <w:r>
                                  <w:rPr>
                                    <w:rFonts w:hint="eastAsia"/>
                                  </w:rPr>
                                  <w:t>政府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5671" y="65391"/>
                              <a:ext cx="2428" cy="5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lang w:val="en-US" w:eastAsia="zh-CN"/>
                                  </w:rPr>
                                  <w:t>县</w:t>
                                </w:r>
                                <w:r>
                                  <w:rPr>
                                    <w:rFonts w:hint="eastAsia"/>
                                  </w:rPr>
                                  <w:t>政府公布实施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31"/>
                          <wps:cNvCnPr/>
                          <wps:spPr>
                            <a:xfrm>
                              <a:off x="6905" y="61998"/>
                              <a:ext cx="9" cy="692"/>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a:off x="6914" y="63235"/>
                              <a:ext cx="9" cy="692"/>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a:off x="6896" y="64694"/>
                              <a:ext cx="9" cy="692"/>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文本框 76"/>
                          <wps:cNvSpPr txBox="1"/>
                          <wps:spPr>
                            <a:xfrm>
                              <a:off x="5652" y="59939"/>
                              <a:ext cx="2428" cy="5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初步划定分区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74"/>
                          <wps:cNvSpPr txBox="1"/>
                          <wps:spPr>
                            <a:xfrm>
                              <a:off x="5691" y="61185"/>
                              <a:ext cx="2428" cy="8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普查检测</w:t>
                                </w:r>
                              </w:p>
                              <w:p>
                                <w:pPr>
                                  <w:jc w:val="center"/>
                                  <w:rPr>
                                    <w:rFonts w:hint="default" w:eastAsiaTheme="minorEastAsia"/>
                                    <w:lang w:val="en-US" w:eastAsia="zh-CN"/>
                                  </w:rPr>
                                </w:pPr>
                                <w:r>
                                  <w:rPr>
                                    <w:rFonts w:hint="eastAsia"/>
                                  </w:rPr>
                                  <w:t>对分区验证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直接箭头连接符 75"/>
                          <wps:cNvCnPr/>
                          <wps:spPr>
                            <a:xfrm>
                              <a:off x="6905" y="60493"/>
                              <a:ext cx="9" cy="692"/>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文本框 73"/>
                          <wps:cNvSpPr txBox="1"/>
                          <wps:spPr>
                            <a:xfrm>
                              <a:off x="5571" y="53551"/>
                              <a:ext cx="2428" cy="5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制定编制方案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2"/>
                          <wps:cNvSpPr txBox="1"/>
                          <wps:spPr>
                            <a:xfrm>
                              <a:off x="5580" y="54797"/>
                              <a:ext cx="2428" cy="5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收集相关资料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1" name="组合 61"/>
                          <wpg:cNvGrpSpPr/>
                          <wpg:grpSpPr>
                            <a:xfrm>
                              <a:off x="3640" y="56265"/>
                              <a:ext cx="6417" cy="1060"/>
                              <a:chOff x="5925" y="55637"/>
                              <a:chExt cx="6417" cy="968"/>
                            </a:xfrm>
                          </wpg:grpSpPr>
                          <wps:wsp>
                            <wps:cNvPr id="62" name="文本框 5"/>
                            <wps:cNvSpPr txBox="1"/>
                            <wps:spPr>
                              <a:xfrm>
                                <a:off x="5925" y="55647"/>
                                <a:ext cx="1377" cy="9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40" w:lineRule="exact"/>
                                    <w:jc w:val="center"/>
                                    <w:rPr>
                                      <w:rFonts w:hint="eastAsia"/>
                                    </w:rPr>
                                  </w:pPr>
                                  <w:r>
                                    <w:rPr>
                                      <w:rFonts w:hint="eastAsia"/>
                                    </w:rPr>
                                    <w:t>城市区域现</w:t>
                                  </w:r>
                                </w:p>
                                <w:p>
                                  <w:pPr>
                                    <w:spacing w:line="440" w:lineRule="exact"/>
                                    <w:jc w:val="center"/>
                                  </w:pPr>
                                  <w:r>
                                    <w:rPr>
                                      <w:rFonts w:hint="eastAsia"/>
                                    </w:rPr>
                                    <w:t>状用地统计统计</w:t>
                                  </w:r>
                                </w:p>
                                <w:p>
                                  <w:r>
                                    <w:rPr>
                                      <w:rFonts w:hint="eastAsia"/>
                                    </w:rPr>
                                    <w:t>分析资料收集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
                            <wps:cNvSpPr txBox="1"/>
                            <wps:spPr>
                              <a:xfrm>
                                <a:off x="7596" y="55647"/>
                                <a:ext cx="1377" cy="9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line="440" w:lineRule="exact"/>
                                    <w:jc w:val="center"/>
                                    <w:textAlignment w:val="auto"/>
                                  </w:pPr>
                                  <w:r>
                                    <w:rPr>
                                      <w:rFonts w:hint="eastAsia"/>
                                    </w:rPr>
                                    <w:t>现场踏勘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7"/>
                            <wps:cNvSpPr txBox="1"/>
                            <wps:spPr>
                              <a:xfrm>
                                <a:off x="9322" y="55637"/>
                                <a:ext cx="1377" cy="9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40" w:lineRule="exact"/>
                                    <w:jc w:val="center"/>
                                    <w:rPr>
                                      <w:rFonts w:hint="eastAsia"/>
                                      <w:lang w:val="en-US" w:eastAsia="zh-CN"/>
                                    </w:rPr>
                                  </w:pPr>
                                  <w:r>
                                    <w:rPr>
                                      <w:rFonts w:hint="eastAsia"/>
                                    </w:rPr>
                                    <w:t>城市</w:t>
                                  </w:r>
                                  <w:r>
                                    <w:rPr>
                                      <w:rFonts w:hint="eastAsia"/>
                                      <w:lang w:val="en-US" w:eastAsia="zh-CN"/>
                                    </w:rPr>
                                    <w:t>总体</w:t>
                                  </w:r>
                                </w:p>
                                <w:p>
                                  <w:pPr>
                                    <w:spacing w:line="440" w:lineRule="exact"/>
                                    <w:jc w:val="center"/>
                                    <w:rPr>
                                      <w:rFonts w:hint="default" w:eastAsiaTheme="minorEastAsia"/>
                                      <w:lang w:val="en-US" w:eastAsia="zh-CN"/>
                                    </w:rPr>
                                  </w:pPr>
                                  <w:r>
                                    <w:rPr>
                                      <w:rFonts w:hint="eastAsia"/>
                                      <w:lang w:val="en-US" w:eastAsia="zh-CN"/>
                                    </w:rPr>
                                    <w:t>规划分析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8"/>
                            <wps:cNvSpPr txBox="1"/>
                            <wps:spPr>
                              <a:xfrm>
                                <a:off x="10966" y="55637"/>
                                <a:ext cx="1377" cy="9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40" w:lineRule="exact"/>
                                    <w:jc w:val="center"/>
                                    <w:rPr>
                                      <w:rFonts w:hint="eastAsia"/>
                                    </w:rPr>
                                  </w:pPr>
                                  <w:r>
                                    <w:rPr>
                                      <w:rFonts w:hint="eastAsia"/>
                                    </w:rPr>
                                    <w:t>相关图件</w:t>
                                  </w:r>
                                </w:p>
                                <w:p>
                                  <w:pPr>
                                    <w:spacing w:line="440" w:lineRule="exact"/>
                                    <w:jc w:val="center"/>
                                  </w:pPr>
                                  <w:r>
                                    <w:rPr>
                                      <w:rFonts w:hint="eastAsia"/>
                                    </w:rPr>
                                    <w:t>资料收集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 name="文本框 55"/>
                          <wps:cNvSpPr txBox="1"/>
                          <wps:spPr>
                            <a:xfrm>
                              <a:off x="5655" y="58462"/>
                              <a:ext cx="2428" cy="8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以规划确定</w:t>
                                </w:r>
                              </w:p>
                              <w:p>
                                <w:pPr>
                                  <w:jc w:val="center"/>
                                  <w:rPr>
                                    <w:rFonts w:hint="default" w:eastAsiaTheme="minorEastAsia"/>
                                    <w:lang w:val="en-US" w:eastAsia="zh-CN"/>
                                  </w:rPr>
                                </w:pPr>
                                <w:r>
                                  <w:rPr>
                                    <w:rFonts w:hint="eastAsia"/>
                                  </w:rPr>
                                  <w:t>单元划</w:t>
                                </w:r>
                                <w:r>
                                  <w:rPr>
                                    <w:rFonts w:hint="eastAsia"/>
                                    <w:lang w:val="en-US" w:eastAsia="zh-CN"/>
                                  </w:rPr>
                                  <w:t>分片区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71"/>
                          <wps:cNvCnPr/>
                          <wps:spPr>
                            <a:xfrm flipH="1">
                              <a:off x="6804" y="55360"/>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直接连接符 70"/>
                          <wps:cNvCnPr/>
                          <wps:spPr>
                            <a:xfrm>
                              <a:off x="4330" y="55807"/>
                              <a:ext cx="5169" cy="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直接箭头连接符 69"/>
                          <wps:cNvCnPr/>
                          <wps:spPr>
                            <a:xfrm flipH="1">
                              <a:off x="4329" y="55822"/>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wps:spPr>
                            <a:xfrm flipH="1">
                              <a:off x="6000" y="55822"/>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直接箭头连接符 67"/>
                          <wps:cNvCnPr/>
                          <wps:spPr>
                            <a:xfrm flipH="1">
                              <a:off x="7698" y="55822"/>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wps:spPr>
                            <a:xfrm flipH="1">
                              <a:off x="9489" y="55813"/>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直接箭头连接符 60"/>
                          <wps:cNvCnPr/>
                          <wps:spPr>
                            <a:xfrm flipH="1">
                              <a:off x="4356" y="57327"/>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直接箭头连接符 59"/>
                          <wps:cNvCnPr/>
                          <wps:spPr>
                            <a:xfrm flipH="1">
                              <a:off x="6027" y="57327"/>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直接箭头连接符 58"/>
                          <wps:cNvCnPr/>
                          <wps:spPr>
                            <a:xfrm flipH="1">
                              <a:off x="7725" y="57327"/>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 name="直接箭头连接符 57"/>
                          <wps:cNvCnPr/>
                          <wps:spPr>
                            <a:xfrm flipH="1">
                              <a:off x="9516" y="57318"/>
                              <a:ext cx="9" cy="447"/>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wps:spPr>
                            <a:xfrm>
                              <a:off x="6877" y="57779"/>
                              <a:ext cx="9" cy="692"/>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wps:spPr>
                            <a:xfrm>
                              <a:off x="6868" y="59266"/>
                              <a:ext cx="9" cy="692"/>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46.25pt;margin-top:23.3pt;height:619.7pt;width:320.8pt;z-index:251659264;mso-width-relative:page;mso-height-relative:page;" coordorigin="3658,53552" coordsize="6416,12394" o:gfxdata="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fEeLvdsAAAAKAQAADwAAAAAAAAABACAAAAAiAAAAZHJzL2Rvd25yZXYueG1sUEsBAhQA&#10;FAAAAAgAh07iQJX+1jSABwAAKkoAAA4AAAAAAAAAAQAgAAAAKgEAAGRycy9lMm9Eb2MueG1sUEsF&#10;BgAAAAAGAAYAWQEAABwLAAAAAA==&#10;">
                <o:lock v:ext="edit" aspectratio="f"/>
                <v:line id="_x0000_s1026" o:spid="_x0000_s1026" o:spt="20" style="position:absolute;left:4376;top:57764;height:9;width:5169;" filled="f" stroked="t" coordsize="21600,21600" o:gfxdata="UEsDBAoAAAAAAIdO4kAAAAAAAAAAAAAAAAAEAAAAZHJzL1BLAwQUAAAACACHTuJAqj5Ibb0AAADb&#10;AAAADwAAAGRycy9kb3ducmV2LnhtbEWPwWrDMBBE74H8g9hAb7GcHOrgRsmhUEih0MbJocfF2lhu&#10;rZUjqbb791GhkOMwM2+Y7X6ynRjIh9axglWWgyCunW65UXA+vSw3IEJE1tg5JgW/FGC/m8+2WGo3&#10;8pGGKjYiQTiUqMDE2JdShtqQxZC5njh5F+ctxiR9I7XHMcFtJ9d5/ig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kht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group id="_x0000_s1026" o:spid="_x0000_s1026" o:spt="203" style="position:absolute;left:3658;top:53552;height:12394;width:6416;" coordorigin="3640,53551" coordsize="6416,12394"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690;top:62698;height:554;width:2428;"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确定划定分区</w:t>
                          </w:r>
                        </w:p>
                      </w:txbxContent>
                    </v:textbox>
                  </v:shape>
                  <v:shape id="_x0000_s1026" o:spid="_x0000_s1026" o:spt="202" type="#_x0000_t202" style="position:absolute;left:5654;top:63900;height:803;width:2428;"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eastAsia"/>
                            </w:rPr>
                          </w:pPr>
                          <w:r>
                            <w:rPr>
                              <w:rFonts w:hint="eastAsia"/>
                            </w:rPr>
                            <w:t>审核修改后</w:t>
                          </w:r>
                        </w:p>
                        <w:p>
                          <w:pPr>
                            <w:jc w:val="center"/>
                            <w:rPr>
                              <w:rFonts w:hint="default" w:eastAsiaTheme="minorEastAsia"/>
                              <w:lang w:val="en-US" w:eastAsia="zh-CN"/>
                            </w:rPr>
                          </w:pPr>
                          <w:r>
                            <w:rPr>
                              <w:rFonts w:hint="eastAsia"/>
                            </w:rPr>
                            <w:t>上报</w:t>
                          </w:r>
                          <w:r>
                            <w:rPr>
                              <w:rFonts w:hint="eastAsia"/>
                              <w:lang w:val="en-US" w:eastAsia="zh-CN"/>
                            </w:rPr>
                            <w:t>县</w:t>
                          </w:r>
                          <w:r>
                            <w:rPr>
                              <w:rFonts w:hint="eastAsia"/>
                            </w:rPr>
                            <w:t>政府</w:t>
                          </w:r>
                        </w:p>
                      </w:txbxContent>
                    </v:textbox>
                  </v:shape>
                  <v:shape id="_x0000_s1026" o:spid="_x0000_s1026" o:spt="202" type="#_x0000_t202" style="position:absolute;left:5671;top:65391;height:554;width:2428;" fillcolor="#FFFFFF [3201]" filled="t" stroked="t" coordsize="21600,21600"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lang w:val="en-US" w:eastAsia="zh-CN"/>
                            </w:rPr>
                            <w:t>县</w:t>
                          </w:r>
                          <w:r>
                            <w:rPr>
                              <w:rFonts w:hint="eastAsia"/>
                            </w:rPr>
                            <w:t>政府公布实施</w:t>
                          </w:r>
                        </w:p>
                      </w:txbxContent>
                    </v:textbox>
                  </v:shape>
                  <v:shape id="_x0000_s1026" o:spid="_x0000_s1026" o:spt="32" type="#_x0000_t32" style="position:absolute;left:6905;top:61998;height:692;width:9;" filled="f" stroked="t" coordsize="21600,21600" o:gfxdata="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dRQJ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6914;top:63235;height:692;width:9;" filled="f" stroked="t" coordsize="21600,21600" o:gfxdata="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4p+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6896;top:64694;height:692;width:9;" filled="f" stroked="t" coordsize="21600,21600" o:gfxdata="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rL+W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202" type="#_x0000_t202" style="position:absolute;left:5652;top:59939;height:554;width:2428;" fillcolor="#FFFFFF [3201]" filled="t" stroked="t" coordsize="21600,21600" o:gfxdata="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jlp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初步划定分区</w:t>
                          </w:r>
                        </w:p>
                      </w:txbxContent>
                    </v:textbox>
                  </v:shape>
                  <v:shape id="_x0000_s1026" o:spid="_x0000_s1026" o:spt="202" type="#_x0000_t202" style="position:absolute;left:5691;top:61185;height:803;width:2428;" fillcolor="#FFFFFF [3201]" filled="t" stroked="t" coordsize="21600,21600" o:gfxdata="UEsDBAoAAAAAAIdO4kAAAAAAAAAAAAAAAAAEAAAAZHJzL1BLAwQUAAAACACHTuJAXhBhhbcAAADb&#10;AAAADwAAAGRycy9kb3ducmV2LnhtbEWPzQrCMBCE74LvEFbwpqk/qF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EGG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rPr>
                          </w:pPr>
                          <w:r>
                            <w:rPr>
                              <w:rFonts w:hint="eastAsia"/>
                            </w:rPr>
                            <w:t>普查检测</w:t>
                          </w:r>
                        </w:p>
                        <w:p>
                          <w:pPr>
                            <w:jc w:val="center"/>
                            <w:rPr>
                              <w:rFonts w:hint="default" w:eastAsiaTheme="minorEastAsia"/>
                              <w:lang w:val="en-US" w:eastAsia="zh-CN"/>
                            </w:rPr>
                          </w:pPr>
                          <w:r>
                            <w:rPr>
                              <w:rFonts w:hint="eastAsia"/>
                            </w:rPr>
                            <w:t>对分区验证</w:t>
                          </w:r>
                        </w:p>
                      </w:txbxContent>
                    </v:textbox>
                  </v:shape>
                  <v:shape id="_x0000_s1026" o:spid="_x0000_s1026" o:spt="32" type="#_x0000_t32" style="position:absolute;left:6905;top:60493;height:692;width:9;" filled="f" stroked="t" coordsize="21600,21600" o:gfxdata="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KvK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202" type="#_x0000_t202" style="position:absolute;left:5571;top:53551;height:554;width:2428;" fillcolor="#FFFFFF [3201]" filled="t" stroked="t" coordsize="21600,21600" o:gfxdata="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n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制定编制方案</w:t>
                          </w:r>
                        </w:p>
                      </w:txbxContent>
                    </v:textbox>
                  </v:shape>
                  <v:shape id="_x0000_s1026" o:spid="_x0000_s1026" o:spt="202" type="#_x0000_t202" style="position:absolute;left:5580;top:54797;height:554;width:2428;" fillcolor="#FFFFFF [3201]" filled="t" stroked="t" coordsize="21600,21600" o:gfxdata="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Vxq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20"/>
                            <w:jc w:val="center"/>
                            <w:textAlignment w:val="auto"/>
                          </w:pPr>
                          <w:r>
                            <w:rPr>
                              <w:rFonts w:hint="eastAsia"/>
                            </w:rPr>
                            <w:t>收集相关资料</w:t>
                          </w:r>
                        </w:p>
                      </w:txbxContent>
                    </v:textbox>
                  </v:shape>
                  <v:group id="_x0000_s1026" o:spid="_x0000_s1026" o:spt="203" style="position:absolute;left:3640;top:56265;height:1060;width:6417;" coordorigin="5925,55637" coordsize="6417,968"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文本框 5" o:spid="_x0000_s1026" o:spt="202" type="#_x0000_t202" style="position:absolute;left:5925;top:55647;height:959;width:1377;" fillcolor="#FFFFFF [3201]" filled="t" stroked="t" coordsize="21600,21600" o:gfxdata="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tsyr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spacing w:line="440" w:lineRule="exact"/>
                              <w:jc w:val="center"/>
                              <w:rPr>
                                <w:rFonts w:hint="eastAsia"/>
                              </w:rPr>
                            </w:pPr>
                            <w:r>
                              <w:rPr>
                                <w:rFonts w:hint="eastAsia"/>
                              </w:rPr>
                              <w:t>城市区域现</w:t>
                            </w:r>
                          </w:p>
                          <w:p>
                            <w:pPr>
                              <w:spacing w:line="440" w:lineRule="exact"/>
                              <w:jc w:val="center"/>
                            </w:pPr>
                            <w:r>
                              <w:rPr>
                                <w:rFonts w:hint="eastAsia"/>
                              </w:rPr>
                              <w:t>状用地统计统计</w:t>
                            </w:r>
                          </w:p>
                          <w:p>
                            <w:r>
                              <w:rPr>
                                <w:rFonts w:hint="eastAsia"/>
                              </w:rPr>
                              <w:t>分析资料收集</w:t>
                            </w:r>
                          </w:p>
                        </w:txbxContent>
                      </v:textbox>
                    </v:shape>
                    <v:shape id="文本框 6" o:spid="_x0000_s1026" o:spt="202" type="#_x0000_t202" style="position:absolute;left:7596;top:55647;height:959;width:1377;" fillcolor="#FFFFFF [3201]" filled="t" stroked="t" coordsize="21600,21600" o:gfxdata="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Qgby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line="440" w:lineRule="exact"/>
                              <w:jc w:val="center"/>
                              <w:textAlignment w:val="auto"/>
                            </w:pPr>
                            <w:r>
                              <w:rPr>
                                <w:rFonts w:hint="eastAsia"/>
                              </w:rPr>
                              <w:t>现场踏勘</w:t>
                            </w:r>
                          </w:p>
                        </w:txbxContent>
                      </v:textbox>
                    </v:shape>
                    <v:shape id="文本框 7" o:spid="_x0000_s1026" o:spt="202" type="#_x0000_t202" style="position:absolute;left:9322;top:55637;height:959;width:1377;" fillcolor="#FFFFFF [3201]" filled="t" stroked="t" coordsize="21600,21600" o:gfxdata="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fd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440" w:lineRule="exact"/>
                              <w:jc w:val="center"/>
                              <w:rPr>
                                <w:rFonts w:hint="eastAsia"/>
                                <w:lang w:val="en-US" w:eastAsia="zh-CN"/>
                              </w:rPr>
                            </w:pPr>
                            <w:r>
                              <w:rPr>
                                <w:rFonts w:hint="eastAsia"/>
                              </w:rPr>
                              <w:t>城市</w:t>
                            </w:r>
                            <w:r>
                              <w:rPr>
                                <w:rFonts w:hint="eastAsia"/>
                                <w:lang w:val="en-US" w:eastAsia="zh-CN"/>
                              </w:rPr>
                              <w:t>总体</w:t>
                            </w:r>
                          </w:p>
                          <w:p>
                            <w:pPr>
                              <w:spacing w:line="440" w:lineRule="exact"/>
                              <w:jc w:val="center"/>
                              <w:rPr>
                                <w:rFonts w:hint="default" w:eastAsiaTheme="minorEastAsia"/>
                                <w:lang w:val="en-US" w:eastAsia="zh-CN"/>
                              </w:rPr>
                            </w:pPr>
                            <w:r>
                              <w:rPr>
                                <w:rFonts w:hint="eastAsia"/>
                                <w:lang w:val="en-US" w:eastAsia="zh-CN"/>
                              </w:rPr>
                              <w:t>规划分析</w:t>
                            </w:r>
                          </w:p>
                        </w:txbxContent>
                      </v:textbox>
                    </v:shape>
                    <v:shape id="文本框 8" o:spid="_x0000_s1026" o:spt="202" type="#_x0000_t202" style="position:absolute;left:10966;top:55637;height:959;width:1377;" fillcolor="#FFFFFF [3201]" filled="t" stroked="t" coordsize="21600,21600" o:gfxdata="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hVL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440" w:lineRule="exact"/>
                              <w:jc w:val="center"/>
                              <w:rPr>
                                <w:rFonts w:hint="eastAsia"/>
                              </w:rPr>
                            </w:pPr>
                            <w:r>
                              <w:rPr>
                                <w:rFonts w:hint="eastAsia"/>
                              </w:rPr>
                              <w:t>相关图件</w:t>
                            </w:r>
                          </w:p>
                          <w:p>
                            <w:pPr>
                              <w:spacing w:line="440" w:lineRule="exact"/>
                              <w:jc w:val="center"/>
                            </w:pPr>
                            <w:r>
                              <w:rPr>
                                <w:rFonts w:hint="eastAsia"/>
                              </w:rPr>
                              <w:t>资料收集</w:t>
                            </w:r>
                          </w:p>
                        </w:txbxContent>
                      </v:textbox>
                    </v:shape>
                  </v:group>
                  <v:shape id="_x0000_s1026" o:spid="_x0000_s1026" o:spt="202" type="#_x0000_t202" style="position:absolute;left:5655;top:58462;height:803;width:2428;" fillcolor="#FFFFFF [3201]" filled="t" stroked="t" coordsize="21600,21600" o:gfxdata="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6Z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rPr>
                          </w:pPr>
                          <w:r>
                            <w:rPr>
                              <w:rFonts w:hint="eastAsia"/>
                            </w:rPr>
                            <w:t>以规划确定</w:t>
                          </w:r>
                        </w:p>
                        <w:p>
                          <w:pPr>
                            <w:jc w:val="center"/>
                            <w:rPr>
                              <w:rFonts w:hint="default" w:eastAsiaTheme="minorEastAsia"/>
                              <w:lang w:val="en-US" w:eastAsia="zh-CN"/>
                            </w:rPr>
                          </w:pPr>
                          <w:r>
                            <w:rPr>
                              <w:rFonts w:hint="eastAsia"/>
                            </w:rPr>
                            <w:t>单元划</w:t>
                          </w:r>
                          <w:r>
                            <w:rPr>
                              <w:rFonts w:hint="eastAsia"/>
                              <w:lang w:val="en-US" w:eastAsia="zh-CN"/>
                            </w:rPr>
                            <w:t>分片区</w:t>
                          </w:r>
                        </w:p>
                      </w:txbxContent>
                    </v:textbox>
                  </v:shape>
                  <v:shape id="_x0000_s1026" o:spid="_x0000_s1026" o:spt="32" type="#_x0000_t32" style="position:absolute;left:6804;top:55360;flip:x;height:447;width:9;" filled="f" stroked="t" coordsize="21600,21600" o:gfxdata="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DcK7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line id="_x0000_s1026" o:spid="_x0000_s1026" o:spt="20" style="position:absolute;left:4330;top:55807;height:9;width:5169;" filled="f" stroked="t" coordsize="21600,21600" o:gfxdata="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P8E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32" type="#_x0000_t32" style="position:absolute;left:4329;top:55822;flip:x;height:447;width:9;" filled="f" stroked="t" coordsize="21600,21600" o:gfxdata="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vRvC/&#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6000;top:55822;flip:x;height:447;width:9;" filled="f" stroked="t" coordsize="21600,21600" o:gfxdata="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j42u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32" type="#_x0000_t32" style="position:absolute;left:7698;top:55822;flip:x;height:447;width:9;" filled="f" stroked="t" coordsize="21600,21600" o:gfxdata="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8dxm/&#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9489;top:55813;flip:x;height:447;width:9;" filled="f" stroked="t" coordsize="21600,21600" o:gfxdata="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DSgr4A&#10;AADb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32" type="#_x0000_t32" style="position:absolute;left:4356;top:57327;flip:x;height:447;width:9;" filled="f" stroked="t" coordsize="21600,21600" o:gfxdata="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V722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32" type="#_x0000_t32" style="position:absolute;left:6027;top:57327;flip:x;height:447;width:9;" filled="f" stroked="t" coordsize="21600,21600" o:gfxdata="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DjE2/&#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7725;top:57327;flip:x;height:447;width:9;" filled="f" stroked="t" coordsize="21600,21600" o:gfxdata="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PKda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32" type="#_x0000_t32" style="position:absolute;left:9516;top:57318;flip:x;height:447;width:9;" filled="f" stroked="t" coordsize="21600,21600" o:gfxdata="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QvaS/&#10;AAAA2w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6877;top:57779;height:692;width:9;" filled="f" stroked="t" coordsize="21600,21600" o:gfxdata="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2nd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6868;top:59266;height:692;width:9;" filled="f" stroked="t" coordsize="21600,21600" o:gfxdata="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dUjG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group>
              </v:group>
            </w:pict>
          </mc:Fallback>
        </mc:AlternateContent>
      </w:r>
      <w:r>
        <w:rPr>
          <w:rFonts w:hint="eastAsia" w:ascii="仿宋" w:hAnsi="仿宋" w:eastAsia="仿宋" w:cs="仿宋"/>
          <w:b/>
          <w:bCs/>
          <w:sz w:val="28"/>
          <w:szCs w:val="28"/>
          <w:lang w:val="en-US" w:eastAsia="zh-CN"/>
        </w:rPr>
        <w:br w:type="page"/>
      </w:r>
    </w:p>
    <w:p>
      <w:pPr>
        <w:numPr>
          <w:ilvl w:val="0"/>
          <w:numId w:val="1"/>
        </w:numPr>
        <w:ind w:left="225" w:leftChars="0" w:hanging="225" w:firstLineChars="0"/>
        <w:jc w:val="center"/>
        <w:outlineLvl w:val="0"/>
        <w:rPr>
          <w:rFonts w:hint="eastAsia" w:ascii="仿宋" w:hAnsi="仿宋" w:eastAsia="仿宋" w:cs="仿宋"/>
          <w:b/>
          <w:bCs/>
          <w:sz w:val="32"/>
          <w:szCs w:val="32"/>
          <w:lang w:val="en-US" w:eastAsia="zh-CN"/>
        </w:rPr>
      </w:pPr>
      <w:bookmarkStart w:id="10" w:name="_Toc14915"/>
      <w:bookmarkStart w:id="11" w:name="_Toc29513"/>
      <w:r>
        <w:rPr>
          <w:rFonts w:hint="eastAsia" w:ascii="仿宋" w:hAnsi="仿宋" w:eastAsia="仿宋" w:cs="仿宋"/>
          <w:b/>
          <w:bCs/>
          <w:sz w:val="32"/>
          <w:szCs w:val="32"/>
          <w:lang w:val="en-US" w:eastAsia="zh-CN"/>
        </w:rPr>
        <w:t>镇平县基本概况</w:t>
      </w:r>
      <w:bookmarkEnd w:id="10"/>
      <w:bookmarkEnd w:id="11"/>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12" w:name="_Toc23597"/>
      <w:bookmarkStart w:id="13" w:name="_Toc31874"/>
      <w:r>
        <w:rPr>
          <w:rFonts w:hint="eastAsia" w:ascii="仿宋" w:hAnsi="仿宋" w:eastAsia="仿宋" w:cs="仿宋"/>
          <w:b/>
          <w:bCs/>
          <w:sz w:val="28"/>
          <w:szCs w:val="28"/>
          <w:lang w:val="en-US" w:eastAsia="zh-CN"/>
        </w:rPr>
        <w:t>区域特征</w:t>
      </w:r>
      <w:bookmarkEnd w:id="12"/>
      <w:bookmarkEnd w:id="13"/>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14" w:name="_Toc24307"/>
      <w:r>
        <w:rPr>
          <w:rFonts w:hint="eastAsia" w:ascii="仿宋" w:hAnsi="仿宋" w:eastAsia="仿宋" w:cs="仿宋"/>
          <w:b/>
          <w:bCs/>
          <w:sz w:val="28"/>
          <w:szCs w:val="28"/>
          <w:lang w:val="en-US" w:eastAsia="zh-CN"/>
        </w:rPr>
        <w:t>区域优势</w:t>
      </w:r>
      <w:bookmarkEnd w:id="14"/>
    </w:p>
    <w:p>
      <w:p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镇平县位于河南省西南部，南阳市区西侧，位于南阳半小时城市圈内，伏牛山支脉五垛山南麓，南阳盆地西北侧。镇平县介于东经111°58′~112°25′，北纬32°51′~33°02′之间，全境南北长约54.2公里，东西宽近42.3公里，全县土地总面积1493.96平方公里。镇平东依南阳市卧龙区，南毗邓州市，西与内乡县为邻，北连南召县。县政府驻地在县域中部的涅阳街道，东距南阳中心城区30公里，南距湖北襄樊市区110公里。</w:t>
      </w:r>
    </w:p>
    <w:p>
      <w:pPr>
        <w:pStyle w:val="2"/>
        <w:ind w:firstLine="0" w:firstLineChars="0"/>
        <w:jc w:val="center"/>
        <w:rPr>
          <w:rFonts w:hint="eastAsia" w:ascii="仿宋" w:hAnsi="仿宋" w:eastAsia="仿宋" w:cs="仿宋"/>
        </w:rPr>
      </w:pPr>
      <w:r>
        <w:rPr>
          <w:rFonts w:hint="eastAsia" w:ascii="仿宋" w:hAnsi="仿宋" w:eastAsia="仿宋" w:cs="仿宋"/>
        </w:rPr>
        <w:drawing>
          <wp:inline distT="0" distB="0" distL="114300" distR="114300">
            <wp:extent cx="5629275" cy="3609975"/>
            <wp:effectExtent l="0" t="0" r="9525" b="1905"/>
            <wp:docPr id="1" name="图片 1" descr="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区位图"/>
                    <pic:cNvPicPr>
                      <a:picLocks noChangeAspect="1"/>
                    </pic:cNvPicPr>
                  </pic:nvPicPr>
                  <pic:blipFill>
                    <a:blip r:embed="rId7"/>
                    <a:stretch>
                      <a:fillRect/>
                    </a:stretch>
                  </pic:blipFill>
                  <pic:spPr>
                    <a:xfrm>
                      <a:off x="0" y="0"/>
                      <a:ext cx="5629275" cy="3609975"/>
                    </a:xfrm>
                    <a:prstGeom prst="rect">
                      <a:avLst/>
                    </a:prstGeom>
                    <a:noFill/>
                    <a:ln>
                      <a:noFill/>
                    </a:ln>
                  </pic:spPr>
                </pic:pic>
              </a:graphicData>
            </a:graphic>
          </wp:inline>
        </w:drawing>
      </w:r>
    </w:p>
    <w:p>
      <w:pPr>
        <w:adjustRightInd w:val="0"/>
        <w:snapToGrid w:val="0"/>
        <w:jc w:val="center"/>
        <w:rPr>
          <w:rFonts w:hint="eastAsia" w:ascii="仿宋" w:hAnsi="仿宋" w:eastAsia="仿宋" w:cs="仿宋"/>
          <w:b/>
          <w:bCs/>
          <w:color w:val="auto"/>
          <w:sz w:val="24"/>
          <w:szCs w:val="28"/>
        </w:rPr>
      </w:pPr>
      <w:r>
        <w:rPr>
          <w:rFonts w:hint="eastAsia" w:ascii="仿宋" w:hAnsi="仿宋" w:eastAsia="仿宋" w:cs="仿宋"/>
          <w:b/>
          <w:bCs/>
          <w:color w:val="auto"/>
          <w:sz w:val="24"/>
          <w:szCs w:val="28"/>
        </w:rPr>
        <w:t>图2-1 镇平县区位图</w:t>
      </w:r>
    </w:p>
    <w:p>
      <w:pPr>
        <w:numPr>
          <w:ilvl w:val="2"/>
          <w:numId w:val="1"/>
        </w:numPr>
        <w:ind w:left="948" w:leftChars="0" w:hanging="728" w:firstLineChars="0"/>
        <w:outlineLvl w:val="2"/>
        <w:rPr>
          <w:rFonts w:hint="eastAsia" w:ascii="仿宋" w:hAnsi="仿宋" w:eastAsia="仿宋" w:cs="仿宋"/>
          <w:b/>
          <w:bCs/>
          <w:color w:val="auto"/>
          <w:sz w:val="28"/>
          <w:szCs w:val="28"/>
          <w:lang w:val="en-US" w:eastAsia="zh-CN"/>
        </w:rPr>
      </w:pPr>
      <w:bookmarkStart w:id="15" w:name="_Toc2308"/>
      <w:r>
        <w:rPr>
          <w:rFonts w:hint="eastAsia" w:ascii="仿宋" w:hAnsi="仿宋" w:eastAsia="仿宋" w:cs="仿宋"/>
          <w:b/>
          <w:bCs/>
          <w:color w:val="auto"/>
          <w:sz w:val="28"/>
          <w:szCs w:val="28"/>
          <w:lang w:val="en-US" w:eastAsia="zh-CN"/>
        </w:rPr>
        <w:t>交通优势</w:t>
      </w:r>
      <w:bookmarkEnd w:id="15"/>
    </w:p>
    <w:p>
      <w:pPr>
        <w:adjustRightInd w:val="0"/>
        <w:snapToGrid w:val="0"/>
        <w:spacing w:line="360" w:lineRule="auto"/>
        <w:ind w:firstLine="560" w:firstLineChars="200"/>
        <w:rPr>
          <w:rFonts w:eastAsia="仿宋"/>
          <w:sz w:val="28"/>
          <w:szCs w:val="28"/>
        </w:rPr>
      </w:pPr>
      <w:r>
        <w:rPr>
          <w:rFonts w:eastAsia="仿宋"/>
          <w:sz w:val="28"/>
          <w:szCs w:val="28"/>
        </w:rPr>
        <w:t>宁西铁路、沪陕高速横贯东西，焦枝铁路、二广高速公路纵贯南北，东距南阳机场30公里，距郑万高铁40公里，公铁空立体交通优势明显，被纳入南阳市中心城区“半小时经济圈”，郑州一小时高铁圈。</w:t>
      </w:r>
    </w:p>
    <w:p>
      <w:pPr>
        <w:widowControl/>
        <w:jc w:val="center"/>
        <w:rPr>
          <w:kern w:val="0"/>
          <w:sz w:val="24"/>
          <w:szCs w:val="24"/>
        </w:rPr>
      </w:pPr>
      <w:r>
        <w:rPr>
          <w:kern w:val="0"/>
          <w:sz w:val="24"/>
          <w:szCs w:val="24"/>
        </w:rPr>
        <w:fldChar w:fldCharType="begin"/>
      </w:r>
      <w:r>
        <w:rPr>
          <w:kern w:val="0"/>
          <w:sz w:val="24"/>
          <w:szCs w:val="24"/>
        </w:rPr>
        <w:instrText xml:space="preserve"> INCLUDEPICTURE "C:\\Users\\LENOVO\\AppData\\Roaming\\Tencent\\Users\\120676504\\QQ\\WinTemp\\RichOle\\`J_$XU}M]K`QX1A89$BPR7X.png" \* MERGEFORMATINET </w:instrText>
      </w:r>
      <w:r>
        <w:rPr>
          <w:kern w:val="0"/>
          <w:sz w:val="24"/>
          <w:szCs w:val="24"/>
        </w:rPr>
        <w:fldChar w:fldCharType="separate"/>
      </w:r>
      <w:r>
        <w:rPr>
          <w:kern w:val="0"/>
          <w:sz w:val="24"/>
          <w:szCs w:val="24"/>
        </w:rPr>
        <w:drawing>
          <wp:inline distT="0" distB="0" distL="114300" distR="114300">
            <wp:extent cx="5681980" cy="5523865"/>
            <wp:effectExtent l="0" t="0" r="2540" b="8255"/>
            <wp:docPr id="2" name="图片 2" descr="`J_$XU}M]K`QX1A89$BPR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_$XU}M]K`QX1A89$BPR7X"/>
                    <pic:cNvPicPr>
                      <a:picLocks noChangeAspect="1"/>
                    </pic:cNvPicPr>
                  </pic:nvPicPr>
                  <pic:blipFill>
                    <a:blip r:embed="rId8"/>
                    <a:srcRect t="3763" b="1421"/>
                    <a:stretch>
                      <a:fillRect/>
                    </a:stretch>
                  </pic:blipFill>
                  <pic:spPr>
                    <a:xfrm>
                      <a:off x="0" y="0"/>
                      <a:ext cx="5681980" cy="5523865"/>
                    </a:xfrm>
                    <a:prstGeom prst="rect">
                      <a:avLst/>
                    </a:prstGeom>
                    <a:noFill/>
                    <a:ln>
                      <a:noFill/>
                    </a:ln>
                  </pic:spPr>
                </pic:pic>
              </a:graphicData>
            </a:graphic>
          </wp:inline>
        </w:drawing>
      </w:r>
      <w:r>
        <w:rPr>
          <w:kern w:val="0"/>
          <w:sz w:val="24"/>
          <w:szCs w:val="24"/>
        </w:rPr>
        <w:fldChar w:fldCharType="end"/>
      </w:r>
    </w:p>
    <w:p>
      <w:pPr>
        <w:adjustRightInd w:val="0"/>
        <w:snapToGrid w:val="0"/>
        <w:jc w:val="center"/>
        <w:rPr>
          <w:rFonts w:eastAsia="楷体"/>
          <w:b/>
          <w:bCs/>
          <w:sz w:val="24"/>
          <w:szCs w:val="28"/>
        </w:rPr>
      </w:pPr>
      <w:r>
        <w:rPr>
          <w:rFonts w:eastAsia="楷体"/>
          <w:b/>
          <w:bCs/>
          <w:sz w:val="24"/>
          <w:szCs w:val="28"/>
        </w:rPr>
        <w:t>图2-2 镇平县对外交通图</w:t>
      </w: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16" w:name="_Toc28627"/>
      <w:r>
        <w:rPr>
          <w:rFonts w:hint="eastAsia" w:ascii="仿宋" w:hAnsi="仿宋" w:eastAsia="仿宋" w:cs="仿宋"/>
          <w:b/>
          <w:bCs/>
          <w:sz w:val="28"/>
          <w:szCs w:val="28"/>
          <w:lang w:val="en-US" w:eastAsia="zh-CN"/>
        </w:rPr>
        <w:t>地形复杂</w:t>
      </w:r>
      <w:bookmarkEnd w:id="16"/>
    </w:p>
    <w:p>
      <w:pPr>
        <w:adjustRightInd w:val="0"/>
        <w:snapToGrid w:val="0"/>
        <w:spacing w:line="360" w:lineRule="auto"/>
        <w:ind w:firstLine="560" w:firstLineChars="200"/>
        <w:rPr>
          <w:rFonts w:eastAsia="仿宋"/>
          <w:sz w:val="28"/>
          <w:szCs w:val="28"/>
        </w:rPr>
      </w:pPr>
      <w:r>
        <w:rPr>
          <w:rFonts w:eastAsia="仿宋"/>
          <w:sz w:val="28"/>
          <w:szCs w:val="28"/>
        </w:rPr>
        <w:t>镇平县属于秦岭褶皱山系的东延部。地势北高南低，山区、丘陵、平原呈明显的阶梯状分布，海拔在1665米到128米之间，相对高差1537米。县境可划分为3个地貌单元：北部低山丘陵区，山势绵延起伏，沟壑交错；中部垄岗区，山岗洼地相间；南部平原区，地势平坦。低山丘陵、垄岗、平原分别占全县总面积的27.0%、37.7%和35.3%。</w:t>
      </w:r>
    </w:p>
    <w:p>
      <w:pPr>
        <w:adjustRightInd w:val="0"/>
        <w:snapToGrid w:val="0"/>
        <w:spacing w:line="360" w:lineRule="auto"/>
        <w:ind w:firstLine="562" w:firstLineChars="200"/>
        <w:rPr>
          <w:rFonts w:eastAsia="仿宋"/>
          <w:sz w:val="28"/>
          <w:szCs w:val="28"/>
        </w:rPr>
      </w:pPr>
      <w:r>
        <w:rPr>
          <w:rFonts w:eastAsia="仿宋"/>
          <w:b/>
          <w:sz w:val="28"/>
          <w:szCs w:val="28"/>
        </w:rPr>
        <w:t>低山丘陵：</w:t>
      </w:r>
      <w:r>
        <w:rPr>
          <w:rFonts w:eastAsia="仿宋"/>
          <w:sz w:val="28"/>
          <w:szCs w:val="28"/>
        </w:rPr>
        <w:t>主要分布于县境北部，包括二龙乡全部，高丘镇和老庄镇大部分及石佛寺镇、玉都街道、雪枫街道和柳泉铺镇各有一小部分。海拔高度一般在300～1000米之间，个别山峰超过1000米，主峰五垛山海拔高度1665米，是伏牛山延伸到县境的最高点。由于北部山区地形复杂，耕地较少。北部森林旅游资源丰富，适于发展生态旅游业和林果种植业。</w:t>
      </w:r>
    </w:p>
    <w:p>
      <w:pPr>
        <w:adjustRightInd w:val="0"/>
        <w:snapToGrid w:val="0"/>
        <w:spacing w:line="360" w:lineRule="auto"/>
        <w:ind w:firstLine="562" w:firstLineChars="200"/>
        <w:rPr>
          <w:rFonts w:eastAsia="仿宋"/>
          <w:sz w:val="28"/>
          <w:szCs w:val="28"/>
        </w:rPr>
      </w:pPr>
      <w:r>
        <w:rPr>
          <w:rFonts w:eastAsia="仿宋"/>
          <w:b/>
          <w:sz w:val="28"/>
          <w:szCs w:val="28"/>
        </w:rPr>
        <w:t>垄岗：</w:t>
      </w:r>
      <w:r>
        <w:rPr>
          <w:rFonts w:eastAsia="仿宋"/>
          <w:sz w:val="28"/>
          <w:szCs w:val="28"/>
        </w:rPr>
        <w:t>位于县境中部，其北部与低山丘陵相接，包括卢医镇、枣园镇、王岗乡全部，曲屯镇、玉都街道、遮山镇、柳泉铺镇和石佛寺镇的大部及晁陂镇、雪枫街道、老庄镇、高丘镇的一部分。海拔高度一般在100～300米之间，相对高差一般在10～30米之间。另外，县境东南与西南各有1座孤山，东南为遮山，海拔360米；西南为先主山，海拔334米。中部垄岗地区南部与平原交接地带是镇平县交通、产业和城镇的密集地区。</w:t>
      </w:r>
    </w:p>
    <w:p>
      <w:pPr>
        <w:adjustRightInd w:val="0"/>
        <w:snapToGrid w:val="0"/>
        <w:spacing w:line="360" w:lineRule="auto"/>
        <w:ind w:firstLine="562" w:firstLineChars="200"/>
        <w:rPr>
          <w:rFonts w:eastAsia="仿宋"/>
          <w:sz w:val="28"/>
          <w:szCs w:val="28"/>
        </w:rPr>
      </w:pPr>
      <w:r>
        <w:rPr>
          <w:rFonts w:eastAsia="仿宋"/>
          <w:b/>
          <w:sz w:val="28"/>
          <w:szCs w:val="28"/>
        </w:rPr>
        <w:t>平原：</w:t>
      </w:r>
      <w:r>
        <w:rPr>
          <w:rFonts w:eastAsia="仿宋"/>
          <w:sz w:val="28"/>
          <w:szCs w:val="28"/>
        </w:rPr>
        <w:t>境内平原多为冲积平原和低洼湖平原，两者交错相间。冲积平原主要分布在赵河沿岸，其次分布于严陵河、潦河、淇河等河流沿岸，由河漫滩与一、二级阶地组成。地势较平坦，南部为低洼湖积平原。平原是农业综合开发的优质用地，主要分布在境内的南部地区，包括张林、郭庄、彭营、安字营、侯集、杨营、贾宋、马庄等8个乡镇及遮山镇、柳泉铺镇、玉都街道、雪枫街道、曲屯镇和晁陂镇的一部分。</w:t>
      </w:r>
    </w:p>
    <w:p>
      <w:pPr>
        <w:pStyle w:val="2"/>
        <w:ind w:firstLine="0" w:firstLineChars="0"/>
        <w:jc w:val="center"/>
      </w:pPr>
      <w:r>
        <w:drawing>
          <wp:inline distT="0" distB="0" distL="114300" distR="114300">
            <wp:extent cx="5070475" cy="5861685"/>
            <wp:effectExtent l="0" t="0" r="444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l="540" t="468" r="270"/>
                    <a:stretch>
                      <a:fillRect/>
                    </a:stretch>
                  </pic:blipFill>
                  <pic:spPr>
                    <a:xfrm>
                      <a:off x="0" y="0"/>
                      <a:ext cx="5070475" cy="5861685"/>
                    </a:xfrm>
                    <a:prstGeom prst="rect">
                      <a:avLst/>
                    </a:prstGeom>
                    <a:noFill/>
                    <a:ln>
                      <a:noFill/>
                    </a:ln>
                  </pic:spPr>
                </pic:pic>
              </a:graphicData>
            </a:graphic>
          </wp:inline>
        </w:drawing>
      </w:r>
    </w:p>
    <w:p>
      <w:pPr>
        <w:numPr>
          <w:ilvl w:val="0"/>
          <w:numId w:val="0"/>
        </w:numPr>
        <w:jc w:val="center"/>
        <w:rPr>
          <w:rFonts w:hint="eastAsia" w:ascii="仿宋" w:hAnsi="仿宋" w:eastAsia="仿宋" w:cs="仿宋"/>
          <w:b/>
          <w:bCs/>
          <w:sz w:val="28"/>
          <w:szCs w:val="28"/>
          <w:lang w:val="en-US" w:eastAsia="zh-CN"/>
        </w:rPr>
      </w:pPr>
      <w:r>
        <w:rPr>
          <w:rFonts w:eastAsia="楷体"/>
          <w:b/>
          <w:bCs/>
          <w:sz w:val="24"/>
          <w:szCs w:val="28"/>
        </w:rPr>
        <w:t>图2-3 镇平县地形地貌图</w:t>
      </w:r>
    </w:p>
    <w:p>
      <w:pPr>
        <w:pStyle w:val="2"/>
        <w:ind w:firstLine="0" w:firstLineChars="0"/>
        <w:jc w:val="center"/>
      </w:pP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17" w:name="_Toc16592"/>
      <w:r>
        <w:rPr>
          <w:rFonts w:hint="eastAsia" w:ascii="仿宋" w:hAnsi="仿宋" w:eastAsia="仿宋" w:cs="仿宋"/>
          <w:b/>
          <w:bCs/>
          <w:sz w:val="28"/>
          <w:szCs w:val="28"/>
          <w:lang w:val="en-US" w:eastAsia="zh-CN"/>
        </w:rPr>
        <w:t>气候怡人</w:t>
      </w:r>
      <w:bookmarkEnd w:id="17"/>
    </w:p>
    <w:p>
      <w:pPr>
        <w:adjustRightInd w:val="0"/>
        <w:snapToGrid w:val="0"/>
        <w:spacing w:line="360" w:lineRule="auto"/>
        <w:ind w:firstLine="560" w:firstLineChars="200"/>
        <w:rPr>
          <w:rFonts w:eastAsia="仿宋"/>
          <w:kern w:val="0"/>
          <w:sz w:val="28"/>
          <w:szCs w:val="28"/>
        </w:rPr>
      </w:pPr>
      <w:r>
        <w:rPr>
          <w:rFonts w:eastAsia="仿宋"/>
          <w:kern w:val="0"/>
          <w:sz w:val="28"/>
          <w:szCs w:val="28"/>
        </w:rPr>
        <w:t>镇平位于北亚热带北部边缘</w:t>
      </w:r>
      <w:r>
        <w:rPr>
          <w:rFonts w:eastAsia="仿宋"/>
          <w:sz w:val="28"/>
          <w:szCs w:val="28"/>
        </w:rPr>
        <w:t>地区</w:t>
      </w:r>
      <w:r>
        <w:rPr>
          <w:rFonts w:eastAsia="仿宋"/>
          <w:kern w:val="0"/>
          <w:sz w:val="28"/>
          <w:szCs w:val="28"/>
        </w:rPr>
        <w:t>，具有明显的大陆性季风气候特征，温暖湿润，四季分明。</w:t>
      </w:r>
      <w:r>
        <w:rPr>
          <w:rFonts w:eastAsia="仿宋"/>
          <w:sz w:val="28"/>
          <w:szCs w:val="28"/>
        </w:rPr>
        <w:t>春季</w:t>
      </w:r>
      <w:r>
        <w:rPr>
          <w:rFonts w:eastAsia="仿宋"/>
          <w:kern w:val="0"/>
          <w:sz w:val="28"/>
          <w:szCs w:val="28"/>
        </w:rPr>
        <w:t>（3~5月）气候多变，平均气温15.1℃，最低气温9.1℃（3月），最高气温20.9℃（5月）。夏季（6~8月）气候炎热，平均气温在26.9℃以上，最高气温达39℃。秋季（9~11月）由于副热带高压的南撤，北方冷空气逐渐南下，气温明显下降，季均气温15.6℃。有“一场秋雨一场寒”的说法，反映秋季过渡性的特点。冬季（12月~2月）冷空气活动频繁，气温下降，季均气温2.7℃，极端最低气温-14.7℃。空气较干燥，降水量小，季均26.6mm。</w:t>
      </w: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18" w:name="_Toc24654"/>
      <w:r>
        <w:rPr>
          <w:rFonts w:hint="eastAsia" w:ascii="仿宋" w:hAnsi="仿宋" w:eastAsia="仿宋" w:cs="仿宋"/>
          <w:b/>
          <w:bCs/>
          <w:sz w:val="28"/>
          <w:szCs w:val="28"/>
          <w:lang w:val="en-US" w:eastAsia="zh-CN"/>
        </w:rPr>
        <w:t>水系及水文</w:t>
      </w:r>
      <w:bookmarkEnd w:id="18"/>
    </w:p>
    <w:p>
      <w:pPr>
        <w:adjustRightInd w:val="0"/>
        <w:snapToGrid w:val="0"/>
        <w:spacing w:line="360" w:lineRule="auto"/>
        <w:ind w:firstLine="562" w:firstLineChars="200"/>
        <w:rPr>
          <w:rFonts w:eastAsia="仿宋"/>
          <w:sz w:val="28"/>
          <w:szCs w:val="28"/>
        </w:rPr>
      </w:pPr>
      <w:r>
        <w:rPr>
          <w:rFonts w:eastAsia="仿宋"/>
          <w:b/>
          <w:sz w:val="28"/>
          <w:szCs w:val="28"/>
        </w:rPr>
        <w:t>河流：</w:t>
      </w:r>
      <w:r>
        <w:rPr>
          <w:rFonts w:eastAsia="仿宋"/>
          <w:sz w:val="28"/>
          <w:szCs w:val="28"/>
        </w:rPr>
        <w:t>镇平地势北高南低，地表河流流向均由北向南，从西至东有严陵河、赵河、潦河三条主要河流。境内河流属长江流域唐白河水系，均为典型的季节性河流，汛期暴涨暴落，易决堤成灾，而冬春两季枯水期流量甚微。多年平均流量3.45亿立方米，偏枯年流量为1.93亿立方米。</w:t>
      </w:r>
    </w:p>
    <w:p>
      <w:pPr>
        <w:adjustRightInd w:val="0"/>
        <w:snapToGrid w:val="0"/>
        <w:spacing w:line="360" w:lineRule="auto"/>
        <w:ind w:firstLine="560" w:firstLineChars="200"/>
        <w:rPr>
          <w:rFonts w:eastAsia="仿宋"/>
          <w:sz w:val="28"/>
          <w:szCs w:val="28"/>
        </w:rPr>
      </w:pPr>
      <w:r>
        <w:rPr>
          <w:rFonts w:eastAsia="仿宋"/>
          <w:sz w:val="28"/>
          <w:szCs w:val="28"/>
        </w:rPr>
        <w:t>赵河是镇平县最大的常年河，境内河流长73公里，流域面积557平方公里汛期最大流量1110立方米/秒，主河道上游有国家大Ⅱ型赵湾水库。严陵河是县内第二大常年河，境内河流长57公里，流域面积285平方公里，其上游有一座高丘中型水库。潦河境内流长54公里，流域面积337平方公里，该河在老庄镇有陡坡中型水库。三座大中型水库均是以防洪、灌溉为主，结合城市供水及水产养殖等综合利用的水利枢纽工程。</w:t>
      </w:r>
    </w:p>
    <w:p>
      <w:pPr>
        <w:adjustRightInd w:val="0"/>
        <w:snapToGrid w:val="0"/>
        <w:jc w:val="center"/>
        <w:rPr>
          <w:rFonts w:eastAsia="楷体"/>
          <w:b/>
          <w:bCs/>
          <w:sz w:val="24"/>
          <w:szCs w:val="28"/>
        </w:rPr>
      </w:pPr>
      <w:r>
        <w:rPr>
          <w:rFonts w:eastAsia="楷体"/>
          <w:b/>
          <w:bCs/>
          <w:sz w:val="24"/>
          <w:szCs w:val="28"/>
        </w:rPr>
        <w:t>表2-1 镇平县主要河流基本情况</w:t>
      </w:r>
    </w:p>
    <w:tbl>
      <w:tblPr>
        <w:tblStyle w:val="9"/>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9"/>
        <w:gridCol w:w="2229"/>
        <w:gridCol w:w="1724"/>
        <w:gridCol w:w="1478"/>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0" w:hRule="atLeast"/>
          <w:jc w:val="center"/>
        </w:trPr>
        <w:tc>
          <w:tcPr>
            <w:tcW w:w="9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河流名称</w:t>
            </w:r>
          </w:p>
        </w:tc>
        <w:tc>
          <w:tcPr>
            <w:tcW w:w="22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发源地</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境内流长</w:t>
            </w:r>
          </w:p>
          <w:p>
            <w:pPr>
              <w:pStyle w:val="14"/>
              <w:rPr>
                <w:rFonts w:hint="eastAsia" w:ascii="仿宋" w:hAnsi="仿宋" w:eastAsia="仿宋" w:cs="仿宋"/>
                <w:b w:val="0"/>
                <w:bCs/>
                <w:sz w:val="24"/>
                <w:szCs w:val="28"/>
              </w:rPr>
            </w:pPr>
            <w:r>
              <w:rPr>
                <w:rFonts w:hint="eastAsia" w:ascii="仿宋" w:hAnsi="仿宋" w:eastAsia="仿宋" w:cs="仿宋"/>
                <w:b w:val="0"/>
                <w:bCs/>
                <w:sz w:val="24"/>
                <w:szCs w:val="28"/>
              </w:rPr>
              <w:t>(km)</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境内流域面积</w:t>
            </w:r>
          </w:p>
        </w:tc>
        <w:tc>
          <w:tcPr>
            <w:tcW w:w="181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汛期最大流量(m³/s)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0" w:hRule="atLeast"/>
          <w:jc w:val="center"/>
        </w:trPr>
        <w:tc>
          <w:tcPr>
            <w:tcW w:w="9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赵河</w:t>
            </w:r>
          </w:p>
        </w:tc>
        <w:tc>
          <w:tcPr>
            <w:tcW w:w="22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五垛山南麓二龙乡的红云寺</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73</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557</w:t>
            </w:r>
          </w:p>
        </w:tc>
        <w:tc>
          <w:tcPr>
            <w:tcW w:w="181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9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严陵河</w:t>
            </w:r>
          </w:p>
        </w:tc>
        <w:tc>
          <w:tcPr>
            <w:tcW w:w="22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高丘镇尖顶山南麓</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57</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285</w:t>
            </w:r>
          </w:p>
        </w:tc>
        <w:tc>
          <w:tcPr>
            <w:tcW w:w="181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98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潦河</w:t>
            </w:r>
          </w:p>
        </w:tc>
        <w:tc>
          <w:tcPr>
            <w:tcW w:w="2229"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南召县白草垛</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54</w:t>
            </w:r>
          </w:p>
        </w:tc>
        <w:tc>
          <w:tcPr>
            <w:tcW w:w="147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337</w:t>
            </w:r>
          </w:p>
        </w:tc>
        <w:tc>
          <w:tcPr>
            <w:tcW w:w="1818" w:type="dxa"/>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仿宋" w:hAnsi="仿宋" w:eastAsia="仿宋" w:cs="仿宋"/>
                <w:b w:val="0"/>
                <w:bCs/>
                <w:sz w:val="24"/>
                <w:szCs w:val="28"/>
              </w:rPr>
            </w:pPr>
            <w:r>
              <w:rPr>
                <w:rFonts w:hint="eastAsia" w:ascii="仿宋" w:hAnsi="仿宋" w:eastAsia="仿宋" w:cs="仿宋"/>
                <w:b w:val="0"/>
                <w:bCs/>
                <w:sz w:val="24"/>
                <w:szCs w:val="28"/>
              </w:rPr>
              <w:t>-</w:t>
            </w:r>
          </w:p>
        </w:tc>
      </w:tr>
    </w:tbl>
    <w:p>
      <w:pPr>
        <w:adjustRightInd w:val="0"/>
        <w:snapToGrid w:val="0"/>
        <w:spacing w:line="360" w:lineRule="auto"/>
        <w:ind w:firstLine="560" w:firstLineChars="200"/>
        <w:rPr>
          <w:rFonts w:eastAsia="仿宋"/>
          <w:sz w:val="28"/>
          <w:szCs w:val="28"/>
        </w:rPr>
      </w:pPr>
    </w:p>
    <w:p>
      <w:pPr>
        <w:adjustRightInd w:val="0"/>
        <w:snapToGrid w:val="0"/>
        <w:spacing w:line="360" w:lineRule="auto"/>
        <w:ind w:firstLine="560" w:firstLineChars="200"/>
        <w:rPr>
          <w:rFonts w:eastAsia="仿宋"/>
          <w:sz w:val="28"/>
          <w:szCs w:val="28"/>
        </w:rPr>
      </w:pPr>
      <w:r>
        <w:rPr>
          <w:rFonts w:eastAsia="仿宋"/>
          <w:sz w:val="28"/>
          <w:szCs w:val="28"/>
        </w:rPr>
        <w:t>全县地下水储量为0.865亿立方米，浅层地下水面积约450平方公里。分布情况是：由赵湾水库向南逐渐展开，沿赵河以西、严陵河以东呈扇形分布，面积310公里；由县城沿西三里河、东三里河、淇河，呈带状向东延伸到草王庄一带，地下水面积80平方公里，流向由西北向东南；严陵河及潦河古河道区地下水面积约60平方公里。</w:t>
      </w:r>
    </w:p>
    <w:p>
      <w:pPr>
        <w:adjustRightInd w:val="0"/>
        <w:snapToGrid w:val="0"/>
        <w:spacing w:line="360" w:lineRule="auto"/>
        <w:ind w:firstLine="560" w:firstLineChars="200"/>
        <w:rPr>
          <w:rFonts w:eastAsia="仿宋"/>
          <w:sz w:val="28"/>
          <w:szCs w:val="28"/>
        </w:rPr>
      </w:pPr>
      <w:r>
        <w:rPr>
          <w:rFonts w:eastAsia="仿宋"/>
          <w:sz w:val="28"/>
          <w:szCs w:val="28"/>
        </w:rPr>
        <w:t>深层地下水面积约380平方公里，其分布情况是：卢医、曲屯、枣园一带，面积118公里；王岗、县城以北、杏花山、遮山一带，面积180平方公里；赵河中游以东、三里河以西的丘陵区和彭营一带面积82平方公里。深层地下水埋深在12m以上，单井涌水量每小时10～20吨。</w:t>
      </w:r>
    </w:p>
    <w:p>
      <w:pPr>
        <w:adjustRightInd w:val="0"/>
        <w:snapToGrid w:val="0"/>
        <w:spacing w:line="360" w:lineRule="auto"/>
        <w:ind w:firstLine="560" w:firstLineChars="200"/>
        <w:rPr>
          <w:rFonts w:eastAsia="仿宋"/>
          <w:sz w:val="28"/>
          <w:szCs w:val="28"/>
        </w:rPr>
      </w:pPr>
      <w:r>
        <w:rPr>
          <w:rFonts w:eastAsia="仿宋"/>
          <w:sz w:val="28"/>
          <w:szCs w:val="28"/>
        </w:rPr>
        <w:t>北部山区，深部主要存在裂隙承压水；中部垄岗区，主要是浅层及深层的地下水；南部平原地区主要是第四系的土层，既透水，又含水，当达一定饱和度时造成涝灾。</w:t>
      </w:r>
    </w:p>
    <w:p>
      <w:pPr>
        <w:adjustRightInd w:val="0"/>
        <w:snapToGrid w:val="0"/>
        <w:spacing w:line="360" w:lineRule="auto"/>
        <w:ind w:firstLine="562" w:firstLineChars="200"/>
        <w:rPr>
          <w:rFonts w:eastAsia="仿宋"/>
          <w:sz w:val="28"/>
          <w:szCs w:val="28"/>
        </w:rPr>
      </w:pPr>
      <w:r>
        <w:rPr>
          <w:rFonts w:eastAsia="仿宋"/>
          <w:b/>
          <w:sz w:val="28"/>
          <w:szCs w:val="28"/>
        </w:rPr>
        <w:t>水库：</w:t>
      </w:r>
      <w:r>
        <w:rPr>
          <w:rFonts w:eastAsia="仿宋"/>
          <w:sz w:val="28"/>
          <w:szCs w:val="28"/>
        </w:rPr>
        <w:t>全县已建大型水库1座，中型水库2座，小型水库16座，农村饮水工程186处，其中乡镇供水工程18处，解决饮水困难14.6万人，并建成了县城水源补给工程。</w:t>
      </w:r>
    </w:p>
    <w:p>
      <w:pPr>
        <w:pStyle w:val="2"/>
        <w:rPr>
          <w:rFonts w:eastAsia="仿宋"/>
          <w:sz w:val="28"/>
          <w:szCs w:val="28"/>
        </w:rPr>
      </w:pPr>
      <w:r>
        <w:rPr>
          <w:rFonts w:eastAsia="仿宋"/>
          <w:b/>
          <w:sz w:val="28"/>
          <w:szCs w:val="28"/>
        </w:rPr>
        <w:t>南水北调：</w:t>
      </w:r>
      <w:r>
        <w:rPr>
          <w:rFonts w:eastAsia="仿宋"/>
          <w:sz w:val="28"/>
          <w:szCs w:val="28"/>
        </w:rPr>
        <w:t>南水北调中线工程总干渠镇平境内涉及马庄、贾宋、张林、候集、安字营、彭营6个乡镇，南水北调中线工程对沿线的生态建设和环境保护提出了更高的要求。</w:t>
      </w: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19" w:name="_Toc8806"/>
      <w:r>
        <w:rPr>
          <w:rFonts w:hint="eastAsia" w:ascii="仿宋" w:hAnsi="仿宋" w:eastAsia="仿宋" w:cs="仿宋"/>
          <w:b/>
          <w:bCs/>
          <w:sz w:val="28"/>
          <w:szCs w:val="28"/>
          <w:lang w:val="en-US" w:eastAsia="zh-CN"/>
        </w:rPr>
        <w:t>矿产资源</w:t>
      </w:r>
      <w:bookmarkEnd w:id="19"/>
    </w:p>
    <w:p>
      <w:pPr>
        <w:adjustRightInd w:val="0"/>
        <w:snapToGrid w:val="0"/>
        <w:spacing w:line="360" w:lineRule="auto"/>
        <w:ind w:firstLine="560" w:firstLineChars="200"/>
        <w:rPr>
          <w:rFonts w:eastAsia="仿宋"/>
          <w:sz w:val="28"/>
          <w:szCs w:val="28"/>
        </w:rPr>
      </w:pPr>
      <w:r>
        <w:rPr>
          <w:rFonts w:eastAsia="仿宋"/>
          <w:sz w:val="28"/>
          <w:szCs w:val="28"/>
        </w:rPr>
        <w:t>镇平县矿产资源比较丰富，金属、非金属矿产皆有分布，其中金属类有金、银、铜、铁、钼等9种，非金属类有石灰石、石墨、硅线石、石榴子石、大理石等10种。石墨远景储量5000吨，储量集中，品质好，可选性强。花岗岩储量16亿立方米，全部为露天矿藏，便于集中开采。石灰石主要分布于柳泉铺至高丘一带长15公里、宽1.5公里的元古界地层中，工业储量总计10509万吨。位于老庄镇楸树湾铜钼矿区的铜金属储量达到10万吨，居全省首位，钼金属储量5.5万吨，居全省第二位。矿产资源主要分布在县域北部地区。</w:t>
      </w:r>
    </w:p>
    <w:p>
      <w:pPr>
        <w:pStyle w:val="2"/>
        <w:rPr>
          <w:rFonts w:hint="eastAsia"/>
          <w:lang w:val="en-US" w:eastAsia="zh-CN"/>
        </w:rPr>
      </w:pPr>
      <w:r>
        <w:rPr>
          <w:rFonts w:eastAsia="仿宋"/>
          <w:sz w:val="28"/>
          <w:szCs w:val="28"/>
        </w:rPr>
        <w:t>镇平县主要矿产资源分布于韩营——柳泉铺以北的山区和岗丘地带，赋矿的底层为秦岭群的郭庄组和雁岭沟组，主要岩性是片岩、片麻岩、白云岩石及大理岩。与成矿关系密切的岩浆岩是燕山期黑云母花岗岩。</w:t>
      </w: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20" w:name="_Toc12957"/>
      <w:r>
        <w:rPr>
          <w:rFonts w:hint="eastAsia" w:ascii="仿宋" w:hAnsi="仿宋" w:eastAsia="仿宋" w:cs="仿宋"/>
          <w:b/>
          <w:bCs/>
          <w:sz w:val="28"/>
          <w:szCs w:val="28"/>
          <w:lang w:val="en-US" w:eastAsia="zh-CN"/>
        </w:rPr>
        <w:t>行政区划及人口</w:t>
      </w:r>
      <w:bookmarkEnd w:id="20"/>
    </w:p>
    <w:p>
      <w:pPr>
        <w:adjustRightInd w:val="0"/>
        <w:snapToGrid w:val="0"/>
        <w:spacing w:line="360" w:lineRule="auto"/>
        <w:ind w:firstLine="560" w:firstLineChars="200"/>
        <w:rPr>
          <w:rFonts w:eastAsia="仿宋"/>
          <w:bCs/>
          <w:sz w:val="28"/>
          <w:szCs w:val="28"/>
        </w:rPr>
      </w:pPr>
      <w:r>
        <w:rPr>
          <w:rFonts w:eastAsia="仿宋"/>
          <w:bCs/>
          <w:sz w:val="28"/>
          <w:szCs w:val="28"/>
        </w:rPr>
        <w:t>镇平县辖3个街道、15个镇、4个乡：玉都街道、涅阳街道、雪枫街道、石佛寺镇、贾宋镇、侯集镇、老庄镇、晁陂镇、曲屯镇、遮山镇、柳泉铺镇、杨营镇、卢医镇、枣园镇、高丘镇、张林镇、安字营镇、彭营镇、二龙乡、郭庄回族乡、王岗乡、马庄乡。</w:t>
      </w:r>
    </w:p>
    <w:p>
      <w:pPr>
        <w:adjustRightInd w:val="0"/>
        <w:snapToGrid w:val="0"/>
        <w:spacing w:line="360" w:lineRule="auto"/>
        <w:ind w:firstLine="560" w:firstLineChars="200"/>
        <w:rPr>
          <w:rFonts w:eastAsia="仿宋"/>
          <w:bCs/>
          <w:sz w:val="28"/>
          <w:szCs w:val="28"/>
        </w:rPr>
      </w:pPr>
      <w:r>
        <w:rPr>
          <w:rFonts w:eastAsia="仿宋"/>
          <w:bCs/>
          <w:sz w:val="28"/>
          <w:szCs w:val="28"/>
        </w:rPr>
        <w:t>根据第七次全国人口普查结果，镇平县全县常住人口82.98万人，城镇化率为46.9%。</w:t>
      </w:r>
    </w:p>
    <w:p>
      <w:pPr>
        <w:adjustRightInd w:val="0"/>
        <w:snapToGrid w:val="0"/>
        <w:spacing w:line="360" w:lineRule="auto"/>
        <w:jc w:val="center"/>
      </w:pPr>
      <w:r>
        <w:drawing>
          <wp:inline distT="0" distB="0" distL="114300" distR="114300">
            <wp:extent cx="3144520" cy="3685540"/>
            <wp:effectExtent l="0" t="0" r="1016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l="613" t="835" r="830"/>
                    <a:stretch>
                      <a:fillRect/>
                    </a:stretch>
                  </pic:blipFill>
                  <pic:spPr>
                    <a:xfrm>
                      <a:off x="0" y="0"/>
                      <a:ext cx="3144520" cy="3685540"/>
                    </a:xfrm>
                    <a:prstGeom prst="rect">
                      <a:avLst/>
                    </a:prstGeom>
                    <a:noFill/>
                    <a:ln>
                      <a:noFill/>
                    </a:ln>
                  </pic:spPr>
                </pic:pic>
              </a:graphicData>
            </a:graphic>
          </wp:inline>
        </w:drawing>
      </w:r>
    </w:p>
    <w:p>
      <w:pPr>
        <w:adjustRightInd w:val="0"/>
        <w:snapToGrid w:val="0"/>
        <w:jc w:val="center"/>
        <w:rPr>
          <w:rFonts w:eastAsia="楷体"/>
          <w:b/>
          <w:bCs/>
          <w:sz w:val="24"/>
          <w:szCs w:val="28"/>
        </w:rPr>
      </w:pPr>
      <w:r>
        <w:rPr>
          <w:rFonts w:eastAsia="楷体"/>
          <w:b/>
          <w:bCs/>
          <w:sz w:val="24"/>
          <w:szCs w:val="28"/>
        </w:rPr>
        <w:t>图2-4 镇平县政区图</w:t>
      </w:r>
    </w:p>
    <w:p>
      <w:pPr>
        <w:pStyle w:val="15"/>
        <w:rPr>
          <w:rFonts w:hint="eastAsia" w:ascii="仿宋" w:hAnsi="仿宋" w:eastAsia="仿宋" w:cs="仿宋"/>
          <w:kern w:val="0"/>
          <w:sz w:val="24"/>
          <w:szCs w:val="24"/>
        </w:rPr>
      </w:pPr>
      <w:r>
        <w:rPr>
          <w:rFonts w:hint="eastAsia" w:ascii="仿宋" w:hAnsi="仿宋" w:eastAsia="仿宋" w:cs="仿宋"/>
          <w:kern w:val="0"/>
          <w:sz w:val="24"/>
          <w:szCs w:val="24"/>
        </w:rPr>
        <w:t>表</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-2   镇平县城镇常住人口规模及用地规模一览表</w:t>
      </w:r>
    </w:p>
    <w:tbl>
      <w:tblPr>
        <w:tblStyle w:val="1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508"/>
        <w:gridCol w:w="1390"/>
        <w:gridCol w:w="1368"/>
        <w:gridCol w:w="1302"/>
        <w:gridCol w:w="1129"/>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Merge w:val="restart"/>
            <w:vAlign w:val="center"/>
          </w:tcPr>
          <w:p>
            <w:pPr>
              <w:pStyle w:val="14"/>
              <w:rPr>
                <w:rFonts w:hint="eastAsia" w:ascii="仿宋" w:hAnsi="仿宋" w:eastAsia="仿宋" w:cs="仿宋"/>
                <w:sz w:val="24"/>
                <w:szCs w:val="24"/>
              </w:rPr>
            </w:pPr>
            <w:r>
              <w:rPr>
                <w:rFonts w:hint="eastAsia" w:ascii="仿宋" w:hAnsi="仿宋" w:eastAsia="仿宋" w:cs="仿宋"/>
                <w:sz w:val="24"/>
                <w:szCs w:val="24"/>
              </w:rPr>
              <w:t>名称</w:t>
            </w:r>
          </w:p>
        </w:tc>
        <w:tc>
          <w:tcPr>
            <w:tcW w:w="2366" w:type="pct"/>
            <w:gridSpan w:val="3"/>
            <w:vAlign w:val="center"/>
          </w:tcPr>
          <w:p>
            <w:pPr>
              <w:pStyle w:val="14"/>
              <w:rPr>
                <w:rFonts w:hint="eastAsia" w:ascii="仿宋" w:hAnsi="仿宋" w:eastAsia="仿宋" w:cs="仿宋"/>
                <w:sz w:val="24"/>
                <w:szCs w:val="24"/>
              </w:rPr>
            </w:pPr>
            <w:r>
              <w:rPr>
                <w:rFonts w:hint="eastAsia" w:ascii="仿宋" w:hAnsi="仿宋" w:eastAsia="仿宋" w:cs="仿宋"/>
                <w:sz w:val="24"/>
                <w:szCs w:val="24"/>
              </w:rPr>
              <w:t>城镇人口（万人）</w:t>
            </w:r>
          </w:p>
        </w:tc>
        <w:tc>
          <w:tcPr>
            <w:tcW w:w="658" w:type="pct"/>
            <w:vMerge w:val="restart"/>
          </w:tcPr>
          <w:p>
            <w:pPr>
              <w:pStyle w:val="14"/>
              <w:rPr>
                <w:rFonts w:hint="eastAsia" w:ascii="仿宋" w:hAnsi="仿宋" w:eastAsia="仿宋" w:cs="仿宋"/>
                <w:sz w:val="24"/>
                <w:szCs w:val="24"/>
              </w:rPr>
            </w:pPr>
            <w:r>
              <w:rPr>
                <w:rFonts w:hint="eastAsia" w:ascii="仿宋" w:hAnsi="仿宋" w:eastAsia="仿宋" w:cs="仿宋"/>
                <w:sz w:val="24"/>
                <w:szCs w:val="24"/>
              </w:rPr>
              <w:t>人均建设用地面积（平方米/人）</w:t>
            </w:r>
          </w:p>
        </w:tc>
        <w:tc>
          <w:tcPr>
            <w:tcW w:w="707" w:type="pct"/>
            <w:vMerge w:val="restart"/>
          </w:tcPr>
          <w:p>
            <w:pPr>
              <w:pStyle w:val="14"/>
              <w:rPr>
                <w:rFonts w:hint="eastAsia" w:ascii="仿宋" w:hAnsi="仿宋" w:eastAsia="仿宋" w:cs="仿宋"/>
                <w:sz w:val="24"/>
                <w:szCs w:val="24"/>
              </w:rPr>
            </w:pPr>
            <w:r>
              <w:rPr>
                <w:rFonts w:hint="eastAsia" w:ascii="仿宋" w:hAnsi="仿宋" w:eastAsia="仿宋" w:cs="仿宋"/>
                <w:sz w:val="24"/>
                <w:szCs w:val="24"/>
              </w:rPr>
              <w:t>建设用地规模（公顷）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1267" w:type="pct"/>
            <w:gridSpan w:val="2"/>
            <w:vMerge w:val="continue"/>
            <w:vAlign w:val="center"/>
          </w:tcPr>
          <w:p>
            <w:pPr>
              <w:pStyle w:val="14"/>
              <w:rPr>
                <w:rFonts w:hint="eastAsia" w:ascii="仿宋" w:hAnsi="仿宋" w:eastAsia="仿宋" w:cs="仿宋"/>
                <w:sz w:val="24"/>
                <w:szCs w:val="24"/>
              </w:rPr>
            </w:pP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现状（2017年）</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近期（2020年）</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远期（2035年）</w:t>
            </w:r>
          </w:p>
        </w:tc>
        <w:tc>
          <w:tcPr>
            <w:tcW w:w="658" w:type="pct"/>
            <w:vMerge w:val="continue"/>
          </w:tcPr>
          <w:p>
            <w:pPr>
              <w:pStyle w:val="14"/>
              <w:rPr>
                <w:rFonts w:hint="eastAsia" w:ascii="仿宋" w:hAnsi="仿宋" w:eastAsia="仿宋" w:cs="仿宋"/>
                <w:sz w:val="24"/>
                <w:szCs w:val="24"/>
              </w:rPr>
            </w:pPr>
          </w:p>
        </w:tc>
        <w:tc>
          <w:tcPr>
            <w:tcW w:w="707" w:type="pct"/>
            <w:vMerge w:val="continue"/>
          </w:tcPr>
          <w:p>
            <w:pPr>
              <w:pStyle w:val="14"/>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388" w:type="pct"/>
            <w:vMerge w:val="restart"/>
            <w:vAlign w:val="center"/>
          </w:tcPr>
          <w:p>
            <w:pPr>
              <w:pStyle w:val="14"/>
              <w:rPr>
                <w:rFonts w:hint="eastAsia" w:ascii="仿宋" w:hAnsi="仿宋" w:eastAsia="仿宋" w:cs="仿宋"/>
                <w:sz w:val="24"/>
                <w:szCs w:val="24"/>
              </w:rPr>
            </w:pPr>
            <w:r>
              <w:rPr>
                <w:rFonts w:hint="eastAsia" w:ascii="仿宋" w:hAnsi="仿宋" w:eastAsia="仿宋" w:cs="仿宋"/>
                <w:sz w:val="24"/>
                <w:szCs w:val="24"/>
              </w:rPr>
              <w:t>中心城区</w:t>
            </w:r>
          </w:p>
        </w:tc>
        <w:tc>
          <w:tcPr>
            <w:tcW w:w="87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涅阳办、玉都办、雪枫办</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17.28</w:t>
            </w:r>
          </w:p>
        </w:tc>
        <w:tc>
          <w:tcPr>
            <w:tcW w:w="797" w:type="pct"/>
            <w:vMerge w:val="restart"/>
            <w:vAlign w:val="center"/>
          </w:tcPr>
          <w:p>
            <w:pPr>
              <w:pStyle w:val="14"/>
              <w:rPr>
                <w:rFonts w:hint="eastAsia" w:ascii="仿宋" w:hAnsi="仿宋" w:eastAsia="仿宋" w:cs="仿宋"/>
                <w:sz w:val="24"/>
                <w:szCs w:val="24"/>
              </w:rPr>
            </w:pPr>
            <w:r>
              <w:rPr>
                <w:rFonts w:hint="eastAsia" w:ascii="仿宋" w:hAnsi="仿宋" w:eastAsia="仿宋" w:cs="仿宋"/>
                <w:sz w:val="24"/>
                <w:szCs w:val="24"/>
              </w:rPr>
              <w:t>27.0</w:t>
            </w:r>
          </w:p>
        </w:tc>
        <w:tc>
          <w:tcPr>
            <w:tcW w:w="758" w:type="pct"/>
            <w:vMerge w:val="restart"/>
            <w:vAlign w:val="center"/>
          </w:tcPr>
          <w:p>
            <w:pPr>
              <w:pStyle w:val="14"/>
              <w:rPr>
                <w:rFonts w:hint="eastAsia" w:ascii="仿宋" w:hAnsi="仿宋" w:eastAsia="仿宋" w:cs="仿宋"/>
                <w:sz w:val="24"/>
                <w:szCs w:val="24"/>
              </w:rPr>
            </w:pPr>
            <w:r>
              <w:rPr>
                <w:rFonts w:hint="eastAsia" w:ascii="仿宋" w:hAnsi="仿宋" w:eastAsia="仿宋" w:cs="仿宋"/>
                <w:sz w:val="24"/>
                <w:szCs w:val="24"/>
              </w:rPr>
              <w:t>45.0</w:t>
            </w:r>
          </w:p>
        </w:tc>
        <w:tc>
          <w:tcPr>
            <w:tcW w:w="658" w:type="pct"/>
            <w:vMerge w:val="restart"/>
            <w:vAlign w:val="center"/>
          </w:tcPr>
          <w:p>
            <w:pPr>
              <w:pStyle w:val="14"/>
              <w:rPr>
                <w:rFonts w:hint="eastAsia" w:ascii="仿宋" w:hAnsi="仿宋" w:eastAsia="仿宋" w:cs="仿宋"/>
                <w:sz w:val="24"/>
                <w:szCs w:val="24"/>
              </w:rPr>
            </w:pPr>
            <w:r>
              <w:rPr>
                <w:rFonts w:hint="eastAsia" w:ascii="仿宋" w:hAnsi="仿宋" w:eastAsia="仿宋" w:cs="仿宋"/>
                <w:sz w:val="24"/>
                <w:szCs w:val="24"/>
              </w:rPr>
              <w:t>110</w:t>
            </w:r>
          </w:p>
        </w:tc>
        <w:tc>
          <w:tcPr>
            <w:tcW w:w="707" w:type="pct"/>
            <w:vMerge w:val="restart"/>
            <w:vAlign w:val="center"/>
          </w:tcPr>
          <w:p>
            <w:pPr>
              <w:pStyle w:val="14"/>
              <w:rPr>
                <w:rFonts w:hint="eastAsia" w:ascii="仿宋" w:hAnsi="仿宋" w:eastAsia="仿宋" w:cs="仿宋"/>
                <w:sz w:val="24"/>
                <w:szCs w:val="24"/>
              </w:rPr>
            </w:pPr>
            <w:r>
              <w:rPr>
                <w:rFonts w:hint="eastAsia" w:ascii="仿宋" w:hAnsi="仿宋" w:eastAsia="仿宋" w:cs="仿宋"/>
                <w:sz w:val="24"/>
                <w:szCs w:val="24"/>
              </w:rPr>
              <w:t>4928.97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88" w:type="pct"/>
            <w:vMerge w:val="continue"/>
            <w:vAlign w:val="center"/>
          </w:tcPr>
          <w:p>
            <w:pPr>
              <w:pStyle w:val="14"/>
              <w:rPr>
                <w:rFonts w:hint="eastAsia" w:ascii="仿宋" w:hAnsi="仿宋" w:eastAsia="仿宋" w:cs="仿宋"/>
                <w:sz w:val="24"/>
                <w:szCs w:val="24"/>
              </w:rPr>
            </w:pPr>
          </w:p>
        </w:tc>
        <w:tc>
          <w:tcPr>
            <w:tcW w:w="87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石佛寺街道</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5.87</w:t>
            </w:r>
          </w:p>
        </w:tc>
        <w:tc>
          <w:tcPr>
            <w:tcW w:w="797" w:type="pct"/>
            <w:vMerge w:val="continue"/>
            <w:vAlign w:val="center"/>
          </w:tcPr>
          <w:p>
            <w:pPr>
              <w:pStyle w:val="14"/>
              <w:rPr>
                <w:rFonts w:hint="eastAsia" w:ascii="仿宋" w:hAnsi="仿宋" w:eastAsia="仿宋" w:cs="仿宋"/>
                <w:sz w:val="24"/>
                <w:szCs w:val="24"/>
              </w:rPr>
            </w:pPr>
          </w:p>
        </w:tc>
        <w:tc>
          <w:tcPr>
            <w:tcW w:w="758" w:type="pct"/>
            <w:vMerge w:val="continue"/>
            <w:vAlign w:val="center"/>
          </w:tcPr>
          <w:p>
            <w:pPr>
              <w:pStyle w:val="14"/>
              <w:rPr>
                <w:rFonts w:hint="eastAsia" w:ascii="仿宋" w:hAnsi="仿宋" w:eastAsia="仿宋" w:cs="仿宋"/>
                <w:sz w:val="24"/>
                <w:szCs w:val="24"/>
              </w:rPr>
            </w:pPr>
          </w:p>
        </w:tc>
        <w:tc>
          <w:tcPr>
            <w:tcW w:w="658" w:type="pct"/>
            <w:vMerge w:val="continue"/>
          </w:tcPr>
          <w:p>
            <w:pPr>
              <w:pStyle w:val="14"/>
              <w:rPr>
                <w:rFonts w:hint="eastAsia" w:ascii="仿宋" w:hAnsi="仿宋" w:eastAsia="仿宋" w:cs="仿宋"/>
                <w:sz w:val="24"/>
                <w:szCs w:val="24"/>
              </w:rPr>
            </w:pPr>
          </w:p>
        </w:tc>
        <w:tc>
          <w:tcPr>
            <w:tcW w:w="707" w:type="pct"/>
            <w:vMerge w:val="continue"/>
          </w:tcPr>
          <w:p>
            <w:pPr>
              <w:pStyle w:val="14"/>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88" w:type="pct"/>
            <w:vMerge w:val="continue"/>
            <w:vAlign w:val="center"/>
          </w:tcPr>
          <w:p>
            <w:pPr>
              <w:pStyle w:val="14"/>
              <w:rPr>
                <w:rFonts w:hint="eastAsia" w:ascii="仿宋" w:hAnsi="仿宋" w:eastAsia="仿宋" w:cs="仿宋"/>
                <w:sz w:val="24"/>
                <w:szCs w:val="24"/>
              </w:rPr>
            </w:pPr>
          </w:p>
        </w:tc>
        <w:tc>
          <w:tcPr>
            <w:tcW w:w="87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杨营街道</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0.81</w:t>
            </w:r>
          </w:p>
        </w:tc>
        <w:tc>
          <w:tcPr>
            <w:tcW w:w="797" w:type="pct"/>
            <w:vMerge w:val="continue"/>
            <w:vAlign w:val="center"/>
          </w:tcPr>
          <w:p>
            <w:pPr>
              <w:pStyle w:val="14"/>
              <w:rPr>
                <w:rFonts w:hint="eastAsia" w:ascii="仿宋" w:hAnsi="仿宋" w:eastAsia="仿宋" w:cs="仿宋"/>
                <w:sz w:val="24"/>
                <w:szCs w:val="24"/>
              </w:rPr>
            </w:pPr>
          </w:p>
        </w:tc>
        <w:tc>
          <w:tcPr>
            <w:tcW w:w="758" w:type="pct"/>
            <w:vMerge w:val="continue"/>
            <w:vAlign w:val="center"/>
          </w:tcPr>
          <w:p>
            <w:pPr>
              <w:pStyle w:val="14"/>
              <w:rPr>
                <w:rFonts w:hint="eastAsia" w:ascii="仿宋" w:hAnsi="仿宋" w:eastAsia="仿宋" w:cs="仿宋"/>
                <w:sz w:val="24"/>
                <w:szCs w:val="24"/>
              </w:rPr>
            </w:pPr>
          </w:p>
        </w:tc>
        <w:tc>
          <w:tcPr>
            <w:tcW w:w="658" w:type="pct"/>
            <w:vMerge w:val="continue"/>
          </w:tcPr>
          <w:p>
            <w:pPr>
              <w:pStyle w:val="14"/>
              <w:rPr>
                <w:rFonts w:hint="eastAsia" w:ascii="仿宋" w:hAnsi="仿宋" w:eastAsia="仿宋" w:cs="仿宋"/>
                <w:sz w:val="24"/>
                <w:szCs w:val="24"/>
              </w:rPr>
            </w:pPr>
          </w:p>
        </w:tc>
        <w:tc>
          <w:tcPr>
            <w:tcW w:w="707" w:type="pct"/>
            <w:vMerge w:val="continue"/>
          </w:tcPr>
          <w:p>
            <w:pPr>
              <w:pStyle w:val="14"/>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贾宋镇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1.58</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2.0</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3.0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侯集镇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0.87</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1.2</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2.0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遮山镇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0.77</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4.0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老庄镇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1.50</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1.6</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2.0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卢医镇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0.33</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0.35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0.5</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彭营镇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0.43</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0.45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柳泉铺镇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0.52</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1.2</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张林镇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1.28</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1.35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1.6</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晁陂镇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1.43</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1.55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2.0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曲屯镇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0.38</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0.4</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0.5</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高丘镇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0.69</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0.75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安字营镇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0.70</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0.75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1.0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枣园镇</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0.46</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王岗乡</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（0.8）</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马庄乡</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（0.41）</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（0.43）</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二龙乡</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（0.03）</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（0.4）</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（0.1）</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郭庄回族乡</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（0.5）</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（0.55）</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（0.6）</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120</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267" w:type="pct"/>
            <w:gridSpan w:val="2"/>
            <w:vAlign w:val="center"/>
          </w:tcPr>
          <w:p>
            <w:pPr>
              <w:pStyle w:val="14"/>
              <w:rPr>
                <w:rFonts w:hint="eastAsia" w:ascii="仿宋" w:hAnsi="仿宋" w:eastAsia="仿宋" w:cs="仿宋"/>
                <w:sz w:val="24"/>
                <w:szCs w:val="24"/>
              </w:rPr>
            </w:pPr>
            <w:r>
              <w:rPr>
                <w:rFonts w:hint="eastAsia" w:ascii="仿宋" w:hAnsi="仿宋" w:eastAsia="仿宋" w:cs="仿宋"/>
                <w:sz w:val="24"/>
                <w:szCs w:val="24"/>
              </w:rPr>
              <w:t>合  计</w:t>
            </w:r>
          </w:p>
        </w:tc>
        <w:tc>
          <w:tcPr>
            <w:tcW w:w="810"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34.90</w:t>
            </w:r>
          </w:p>
        </w:tc>
        <w:tc>
          <w:tcPr>
            <w:tcW w:w="797"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40.0</w:t>
            </w:r>
          </w:p>
        </w:tc>
        <w:tc>
          <w:tcPr>
            <w:tcW w:w="758" w:type="pct"/>
            <w:vAlign w:val="center"/>
          </w:tcPr>
          <w:p>
            <w:pPr>
              <w:pStyle w:val="14"/>
              <w:rPr>
                <w:rFonts w:hint="eastAsia" w:ascii="仿宋" w:hAnsi="仿宋" w:eastAsia="仿宋" w:cs="仿宋"/>
                <w:sz w:val="24"/>
                <w:szCs w:val="24"/>
              </w:rPr>
            </w:pPr>
            <w:r>
              <w:rPr>
                <w:rFonts w:hint="eastAsia" w:ascii="仿宋" w:hAnsi="仿宋" w:eastAsia="仿宋" w:cs="仿宋"/>
                <w:sz w:val="24"/>
                <w:szCs w:val="24"/>
              </w:rPr>
              <w:t>65.0</w:t>
            </w:r>
          </w:p>
        </w:tc>
        <w:tc>
          <w:tcPr>
            <w:tcW w:w="658" w:type="pct"/>
          </w:tcPr>
          <w:p>
            <w:pPr>
              <w:pStyle w:val="14"/>
              <w:rPr>
                <w:rFonts w:hint="eastAsia" w:ascii="仿宋" w:hAnsi="仿宋" w:eastAsia="仿宋" w:cs="仿宋"/>
                <w:sz w:val="24"/>
                <w:szCs w:val="24"/>
              </w:rPr>
            </w:pPr>
            <w:r>
              <w:rPr>
                <w:rFonts w:hint="eastAsia" w:ascii="仿宋" w:hAnsi="仿宋" w:eastAsia="仿宋" w:cs="仿宋"/>
                <w:sz w:val="24"/>
                <w:szCs w:val="24"/>
              </w:rPr>
              <w:t>—</w:t>
            </w:r>
          </w:p>
        </w:tc>
        <w:tc>
          <w:tcPr>
            <w:tcW w:w="707" w:type="pct"/>
          </w:tcPr>
          <w:p>
            <w:pPr>
              <w:pStyle w:val="14"/>
              <w:rPr>
                <w:rFonts w:hint="eastAsia" w:ascii="仿宋" w:hAnsi="仿宋" w:eastAsia="仿宋" w:cs="仿宋"/>
                <w:sz w:val="24"/>
                <w:szCs w:val="24"/>
              </w:rPr>
            </w:pPr>
            <w:r>
              <w:rPr>
                <w:rFonts w:hint="eastAsia" w:ascii="仿宋" w:hAnsi="仿宋" w:eastAsia="仿宋" w:cs="仿宋"/>
                <w:sz w:val="24"/>
                <w:szCs w:val="24"/>
              </w:rPr>
              <w:t>7436.97</w:t>
            </w:r>
          </w:p>
        </w:tc>
      </w:tr>
    </w:tbl>
    <w:p>
      <w:pPr>
        <w:pStyle w:val="15"/>
        <w:jc w:val="left"/>
        <w:rPr>
          <w:rFonts w:hint="eastAsia" w:ascii="仿宋" w:hAnsi="仿宋" w:eastAsia="仿宋" w:cs="仿宋"/>
          <w:sz w:val="24"/>
          <w:szCs w:val="24"/>
        </w:rPr>
      </w:pPr>
      <w:r>
        <w:rPr>
          <w:rFonts w:hint="eastAsia" w:ascii="仿宋" w:hAnsi="仿宋" w:eastAsia="仿宋" w:cs="仿宋"/>
          <w:sz w:val="24"/>
          <w:szCs w:val="24"/>
        </w:rPr>
        <w:t>注：王岗、马庄、二龙、郭庄等四个乡的集镇人口未计入城镇人口。</w:t>
      </w:r>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21" w:name="_Toc14090"/>
      <w:bookmarkStart w:id="22" w:name="_Toc5610"/>
      <w:r>
        <w:rPr>
          <w:rFonts w:hint="eastAsia" w:ascii="仿宋" w:hAnsi="仿宋" w:eastAsia="仿宋" w:cs="仿宋"/>
          <w:b/>
          <w:bCs/>
          <w:sz w:val="28"/>
          <w:szCs w:val="28"/>
          <w:lang w:val="en-US" w:eastAsia="zh-CN"/>
        </w:rPr>
        <w:t>规划分析</w:t>
      </w:r>
      <w:bookmarkEnd w:id="21"/>
      <w:bookmarkEnd w:id="22"/>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23" w:name="_Toc10714"/>
      <w:r>
        <w:rPr>
          <w:rFonts w:hint="eastAsia" w:ascii="仿宋" w:hAnsi="仿宋" w:eastAsia="仿宋" w:cs="仿宋"/>
          <w:b/>
          <w:bCs/>
          <w:sz w:val="28"/>
          <w:szCs w:val="28"/>
          <w:lang w:val="en-US" w:eastAsia="zh-CN"/>
        </w:rPr>
        <w:t>镇平县城乡总体规划修编（2018-2035年）</w:t>
      </w:r>
      <w:bookmarkEnd w:id="23"/>
    </w:p>
    <w:p>
      <w:pPr>
        <w:spacing w:before="163" w:after="163"/>
        <w:ind w:firstLine="480"/>
        <w:rPr>
          <w:rFonts w:hint="eastAsia" w:ascii="仿宋" w:hAnsi="仿宋" w:eastAsia="仿宋" w:cs="仿宋"/>
          <w:kern w:val="0"/>
          <w:sz w:val="28"/>
          <w:szCs w:val="28"/>
          <w:lang w:val="en-US" w:eastAsia="zh-CN"/>
        </w:rPr>
      </w:pPr>
      <w:r>
        <w:rPr>
          <w:rFonts w:hint="eastAsia" w:ascii="仿宋" w:hAnsi="仿宋" w:eastAsia="仿宋" w:cs="仿宋"/>
          <w:sz w:val="28"/>
          <w:szCs w:val="28"/>
        </w:rPr>
        <w:t>《镇平县城乡总体规划修编（2018-2035年）》由上海同济城市规划设计研究院有限公司201</w:t>
      </w:r>
      <w:r>
        <w:rPr>
          <w:rFonts w:hint="eastAsia" w:ascii="仿宋" w:hAnsi="仿宋" w:eastAsia="仿宋" w:cs="仿宋"/>
          <w:sz w:val="28"/>
          <w:szCs w:val="28"/>
          <w:lang w:val="en-US" w:eastAsia="zh-CN"/>
        </w:rPr>
        <w:t>8</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修改完善</w:t>
      </w:r>
      <w:r>
        <w:rPr>
          <w:rFonts w:hint="eastAsia" w:ascii="仿宋" w:hAnsi="仿宋" w:eastAsia="仿宋" w:cs="仿宋"/>
          <w:sz w:val="28"/>
          <w:szCs w:val="28"/>
        </w:rPr>
        <w:t>完成，根据《河南省</w:t>
      </w:r>
      <w:r>
        <w:rPr>
          <w:rFonts w:hint="eastAsia" w:ascii="仿宋" w:hAnsi="仿宋" w:eastAsia="仿宋" w:cs="仿宋"/>
          <w:sz w:val="28"/>
          <w:szCs w:val="28"/>
          <w:lang w:val="en-US" w:eastAsia="zh-CN"/>
        </w:rPr>
        <w:t>城乡规划专家委员会</w:t>
      </w:r>
      <w:r>
        <w:rPr>
          <w:rFonts w:hint="eastAsia" w:ascii="仿宋" w:hAnsi="仿宋" w:eastAsia="仿宋" w:cs="仿宋"/>
          <w:sz w:val="28"/>
          <w:szCs w:val="28"/>
        </w:rPr>
        <w:t>文件》（豫</w:t>
      </w:r>
      <w:r>
        <w:rPr>
          <w:rFonts w:hint="eastAsia" w:ascii="仿宋" w:hAnsi="仿宋" w:eastAsia="仿宋" w:cs="仿宋"/>
          <w:sz w:val="28"/>
          <w:szCs w:val="28"/>
          <w:lang w:val="en-US" w:eastAsia="zh-CN"/>
        </w:rPr>
        <w:t>规专委纪要</w:t>
      </w:r>
      <w:r>
        <w:rPr>
          <w:rFonts w:hint="eastAsia" w:ascii="仿宋" w:hAnsi="仿宋" w:eastAsia="仿宋" w:cs="仿宋"/>
          <w:sz w:val="28"/>
          <w:szCs w:val="28"/>
        </w:rPr>
        <w:t>【201</w:t>
      </w:r>
      <w:r>
        <w:rPr>
          <w:rFonts w:hint="eastAsia" w:ascii="仿宋" w:hAnsi="仿宋" w:eastAsia="仿宋" w:cs="仿宋"/>
          <w:sz w:val="28"/>
          <w:szCs w:val="28"/>
          <w:lang w:val="en-US" w:eastAsia="zh-CN"/>
        </w:rPr>
        <w:t>8</w:t>
      </w:r>
      <w:r>
        <w:rPr>
          <w:rFonts w:hint="eastAsia" w:ascii="仿宋" w:hAnsi="仿宋" w:eastAsia="仿宋" w:cs="仿宋"/>
          <w:sz w:val="28"/>
          <w:szCs w:val="28"/>
        </w:rPr>
        <w:t>】</w:t>
      </w:r>
      <w:r>
        <w:rPr>
          <w:rFonts w:hint="eastAsia" w:ascii="仿宋" w:hAnsi="仿宋" w:eastAsia="仿宋" w:cs="仿宋"/>
          <w:sz w:val="28"/>
          <w:szCs w:val="28"/>
          <w:lang w:val="en-US" w:eastAsia="zh-CN"/>
        </w:rPr>
        <w:t>12</w:t>
      </w:r>
      <w:r>
        <w:rPr>
          <w:rFonts w:hint="eastAsia" w:ascii="仿宋" w:hAnsi="仿宋" w:eastAsia="仿宋" w:cs="仿宋"/>
          <w:sz w:val="28"/>
          <w:szCs w:val="28"/>
        </w:rPr>
        <w:t>号），评委会原则上通过该规划。</w:t>
      </w: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24" w:name="_Toc1905"/>
      <w:r>
        <w:rPr>
          <w:rFonts w:hint="eastAsia" w:ascii="仿宋" w:hAnsi="仿宋" w:eastAsia="仿宋" w:cs="仿宋"/>
          <w:b/>
          <w:bCs/>
          <w:sz w:val="28"/>
          <w:szCs w:val="28"/>
          <w:lang w:val="en-US" w:eastAsia="zh-CN"/>
        </w:rPr>
        <w:t>规划期限</w:t>
      </w:r>
      <w:bookmarkEnd w:id="24"/>
    </w:p>
    <w:p>
      <w:pPr>
        <w:pStyle w:val="2"/>
        <w:rPr>
          <w:rFonts w:hint="eastAsia" w:ascii="仿宋" w:hAnsi="仿宋" w:eastAsia="仿宋" w:cs="仿宋"/>
          <w:sz w:val="28"/>
          <w:szCs w:val="28"/>
        </w:rPr>
      </w:pPr>
      <w:r>
        <w:rPr>
          <w:rFonts w:hint="eastAsia" w:ascii="仿宋" w:hAnsi="仿宋" w:eastAsia="仿宋" w:cs="仿宋"/>
          <w:sz w:val="28"/>
          <w:szCs w:val="28"/>
        </w:rPr>
        <w:t>本次规划期限为：201</w:t>
      </w:r>
      <w:r>
        <w:rPr>
          <w:rFonts w:hint="eastAsia" w:ascii="仿宋" w:hAnsi="仿宋" w:cs="仿宋"/>
          <w:sz w:val="28"/>
          <w:szCs w:val="28"/>
          <w:lang w:val="en-US" w:eastAsia="zh-CN"/>
        </w:rPr>
        <w:t>8</w:t>
      </w:r>
      <w:r>
        <w:rPr>
          <w:rFonts w:hint="eastAsia" w:ascii="仿宋" w:hAnsi="仿宋" w:eastAsia="仿宋" w:cs="仿宋"/>
          <w:sz w:val="28"/>
          <w:szCs w:val="28"/>
        </w:rPr>
        <w:t>-2035年</w:t>
      </w:r>
    </w:p>
    <w:p>
      <w:pPr>
        <w:pStyle w:val="2"/>
        <w:rPr>
          <w:rFonts w:hint="eastAsia" w:ascii="仿宋" w:hAnsi="仿宋" w:eastAsia="仿宋" w:cs="仿宋"/>
          <w:sz w:val="28"/>
          <w:szCs w:val="28"/>
        </w:rPr>
      </w:pPr>
      <w:r>
        <w:rPr>
          <w:rFonts w:hint="eastAsia" w:ascii="仿宋" w:hAnsi="仿宋" w:eastAsia="仿宋" w:cs="仿宋"/>
          <w:sz w:val="28"/>
          <w:szCs w:val="28"/>
        </w:rPr>
        <w:t>规划近期：201</w:t>
      </w:r>
      <w:r>
        <w:rPr>
          <w:rFonts w:hint="eastAsia" w:ascii="仿宋" w:hAnsi="仿宋" w:cs="仿宋"/>
          <w:sz w:val="28"/>
          <w:szCs w:val="28"/>
          <w:lang w:val="en-US" w:eastAsia="zh-CN"/>
        </w:rPr>
        <w:t>8</w:t>
      </w:r>
      <w:r>
        <w:rPr>
          <w:rFonts w:hint="eastAsia" w:ascii="仿宋" w:hAnsi="仿宋" w:eastAsia="仿宋" w:cs="仿宋"/>
          <w:sz w:val="28"/>
          <w:szCs w:val="28"/>
        </w:rPr>
        <w:t>-2020</w:t>
      </w:r>
      <w:r>
        <w:rPr>
          <w:rFonts w:hint="eastAsia" w:ascii="仿宋" w:hAnsi="仿宋" w:cs="仿宋"/>
          <w:sz w:val="28"/>
          <w:szCs w:val="28"/>
          <w:lang w:val="en-US" w:eastAsia="zh-CN"/>
        </w:rPr>
        <w:t>年</w:t>
      </w:r>
      <w:r>
        <w:rPr>
          <w:rFonts w:hint="eastAsia" w:ascii="仿宋" w:hAnsi="仿宋" w:eastAsia="仿宋" w:cs="仿宋"/>
          <w:sz w:val="28"/>
          <w:szCs w:val="28"/>
        </w:rPr>
        <w:t>；</w:t>
      </w:r>
    </w:p>
    <w:p>
      <w:pPr>
        <w:pStyle w:val="2"/>
        <w:rPr>
          <w:rFonts w:hint="eastAsia" w:ascii="仿宋" w:hAnsi="仿宋" w:eastAsia="仿宋" w:cs="仿宋"/>
          <w:sz w:val="28"/>
          <w:szCs w:val="28"/>
        </w:rPr>
      </w:pPr>
      <w:r>
        <w:rPr>
          <w:rFonts w:hint="eastAsia" w:ascii="仿宋" w:hAnsi="仿宋" w:eastAsia="仿宋" w:cs="仿宋"/>
          <w:sz w:val="28"/>
          <w:szCs w:val="28"/>
        </w:rPr>
        <w:t>规划</w:t>
      </w:r>
      <w:r>
        <w:rPr>
          <w:rFonts w:hint="eastAsia" w:ascii="仿宋" w:hAnsi="仿宋" w:cs="仿宋"/>
          <w:sz w:val="28"/>
          <w:szCs w:val="28"/>
          <w:lang w:val="en-US" w:eastAsia="zh-CN"/>
        </w:rPr>
        <w:t>远</w:t>
      </w:r>
      <w:r>
        <w:rPr>
          <w:rFonts w:hint="eastAsia" w:ascii="仿宋" w:hAnsi="仿宋" w:eastAsia="仿宋" w:cs="仿宋"/>
          <w:sz w:val="28"/>
          <w:szCs w:val="28"/>
        </w:rPr>
        <w:t>期：2021-20</w:t>
      </w:r>
      <w:r>
        <w:rPr>
          <w:rFonts w:hint="eastAsia" w:ascii="仿宋" w:hAnsi="仿宋" w:cs="仿宋"/>
          <w:sz w:val="28"/>
          <w:szCs w:val="28"/>
          <w:lang w:val="en-US" w:eastAsia="zh-CN"/>
        </w:rPr>
        <w:t>3</w:t>
      </w:r>
      <w:r>
        <w:rPr>
          <w:rFonts w:hint="eastAsia" w:ascii="仿宋" w:hAnsi="仿宋" w:eastAsia="仿宋" w:cs="仿宋"/>
          <w:sz w:val="28"/>
          <w:szCs w:val="28"/>
        </w:rPr>
        <w:t>5</w:t>
      </w:r>
      <w:r>
        <w:rPr>
          <w:rFonts w:hint="eastAsia" w:ascii="仿宋" w:hAnsi="仿宋" w:cs="仿宋"/>
          <w:sz w:val="28"/>
          <w:szCs w:val="28"/>
          <w:lang w:val="en-US" w:eastAsia="zh-CN"/>
        </w:rPr>
        <w:t>年</w:t>
      </w:r>
      <w:r>
        <w:rPr>
          <w:rFonts w:hint="eastAsia" w:ascii="仿宋" w:hAnsi="仿宋" w:eastAsia="仿宋" w:cs="仿宋"/>
          <w:sz w:val="28"/>
          <w:szCs w:val="28"/>
        </w:rPr>
        <w:t>；</w:t>
      </w:r>
    </w:p>
    <w:p>
      <w:pPr>
        <w:pStyle w:val="2"/>
        <w:rPr>
          <w:rFonts w:hint="eastAsia" w:ascii="仿宋" w:hAnsi="仿宋" w:cs="仿宋"/>
          <w:sz w:val="28"/>
          <w:szCs w:val="28"/>
          <w:lang w:val="en-US" w:eastAsia="zh-CN"/>
        </w:rPr>
      </w:pPr>
      <w:r>
        <w:rPr>
          <w:rFonts w:hint="eastAsia" w:ascii="仿宋" w:hAnsi="仿宋" w:eastAsia="仿宋" w:cs="仿宋"/>
          <w:sz w:val="28"/>
          <w:szCs w:val="28"/>
        </w:rPr>
        <w:t>规划</w:t>
      </w:r>
      <w:r>
        <w:rPr>
          <w:rFonts w:hint="eastAsia" w:ascii="仿宋" w:hAnsi="仿宋" w:cs="仿宋"/>
          <w:sz w:val="28"/>
          <w:szCs w:val="28"/>
          <w:lang w:val="en-US" w:eastAsia="zh-CN"/>
        </w:rPr>
        <w:t>远景</w:t>
      </w:r>
      <w:r>
        <w:rPr>
          <w:rFonts w:hint="eastAsia" w:ascii="仿宋" w:hAnsi="仿宋" w:eastAsia="仿宋" w:cs="仿宋"/>
          <w:sz w:val="28"/>
          <w:szCs w:val="28"/>
        </w:rPr>
        <w:t>：20</w:t>
      </w:r>
      <w:r>
        <w:rPr>
          <w:rFonts w:hint="eastAsia" w:ascii="仿宋" w:hAnsi="仿宋" w:cs="仿宋"/>
          <w:sz w:val="28"/>
          <w:szCs w:val="28"/>
          <w:lang w:val="en-US" w:eastAsia="zh-CN"/>
        </w:rPr>
        <w:t>35</w:t>
      </w:r>
      <w:r>
        <w:rPr>
          <w:rFonts w:hint="eastAsia" w:ascii="仿宋" w:hAnsi="仿宋" w:eastAsia="仿宋" w:cs="仿宋"/>
          <w:sz w:val="28"/>
          <w:szCs w:val="28"/>
        </w:rPr>
        <w:t>-20</w:t>
      </w:r>
      <w:r>
        <w:rPr>
          <w:rFonts w:hint="eastAsia" w:ascii="仿宋" w:hAnsi="仿宋" w:cs="仿宋"/>
          <w:sz w:val="28"/>
          <w:szCs w:val="28"/>
          <w:lang w:val="en-US" w:eastAsia="zh-CN"/>
        </w:rPr>
        <w:t>50年。</w:t>
      </w: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25" w:name="_Toc27043"/>
      <w:r>
        <w:rPr>
          <w:rFonts w:hint="eastAsia" w:ascii="仿宋" w:hAnsi="仿宋" w:eastAsia="仿宋" w:cs="仿宋"/>
          <w:b/>
          <w:bCs/>
          <w:sz w:val="28"/>
          <w:szCs w:val="28"/>
          <w:lang w:val="en-US" w:eastAsia="zh-CN"/>
        </w:rPr>
        <w:t>规划层次与城市规划区范围</w:t>
      </w:r>
      <w:bookmarkEnd w:id="25"/>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rPr>
      </w:pPr>
      <w:r>
        <w:rPr>
          <w:rFonts w:hint="eastAsia" w:ascii="仿宋" w:hAnsi="仿宋" w:eastAsia="仿宋" w:cs="仿宋"/>
          <w:sz w:val="28"/>
          <w:szCs w:val="28"/>
        </w:rPr>
        <w:t>规划范围分为县域(城市规划区)、中心城区两个层次。其中：</w:t>
      </w:r>
    </w:p>
    <w:p>
      <w:pPr>
        <w:pStyle w:val="3"/>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仿宋" w:hAnsi="仿宋" w:eastAsia="仿宋" w:cs="仿宋"/>
          <w:sz w:val="28"/>
          <w:szCs w:val="28"/>
        </w:rPr>
      </w:pPr>
      <w:r>
        <w:rPr>
          <w:rFonts w:hint="eastAsia" w:ascii="仿宋" w:hAnsi="仿宋" w:eastAsia="仿宋" w:cs="仿宋"/>
          <w:sz w:val="28"/>
          <w:szCs w:val="28"/>
        </w:rPr>
        <w:t>（1）县域（城市规划区）</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包括15个镇4个乡3个街道办事处，409个行政村，总面积1493.96平方公里。</w:t>
      </w:r>
    </w:p>
    <w:p>
      <w:pPr>
        <w:pStyle w:val="3"/>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仿宋" w:hAnsi="仿宋" w:eastAsia="仿宋" w:cs="仿宋"/>
          <w:sz w:val="28"/>
          <w:szCs w:val="28"/>
        </w:rPr>
      </w:pPr>
      <w:r>
        <w:rPr>
          <w:rFonts w:hint="eastAsia" w:ascii="仿宋" w:hAnsi="仿宋" w:eastAsia="仿宋" w:cs="仿宋"/>
          <w:sz w:val="28"/>
          <w:szCs w:val="28"/>
        </w:rPr>
        <w:t>（2）中心城区</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rPr>
      </w:pPr>
      <w:r>
        <w:rPr>
          <w:rFonts w:hint="eastAsia" w:ascii="仿宋" w:hAnsi="仿宋" w:eastAsia="仿宋" w:cs="仿宋"/>
          <w:sz w:val="28"/>
          <w:szCs w:val="28"/>
        </w:rPr>
        <w:t>东至将军路及东侧建设用地，南至南外环路，西至石杨路及西侧建设用地，北至毕兴路、宁西铁路，以及沪陕高速南侧杨营组团建设用地，总建设用地面积49.49平方公里。</w:t>
      </w:r>
    </w:p>
    <w:p>
      <w:pPr>
        <w:numPr>
          <w:ilvl w:val="2"/>
          <w:numId w:val="1"/>
        </w:numPr>
        <w:ind w:left="948" w:leftChars="0" w:hanging="728" w:firstLineChars="0"/>
        <w:outlineLvl w:val="2"/>
        <w:rPr>
          <w:rFonts w:hint="default" w:ascii="仿宋" w:hAnsi="仿宋" w:eastAsia="仿宋" w:cs="仿宋"/>
          <w:b/>
          <w:bCs/>
          <w:sz w:val="28"/>
          <w:szCs w:val="28"/>
          <w:lang w:val="en-US" w:eastAsia="zh-CN"/>
        </w:rPr>
      </w:pPr>
      <w:bookmarkStart w:id="26" w:name="_Toc15510"/>
      <w:r>
        <w:rPr>
          <w:rFonts w:hint="eastAsia" w:ascii="仿宋" w:hAnsi="仿宋" w:eastAsia="仿宋" w:cs="仿宋"/>
          <w:b/>
          <w:bCs/>
          <w:sz w:val="28"/>
          <w:szCs w:val="28"/>
          <w:lang w:val="en-US" w:eastAsia="zh-CN"/>
        </w:rPr>
        <w:t>城市发展总目标</w:t>
      </w:r>
      <w:bookmarkEnd w:id="26"/>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牢固树立“创新、协调、绿色、开放、共享”五大发展理念，以新发展理念为引领，以新发展体系为支撑，积极响应中原城市群发展战略，坚持区域协调、新型城镇化和可持续发展的总体思路，以遵循南阳市“一中心四组团”发展路径，推进城乡统筹发展，以建设健康宜居城市为战略重点，发挥镇平区位、产业、生态、文化与平台优势，全面实现产业结构调整升级，提高城市竞争力，进入全市发展第一方阵，建设成为河南省西南部地区实力雄厚、活力迸发、魅力彰显的地方性城市。</w:t>
      </w:r>
    </w:p>
    <w:p>
      <w:pPr>
        <w:numPr>
          <w:ilvl w:val="2"/>
          <w:numId w:val="1"/>
        </w:numPr>
        <w:ind w:left="948" w:leftChars="0" w:hanging="728" w:firstLineChars="0"/>
        <w:outlineLvl w:val="2"/>
        <w:rPr>
          <w:rFonts w:hint="default" w:ascii="仿宋" w:hAnsi="仿宋" w:eastAsia="仿宋" w:cs="仿宋"/>
          <w:b/>
          <w:bCs/>
          <w:sz w:val="28"/>
          <w:szCs w:val="28"/>
          <w:lang w:val="en-US" w:eastAsia="zh-CN"/>
        </w:rPr>
      </w:pPr>
      <w:bookmarkStart w:id="27" w:name="_Toc22486"/>
      <w:r>
        <w:rPr>
          <w:rFonts w:hint="eastAsia" w:ascii="仿宋" w:hAnsi="仿宋" w:eastAsia="仿宋" w:cs="仿宋"/>
          <w:b/>
          <w:bCs/>
          <w:sz w:val="28"/>
          <w:szCs w:val="28"/>
          <w:lang w:val="en-US" w:eastAsia="zh-CN"/>
        </w:rPr>
        <w:t>城镇化水平与城镇人口</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至2020年，全县常住人口控制在89万人，城镇化水平达到45%。全县城镇人口达到40万人，其中中心城区人口达到27万人。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至2035年，全县常住人口控制在100万人，城镇化水平达到65%。全县城镇人口达到65万人，其中中心城区人口达到45万人。</w:t>
      </w:r>
    </w:p>
    <w:p>
      <w:pPr>
        <w:numPr>
          <w:ilvl w:val="2"/>
          <w:numId w:val="1"/>
        </w:numPr>
        <w:ind w:left="948" w:leftChars="0" w:hanging="728" w:firstLineChars="0"/>
        <w:outlineLvl w:val="2"/>
        <w:rPr>
          <w:rFonts w:hint="default" w:ascii="仿宋" w:hAnsi="仿宋" w:eastAsia="仿宋" w:cs="仿宋"/>
          <w:b/>
          <w:bCs/>
          <w:sz w:val="28"/>
          <w:szCs w:val="28"/>
          <w:lang w:val="en-US" w:eastAsia="zh-CN"/>
        </w:rPr>
      </w:pPr>
      <w:bookmarkStart w:id="28" w:name="_Toc1986"/>
      <w:r>
        <w:rPr>
          <w:rFonts w:hint="eastAsia" w:ascii="仿宋" w:hAnsi="仿宋" w:eastAsia="仿宋" w:cs="仿宋"/>
          <w:b/>
          <w:bCs/>
          <w:sz w:val="28"/>
          <w:szCs w:val="28"/>
          <w:lang w:val="en-US" w:eastAsia="zh-CN"/>
        </w:rPr>
        <w:t>城乡发展战略</w:t>
      </w:r>
      <w:bookmarkEnd w:id="28"/>
    </w:p>
    <w:p>
      <w:pPr>
        <w:pStyle w:val="2"/>
        <w:rPr>
          <w:rFonts w:hint="eastAsia"/>
          <w:lang w:val="en-US" w:eastAsia="zh-CN"/>
        </w:rPr>
      </w:pPr>
      <w:r>
        <w:rPr>
          <w:rFonts w:hint="eastAsia"/>
          <w:lang w:val="en-US" w:eastAsia="zh-CN"/>
        </w:rPr>
        <w:t>（1）同城发展战略</w:t>
      </w:r>
    </w:p>
    <w:p>
      <w:pPr>
        <w:pStyle w:val="2"/>
        <w:rPr>
          <w:rFonts w:hint="eastAsia"/>
          <w:lang w:val="en-US" w:eastAsia="zh-CN"/>
        </w:rPr>
      </w:pPr>
      <w:r>
        <w:rPr>
          <w:rFonts w:hint="eastAsia"/>
          <w:lang w:val="en-US" w:eastAsia="zh-CN"/>
        </w:rPr>
        <w:t>① 强化县域中部城镇发展带。依托交通干线，加快城镇化发展进程，引导县域人口向中部城镇发展带集聚。</w:t>
      </w:r>
    </w:p>
    <w:p>
      <w:pPr>
        <w:pStyle w:val="2"/>
        <w:rPr>
          <w:rFonts w:hint="eastAsia"/>
          <w:lang w:val="en-US" w:eastAsia="zh-CN"/>
        </w:rPr>
      </w:pPr>
      <w:r>
        <w:rPr>
          <w:rFonts w:hint="eastAsia"/>
          <w:lang w:val="en-US" w:eastAsia="zh-CN"/>
        </w:rPr>
        <w:t>② 城镇功能对接。发掘比较优势，在整个产业体系上加强与南阳市合作，错位发展，承接产业转移。</w:t>
      </w:r>
    </w:p>
    <w:p>
      <w:pPr>
        <w:pStyle w:val="2"/>
        <w:rPr>
          <w:rFonts w:hint="eastAsia"/>
          <w:lang w:val="en-US" w:eastAsia="zh-CN"/>
        </w:rPr>
      </w:pPr>
      <w:r>
        <w:rPr>
          <w:rFonts w:hint="eastAsia"/>
          <w:lang w:val="en-US" w:eastAsia="zh-CN"/>
        </w:rPr>
        <w:t>③ 加强基础设施一体化建设。加强与南阳市的规划对接，在道路交通、市政工程等方面实现区域统筹共享。</w:t>
      </w:r>
    </w:p>
    <w:p>
      <w:pPr>
        <w:pStyle w:val="2"/>
        <w:rPr>
          <w:rFonts w:hint="eastAsia"/>
          <w:lang w:val="en-US" w:eastAsia="zh-CN"/>
        </w:rPr>
      </w:pPr>
      <w:r>
        <w:rPr>
          <w:rFonts w:hint="eastAsia"/>
          <w:lang w:val="en-US" w:eastAsia="zh-CN"/>
        </w:rPr>
        <w:t>④ 遮山镇和柳泉铺镇作为南阳和镇平同城化先行区。</w:t>
      </w:r>
    </w:p>
    <w:p>
      <w:pPr>
        <w:pStyle w:val="2"/>
        <w:rPr>
          <w:rFonts w:hint="eastAsia"/>
          <w:lang w:val="en-US" w:eastAsia="zh-CN"/>
        </w:rPr>
      </w:pPr>
      <w:r>
        <w:rPr>
          <w:rFonts w:hint="eastAsia"/>
          <w:lang w:val="en-US" w:eastAsia="zh-CN"/>
        </w:rPr>
        <w:t>（2）绿色发展战略</w:t>
      </w:r>
    </w:p>
    <w:p>
      <w:pPr>
        <w:pStyle w:val="2"/>
        <w:rPr>
          <w:rFonts w:hint="eastAsia"/>
          <w:lang w:val="en-US" w:eastAsia="zh-CN"/>
        </w:rPr>
      </w:pPr>
      <w:r>
        <w:rPr>
          <w:rFonts w:hint="eastAsia"/>
          <w:lang w:val="en-US" w:eastAsia="zh-CN"/>
        </w:rPr>
        <w:t>① 执行最严格的生态保护。规划划定三区三线，严格保护伏牛山生物多样性、水源涵养生态保护区，南水北调中线水源涵养生态保护区，严格保护永久基本农田。严格控制城镇建设用地规模，高效集约发展。</w:t>
      </w:r>
    </w:p>
    <w:p>
      <w:pPr>
        <w:pStyle w:val="2"/>
        <w:rPr>
          <w:rFonts w:hint="eastAsia"/>
          <w:lang w:val="en-US" w:eastAsia="zh-CN"/>
        </w:rPr>
      </w:pPr>
      <w:r>
        <w:rPr>
          <w:rFonts w:hint="eastAsia"/>
          <w:lang w:val="en-US" w:eastAsia="zh-CN"/>
        </w:rPr>
        <w:t>② 量化绿色发展目标。提高环境保护、污染治理的标准，明确城乡环境工程建设标准，体现绿色发展目标。</w:t>
      </w:r>
    </w:p>
    <w:p>
      <w:pPr>
        <w:pStyle w:val="2"/>
        <w:rPr>
          <w:rFonts w:hint="eastAsia"/>
          <w:lang w:val="en-US" w:eastAsia="zh-CN"/>
        </w:rPr>
      </w:pPr>
      <w:r>
        <w:rPr>
          <w:rFonts w:hint="eastAsia"/>
          <w:lang w:val="en-US" w:eastAsia="zh-CN"/>
        </w:rPr>
        <w:t>③ 大力发展循环工业、环保产业。加快南阳静脉产业园建设，发展与玉石加工配套的粉尘处理技术研发和环保服务，林业和湿地建设结合碳汇产业发展，提高清洁能源的使用比例。</w:t>
      </w:r>
    </w:p>
    <w:p>
      <w:pPr>
        <w:pStyle w:val="2"/>
        <w:rPr>
          <w:rFonts w:hint="eastAsia"/>
          <w:lang w:val="en-US" w:eastAsia="zh-CN"/>
        </w:rPr>
      </w:pPr>
      <w:r>
        <w:rPr>
          <w:rFonts w:hint="eastAsia"/>
          <w:lang w:val="en-US" w:eastAsia="zh-CN"/>
        </w:rPr>
        <w:t>④ 提高城市宜居水平。重点打造赵河、护城河、西三里河、一里河、三里河等景观建设，将滨水空间与周边绿地、广场、休闲娱乐等形成完整体系，形成良好的城市景观。</w:t>
      </w:r>
    </w:p>
    <w:p>
      <w:pPr>
        <w:pStyle w:val="2"/>
        <w:rPr>
          <w:rFonts w:hint="eastAsia"/>
          <w:lang w:val="en-US" w:eastAsia="zh-CN"/>
        </w:rPr>
      </w:pPr>
      <w:r>
        <w:rPr>
          <w:rFonts w:hint="eastAsia"/>
          <w:lang w:val="en-US" w:eastAsia="zh-CN"/>
        </w:rPr>
        <w:t>⑤ 建设“健康镇平”。承接“健康中国”、“健康中原”等战略，建设中医健康特色小镇，发展中药种植加工、中医康养为特色的健康产业。完善城乡医疗卫生系统和体育健身设施，全面打造健康城市。</w:t>
      </w:r>
    </w:p>
    <w:p>
      <w:pPr>
        <w:pStyle w:val="2"/>
        <w:rPr>
          <w:rFonts w:hint="eastAsia"/>
          <w:lang w:val="en-US" w:eastAsia="zh-CN"/>
        </w:rPr>
      </w:pPr>
      <w:r>
        <w:rPr>
          <w:rFonts w:hint="eastAsia"/>
          <w:lang w:val="en-US" w:eastAsia="zh-CN"/>
        </w:rPr>
        <w:t>（3）产业强县战略</w:t>
      </w:r>
    </w:p>
    <w:p>
      <w:pPr>
        <w:pStyle w:val="2"/>
        <w:rPr>
          <w:rFonts w:hint="eastAsia"/>
          <w:lang w:val="en-US" w:eastAsia="zh-CN"/>
        </w:rPr>
      </w:pPr>
      <w:r>
        <w:rPr>
          <w:rFonts w:hint="eastAsia"/>
          <w:lang w:val="en-US" w:eastAsia="zh-CN"/>
        </w:rPr>
        <w:t>① 强化制造业的引领作用。规划期内制造业发展仍应处于重要地位，二产为主，三产为辅，加快镇平工业集聚区建设，大力发展玉石加工、针纺织、绿色建材、机电配套、生物医药等产业。</w:t>
      </w:r>
    </w:p>
    <w:p>
      <w:pPr>
        <w:pStyle w:val="2"/>
        <w:rPr>
          <w:rFonts w:hint="eastAsia"/>
          <w:lang w:val="en-US" w:eastAsia="zh-CN"/>
        </w:rPr>
      </w:pPr>
      <w:r>
        <w:rPr>
          <w:rFonts w:hint="eastAsia"/>
          <w:lang w:val="en-US" w:eastAsia="zh-CN"/>
        </w:rPr>
        <w:t>② 聚焦玉产业。对传统玉雕产业改造升级，以现代化生产为主，手工制造为辅；大力发展关联产业，发展与玉石加工相关的设计研发、教育培训、商务服务、环保服务、文化旅游等产业。</w:t>
      </w:r>
    </w:p>
    <w:p>
      <w:pPr>
        <w:pStyle w:val="2"/>
        <w:rPr>
          <w:rFonts w:hint="eastAsia"/>
          <w:lang w:val="en-US" w:eastAsia="zh-CN"/>
        </w:rPr>
      </w:pPr>
      <w:r>
        <w:rPr>
          <w:rFonts w:hint="eastAsia"/>
          <w:lang w:val="en-US" w:eastAsia="zh-CN"/>
        </w:rPr>
        <w:t>③ 将石佛寺镇区、杨营镇区纳入中心城区，以整合县级资源推进玉产业和物流产业更好地发展。</w:t>
      </w:r>
    </w:p>
    <w:p>
      <w:pPr>
        <w:pStyle w:val="2"/>
        <w:rPr>
          <w:rFonts w:hint="eastAsia"/>
          <w:lang w:val="en-US" w:eastAsia="zh-CN"/>
        </w:rPr>
      </w:pPr>
      <w:r>
        <w:rPr>
          <w:rFonts w:hint="eastAsia"/>
          <w:lang w:val="en-US" w:eastAsia="zh-CN"/>
        </w:rPr>
        <w:t>（4）乡村振兴战略</w:t>
      </w:r>
    </w:p>
    <w:p>
      <w:pPr>
        <w:pStyle w:val="2"/>
        <w:rPr>
          <w:rFonts w:hint="eastAsia"/>
          <w:lang w:val="en-US" w:eastAsia="zh-CN"/>
        </w:rPr>
      </w:pPr>
      <w:r>
        <w:rPr>
          <w:rFonts w:hint="eastAsia"/>
          <w:lang w:val="en-US" w:eastAsia="zh-CN"/>
        </w:rPr>
        <w:t>① 借助国家政策机遇，发展乡村新动能。借助国家对现代农业、农业旅游的支持，县域南部大力发展现代农业、科技农业、高效农业，结合中心镇集中发展农副产品加工业；县域北部积极发展碳汇林业；县域中部依托玉雕手工、农特产品发展电子商务，探索社区支持农场（CSA）模式；依托农特产品产地、文物古迹，结合周边用地建设农业公园、田园综合体、农业特色小镇等。</w:t>
      </w:r>
    </w:p>
    <w:p>
      <w:pPr>
        <w:pStyle w:val="2"/>
        <w:rPr>
          <w:rFonts w:hint="eastAsia"/>
          <w:lang w:val="en-US" w:eastAsia="zh-CN"/>
        </w:rPr>
      </w:pPr>
      <w:r>
        <w:rPr>
          <w:rFonts w:hint="eastAsia"/>
          <w:lang w:val="en-US" w:eastAsia="zh-CN"/>
        </w:rPr>
        <w:t>② 细化村庄布点。促进城乡统筹和谐发展，构筑城、镇（乡）、村三级的县域城乡网络。提出村庄发展政策导向，明确中心村、一般村的建设标准，合理、均衡配置城乡发展的公共资源。</w:t>
      </w:r>
    </w:p>
    <w:p>
      <w:pPr>
        <w:pStyle w:val="2"/>
        <w:rPr>
          <w:rFonts w:hint="eastAsia"/>
          <w:lang w:val="en-US" w:eastAsia="zh-CN"/>
        </w:rPr>
      </w:pPr>
      <w:r>
        <w:rPr>
          <w:rFonts w:hint="eastAsia"/>
          <w:lang w:val="en-US" w:eastAsia="zh-CN"/>
        </w:rPr>
        <w:t>③ 构筑全域旅游格局，建设美丽乡村。强化县域旅游总体格局，加快赵河滨水游憩带、月亮湾景区等的建设；确定城乡总体风貌定位和空间景观结构，提出美丽村庄和特色村庄的布局方案和建设要求。</w:t>
      </w:r>
    </w:p>
    <w:p>
      <w:pPr>
        <w:numPr>
          <w:ilvl w:val="2"/>
          <w:numId w:val="1"/>
        </w:numPr>
        <w:ind w:left="948" w:leftChars="0" w:hanging="728" w:firstLineChars="0"/>
        <w:outlineLvl w:val="2"/>
        <w:rPr>
          <w:rFonts w:hint="default" w:ascii="仿宋" w:hAnsi="仿宋" w:eastAsia="仿宋" w:cs="仿宋"/>
          <w:b/>
          <w:bCs/>
          <w:sz w:val="28"/>
          <w:szCs w:val="28"/>
          <w:lang w:val="en-US" w:eastAsia="zh-CN"/>
        </w:rPr>
      </w:pPr>
      <w:bookmarkStart w:id="29" w:name="_Toc31019"/>
      <w:r>
        <w:rPr>
          <w:rFonts w:hint="eastAsia" w:ascii="仿宋" w:hAnsi="仿宋" w:eastAsia="仿宋" w:cs="仿宋"/>
          <w:b/>
          <w:bCs/>
          <w:sz w:val="28"/>
          <w:szCs w:val="28"/>
          <w:lang w:val="en-US" w:eastAsia="zh-CN"/>
        </w:rPr>
        <w:t>空间规划结构</w:t>
      </w:r>
      <w:bookmarkEnd w:id="29"/>
    </w:p>
    <w:p>
      <w:pPr>
        <w:pStyle w:val="2"/>
        <w:rPr>
          <w:rFonts w:hint="eastAsia"/>
          <w:lang w:val="en-US" w:eastAsia="zh-CN"/>
        </w:rPr>
      </w:pPr>
      <w:r>
        <w:rPr>
          <w:rFonts w:hint="eastAsia"/>
          <w:lang w:val="en-US" w:eastAsia="zh-CN"/>
        </w:rPr>
        <w:t>镇平县县域规划形成“一心、三轴、四大板块”的空间结构。</w:t>
      </w:r>
    </w:p>
    <w:p>
      <w:pPr>
        <w:pStyle w:val="2"/>
        <w:rPr>
          <w:rFonts w:hint="eastAsia"/>
          <w:lang w:val="en-US" w:eastAsia="zh-CN"/>
        </w:rPr>
      </w:pPr>
      <w:r>
        <w:rPr>
          <w:rFonts w:hint="eastAsia"/>
          <w:lang w:val="en-US" w:eastAsia="zh-CN"/>
        </w:rPr>
        <w:t xml:space="preserve">“一心”：即中心城区，包含石佛寺街道和杨营街道。 </w:t>
      </w:r>
    </w:p>
    <w:p>
      <w:pPr>
        <w:pStyle w:val="2"/>
        <w:rPr>
          <w:rFonts w:hint="eastAsia"/>
          <w:lang w:val="en-US" w:eastAsia="zh-CN"/>
        </w:rPr>
      </w:pPr>
      <w:r>
        <w:rPr>
          <w:rFonts w:hint="eastAsia"/>
          <w:lang w:val="en-US" w:eastAsia="zh-CN"/>
        </w:rPr>
        <w:t xml:space="preserve">“三轴”：中部经济发展主轴：沿新老312国道、宁西铁路和沪陕高速公路形成镇平县中部的工业集聚轴带和经济隆起轴带；南部经济发展次轴：沿S331和南水北调工程（镇平段）形成的平原农业发展轴；赵河生态旅游景观轴：沿赵河规划布局以“玉文化、荷花文化、金鱼文化”为主题的人文景观设施，串联起镇平的山、水、城、田等自然、人文风貌，形成镇平南北向主要旅游景观轴线。 </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lang w:val="en-US" w:eastAsia="zh-CN"/>
        </w:rPr>
      </w:pPr>
      <w:r>
        <w:rPr>
          <w:rFonts w:hint="eastAsia"/>
          <w:lang w:val="en-US" w:eastAsia="zh-CN"/>
        </w:rPr>
        <w:t>“四大板块”：即分别以中心城区、贾宋、遮山、老庄为支撑点的中部、南部、东部、北部四大区域性块状经济板块。</w:t>
      </w:r>
    </w:p>
    <w:p>
      <w:pPr>
        <w:keepNext w:val="0"/>
        <w:keepLines w:val="0"/>
        <w:pageBreakBefore w:val="0"/>
        <w:widowControl w:val="0"/>
        <w:numPr>
          <w:ilvl w:val="2"/>
          <w:numId w:val="1"/>
        </w:numPr>
        <w:kinsoku/>
        <w:wordWrap/>
        <w:overflowPunct/>
        <w:topLinePunct w:val="0"/>
        <w:autoSpaceDE/>
        <w:autoSpaceDN/>
        <w:bidi w:val="0"/>
        <w:adjustRightInd/>
        <w:spacing w:line="360" w:lineRule="auto"/>
        <w:ind w:left="948" w:leftChars="0" w:hanging="728" w:firstLineChars="0"/>
        <w:textAlignment w:val="auto"/>
        <w:outlineLvl w:val="2"/>
        <w:rPr>
          <w:rFonts w:hint="default" w:ascii="仿宋" w:hAnsi="仿宋" w:eastAsia="仿宋" w:cs="仿宋"/>
          <w:b/>
          <w:bCs/>
          <w:sz w:val="28"/>
          <w:szCs w:val="28"/>
          <w:lang w:val="en-US" w:eastAsia="zh-CN"/>
        </w:rPr>
      </w:pPr>
      <w:bookmarkStart w:id="30" w:name="_Toc20185"/>
      <w:r>
        <w:rPr>
          <w:rFonts w:hint="eastAsia" w:ascii="仿宋" w:hAnsi="仿宋" w:eastAsia="仿宋" w:cs="仿宋"/>
          <w:b/>
          <w:bCs/>
          <w:sz w:val="28"/>
          <w:szCs w:val="28"/>
          <w:lang w:val="en-US" w:eastAsia="zh-CN"/>
        </w:rPr>
        <w:t>用地规划</w:t>
      </w:r>
      <w:bookmarkEnd w:id="30"/>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（1）老城组团</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城市建设用地面积约17.40平方公里，可容纳人口24.0万人。</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（2）城西新城组团</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城市建设用地面积约10.26平方公里，可容纳人口13.0万人。</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（3）产业集聚区组团</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城市建设用地面积约13.9平方公里，可容纳人口2.0万人。</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（4）石佛寺组团</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城市建设用地面积约6.0平方公里，可容纳人口4.2万人。</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（5）杨营组团</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城市建设用地面积约1.93平方公里，可容纳人口1.8万人。</w:t>
      </w:r>
    </w:p>
    <w:p>
      <w:pPr>
        <w:keepNext w:val="0"/>
        <w:keepLines w:val="0"/>
        <w:pageBreakBefore w:val="0"/>
        <w:widowControl w:val="0"/>
        <w:numPr>
          <w:ilvl w:val="2"/>
          <w:numId w:val="1"/>
        </w:numPr>
        <w:kinsoku/>
        <w:wordWrap/>
        <w:overflowPunct/>
        <w:topLinePunct w:val="0"/>
        <w:autoSpaceDE/>
        <w:autoSpaceDN/>
        <w:bidi w:val="0"/>
        <w:adjustRightInd/>
        <w:spacing w:line="360" w:lineRule="auto"/>
        <w:ind w:left="948" w:leftChars="0" w:hanging="728" w:firstLineChars="0"/>
        <w:textAlignment w:val="auto"/>
        <w:outlineLvl w:val="2"/>
        <w:rPr>
          <w:rFonts w:hint="default" w:ascii="仿宋" w:hAnsi="仿宋" w:eastAsia="仿宋" w:cs="仿宋"/>
          <w:b/>
          <w:bCs/>
          <w:sz w:val="28"/>
          <w:szCs w:val="28"/>
          <w:lang w:val="en-US" w:eastAsia="zh-CN"/>
        </w:rPr>
      </w:pPr>
      <w:bookmarkStart w:id="31" w:name="_Toc1983"/>
      <w:r>
        <w:rPr>
          <w:rFonts w:hint="eastAsia" w:ascii="仿宋" w:hAnsi="仿宋" w:eastAsia="仿宋" w:cs="仿宋"/>
          <w:b/>
          <w:bCs/>
          <w:sz w:val="28"/>
          <w:szCs w:val="28"/>
          <w:lang w:val="en-US" w:eastAsia="zh-CN"/>
        </w:rPr>
        <w:t>居住用地规划</w:t>
      </w:r>
      <w:bookmarkEnd w:id="31"/>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仿宋" w:hAnsi="仿宋" w:eastAsia="仿宋" w:cs="仿宋"/>
          <w:sz w:val="28"/>
          <w:szCs w:val="28"/>
        </w:rPr>
      </w:pPr>
      <w:r>
        <w:rPr>
          <w:rFonts w:hint="eastAsia" w:ascii="仿宋" w:hAnsi="仿宋" w:eastAsia="仿宋" w:cs="仿宋"/>
          <w:sz w:val="28"/>
          <w:szCs w:val="28"/>
        </w:rPr>
        <w:t>至2035年，中心城区规划居住总用地1391.31公顷，占城市建设用地的28.11%，人均居住用地面积30.92平方米。</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仿宋" w:hAnsi="仿宋" w:eastAsia="仿宋" w:cs="仿宋"/>
          <w:sz w:val="28"/>
          <w:szCs w:val="28"/>
        </w:rPr>
      </w:pPr>
      <w:r>
        <w:rPr>
          <w:rFonts w:hint="eastAsia" w:ascii="仿宋" w:hAnsi="仿宋" w:eastAsia="仿宋" w:cs="仿宋"/>
          <w:sz w:val="28"/>
          <w:szCs w:val="28"/>
        </w:rPr>
        <w:t>整个中心城区分为五大居住片区，分别为老城居住片区、城西新城居住片区和产业聚集区居住片区、石佛寺居住片区和杨营居住片区。</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（1）老城居住用地</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规划居住用地约809.43公顷，可容纳人口24.0万人。</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（2）城西新城居住用地</w:t>
      </w:r>
    </w:p>
    <w:p>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lang w:val="en-US" w:eastAsia="zh-CN"/>
        </w:rPr>
      </w:pPr>
      <w:r>
        <w:rPr>
          <w:rFonts w:hint="eastAsia" w:ascii="仿宋" w:hAnsi="仿宋" w:eastAsia="仿宋" w:cs="仿宋"/>
          <w:lang w:val="en-US" w:eastAsia="zh-CN"/>
        </w:rPr>
        <w:t>规划居住用地约325.61公顷，可容纳人口13.0万人。</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lang w:val="en-US" w:eastAsia="zh-CN"/>
        </w:rPr>
      </w:pPr>
      <w:r>
        <w:rPr>
          <w:rFonts w:hint="eastAsia" w:ascii="仿宋" w:hAnsi="仿宋" w:eastAsia="仿宋" w:cs="仿宋"/>
          <w:lang w:val="en-US" w:eastAsia="zh-CN"/>
        </w:rPr>
        <w:t>（3）产业集聚区居住用地</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lang w:val="en-US" w:eastAsia="zh-CN"/>
        </w:rPr>
      </w:pPr>
      <w:r>
        <w:rPr>
          <w:rFonts w:hint="eastAsia" w:ascii="仿宋" w:hAnsi="仿宋" w:eastAsia="仿宋" w:cs="仿宋"/>
          <w:lang w:val="en-US" w:eastAsia="zh-CN"/>
        </w:rPr>
        <w:t>规划居住用地约66.26公顷，可容纳人口2.0万人。</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lang w:val="en-US" w:eastAsia="zh-CN"/>
        </w:rPr>
      </w:pPr>
      <w:r>
        <w:rPr>
          <w:rFonts w:hint="eastAsia" w:ascii="仿宋" w:hAnsi="仿宋" w:eastAsia="仿宋" w:cs="仿宋"/>
          <w:lang w:val="en-US" w:eastAsia="zh-CN"/>
        </w:rPr>
        <w:t>（4）石佛寺居住用地</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lang w:val="en-US" w:eastAsia="zh-CN"/>
        </w:rPr>
      </w:pPr>
      <w:r>
        <w:rPr>
          <w:rFonts w:hint="eastAsia" w:ascii="仿宋" w:hAnsi="仿宋" w:eastAsia="仿宋" w:cs="仿宋"/>
          <w:lang w:val="en-US" w:eastAsia="zh-CN"/>
        </w:rPr>
        <w:t>规划居住用地约133.36公顷，可容纳人口4.2万人。</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lang w:val="en-US" w:eastAsia="zh-CN"/>
        </w:rPr>
      </w:pPr>
      <w:r>
        <w:rPr>
          <w:rFonts w:hint="eastAsia" w:ascii="仿宋" w:hAnsi="仿宋" w:eastAsia="仿宋" w:cs="仿宋"/>
          <w:lang w:val="en-US" w:eastAsia="zh-CN"/>
        </w:rPr>
        <w:t>（5）杨营居住用地</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lang w:val="en-US" w:eastAsia="zh-CN"/>
        </w:rPr>
      </w:pPr>
      <w:r>
        <w:rPr>
          <w:rFonts w:hint="eastAsia" w:ascii="仿宋" w:hAnsi="仿宋" w:eastAsia="仿宋" w:cs="仿宋"/>
          <w:lang w:val="en-US" w:eastAsia="zh-CN"/>
        </w:rPr>
        <w:t>规划居住用地约56.65公顷，可容纳人口1.8万人。</w:t>
      </w:r>
    </w:p>
    <w:p>
      <w:pPr>
        <w:keepNext w:val="0"/>
        <w:keepLines w:val="0"/>
        <w:pageBreakBefore w:val="0"/>
        <w:widowControl w:val="0"/>
        <w:numPr>
          <w:ilvl w:val="2"/>
          <w:numId w:val="1"/>
        </w:numPr>
        <w:kinsoku/>
        <w:wordWrap/>
        <w:overflowPunct/>
        <w:topLinePunct w:val="0"/>
        <w:autoSpaceDE/>
        <w:autoSpaceDN/>
        <w:bidi w:val="0"/>
        <w:adjustRightInd/>
        <w:ind w:left="948" w:leftChars="0" w:hanging="728" w:firstLineChars="0"/>
        <w:textAlignment w:val="auto"/>
        <w:outlineLvl w:val="2"/>
        <w:rPr>
          <w:rFonts w:hint="default" w:ascii="仿宋" w:hAnsi="仿宋" w:eastAsia="仿宋" w:cs="仿宋"/>
          <w:b/>
          <w:bCs/>
          <w:sz w:val="28"/>
          <w:szCs w:val="28"/>
          <w:lang w:val="en-US" w:eastAsia="zh-CN"/>
        </w:rPr>
      </w:pPr>
      <w:bookmarkStart w:id="32" w:name="_Toc18473"/>
      <w:r>
        <w:rPr>
          <w:rFonts w:hint="eastAsia" w:ascii="仿宋" w:hAnsi="仿宋" w:eastAsia="仿宋" w:cs="仿宋"/>
          <w:b/>
          <w:bCs/>
          <w:sz w:val="28"/>
          <w:szCs w:val="28"/>
          <w:lang w:val="en-US" w:eastAsia="zh-CN"/>
        </w:rPr>
        <w:t>综合交通规划</w:t>
      </w:r>
      <w:bookmarkEnd w:id="32"/>
    </w:p>
    <w:p>
      <w:pPr>
        <w:keepNext w:val="0"/>
        <w:keepLines w:val="0"/>
        <w:pageBreakBefore w:val="0"/>
        <w:widowControl w:val="0"/>
        <w:numPr>
          <w:ilvl w:val="3"/>
          <w:numId w:val="1"/>
        </w:numPr>
        <w:kinsoku/>
        <w:wordWrap/>
        <w:overflowPunct/>
        <w:topLinePunct w:val="0"/>
        <w:autoSpaceDE/>
        <w:autoSpaceDN/>
        <w:bidi w:val="0"/>
        <w:adjustRightInd/>
        <w:ind w:left="1260" w:leftChars="0" w:hanging="65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发展策略</w:t>
      </w:r>
    </w:p>
    <w:p>
      <w:pPr>
        <w:keepNext w:val="0"/>
        <w:keepLines w:val="0"/>
        <w:pageBreakBefore w:val="0"/>
        <w:widowControl w:val="0"/>
        <w:kinsoku/>
        <w:wordWrap/>
        <w:overflowPunct/>
        <w:topLinePunct w:val="0"/>
        <w:autoSpaceDE/>
        <w:autoSpaceDN/>
        <w:bidi w:val="0"/>
        <w:adjustRightInd/>
        <w:ind w:firstLine="480"/>
        <w:textAlignment w:val="auto"/>
        <w:rPr>
          <w:rFonts w:hint="eastAsia" w:ascii="仿宋" w:hAnsi="仿宋" w:eastAsia="仿宋" w:cs="仿宋"/>
          <w:kern w:val="0"/>
          <w:sz w:val="28"/>
          <w:szCs w:val="28"/>
        </w:rPr>
      </w:pPr>
      <w:r>
        <w:rPr>
          <w:rFonts w:hint="eastAsia" w:ascii="仿宋" w:hAnsi="仿宋" w:eastAsia="仿宋" w:cs="仿宋"/>
          <w:kern w:val="0"/>
          <w:sz w:val="28"/>
          <w:szCs w:val="28"/>
        </w:rPr>
        <w:t>（1）级配分明，等级完善：建设绕城环路，分离过境交通，完善城区主干路网骨架，提升支路网密度。</w:t>
      </w:r>
    </w:p>
    <w:p>
      <w:pPr>
        <w:keepNext w:val="0"/>
        <w:keepLines w:val="0"/>
        <w:pageBreakBefore w:val="0"/>
        <w:widowControl w:val="0"/>
        <w:kinsoku/>
        <w:wordWrap/>
        <w:overflowPunct/>
        <w:topLinePunct w:val="0"/>
        <w:autoSpaceDE/>
        <w:autoSpaceDN/>
        <w:bidi w:val="0"/>
        <w:adjustRightInd/>
        <w:ind w:firstLine="480"/>
        <w:textAlignment w:val="auto"/>
        <w:rPr>
          <w:rFonts w:hint="eastAsia" w:ascii="仿宋" w:hAnsi="仿宋" w:eastAsia="仿宋" w:cs="仿宋"/>
          <w:kern w:val="0"/>
          <w:sz w:val="28"/>
          <w:szCs w:val="28"/>
        </w:rPr>
      </w:pPr>
      <w:r>
        <w:rPr>
          <w:rFonts w:hint="eastAsia" w:ascii="仿宋" w:hAnsi="仿宋" w:eastAsia="仿宋" w:cs="仿宋"/>
          <w:kern w:val="0"/>
          <w:sz w:val="28"/>
          <w:szCs w:val="28"/>
        </w:rPr>
        <w:t>（2）公交优先，慢行优先：尊重本地居民的出行特征和生活习惯，提升慢行空间的比重和出行环境，落实公交优先，提升公交服务水平，加强城乡公交和城区公交的联系。</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kern w:val="0"/>
          <w:sz w:val="28"/>
          <w:szCs w:val="28"/>
        </w:rPr>
      </w:pPr>
      <w:r>
        <w:rPr>
          <w:rFonts w:hint="eastAsia" w:ascii="仿宋" w:hAnsi="仿宋" w:eastAsia="仿宋" w:cs="仿宋"/>
          <w:kern w:val="0"/>
          <w:sz w:val="28"/>
          <w:szCs w:val="28"/>
        </w:rPr>
        <w:t>（3）可达主导，设施完备：以居民出行的可达性为交通规划的重点，合理布局各类交通设施，便于居民出行换乘和停驻。</w:t>
      </w:r>
    </w:p>
    <w:p>
      <w:pPr>
        <w:keepNext w:val="0"/>
        <w:keepLines w:val="0"/>
        <w:pageBreakBefore w:val="0"/>
        <w:widowControl w:val="0"/>
        <w:numPr>
          <w:ilvl w:val="3"/>
          <w:numId w:val="1"/>
        </w:numPr>
        <w:kinsoku/>
        <w:wordWrap/>
        <w:overflowPunct/>
        <w:topLinePunct w:val="0"/>
        <w:autoSpaceDE/>
        <w:autoSpaceDN/>
        <w:bidi w:val="0"/>
        <w:adjustRightInd/>
        <w:ind w:left="1260" w:leftChars="0" w:hanging="65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对外交通规划</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kern w:val="0"/>
          <w:sz w:val="28"/>
          <w:szCs w:val="28"/>
        </w:rPr>
      </w:pPr>
      <w:r>
        <w:rPr>
          <w:rFonts w:hint="eastAsia" w:ascii="仿宋" w:hAnsi="仿宋" w:eastAsia="仿宋" w:cs="仿宋"/>
          <w:kern w:val="0"/>
          <w:sz w:val="28"/>
          <w:szCs w:val="28"/>
        </w:rPr>
        <w:t>（1）铁路规划</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kern w:val="0"/>
          <w:sz w:val="28"/>
          <w:szCs w:val="28"/>
        </w:rPr>
      </w:pPr>
      <w:r>
        <w:rPr>
          <w:rFonts w:hint="eastAsia" w:ascii="仿宋" w:hAnsi="仿宋" w:eastAsia="仿宋" w:cs="仿宋"/>
          <w:kern w:val="0"/>
          <w:sz w:val="28"/>
          <w:szCs w:val="28"/>
        </w:rPr>
        <w:t>宁西铁路从中心城区中部横穿而过，在健康路北端设客货混合火车站。根据《南阳市中心城市组团交通体系规划》，规划建设南阳至镇平轨道交通线路沿宁西铁路设置，在中心城区设置站点，结合站点布设新的公交枢纽场站，停车场等设施，形成县城的对外交通枢纽区，位于火车站西侧。</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kern w:val="0"/>
          <w:sz w:val="28"/>
          <w:szCs w:val="28"/>
        </w:rPr>
      </w:pPr>
      <w:r>
        <w:rPr>
          <w:rFonts w:hint="eastAsia" w:ascii="仿宋" w:hAnsi="仿宋" w:eastAsia="仿宋" w:cs="仿宋"/>
          <w:kern w:val="0"/>
          <w:sz w:val="28"/>
          <w:szCs w:val="28"/>
        </w:rPr>
        <w:t>（2）高速公路</w:t>
      </w:r>
    </w:p>
    <w:p>
      <w:pPr>
        <w:pStyle w:val="2"/>
        <w:keepNext w:val="0"/>
        <w:keepLines w:val="0"/>
        <w:pageBreakBefore w:val="0"/>
        <w:widowControl w:val="0"/>
        <w:kinsoku/>
        <w:wordWrap/>
        <w:overflowPunct/>
        <w:topLinePunct w:val="0"/>
        <w:autoSpaceDE/>
        <w:autoSpaceDN/>
        <w:bidi w:val="0"/>
        <w:adjustRightInd/>
        <w:textAlignment w:val="auto"/>
        <w:rPr>
          <w:rFonts w:hint="eastAsia" w:ascii="仿宋" w:hAnsi="仿宋" w:eastAsia="仿宋" w:cs="仿宋"/>
          <w:kern w:val="0"/>
          <w:sz w:val="28"/>
          <w:szCs w:val="28"/>
        </w:rPr>
      </w:pPr>
      <w:r>
        <w:rPr>
          <w:rFonts w:hint="eastAsia" w:ascii="仿宋" w:hAnsi="仿宋" w:eastAsia="仿宋" w:cs="仿宋"/>
          <w:kern w:val="0"/>
          <w:sz w:val="28"/>
          <w:szCs w:val="28"/>
        </w:rPr>
        <w:t>规划沪陕高速从中心城区南侧穿过，设有杨营高速出入口，可快速、方便地与南阳市、河南省和全国高速公路网对接。并考虑未来货运交通运输的需要，规划位于沪陕高速与G207新线相交处增设一处高速出入口。</w:t>
      </w:r>
    </w:p>
    <w:p>
      <w:pPr>
        <w:pStyle w:val="2"/>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8"/>
          <w:szCs w:val="28"/>
        </w:rPr>
      </w:pPr>
      <w:r>
        <w:rPr>
          <w:rFonts w:hint="eastAsia" w:ascii="仿宋" w:hAnsi="仿宋" w:eastAsia="仿宋" w:cs="仿宋"/>
          <w:kern w:val="0"/>
          <w:sz w:val="28"/>
          <w:szCs w:val="28"/>
        </w:rPr>
        <w:t>（3）客运站规划</w:t>
      </w:r>
    </w:p>
    <w:p>
      <w:pPr>
        <w:pStyle w:val="2"/>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rPr>
        <w:t>共规划3处客运站，保留城北客运站，新建城西客运站、石佛寺客运站。其中：城西新区客运站：位于玉神路与南外环路交叉口西北角，用地面积4.09公顷，为一级客运站。城北汽车客运站：位于建设大道南侧，为现状保留扩建，用地面积2.7公顷，为二级客运站。石佛寺汽车客运站：位于玉城大道中段，用地面积4.29公顷，为二级客运站。</w:t>
      </w:r>
    </w:p>
    <w:p>
      <w:pPr>
        <w:pageBreakBefore w:val="0"/>
        <w:widowControl w:val="0"/>
        <w:numPr>
          <w:ilvl w:val="3"/>
          <w:numId w:val="1"/>
        </w:numPr>
        <w:kinsoku/>
        <w:wordWrap/>
        <w:overflowPunct/>
        <w:topLinePunct w:val="0"/>
        <w:autoSpaceDE/>
        <w:autoSpaceDN/>
        <w:bidi w:val="0"/>
        <w:adjustRightInd/>
        <w:spacing w:line="360" w:lineRule="auto"/>
        <w:ind w:left="1260" w:leftChars="0" w:hanging="65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城市道路系统规划</w:t>
      </w:r>
    </w:p>
    <w:p>
      <w:pPr>
        <w:pageBreakBefore w:val="0"/>
        <w:widowControl w:val="0"/>
        <w:kinsoku/>
        <w:wordWrap/>
        <w:overflowPunct/>
        <w:topLinePunct w:val="0"/>
        <w:autoSpaceDE/>
        <w:autoSpaceDN/>
        <w:bidi w:val="0"/>
        <w:adjustRightInd/>
        <w:spacing w:line="360" w:lineRule="auto"/>
        <w:ind w:firstLine="480"/>
        <w:textAlignment w:val="auto"/>
        <w:rPr>
          <w:rFonts w:hint="eastAsia" w:ascii="仿宋" w:hAnsi="仿宋" w:eastAsia="仿宋" w:cs="仿宋"/>
          <w:sz w:val="28"/>
          <w:szCs w:val="28"/>
        </w:rPr>
      </w:pPr>
      <w:r>
        <w:rPr>
          <w:rFonts w:hint="eastAsia" w:ascii="仿宋" w:hAnsi="仿宋" w:eastAsia="仿宋" w:cs="仿宋"/>
          <w:sz w:val="28"/>
          <w:szCs w:val="28"/>
        </w:rPr>
        <w:t>规划城市道路用地面积840.91公顷，占城市建设用地16.99%，人均面积18.69平方米。规划道路由快速路、主干路、次干路、支路四级组成。至2035年，快速路道路网密度达到0.05公里/平方公里，主干路达到2.46公里/平方公里，次干路达到2.22公里/平方公里，支路达到3.30公里/平方公里。</w:t>
      </w:r>
    </w:p>
    <w:p>
      <w:pPr>
        <w:pStyle w:val="3"/>
        <w:pageBreakBefore w:val="0"/>
        <w:widowControl w:val="0"/>
        <w:kinsoku/>
        <w:wordWrap/>
        <w:overflowPunct/>
        <w:topLinePunct w:val="0"/>
        <w:autoSpaceDE/>
        <w:autoSpaceDN/>
        <w:bidi w:val="0"/>
        <w:adjustRightInd/>
        <w:spacing w:before="0" w:after="0" w:line="360" w:lineRule="auto"/>
        <w:ind w:firstLine="480"/>
        <w:textAlignment w:val="auto"/>
        <w:rPr>
          <w:rFonts w:hint="eastAsia" w:ascii="仿宋" w:hAnsi="仿宋" w:eastAsia="仿宋" w:cs="仿宋"/>
          <w:sz w:val="28"/>
          <w:szCs w:val="28"/>
        </w:rPr>
      </w:pPr>
      <w:r>
        <w:rPr>
          <w:rFonts w:hint="eastAsia" w:ascii="仿宋" w:hAnsi="仿宋" w:eastAsia="仿宋" w:cs="仿宋"/>
          <w:sz w:val="28"/>
          <w:szCs w:val="28"/>
        </w:rPr>
        <w:t>（1）快速路</w:t>
      </w:r>
    </w:p>
    <w:p>
      <w:pPr>
        <w:pageBreakBefore w:val="0"/>
        <w:widowControl w:val="0"/>
        <w:kinsoku/>
        <w:wordWrap/>
        <w:overflowPunct/>
        <w:topLinePunct w:val="0"/>
        <w:autoSpaceDE/>
        <w:autoSpaceDN/>
        <w:bidi w:val="0"/>
        <w:adjustRightInd/>
        <w:spacing w:line="360" w:lineRule="auto"/>
        <w:ind w:firstLine="480"/>
        <w:textAlignment w:val="auto"/>
        <w:rPr>
          <w:rFonts w:hint="eastAsia" w:ascii="仿宋" w:hAnsi="仿宋" w:eastAsia="仿宋" w:cs="仿宋"/>
          <w:sz w:val="28"/>
          <w:szCs w:val="28"/>
        </w:rPr>
      </w:pPr>
      <w:r>
        <w:rPr>
          <w:rFonts w:hint="eastAsia" w:ascii="仿宋" w:hAnsi="仿宋" w:eastAsia="仿宋" w:cs="仿宋"/>
          <w:sz w:val="28"/>
          <w:szCs w:val="28"/>
          <w:u w:val="none"/>
        </w:rPr>
        <w:t>规划G312国道南迁，现有城区段红线宽度60米改造为南外环快速路。</w:t>
      </w:r>
    </w:p>
    <w:p>
      <w:pPr>
        <w:pStyle w:val="3"/>
        <w:pageBreakBefore w:val="0"/>
        <w:widowControl w:val="0"/>
        <w:kinsoku/>
        <w:wordWrap/>
        <w:overflowPunct/>
        <w:topLinePunct w:val="0"/>
        <w:autoSpaceDE/>
        <w:autoSpaceDN/>
        <w:bidi w:val="0"/>
        <w:adjustRightInd/>
        <w:spacing w:before="0" w:after="0" w:line="360" w:lineRule="auto"/>
        <w:ind w:firstLine="480"/>
        <w:textAlignment w:val="auto"/>
        <w:rPr>
          <w:rFonts w:hint="eastAsia" w:ascii="仿宋" w:hAnsi="仿宋" w:eastAsia="仿宋" w:cs="仿宋"/>
          <w:sz w:val="28"/>
          <w:szCs w:val="28"/>
        </w:rPr>
      </w:pPr>
      <w:r>
        <w:rPr>
          <w:rFonts w:hint="eastAsia" w:ascii="仿宋" w:hAnsi="仿宋" w:eastAsia="仿宋" w:cs="仿宋"/>
          <w:sz w:val="28"/>
          <w:szCs w:val="28"/>
        </w:rPr>
        <w:t>（2）主干路规划</w:t>
      </w:r>
    </w:p>
    <w:p>
      <w:pPr>
        <w:pageBreakBefore w:val="0"/>
        <w:widowControl w:val="0"/>
        <w:kinsoku/>
        <w:wordWrap/>
        <w:overflowPunct/>
        <w:topLinePunct w:val="0"/>
        <w:autoSpaceDE/>
        <w:autoSpaceDN/>
        <w:bidi w:val="0"/>
        <w:adjustRightIn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规划主干路红线宽度控制在30-60 米，断面以三块板为主。中心城区形成 “八横 、九纵 ”的城市主干道网。</w:t>
      </w:r>
    </w:p>
    <w:p>
      <w:pPr>
        <w:pStyle w:val="2"/>
        <w:rPr>
          <w:rFonts w:hint="eastAsia" w:ascii="仿宋" w:hAnsi="仿宋" w:eastAsia="仿宋" w:cs="仿宋"/>
          <w:sz w:val="28"/>
          <w:szCs w:val="28"/>
          <w:u w:val="none"/>
        </w:rPr>
      </w:pPr>
    </w:p>
    <w:p>
      <w:pPr>
        <w:pStyle w:val="2"/>
        <w:rPr>
          <w:rFonts w:hint="eastAsia" w:ascii="仿宋" w:hAnsi="仿宋" w:eastAsia="仿宋" w:cs="仿宋"/>
          <w:sz w:val="28"/>
          <w:szCs w:val="28"/>
          <w:u w:val="none"/>
        </w:rPr>
      </w:pPr>
    </w:p>
    <w:p>
      <w:pPr>
        <w:pStyle w:val="2"/>
        <w:rPr>
          <w:rFonts w:hint="eastAsia" w:ascii="仿宋" w:hAnsi="仿宋" w:eastAsia="仿宋" w:cs="仿宋"/>
          <w:sz w:val="28"/>
          <w:szCs w:val="28"/>
          <w:u w:val="none"/>
        </w:rPr>
      </w:pPr>
    </w:p>
    <w:p>
      <w:pPr>
        <w:pStyle w:val="2"/>
        <w:rPr>
          <w:rFonts w:hint="eastAsia" w:ascii="仿宋" w:hAnsi="仿宋" w:eastAsia="仿宋" w:cs="仿宋"/>
          <w:sz w:val="28"/>
          <w:szCs w:val="28"/>
          <w:u w:val="none"/>
        </w:rPr>
      </w:pPr>
    </w:p>
    <w:p>
      <w:pPr>
        <w:pStyle w:val="2"/>
        <w:rPr>
          <w:rFonts w:hint="eastAsia" w:ascii="仿宋" w:hAnsi="仿宋" w:eastAsia="仿宋" w:cs="仿宋"/>
          <w:sz w:val="28"/>
          <w:szCs w:val="28"/>
          <w:u w:val="none"/>
        </w:rPr>
      </w:pPr>
    </w:p>
    <w:p>
      <w:pPr>
        <w:pStyle w:val="2"/>
        <w:rPr>
          <w:rFonts w:hint="eastAsia" w:ascii="仿宋" w:hAnsi="仿宋" w:eastAsia="仿宋" w:cs="仿宋"/>
          <w:sz w:val="28"/>
          <w:szCs w:val="28"/>
          <w:u w:val="none"/>
        </w:rPr>
      </w:pPr>
    </w:p>
    <w:p>
      <w:pPr>
        <w:pStyle w:val="2"/>
        <w:rPr>
          <w:rFonts w:hint="eastAsia" w:ascii="仿宋" w:hAnsi="仿宋" w:eastAsia="仿宋" w:cs="仿宋"/>
          <w:sz w:val="28"/>
          <w:szCs w:val="28"/>
          <w:u w:val="none"/>
        </w:rPr>
      </w:pPr>
    </w:p>
    <w:p>
      <w:pPr>
        <w:pStyle w:val="2"/>
        <w:rPr>
          <w:rFonts w:hint="eastAsia" w:ascii="仿宋" w:hAnsi="仿宋" w:eastAsia="仿宋" w:cs="仿宋"/>
          <w:sz w:val="28"/>
          <w:szCs w:val="28"/>
          <w:u w:val="none"/>
        </w:rPr>
      </w:pPr>
    </w:p>
    <w:p>
      <w:pPr>
        <w:pStyle w:val="15"/>
        <w:rPr>
          <w:rFonts w:hint="eastAsia" w:ascii="仿宋" w:hAnsi="仿宋" w:eastAsia="仿宋" w:cs="仿宋"/>
          <w:kern w:val="0"/>
          <w:sz w:val="24"/>
          <w:szCs w:val="24"/>
        </w:rPr>
      </w:pPr>
      <w:r>
        <w:rPr>
          <w:rFonts w:hint="eastAsia" w:ascii="仿宋" w:hAnsi="仿宋" w:eastAsia="仿宋" w:cs="仿宋"/>
          <w:kern w:val="0"/>
          <w:sz w:val="24"/>
          <w:szCs w:val="24"/>
        </w:rPr>
        <w:t>表</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 xml:space="preserve">   中心城区主干路规划一览表</w:t>
      </w:r>
    </w:p>
    <w:tbl>
      <w:tblPr>
        <w:tblStyle w:val="1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8"/>
        <w:gridCol w:w="849"/>
        <w:gridCol w:w="743"/>
        <w:gridCol w:w="716"/>
        <w:gridCol w:w="718"/>
        <w:gridCol w:w="718"/>
        <w:gridCol w:w="718"/>
        <w:gridCol w:w="718"/>
        <w:gridCol w:w="718"/>
        <w:gridCol w:w="745"/>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8" w:type="pct"/>
            <w:vMerge w:val="restart"/>
            <w:vAlign w:val="center"/>
          </w:tcPr>
          <w:p>
            <w:pPr>
              <w:pStyle w:val="14"/>
              <w:rPr>
                <w:rFonts w:hint="eastAsia" w:ascii="仿宋" w:hAnsi="仿宋" w:eastAsia="仿宋" w:cs="仿宋"/>
                <w:sz w:val="21"/>
                <w:szCs w:val="21"/>
              </w:rPr>
            </w:pPr>
            <w:r>
              <w:rPr>
                <w:rFonts w:hint="eastAsia" w:ascii="仿宋" w:hAnsi="仿宋" w:eastAsia="仿宋" w:cs="仿宋"/>
                <w:sz w:val="21"/>
                <w:szCs w:val="21"/>
              </w:rPr>
              <w:t>序号</w:t>
            </w:r>
          </w:p>
        </w:tc>
        <w:tc>
          <w:tcPr>
            <w:tcW w:w="506" w:type="pct"/>
            <w:vMerge w:val="restart"/>
            <w:vAlign w:val="center"/>
          </w:tcPr>
          <w:p>
            <w:pPr>
              <w:pStyle w:val="14"/>
              <w:rPr>
                <w:rFonts w:hint="eastAsia" w:ascii="仿宋" w:hAnsi="仿宋" w:eastAsia="仿宋" w:cs="仿宋"/>
                <w:sz w:val="21"/>
                <w:szCs w:val="21"/>
              </w:rPr>
            </w:pPr>
            <w:r>
              <w:rPr>
                <w:rFonts w:hint="eastAsia" w:ascii="仿宋" w:hAnsi="仿宋" w:eastAsia="仿宋" w:cs="仿宋"/>
                <w:sz w:val="21"/>
                <w:szCs w:val="21"/>
              </w:rPr>
              <w:t>道路名称</w:t>
            </w:r>
          </w:p>
        </w:tc>
        <w:tc>
          <w:tcPr>
            <w:tcW w:w="495" w:type="pct"/>
            <w:vMerge w:val="restart"/>
            <w:vAlign w:val="center"/>
          </w:tcPr>
          <w:p>
            <w:pPr>
              <w:pStyle w:val="14"/>
              <w:rPr>
                <w:rFonts w:hint="eastAsia" w:ascii="仿宋" w:hAnsi="仿宋" w:eastAsia="仿宋" w:cs="仿宋"/>
                <w:sz w:val="21"/>
                <w:szCs w:val="21"/>
              </w:rPr>
            </w:pPr>
            <w:r>
              <w:rPr>
                <w:rFonts w:hint="eastAsia" w:ascii="仿宋" w:hAnsi="仿宋" w:eastAsia="仿宋" w:cs="仿宋"/>
                <w:sz w:val="21"/>
                <w:szCs w:val="21"/>
              </w:rPr>
              <w:t>长度（km）</w:t>
            </w:r>
          </w:p>
        </w:tc>
        <w:tc>
          <w:tcPr>
            <w:tcW w:w="433" w:type="pct"/>
            <w:vMerge w:val="restart"/>
            <w:vAlign w:val="center"/>
          </w:tcPr>
          <w:p>
            <w:pPr>
              <w:pStyle w:val="14"/>
              <w:rPr>
                <w:rFonts w:hint="eastAsia" w:ascii="仿宋" w:hAnsi="仿宋" w:eastAsia="仿宋" w:cs="仿宋"/>
                <w:sz w:val="21"/>
                <w:szCs w:val="21"/>
              </w:rPr>
            </w:pPr>
            <w:r>
              <w:rPr>
                <w:rFonts w:hint="eastAsia" w:ascii="仿宋" w:hAnsi="仿宋" w:eastAsia="仿宋" w:cs="仿宋"/>
                <w:sz w:val="21"/>
                <w:szCs w:val="21"/>
              </w:rPr>
              <w:t>红线宽度（m）</w:t>
            </w:r>
          </w:p>
          <w:p>
            <w:pPr>
              <w:pStyle w:val="14"/>
              <w:rPr>
                <w:rFonts w:hint="eastAsia" w:ascii="仿宋" w:hAnsi="仿宋" w:eastAsia="仿宋" w:cs="仿宋"/>
                <w:sz w:val="21"/>
                <w:szCs w:val="21"/>
              </w:rPr>
            </w:pPr>
          </w:p>
        </w:tc>
        <w:tc>
          <w:tcPr>
            <w:tcW w:w="2941" w:type="pct"/>
            <w:gridSpan w:val="7"/>
            <w:vAlign w:val="center"/>
          </w:tcPr>
          <w:p>
            <w:pPr>
              <w:pStyle w:val="14"/>
              <w:rPr>
                <w:rFonts w:hint="eastAsia" w:ascii="仿宋" w:hAnsi="仿宋" w:eastAsia="仿宋" w:cs="仿宋"/>
                <w:sz w:val="21"/>
                <w:szCs w:val="21"/>
              </w:rPr>
            </w:pPr>
            <w:r>
              <w:rPr>
                <w:rFonts w:hint="eastAsia" w:ascii="仿宋" w:hAnsi="仿宋" w:eastAsia="仿宋" w:cs="仿宋"/>
                <w:sz w:val="21"/>
                <w:szCs w:val="21"/>
              </w:rPr>
              <w:t>断面形式（m）</w:t>
            </w:r>
          </w:p>
        </w:tc>
        <w:tc>
          <w:tcPr>
            <w:tcW w:w="373" w:type="pct"/>
            <w:vAlign w:val="center"/>
          </w:tcPr>
          <w:p>
            <w:pPr>
              <w:pStyle w:val="14"/>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248" w:type="pct"/>
            <w:vMerge w:val="continue"/>
            <w:vAlign w:val="center"/>
          </w:tcPr>
          <w:p>
            <w:pPr>
              <w:pStyle w:val="14"/>
              <w:rPr>
                <w:rFonts w:hint="eastAsia" w:ascii="仿宋" w:hAnsi="仿宋" w:eastAsia="仿宋" w:cs="仿宋"/>
                <w:sz w:val="21"/>
                <w:szCs w:val="21"/>
              </w:rPr>
            </w:pPr>
          </w:p>
        </w:tc>
        <w:tc>
          <w:tcPr>
            <w:tcW w:w="506" w:type="pct"/>
            <w:vMerge w:val="continue"/>
            <w:vAlign w:val="center"/>
          </w:tcPr>
          <w:p>
            <w:pPr>
              <w:pStyle w:val="14"/>
              <w:rPr>
                <w:rFonts w:hint="eastAsia" w:ascii="仿宋" w:hAnsi="仿宋" w:eastAsia="仿宋" w:cs="仿宋"/>
                <w:sz w:val="21"/>
                <w:szCs w:val="21"/>
              </w:rPr>
            </w:pPr>
          </w:p>
        </w:tc>
        <w:tc>
          <w:tcPr>
            <w:tcW w:w="495" w:type="pct"/>
            <w:vMerge w:val="continue"/>
            <w:vAlign w:val="center"/>
          </w:tcPr>
          <w:p>
            <w:pPr>
              <w:pStyle w:val="14"/>
              <w:rPr>
                <w:rFonts w:hint="eastAsia" w:ascii="仿宋" w:hAnsi="仿宋" w:eastAsia="仿宋" w:cs="仿宋"/>
                <w:sz w:val="21"/>
                <w:szCs w:val="21"/>
              </w:rPr>
            </w:pPr>
          </w:p>
        </w:tc>
        <w:tc>
          <w:tcPr>
            <w:tcW w:w="433" w:type="pct"/>
            <w:vMerge w:val="continue"/>
            <w:vAlign w:val="center"/>
          </w:tcPr>
          <w:p>
            <w:pPr>
              <w:pStyle w:val="14"/>
              <w:rPr>
                <w:rFonts w:hint="eastAsia" w:ascii="仿宋" w:hAnsi="仿宋" w:eastAsia="仿宋" w:cs="仿宋"/>
                <w:sz w:val="21"/>
                <w:szCs w:val="21"/>
              </w:rPr>
            </w:pP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人行道</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非机动车道</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分隔带</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机动车道</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分隔带</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非机动车道</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人行道</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w:t>
            </w:r>
          </w:p>
        </w:tc>
        <w:tc>
          <w:tcPr>
            <w:tcW w:w="506"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北外环路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w:t>
            </w:r>
          </w:p>
        </w:tc>
        <w:tc>
          <w:tcPr>
            <w:tcW w:w="506"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玉龙路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4.2</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37</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玉源南路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2.5</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37</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新民路—京华路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2.8</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玉城大道</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5.1</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6</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玉乐大道—鸿安路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9.8</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7</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纬一路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6.7</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8</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杏山大道</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8.2</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9</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建设大道</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10.7</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55</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28.0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10</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平安大道</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10.6</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28.0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11</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玉源大道</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4.9</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35</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12</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玉都大道</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7.4</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13</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玉神路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7.8</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5.5</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14</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航天大道</w:t>
            </w:r>
          </w:p>
        </w:tc>
        <w:tc>
          <w:tcPr>
            <w:tcW w:w="495" w:type="pct"/>
            <w:vAlign w:val="center"/>
          </w:tcPr>
          <w:p>
            <w:pPr>
              <w:pStyle w:val="14"/>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60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6.5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28.0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5.0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6.5</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15</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健康路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42</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16</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菩提路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4.6</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42</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17</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将军路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42</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4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18</w:t>
            </w:r>
          </w:p>
        </w:tc>
        <w:tc>
          <w:tcPr>
            <w:tcW w:w="506" w:type="pct"/>
            <w:vAlign w:val="center"/>
          </w:tcPr>
          <w:p>
            <w:pPr>
              <w:pStyle w:val="14"/>
              <w:rPr>
                <w:rFonts w:hint="eastAsia" w:ascii="仿宋" w:hAnsi="仿宋" w:eastAsia="仿宋" w:cs="仿宋"/>
                <w:color w:val="auto"/>
                <w:sz w:val="21"/>
                <w:szCs w:val="21"/>
              </w:rPr>
            </w:pPr>
            <w:r>
              <w:rPr>
                <w:rFonts w:hint="eastAsia" w:ascii="仿宋" w:hAnsi="仿宋" w:eastAsia="仿宋" w:cs="仿宋"/>
                <w:color w:val="auto"/>
                <w:sz w:val="21"/>
                <w:szCs w:val="21"/>
              </w:rPr>
              <w:t>石杨路</w:t>
            </w:r>
          </w:p>
        </w:tc>
        <w:tc>
          <w:tcPr>
            <w:tcW w:w="495"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10.9</w:t>
            </w:r>
          </w:p>
        </w:tc>
        <w:tc>
          <w:tcPr>
            <w:tcW w:w="43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40</w:t>
            </w:r>
          </w:p>
        </w:tc>
        <w:tc>
          <w:tcPr>
            <w:tcW w:w="417"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21.0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2.0</w:t>
            </w:r>
          </w:p>
        </w:tc>
        <w:tc>
          <w:tcPr>
            <w:tcW w:w="418"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4.5</w:t>
            </w:r>
          </w:p>
        </w:tc>
        <w:tc>
          <w:tcPr>
            <w:tcW w:w="431"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3.0</w:t>
            </w:r>
          </w:p>
        </w:tc>
        <w:tc>
          <w:tcPr>
            <w:tcW w:w="373" w:type="pct"/>
            <w:vAlign w:val="center"/>
          </w:tcPr>
          <w:p>
            <w:pPr>
              <w:pStyle w:val="14"/>
              <w:rPr>
                <w:rFonts w:hint="eastAsia" w:ascii="仿宋" w:hAnsi="仿宋" w:eastAsia="仿宋" w:cs="仿宋"/>
                <w:sz w:val="21"/>
                <w:szCs w:val="21"/>
              </w:rPr>
            </w:pPr>
            <w:r>
              <w:rPr>
                <w:rFonts w:hint="eastAsia" w:ascii="仿宋" w:hAnsi="仿宋" w:eastAsia="仿宋" w:cs="仿宋"/>
                <w:sz w:val="21"/>
                <w:szCs w:val="21"/>
              </w:rPr>
              <w:t>规划</w:t>
            </w:r>
          </w:p>
        </w:tc>
      </w:tr>
    </w:tbl>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（3）次干路规划</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规划红线宽度为25-35米，道路断面以一块板为主。</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（4）支路规划</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规划红线宽度一般为12-20米，以一块板断面为主。</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公共交通系统规划</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（1）公交系统规划</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fldChar w:fldCharType="begin"/>
      </w:r>
      <w:r>
        <w:rPr>
          <w:rFonts w:hint="eastAsia" w:ascii="仿宋" w:hAnsi="仿宋" w:eastAsia="仿宋" w:cs="仿宋"/>
          <w:sz w:val="28"/>
          <w:szCs w:val="28"/>
          <w:u w:val="none"/>
        </w:rPr>
        <w:instrText xml:space="preserve"> = 1 \* GB3 </w:instrText>
      </w:r>
      <w:r>
        <w:rPr>
          <w:rFonts w:hint="eastAsia" w:ascii="仿宋" w:hAnsi="仿宋" w:eastAsia="仿宋" w:cs="仿宋"/>
          <w:sz w:val="28"/>
          <w:szCs w:val="28"/>
          <w:u w:val="none"/>
        </w:rPr>
        <w:fldChar w:fldCharType="separate"/>
      </w:r>
      <w:r>
        <w:rPr>
          <w:rFonts w:hint="eastAsia" w:ascii="仿宋" w:hAnsi="仿宋" w:eastAsia="仿宋" w:cs="仿宋"/>
          <w:sz w:val="28"/>
          <w:szCs w:val="28"/>
          <w:u w:val="none"/>
        </w:rPr>
        <w:t>①</w:t>
      </w:r>
      <w:r>
        <w:rPr>
          <w:rFonts w:hint="eastAsia" w:ascii="仿宋" w:hAnsi="仿宋" w:eastAsia="仿宋" w:cs="仿宋"/>
          <w:sz w:val="28"/>
          <w:szCs w:val="28"/>
          <w:u w:val="none"/>
        </w:rPr>
        <w:fldChar w:fldCharType="end"/>
      </w:r>
      <w:r>
        <w:rPr>
          <w:rFonts w:hint="eastAsia" w:ascii="仿宋" w:hAnsi="仿宋" w:eastAsia="仿宋" w:cs="仿宋"/>
          <w:sz w:val="28"/>
          <w:szCs w:val="28"/>
          <w:u w:val="none"/>
        </w:rPr>
        <w:t xml:space="preserve"> 需求目标</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规划至2035年，中心城区按照1000人一辆标准车配备标准，规划公交汽车拥有量达到450台，公共交通出行分担率达到30%以上。</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fldChar w:fldCharType="begin"/>
      </w:r>
      <w:r>
        <w:rPr>
          <w:rFonts w:hint="eastAsia" w:ascii="仿宋" w:hAnsi="仿宋" w:eastAsia="仿宋" w:cs="仿宋"/>
          <w:sz w:val="28"/>
          <w:szCs w:val="28"/>
          <w:u w:val="none"/>
        </w:rPr>
        <w:instrText xml:space="preserve"> = 2 \* GB3 </w:instrText>
      </w:r>
      <w:r>
        <w:rPr>
          <w:rFonts w:hint="eastAsia" w:ascii="仿宋" w:hAnsi="仿宋" w:eastAsia="仿宋" w:cs="仿宋"/>
          <w:sz w:val="28"/>
          <w:szCs w:val="28"/>
          <w:u w:val="none"/>
        </w:rPr>
        <w:fldChar w:fldCharType="separate"/>
      </w:r>
      <w:r>
        <w:rPr>
          <w:rFonts w:hint="eastAsia" w:ascii="仿宋" w:hAnsi="仿宋" w:eastAsia="仿宋" w:cs="仿宋"/>
          <w:sz w:val="28"/>
          <w:szCs w:val="28"/>
          <w:u w:val="none"/>
        </w:rPr>
        <w:t>②</w:t>
      </w:r>
      <w:r>
        <w:rPr>
          <w:rFonts w:hint="eastAsia" w:ascii="仿宋" w:hAnsi="仿宋" w:eastAsia="仿宋" w:cs="仿宋"/>
          <w:sz w:val="28"/>
          <w:szCs w:val="28"/>
          <w:u w:val="none"/>
        </w:rPr>
        <w:fldChar w:fldCharType="end"/>
      </w:r>
      <w:r>
        <w:rPr>
          <w:rFonts w:hint="eastAsia" w:ascii="仿宋" w:hAnsi="仿宋" w:eastAsia="仿宋" w:cs="仿宋"/>
          <w:sz w:val="28"/>
          <w:szCs w:val="28"/>
          <w:u w:val="none"/>
        </w:rPr>
        <w:t xml:space="preserve"> 公交线网规划</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规划中心城区公共交通线路网密度应达到2—2.5公里/平方公里,公共汽车主要线路长度宜为8—12公里，规划公交线路在15条，平均换乘系数不应大于1.3。</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确定主要的公交走廊有，东西方向：新民路、龙翔路、玉城大道、玉乐大道——鸿安路、杏山大道、建设大道、工业路、平安大道、竹园路、利民路等；南北方向：玉佛大道、玉源大道、石杨路、玉龙路—玉源南路、天工路、玉都大道、玉神大道、鸣玉路、航天大道、紫金城路、健康路、校场路、新民路、菩提路、安国路、将军路等。</w:t>
      </w:r>
    </w:p>
    <w:p>
      <w:pPr>
        <w:pStyle w:val="3"/>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（2）城市公共交通场站</w:t>
      </w:r>
    </w:p>
    <w:p>
      <w:pPr>
        <w:pageBreakBefore w:val="0"/>
        <w:widowControl w:val="0"/>
        <w:kinsoku/>
        <w:wordWrap/>
        <w:overflowPunct/>
        <w:topLinePunct w:val="0"/>
        <w:autoSpaceDE/>
        <w:autoSpaceDN/>
        <w:bidi w:val="0"/>
        <w:adjustRightInd/>
        <w:snapToGrid/>
        <w:spacing w:line="360" w:lineRule="auto"/>
        <w:ind w:firstLine="482"/>
        <w:textAlignment w:val="auto"/>
        <w:rPr>
          <w:rFonts w:hint="eastAsia" w:ascii="仿宋" w:hAnsi="仿宋" w:eastAsia="仿宋" w:cs="仿宋"/>
          <w:sz w:val="28"/>
          <w:szCs w:val="28"/>
          <w:u w:val="none"/>
        </w:rPr>
      </w:pPr>
      <w:r>
        <w:rPr>
          <w:rFonts w:hint="eastAsia" w:ascii="仿宋" w:hAnsi="仿宋" w:eastAsia="仿宋" w:cs="仿宋"/>
          <w:sz w:val="28"/>
          <w:szCs w:val="28"/>
          <w:u w:val="none"/>
        </w:rPr>
        <w:t>城市公共交通场站用地主要包括首末站、站点、保养场、停车场等。</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① 首末站</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规划设置首末站18处，每处面积1500-5000平方米，与社会停车场协同考虑设置，其中一处结合公交保养场协同设置。</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② 公交站点</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至2035年，中心城区建成区500米公交站点覆盖率达到90%以上。</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③ 保养场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规划公交保养场1处，位于竹园路与将军路交叉口西北角，用地面积9.50公顷。</w:t>
      </w:r>
    </w:p>
    <w:p>
      <w:pPr>
        <w:pStyle w:val="3"/>
        <w:pageBreakBefore w:val="0"/>
        <w:widowControl w:val="0"/>
        <w:kinsoku/>
        <w:wordWrap/>
        <w:overflowPunct/>
        <w:topLinePunct w:val="0"/>
        <w:autoSpaceDE/>
        <w:autoSpaceDN/>
        <w:bidi w:val="0"/>
        <w:adjustRightInd/>
        <w:snapToGrid/>
        <w:spacing w:before="0" w:after="0"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（3）出租车</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按每千人5辆计算，至2035年中心城区出租车总数控制在2250辆左右。</w:t>
      </w:r>
    </w:p>
    <w:p>
      <w:pPr>
        <w:pageBreakBefore w:val="0"/>
        <w:widowControl w:val="0"/>
        <w:numPr>
          <w:ilvl w:val="3"/>
          <w:numId w:val="1"/>
        </w:numPr>
        <w:kinsoku/>
        <w:wordWrap/>
        <w:overflowPunct/>
        <w:topLinePunct w:val="0"/>
        <w:autoSpaceDE/>
        <w:autoSpaceDN/>
        <w:bidi w:val="0"/>
        <w:adjustRightInd/>
        <w:snapToGrid/>
        <w:spacing w:line="360" w:lineRule="auto"/>
        <w:ind w:left="1260" w:leftChars="0" w:hanging="65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城市停车场规划</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城市停车场分为配建停车场、公共停车场、路边停车场、自行车停车场四类。</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（1）配建停车场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新建建筑与住宅小区按照配建停车标准做到同步规划、同步建设停车设施，鼓励配建车位向社会开放。</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（2）公共停车场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规划公共停车场主要设置在城市商业区、公共活动中心、交通枢纽点及城市出入口等停车需求集中的地段，弥补配建停车场的不足。</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规划结合对外交通的车站、公共活动中心和商业中心等地区布置，分布在主次干道附近。共设置公共停车场5处，用地面积7.0公顷。</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（3）路边停车场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采用划线的方式设置在支路或交通量较小的次干路上。</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（4）自行车停车场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自行车公共停车场宜利用零星用地分散分布，并在详细规划中予以落实，分摊在各开发地块之中，其服务半径宜为50—100米，并不得大于200米。</w:t>
      </w:r>
    </w:p>
    <w:p>
      <w:pPr>
        <w:pageBreakBefore w:val="0"/>
        <w:widowControl w:val="0"/>
        <w:numPr>
          <w:ilvl w:val="3"/>
          <w:numId w:val="1"/>
        </w:numPr>
        <w:kinsoku/>
        <w:wordWrap/>
        <w:overflowPunct/>
        <w:topLinePunct w:val="0"/>
        <w:autoSpaceDE/>
        <w:autoSpaceDN/>
        <w:bidi w:val="0"/>
        <w:adjustRightInd/>
        <w:snapToGrid/>
        <w:spacing w:line="360" w:lineRule="auto"/>
        <w:ind w:left="1260" w:leftChars="0" w:hanging="65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城市慢行系统规划</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步行网络由各类步行道路和过街设施构成。人行道宽度不宜小于2.5米。居住、商业等步行密集地区的过街设施间距不应大于250米，步行活动较少地区的过街设施间距不宜大于400米。</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自行车网络可分为自行车道和自行车专用路两类。自行车专用路单向通行不宜小于3.5米，双向通行不宜小于4.5米。并需明确建筑物自行车配建指标。</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规划道路慢行交通与赵河、九曲河、玉带河、西三里河、护城河、东三里河等绿道以及城市公共空间相结合，构建中心城区绿色、低碳、休闲的慢行交通网络。</w:t>
      </w:r>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260" w:leftChars="0" w:hanging="65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城市绿地系统规划</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仿宋" w:hAnsi="仿宋" w:eastAsia="仿宋" w:cs="仿宋"/>
          <w:sz w:val="28"/>
          <w:szCs w:val="28"/>
          <w:u w:val="none"/>
          <w:lang w:val="en-US" w:eastAsia="zh-CN"/>
        </w:rPr>
      </w:pP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1</w:t>
      </w: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规划目标</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以“建设生态宜居健康城市，300米见绿、500米见园”为总目标，至2035年，城市绿化覆盖率达到55%，绿地率达到35%。城市人均公共绿地面积不低于13平方米。居住区级不低于1.5平方米/人，居住小区级不低于1.0平方米/人，居住组团级不低于0.5平方米/人，并不低于500平方米。保证市民户外半径500米范围内有一块可供公共活动之用、面积不低于1000平方米的绿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仿宋" w:hAnsi="仿宋" w:eastAsia="仿宋" w:cs="仿宋"/>
          <w:sz w:val="28"/>
          <w:szCs w:val="28"/>
          <w:u w:val="none"/>
          <w:lang w:val="en-US" w:eastAsia="zh-CN"/>
        </w:rPr>
      </w:pP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绿地规划结构</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规划形成“一带、一核、两环、四廊、多斑块”的绿地空间结构。</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一带：依托中心城区西侧的赵河以及两侧的公共绿地形成的核心滨水游憩带；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一核：围绕赵河东侧建设大道与天工路交叉口的玉文化公园，形成城市绿核；</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两环：沿老城护城河以及城西新区玉带河两侧的公共绿地形成的城市健康环，打造与城市空间结合的独具特色的最美跑道（步行道），为不同跑步需求的人提供多样的选择，体现镇平“慢生活-慢城市”的城市特色。</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四廊：沿九曲河、西三里河、一里河、东三里河形成四条辐射状绿廊。</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多斑块：即规划结合用地布局设置多个居住区级公园绿地。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仿宋" w:hAnsi="仿宋" w:eastAsia="仿宋" w:cs="仿宋"/>
          <w:sz w:val="28"/>
          <w:szCs w:val="28"/>
          <w:u w:val="none"/>
          <w:lang w:val="en-US" w:eastAsia="zh-CN"/>
        </w:rPr>
      </w:pP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公园绿地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至2035年，规划建设公园绿地面积598.23公顷，人均公园绿地面积13.09平方米。</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规划公共绿地分为综合公园、社区公园、专类公园、带状公园、街旁绿地五种类型。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综合公园：指内容丰富，有相应设施，适合于公众开展各类户外活动的规模较大的绿地。规划在中心城区内设置大型综合性公园七处，分别为玉带公园、三里河公园、河湾公园、杏山公园、玉璋公园、赵河公园和玉文化公园。</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社区公园：规划结合各功能组团中心、居住区服务中心设置社区公园多处，作为大型综合公园的补充，结合城区游园、道路两侧绿地和滨水绿地，共同构成城市生态绿化网络。</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专类公园：规划设置专类公园一处，即县植物园，位于将军路与建设大道交叉口东南处。</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带状公园：规划玉带河、西三里河、护城河、一里河和东三里河等河流水系及重要景观路两侧，规划设置的多条带状公园，控制宽度为20-50米，以满足市民日常活动需求。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sz w:val="28"/>
          <w:szCs w:val="28"/>
          <w:u w:val="none"/>
        </w:rPr>
      </w:pPr>
      <w:r>
        <w:rPr>
          <w:rFonts w:hint="eastAsia" w:ascii="仿宋" w:hAnsi="仿宋" w:eastAsia="仿宋" w:cs="仿宋"/>
          <w:sz w:val="28"/>
          <w:szCs w:val="28"/>
          <w:u w:val="none"/>
        </w:rPr>
        <w:t>街旁绿地：位于城市道路用地之外，相对独立成片的绿地，包括街道广场绿地、小型沿街绿化用地等，规划在城区均匀设置街旁绿地多处，主要满足市民日常的散步、健身、交往等户外活动的需求。</w:t>
      </w:r>
    </w:p>
    <w:p>
      <w:pPr>
        <w:pStyle w:val="2"/>
        <w:rPr>
          <w:rFonts w:hint="eastAsia"/>
        </w:rPr>
      </w:pPr>
    </w:p>
    <w:p>
      <w:pPr>
        <w:numPr>
          <w:ilvl w:val="0"/>
          <w:numId w:val="1"/>
        </w:numPr>
        <w:ind w:left="225" w:leftChars="0" w:hanging="225" w:firstLineChars="0"/>
        <w:jc w:val="center"/>
        <w:outlineLvl w:val="0"/>
        <w:rPr>
          <w:rFonts w:hint="eastAsia" w:ascii="仿宋" w:hAnsi="仿宋" w:eastAsia="仿宋" w:cs="仿宋"/>
          <w:b/>
          <w:bCs/>
          <w:sz w:val="32"/>
          <w:szCs w:val="32"/>
          <w:lang w:val="en-US" w:eastAsia="zh-CN"/>
        </w:rPr>
      </w:pPr>
      <w:bookmarkStart w:id="33" w:name="_Toc15050"/>
      <w:bookmarkStart w:id="34" w:name="_Toc15410"/>
      <w:r>
        <w:rPr>
          <w:rFonts w:hint="eastAsia" w:ascii="仿宋" w:hAnsi="仿宋" w:eastAsia="仿宋" w:cs="仿宋"/>
          <w:b/>
          <w:bCs/>
          <w:sz w:val="32"/>
          <w:szCs w:val="32"/>
          <w:lang w:val="en-US" w:eastAsia="zh-CN"/>
        </w:rPr>
        <w:t>城市声环境功能区划分方案</w:t>
      </w:r>
      <w:bookmarkEnd w:id="33"/>
      <w:bookmarkEnd w:id="34"/>
    </w:p>
    <w:p>
      <w:pPr>
        <w:keepNext w:val="0"/>
        <w:keepLines w:val="0"/>
        <w:pageBreakBefore w:val="0"/>
        <w:widowControl w:val="0"/>
        <w:numPr>
          <w:ilvl w:val="1"/>
          <w:numId w:val="1"/>
        </w:numPr>
        <w:kinsoku/>
        <w:wordWrap/>
        <w:overflowPunct/>
        <w:topLinePunct w:val="0"/>
        <w:autoSpaceDE/>
        <w:autoSpaceDN/>
        <w:bidi w:val="0"/>
        <w:adjustRightInd/>
        <w:snapToGrid/>
        <w:spacing w:line="30" w:lineRule="atLeast"/>
        <w:ind w:left="630" w:leftChars="0" w:hanging="630" w:firstLineChars="0"/>
        <w:textAlignment w:val="auto"/>
        <w:outlineLvl w:val="1"/>
        <w:rPr>
          <w:rFonts w:hint="eastAsia" w:ascii="仿宋" w:hAnsi="仿宋" w:eastAsia="仿宋" w:cs="仿宋"/>
          <w:b/>
          <w:bCs/>
          <w:sz w:val="28"/>
          <w:szCs w:val="28"/>
          <w:lang w:val="en-US" w:eastAsia="zh-CN"/>
        </w:rPr>
      </w:pPr>
      <w:bookmarkStart w:id="35" w:name="_Toc7922"/>
      <w:bookmarkStart w:id="36" w:name="_Toc10173"/>
      <w:r>
        <w:rPr>
          <w:rFonts w:hint="eastAsia" w:ascii="仿宋" w:hAnsi="仿宋" w:eastAsia="仿宋" w:cs="仿宋"/>
          <w:b/>
          <w:bCs/>
          <w:sz w:val="28"/>
          <w:szCs w:val="28"/>
          <w:lang w:val="en-US" w:eastAsia="zh-CN"/>
        </w:rPr>
        <w:t>指导思想</w:t>
      </w:r>
      <w:bookmarkEnd w:id="35"/>
      <w:bookmarkEnd w:id="36"/>
    </w:p>
    <w:p>
      <w:pPr>
        <w:keepNext w:val="0"/>
        <w:keepLines w:val="0"/>
        <w:pageBreakBefore w:val="0"/>
        <w:widowControl w:val="0"/>
        <w:kinsoku/>
        <w:wordWrap/>
        <w:overflowPunct/>
        <w:topLinePunct w:val="0"/>
        <w:autoSpaceDE/>
        <w:autoSpaceDN/>
        <w:bidi w:val="0"/>
        <w:adjustRightInd/>
        <w:snapToGrid/>
        <w:spacing w:line="3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提升环境噪声污染监督管理水平，保障居民宁静舒适的生活、学习和工作环境为目标，实现社会、经济、资源、环境的协调统一。本次规划</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镇平</w:t>
      </w:r>
      <w:r>
        <w:rPr>
          <w:rFonts w:hint="eastAsia" w:ascii="仿宋" w:hAnsi="仿宋" w:eastAsia="仿宋" w:cs="仿宋"/>
          <w:color w:val="auto"/>
          <w:sz w:val="28"/>
          <w:szCs w:val="28"/>
        </w:rPr>
        <w:t>县</w:t>
      </w:r>
      <w:r>
        <w:rPr>
          <w:rFonts w:hint="eastAsia" w:ascii="仿宋" w:hAnsi="仿宋" w:eastAsia="仿宋" w:cs="仿宋"/>
          <w:color w:val="auto"/>
          <w:sz w:val="28"/>
          <w:szCs w:val="28"/>
          <w:lang w:val="en-US" w:eastAsia="zh-CN"/>
        </w:rPr>
        <w:t>城乡</w:t>
      </w:r>
      <w:r>
        <w:rPr>
          <w:rFonts w:hint="eastAsia" w:ascii="仿宋" w:hAnsi="仿宋" w:eastAsia="仿宋" w:cs="仿宋"/>
          <w:color w:val="auto"/>
          <w:sz w:val="28"/>
          <w:szCs w:val="28"/>
        </w:rPr>
        <w:t>总体规划</w:t>
      </w:r>
      <w:r>
        <w:rPr>
          <w:rFonts w:hint="eastAsia" w:ascii="仿宋" w:hAnsi="仿宋" w:eastAsia="仿宋" w:cs="仿宋"/>
          <w:color w:val="auto"/>
          <w:sz w:val="28"/>
          <w:szCs w:val="28"/>
          <w:lang w:val="en-US" w:eastAsia="zh-CN"/>
        </w:rPr>
        <w:t>修编</w:t>
      </w:r>
      <w:r>
        <w:rPr>
          <w:rFonts w:hint="eastAsia" w:ascii="仿宋" w:hAnsi="仿宋" w:eastAsia="仿宋" w:cs="仿宋"/>
          <w:color w:val="auto"/>
          <w:sz w:val="28"/>
          <w:szCs w:val="28"/>
        </w:rPr>
        <w:t>》（201</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-203</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年）</w:t>
      </w:r>
      <w:r>
        <w:rPr>
          <w:rFonts w:hint="eastAsia" w:ascii="仿宋" w:hAnsi="仿宋" w:eastAsia="仿宋" w:cs="仿宋"/>
          <w:sz w:val="28"/>
          <w:szCs w:val="28"/>
          <w:lang w:val="en-US" w:eastAsia="zh-CN"/>
        </w:rPr>
        <w:t>为上位参考规划，原则上本次声环境区划适用期限为5年，如规划发生重大调整，酌情考虑使用年限。</w:t>
      </w:r>
    </w:p>
    <w:p>
      <w:pPr>
        <w:keepNext w:val="0"/>
        <w:keepLines w:val="0"/>
        <w:pageBreakBefore w:val="0"/>
        <w:widowControl w:val="0"/>
        <w:numPr>
          <w:ilvl w:val="1"/>
          <w:numId w:val="1"/>
        </w:numPr>
        <w:kinsoku/>
        <w:wordWrap/>
        <w:overflowPunct/>
        <w:topLinePunct w:val="0"/>
        <w:autoSpaceDE/>
        <w:autoSpaceDN/>
        <w:bidi w:val="0"/>
        <w:adjustRightInd/>
        <w:snapToGrid/>
        <w:spacing w:line="30" w:lineRule="atLeast"/>
        <w:ind w:left="630" w:leftChars="0" w:hanging="630" w:firstLineChars="0"/>
        <w:textAlignment w:val="auto"/>
        <w:outlineLvl w:val="1"/>
        <w:rPr>
          <w:rFonts w:hint="eastAsia" w:ascii="仿宋" w:hAnsi="仿宋" w:eastAsia="仿宋" w:cs="仿宋"/>
          <w:b/>
          <w:bCs/>
          <w:sz w:val="28"/>
          <w:szCs w:val="28"/>
          <w:lang w:val="en-US" w:eastAsia="zh-CN"/>
        </w:rPr>
      </w:pPr>
      <w:bookmarkStart w:id="37" w:name="_Toc12556"/>
      <w:bookmarkStart w:id="38" w:name="_Toc28441"/>
      <w:r>
        <w:rPr>
          <w:rFonts w:hint="eastAsia" w:ascii="仿宋" w:hAnsi="仿宋" w:eastAsia="仿宋" w:cs="仿宋"/>
          <w:b/>
          <w:bCs/>
          <w:sz w:val="28"/>
          <w:szCs w:val="28"/>
          <w:lang w:val="en-US" w:eastAsia="zh-CN"/>
        </w:rPr>
        <w:t>区划原则</w:t>
      </w:r>
      <w:bookmarkEnd w:id="37"/>
      <w:bookmarkEnd w:id="38"/>
    </w:p>
    <w:p>
      <w:pPr>
        <w:keepNext w:val="0"/>
        <w:keepLines w:val="0"/>
        <w:pageBreakBefore w:val="0"/>
        <w:widowControl w:val="0"/>
        <w:kinsoku/>
        <w:wordWrap/>
        <w:overflowPunct/>
        <w:topLinePunct w:val="0"/>
        <w:autoSpaceDE/>
        <w:autoSpaceDN/>
        <w:bidi w:val="0"/>
        <w:adjustRightInd/>
        <w:snapToGrid/>
        <w:spacing w:line="3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（1）以改善声环境质量为核心，以保障人民享有良好的声环境为目标；</w:t>
      </w:r>
    </w:p>
    <w:p>
      <w:pPr>
        <w:keepNext w:val="0"/>
        <w:keepLines w:val="0"/>
        <w:pageBreakBefore w:val="0"/>
        <w:widowControl w:val="0"/>
        <w:kinsoku/>
        <w:wordWrap/>
        <w:overflowPunct/>
        <w:topLinePunct w:val="0"/>
        <w:autoSpaceDE/>
        <w:autoSpaceDN/>
        <w:bidi w:val="0"/>
        <w:adjustRightInd/>
        <w:snapToGrid/>
        <w:spacing w:line="3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以城市总体规划为指导，重点考虑城市近期规划和用地现状，按照规划用地性质、用地现状、声环境质量现状和现行声环境功能区，科学划定声环境功能区类别。声环境功能区应覆盖整个城市规划区范围，并依据城市总体规划和用地性质变化而同步调整。</w:t>
      </w:r>
    </w:p>
    <w:p>
      <w:pPr>
        <w:keepNext w:val="0"/>
        <w:keepLines w:val="0"/>
        <w:pageBreakBefore w:val="0"/>
        <w:widowControl w:val="0"/>
        <w:kinsoku/>
        <w:wordWrap/>
        <w:overflowPunct/>
        <w:topLinePunct w:val="0"/>
        <w:autoSpaceDE/>
        <w:autoSpaceDN/>
        <w:bidi w:val="0"/>
        <w:adjustRightInd/>
        <w:snapToGrid/>
        <w:spacing w:line="3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（3）调整声环境功能区类别进行充分的说明，严格控制4类声环境功能区范围。</w:t>
      </w:r>
    </w:p>
    <w:p>
      <w:pPr>
        <w:keepNext w:val="0"/>
        <w:keepLines w:val="0"/>
        <w:pageBreakBefore w:val="0"/>
        <w:widowControl w:val="0"/>
        <w:kinsoku/>
        <w:wordWrap/>
        <w:overflowPunct/>
        <w:topLinePunct w:val="0"/>
        <w:autoSpaceDE/>
        <w:autoSpaceDN/>
        <w:bidi w:val="0"/>
        <w:adjustRightInd/>
        <w:snapToGrid/>
        <w:spacing w:line="3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（4）遵循城市建设和发展的客观规律，因地制宜，统筹兼顾，功能区划定应有利于环境噪声管理和促进噪声治理。</w:t>
      </w:r>
    </w:p>
    <w:p>
      <w:pPr>
        <w:keepNext w:val="0"/>
        <w:keepLines w:val="0"/>
        <w:pageBreakBefore w:val="0"/>
        <w:widowControl w:val="0"/>
        <w:kinsoku/>
        <w:wordWrap/>
        <w:overflowPunct/>
        <w:topLinePunct w:val="0"/>
        <w:autoSpaceDE/>
        <w:autoSpaceDN/>
        <w:bidi w:val="0"/>
        <w:adjustRightInd/>
        <w:snapToGrid/>
        <w:spacing w:line="3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（5）宜粗不宜细，宜大不宜小。</w:t>
      </w:r>
    </w:p>
    <w:p>
      <w:pPr>
        <w:keepNext w:val="0"/>
        <w:keepLines w:val="0"/>
        <w:pageBreakBefore w:val="0"/>
        <w:widowControl w:val="0"/>
        <w:numPr>
          <w:ilvl w:val="1"/>
          <w:numId w:val="1"/>
        </w:numPr>
        <w:kinsoku/>
        <w:wordWrap/>
        <w:overflowPunct/>
        <w:topLinePunct w:val="0"/>
        <w:autoSpaceDE/>
        <w:autoSpaceDN/>
        <w:bidi w:val="0"/>
        <w:adjustRightInd/>
        <w:snapToGrid/>
        <w:spacing w:line="30" w:lineRule="atLeast"/>
        <w:ind w:left="630" w:leftChars="0" w:hanging="630" w:firstLineChars="0"/>
        <w:textAlignment w:val="auto"/>
        <w:outlineLvl w:val="1"/>
        <w:rPr>
          <w:rFonts w:hint="eastAsia" w:ascii="仿宋" w:hAnsi="仿宋" w:eastAsia="仿宋" w:cs="仿宋"/>
          <w:b/>
          <w:bCs/>
          <w:sz w:val="28"/>
          <w:szCs w:val="28"/>
          <w:lang w:val="en-US" w:eastAsia="zh-CN"/>
        </w:rPr>
      </w:pPr>
      <w:bookmarkStart w:id="39" w:name="_Toc24995"/>
      <w:bookmarkStart w:id="40" w:name="_Toc2199"/>
      <w:r>
        <w:rPr>
          <w:rFonts w:hint="eastAsia" w:ascii="仿宋" w:hAnsi="仿宋" w:eastAsia="仿宋" w:cs="仿宋"/>
          <w:b/>
          <w:bCs/>
          <w:sz w:val="28"/>
          <w:szCs w:val="28"/>
          <w:lang w:val="en-US" w:eastAsia="zh-CN"/>
        </w:rPr>
        <w:t>声环境功能区类别及限值</w:t>
      </w:r>
      <w:bookmarkEnd w:id="39"/>
      <w:bookmarkEnd w:id="40"/>
    </w:p>
    <w:p>
      <w:pPr>
        <w:keepNext w:val="0"/>
        <w:keepLines w:val="0"/>
        <w:pageBreakBefore w:val="0"/>
        <w:widowControl w:val="0"/>
        <w:numPr>
          <w:ilvl w:val="2"/>
          <w:numId w:val="1"/>
        </w:numPr>
        <w:kinsoku/>
        <w:wordWrap/>
        <w:overflowPunct/>
        <w:topLinePunct w:val="0"/>
        <w:autoSpaceDE/>
        <w:autoSpaceDN/>
        <w:bidi w:val="0"/>
        <w:adjustRightInd/>
        <w:snapToGrid/>
        <w:spacing w:line="30" w:lineRule="atLeast"/>
        <w:ind w:left="948" w:leftChars="0" w:hanging="728" w:firstLineChars="0"/>
        <w:textAlignment w:val="auto"/>
        <w:outlineLvl w:val="2"/>
        <w:rPr>
          <w:rFonts w:hint="eastAsia" w:ascii="仿宋" w:hAnsi="仿宋" w:eastAsia="仿宋" w:cs="仿宋"/>
          <w:b/>
          <w:bCs/>
          <w:sz w:val="28"/>
          <w:szCs w:val="28"/>
          <w:lang w:val="en-US" w:eastAsia="zh-CN"/>
        </w:rPr>
      </w:pPr>
      <w:bookmarkStart w:id="41" w:name="_Toc15475"/>
      <w:bookmarkStart w:id="42" w:name="_Toc15298"/>
      <w:r>
        <w:rPr>
          <w:rFonts w:hint="eastAsia" w:ascii="仿宋" w:hAnsi="仿宋" w:eastAsia="仿宋" w:cs="仿宋"/>
          <w:b/>
          <w:bCs/>
          <w:sz w:val="28"/>
          <w:szCs w:val="28"/>
          <w:lang w:val="en-US" w:eastAsia="zh-CN"/>
        </w:rPr>
        <w:t>声环境功能区类别</w:t>
      </w:r>
      <w:bookmarkEnd w:id="41"/>
      <w:bookmarkEnd w:id="42"/>
    </w:p>
    <w:p>
      <w:pPr>
        <w:keepNext w:val="0"/>
        <w:keepLines w:val="0"/>
        <w:pageBreakBefore w:val="0"/>
        <w:widowControl w:val="0"/>
        <w:kinsoku/>
        <w:wordWrap/>
        <w:overflowPunct/>
        <w:topLinePunct w:val="0"/>
        <w:autoSpaceDE/>
        <w:autoSpaceDN/>
        <w:bidi w:val="0"/>
        <w:adjustRightInd/>
        <w:snapToGrid/>
        <w:spacing w:line="3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按照《声环境质量标准》（GB3096-2008）、《声环境功能区划分技术规范》（GB/T15190-2014）规定，声环境功能区划分为5类，见表3-1。</w:t>
      </w:r>
    </w:p>
    <w:p>
      <w:pPr>
        <w:pStyle w:val="2"/>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pStyle w:val="15"/>
        <w:rPr>
          <w:rFonts w:hint="eastAsia" w:ascii="仿宋" w:hAnsi="仿宋" w:eastAsia="仿宋" w:cs="仿宋"/>
          <w:kern w:val="0"/>
          <w:sz w:val="24"/>
          <w:szCs w:val="24"/>
        </w:rPr>
      </w:pPr>
      <w:r>
        <w:rPr>
          <w:rFonts w:hint="eastAsia" w:ascii="仿宋" w:hAnsi="仿宋" w:eastAsia="仿宋" w:cs="仿宋"/>
          <w:kern w:val="0"/>
          <w:sz w:val="24"/>
          <w:szCs w:val="24"/>
        </w:rPr>
        <w:t>表</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 xml:space="preserve">   声环境功能区类别</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55"/>
        <w:gridCol w:w="6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546" w:type="dxa"/>
            <w:gridSpan w:val="2"/>
            <w:tcMar>
              <w:top w:w="0" w:type="dxa"/>
              <w:left w:w="108" w:type="dxa"/>
              <w:bottom w:w="0" w:type="dxa"/>
              <w:right w:w="108" w:type="dxa"/>
            </w:tcMar>
            <w:vAlign w:val="center"/>
          </w:tcPr>
          <w:p>
            <w:pPr>
              <w:pStyle w:val="2"/>
              <w:ind w:left="0" w:leftChars="0" w:firstLine="0" w:firstLineChars="0"/>
              <w:jc w:val="center"/>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类别</w:t>
            </w:r>
          </w:p>
        </w:tc>
        <w:tc>
          <w:tcPr>
            <w:tcW w:w="6873" w:type="dxa"/>
            <w:tcMar>
              <w:top w:w="0" w:type="dxa"/>
              <w:left w:w="108" w:type="dxa"/>
              <w:bottom w:w="0" w:type="dxa"/>
              <w:right w:w="108" w:type="dxa"/>
            </w:tcMar>
            <w:vAlign w:val="center"/>
          </w:tcPr>
          <w:p>
            <w:pPr>
              <w:pStyle w:val="2"/>
              <w:ind w:left="0" w:leftChars="0" w:firstLine="0" w:firstLineChars="0"/>
              <w:jc w:val="center"/>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546" w:type="dxa"/>
            <w:gridSpan w:val="2"/>
            <w:tcMar>
              <w:top w:w="0" w:type="dxa"/>
              <w:left w:w="108" w:type="dxa"/>
              <w:bottom w:w="0" w:type="dxa"/>
              <w:right w:w="108" w:type="dxa"/>
            </w:tcMar>
            <w:vAlign w:val="center"/>
          </w:tcPr>
          <w:p>
            <w:pPr>
              <w:pStyle w:val="2"/>
              <w:ind w:left="0" w:leftChars="0" w:firstLine="0" w:firstLineChars="0"/>
              <w:jc w:val="center"/>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0类</w:t>
            </w:r>
          </w:p>
        </w:tc>
        <w:tc>
          <w:tcPr>
            <w:tcW w:w="6873" w:type="dxa"/>
            <w:tcMar>
              <w:top w:w="0" w:type="dxa"/>
              <w:left w:w="108" w:type="dxa"/>
              <w:bottom w:w="0" w:type="dxa"/>
              <w:right w:w="108" w:type="dxa"/>
            </w:tcMar>
            <w:vAlign w:val="top"/>
          </w:tcPr>
          <w:p>
            <w:pPr>
              <w:pStyle w:val="2"/>
              <w:ind w:left="0" w:leftChars="0" w:firstLine="0" w:firstLineChars="0"/>
              <w:jc w:val="both"/>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康复疗养区等特别需要安静的区域。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46" w:type="dxa"/>
            <w:gridSpan w:val="2"/>
            <w:tcMar>
              <w:top w:w="0" w:type="dxa"/>
              <w:left w:w="108" w:type="dxa"/>
              <w:bottom w:w="0" w:type="dxa"/>
              <w:right w:w="108" w:type="dxa"/>
            </w:tcMar>
            <w:vAlign w:val="center"/>
          </w:tcPr>
          <w:p>
            <w:pPr>
              <w:ind w:left="0" w:leftChars="0" w:firstLine="0" w:firstLineChars="0"/>
              <w:jc w:val="center"/>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1类</w:t>
            </w:r>
          </w:p>
        </w:tc>
        <w:tc>
          <w:tcPr>
            <w:tcW w:w="6873" w:type="dxa"/>
            <w:tcMar>
              <w:top w:w="0" w:type="dxa"/>
              <w:left w:w="108" w:type="dxa"/>
              <w:bottom w:w="0" w:type="dxa"/>
              <w:right w:w="108" w:type="dxa"/>
            </w:tcMar>
            <w:vAlign w:val="top"/>
          </w:tcPr>
          <w:p>
            <w:pPr>
              <w:pStyle w:val="2"/>
              <w:ind w:left="0" w:leftChars="0" w:firstLine="0" w:firstLineChars="0"/>
              <w:jc w:val="both"/>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以居民住宅、医疗卫生、文化教育、科研设计、行政办公为主要功能，需要保持安静的区域。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46" w:type="dxa"/>
            <w:gridSpan w:val="2"/>
            <w:tcMar>
              <w:top w:w="0" w:type="dxa"/>
              <w:left w:w="108" w:type="dxa"/>
              <w:bottom w:w="0" w:type="dxa"/>
              <w:right w:w="108" w:type="dxa"/>
            </w:tcMar>
            <w:vAlign w:val="center"/>
          </w:tcPr>
          <w:p>
            <w:pPr>
              <w:ind w:left="0" w:leftChars="0" w:firstLine="0" w:firstLineChars="0"/>
              <w:jc w:val="center"/>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2类</w:t>
            </w:r>
          </w:p>
        </w:tc>
        <w:tc>
          <w:tcPr>
            <w:tcW w:w="6873" w:type="dxa"/>
            <w:tcMar>
              <w:top w:w="0" w:type="dxa"/>
              <w:left w:w="108" w:type="dxa"/>
              <w:bottom w:w="0" w:type="dxa"/>
              <w:right w:w="108" w:type="dxa"/>
            </w:tcMar>
            <w:vAlign w:val="top"/>
          </w:tcPr>
          <w:p>
            <w:pPr>
              <w:pStyle w:val="2"/>
              <w:ind w:left="0" w:leftChars="0" w:firstLine="0" w:firstLineChars="0"/>
              <w:jc w:val="both"/>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以商业金融、集市贸易为主要功能，或者居住、商业、工业混杂，需要维护住宅安静的区域。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46" w:type="dxa"/>
            <w:gridSpan w:val="2"/>
            <w:tcMar>
              <w:top w:w="0" w:type="dxa"/>
              <w:left w:w="108" w:type="dxa"/>
              <w:bottom w:w="0" w:type="dxa"/>
              <w:right w:w="108" w:type="dxa"/>
            </w:tcMar>
            <w:vAlign w:val="center"/>
          </w:tcPr>
          <w:p>
            <w:pPr>
              <w:ind w:left="0" w:leftChars="0" w:firstLine="0" w:firstLineChars="0"/>
              <w:jc w:val="center"/>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3类</w:t>
            </w:r>
          </w:p>
        </w:tc>
        <w:tc>
          <w:tcPr>
            <w:tcW w:w="6873" w:type="dxa"/>
            <w:tcMar>
              <w:top w:w="0" w:type="dxa"/>
              <w:left w:w="108" w:type="dxa"/>
              <w:bottom w:w="0" w:type="dxa"/>
              <w:right w:w="108" w:type="dxa"/>
            </w:tcMar>
            <w:vAlign w:val="top"/>
          </w:tcPr>
          <w:p>
            <w:pPr>
              <w:pStyle w:val="2"/>
              <w:ind w:left="0" w:leftChars="0" w:firstLine="0" w:firstLineChars="0"/>
              <w:jc w:val="both"/>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以工业生产、仓储物流为主要功能，需要防止工业噪声对周围环境产生严重影响的区域。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91" w:type="dxa"/>
            <w:vMerge w:val="restart"/>
            <w:tcMar>
              <w:top w:w="0" w:type="dxa"/>
              <w:left w:w="108" w:type="dxa"/>
              <w:bottom w:w="0" w:type="dxa"/>
              <w:right w:w="108" w:type="dxa"/>
            </w:tcMar>
            <w:vAlign w:val="center"/>
          </w:tcPr>
          <w:p>
            <w:pPr>
              <w:pStyle w:val="2"/>
              <w:ind w:left="0" w:leftChars="0" w:firstLine="0" w:firstLineChars="0"/>
              <w:jc w:val="center"/>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4类</w:t>
            </w:r>
          </w:p>
        </w:tc>
        <w:tc>
          <w:tcPr>
            <w:tcW w:w="755" w:type="dxa"/>
            <w:tcMar>
              <w:top w:w="0" w:type="dxa"/>
              <w:left w:w="108" w:type="dxa"/>
              <w:bottom w:w="0" w:type="dxa"/>
              <w:right w:w="108" w:type="dxa"/>
            </w:tcMar>
            <w:vAlign w:val="center"/>
          </w:tcPr>
          <w:p>
            <w:pPr>
              <w:pStyle w:val="2"/>
              <w:ind w:left="0" w:leftChars="0" w:firstLine="0" w:firstLineChars="0"/>
              <w:jc w:val="center"/>
              <w:rPr>
                <w:rFonts w:hint="default"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4a</w:t>
            </w:r>
          </w:p>
        </w:tc>
        <w:tc>
          <w:tcPr>
            <w:tcW w:w="6873" w:type="dxa"/>
            <w:tcMar>
              <w:top w:w="0" w:type="dxa"/>
              <w:left w:w="108" w:type="dxa"/>
              <w:bottom w:w="0" w:type="dxa"/>
              <w:right w:w="108" w:type="dxa"/>
            </w:tcMar>
            <w:vAlign w:val="top"/>
          </w:tcPr>
          <w:p>
            <w:pPr>
              <w:pStyle w:val="2"/>
              <w:ind w:left="0" w:leftChars="0" w:firstLine="0" w:firstLineChars="0"/>
              <w:jc w:val="both"/>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高速公路、一级公路、二级公路、城市快速路、城市主干路、城市次干路、城市轨道交通（地面段）、内河航道两侧一定距离之内，需要防止交通噪声对周围环境产生严重影响的区域。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91" w:type="dxa"/>
            <w:vMerge w:val="continue"/>
            <w:tcMar>
              <w:top w:w="0" w:type="dxa"/>
              <w:left w:w="108" w:type="dxa"/>
              <w:bottom w:w="0" w:type="dxa"/>
              <w:right w:w="108" w:type="dxa"/>
            </w:tcMar>
            <w:vAlign w:val="center"/>
          </w:tcPr>
          <w:p>
            <w:pPr>
              <w:pStyle w:val="2"/>
              <w:ind w:left="0" w:leftChars="0" w:firstLine="0" w:firstLineChars="0"/>
              <w:jc w:val="center"/>
              <w:rPr>
                <w:rFonts w:hint="eastAsia" w:ascii="仿宋" w:hAnsi="仿宋" w:eastAsia="仿宋" w:cs="仿宋"/>
                <w:b w:val="0"/>
                <w:bCs/>
                <w:kern w:val="2"/>
                <w:sz w:val="24"/>
                <w:szCs w:val="28"/>
                <w:lang w:val="en-US" w:eastAsia="zh-CN" w:bidi="ar-SA"/>
              </w:rPr>
            </w:pPr>
          </w:p>
        </w:tc>
        <w:tc>
          <w:tcPr>
            <w:tcW w:w="755" w:type="dxa"/>
            <w:tcMar>
              <w:top w:w="0" w:type="dxa"/>
              <w:left w:w="108" w:type="dxa"/>
              <w:bottom w:w="0" w:type="dxa"/>
              <w:right w:w="108" w:type="dxa"/>
            </w:tcMar>
            <w:vAlign w:val="center"/>
          </w:tcPr>
          <w:p>
            <w:pPr>
              <w:pStyle w:val="2"/>
              <w:ind w:left="0" w:leftChars="0" w:firstLine="0" w:firstLineChars="0"/>
              <w:jc w:val="center"/>
              <w:rPr>
                <w:rFonts w:hint="default"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4b</w:t>
            </w:r>
          </w:p>
        </w:tc>
        <w:tc>
          <w:tcPr>
            <w:tcW w:w="6873" w:type="dxa"/>
            <w:tcMar>
              <w:top w:w="0" w:type="dxa"/>
              <w:left w:w="108" w:type="dxa"/>
              <w:bottom w:w="0" w:type="dxa"/>
              <w:right w:w="108" w:type="dxa"/>
            </w:tcMar>
            <w:vAlign w:val="top"/>
          </w:tcPr>
          <w:p>
            <w:pPr>
              <w:pStyle w:val="2"/>
              <w:ind w:left="0" w:leftChars="0" w:firstLine="0" w:firstLineChars="0"/>
              <w:jc w:val="both"/>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铁路干线两侧一定距离之内，需要防止交通噪声对周围环境产生严重影响的区域。</w:t>
            </w:r>
          </w:p>
        </w:tc>
      </w:tr>
    </w:tbl>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43" w:name="_Toc30802"/>
      <w:bookmarkStart w:id="44" w:name="_Toc16997"/>
      <w:r>
        <w:rPr>
          <w:rFonts w:hint="eastAsia" w:ascii="仿宋" w:hAnsi="仿宋" w:eastAsia="仿宋" w:cs="仿宋"/>
          <w:b/>
          <w:bCs/>
          <w:sz w:val="28"/>
          <w:szCs w:val="28"/>
          <w:lang w:val="en-US" w:eastAsia="zh-CN"/>
        </w:rPr>
        <w:t>噪声限值</w:t>
      </w:r>
      <w:bookmarkEnd w:id="43"/>
      <w:bookmarkEnd w:id="4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依据《声环境质量标准》（GB3096-2008）规定，各类声环境功能区执行的环境噪声等效声级标准限值见表3-2。</w:t>
      </w:r>
    </w:p>
    <w:p>
      <w:pPr>
        <w:pStyle w:val="15"/>
        <w:keepNext w:val="0"/>
        <w:keepLines w:val="0"/>
        <w:pageBreakBefore w:val="0"/>
        <w:kinsoku/>
        <w:wordWrap/>
        <w:overflowPunct/>
        <w:topLinePunct w:val="0"/>
        <w:autoSpaceDE/>
        <w:autoSpaceDN/>
        <w:bidi w:val="0"/>
        <w:adjustRightInd/>
        <w:spacing w:line="360"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rPr>
        <w:t>3-2 声环境质量标准限值 单位：dB（A）</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416"/>
        <w:gridCol w:w="283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832" w:type="dxa"/>
            <w:gridSpan w:val="2"/>
            <w:vMerge w:val="restart"/>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类别</w:t>
            </w:r>
          </w:p>
        </w:tc>
        <w:tc>
          <w:tcPr>
            <w:tcW w:w="5667" w:type="dxa"/>
            <w:gridSpan w:val="2"/>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832" w:type="dxa"/>
            <w:gridSpan w:val="2"/>
            <w:vMerge w:val="continue"/>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eastAsia" w:ascii="仿宋" w:hAnsi="仿宋" w:eastAsia="仿宋" w:cs="仿宋"/>
                <w:b w:val="0"/>
                <w:bCs/>
                <w:kern w:val="2"/>
                <w:sz w:val="24"/>
                <w:szCs w:val="28"/>
                <w:lang w:val="en-US" w:eastAsia="zh-CN" w:bidi="ar-SA"/>
              </w:rPr>
            </w:pPr>
          </w:p>
        </w:tc>
        <w:tc>
          <w:tcPr>
            <w:tcW w:w="2832"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昼间</w:t>
            </w:r>
          </w:p>
        </w:tc>
        <w:tc>
          <w:tcPr>
            <w:tcW w:w="2835"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32" w:type="dxa"/>
            <w:gridSpan w:val="2"/>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0类</w:t>
            </w:r>
          </w:p>
        </w:tc>
        <w:tc>
          <w:tcPr>
            <w:tcW w:w="2832"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50</w:t>
            </w:r>
          </w:p>
        </w:tc>
        <w:tc>
          <w:tcPr>
            <w:tcW w:w="2835"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32" w:type="dxa"/>
            <w:gridSpan w:val="2"/>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1类</w:t>
            </w:r>
          </w:p>
        </w:tc>
        <w:tc>
          <w:tcPr>
            <w:tcW w:w="2832"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55</w:t>
            </w:r>
          </w:p>
        </w:tc>
        <w:tc>
          <w:tcPr>
            <w:tcW w:w="2835"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32" w:type="dxa"/>
            <w:gridSpan w:val="2"/>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2类</w:t>
            </w:r>
          </w:p>
        </w:tc>
        <w:tc>
          <w:tcPr>
            <w:tcW w:w="2832"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60</w:t>
            </w:r>
          </w:p>
        </w:tc>
        <w:tc>
          <w:tcPr>
            <w:tcW w:w="2835" w:type="dxa"/>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832" w:type="dxa"/>
            <w:gridSpan w:val="2"/>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3类</w:t>
            </w:r>
          </w:p>
        </w:tc>
        <w:tc>
          <w:tcPr>
            <w:tcW w:w="2832"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65</w:t>
            </w:r>
          </w:p>
        </w:tc>
        <w:tc>
          <w:tcPr>
            <w:tcW w:w="2835"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416" w:type="dxa"/>
            <w:vMerge w:val="restart"/>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4类</w:t>
            </w:r>
          </w:p>
        </w:tc>
        <w:tc>
          <w:tcPr>
            <w:tcW w:w="1416"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4a</w:t>
            </w:r>
          </w:p>
        </w:tc>
        <w:tc>
          <w:tcPr>
            <w:tcW w:w="2832"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70</w:t>
            </w:r>
          </w:p>
        </w:tc>
        <w:tc>
          <w:tcPr>
            <w:tcW w:w="2835"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416" w:type="dxa"/>
            <w:vMerge w:val="continue"/>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eastAsia" w:ascii="仿宋" w:hAnsi="仿宋" w:eastAsia="仿宋" w:cs="仿宋"/>
                <w:b w:val="0"/>
                <w:bCs/>
                <w:kern w:val="2"/>
                <w:sz w:val="24"/>
                <w:szCs w:val="28"/>
                <w:lang w:val="en-US" w:eastAsia="zh-CN" w:bidi="ar-SA"/>
              </w:rPr>
            </w:pPr>
          </w:p>
        </w:tc>
        <w:tc>
          <w:tcPr>
            <w:tcW w:w="1416"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eastAsia" w:ascii="仿宋" w:hAnsi="仿宋" w:eastAsia="仿宋" w:cs="仿宋"/>
                <w:b w:val="0"/>
                <w:bCs/>
                <w:kern w:val="2"/>
                <w:sz w:val="24"/>
                <w:szCs w:val="28"/>
                <w:lang w:val="en-US" w:eastAsia="zh-CN" w:bidi="ar-SA"/>
              </w:rPr>
            </w:pPr>
            <w:r>
              <w:rPr>
                <w:rFonts w:hint="eastAsia" w:ascii="仿宋" w:hAnsi="仿宋" w:eastAsia="仿宋" w:cs="仿宋"/>
                <w:b w:val="0"/>
                <w:bCs/>
                <w:kern w:val="2"/>
                <w:sz w:val="24"/>
                <w:szCs w:val="28"/>
                <w:lang w:val="en-US" w:eastAsia="zh-CN" w:bidi="ar-SA"/>
              </w:rPr>
              <w:t>4b</w:t>
            </w:r>
          </w:p>
        </w:tc>
        <w:tc>
          <w:tcPr>
            <w:tcW w:w="2832"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70</w:t>
            </w:r>
          </w:p>
        </w:tc>
        <w:tc>
          <w:tcPr>
            <w:tcW w:w="2835" w:type="dxa"/>
            <w:tcMar>
              <w:top w:w="0" w:type="dxa"/>
              <w:left w:w="108" w:type="dxa"/>
              <w:bottom w:w="0" w:type="dxa"/>
              <w:right w:w="108" w:type="dxa"/>
            </w:tcMar>
            <w:vAlign w:val="center"/>
          </w:tcPr>
          <w:p>
            <w:pPr>
              <w:pStyle w:val="2"/>
              <w:keepNext w:val="0"/>
              <w:keepLines w:val="0"/>
              <w:pageBreakBefore w:val="0"/>
              <w:kinsoku/>
              <w:wordWrap/>
              <w:overflowPunct/>
              <w:topLinePunct w:val="0"/>
              <w:autoSpaceDE/>
              <w:autoSpaceDN/>
              <w:bidi w:val="0"/>
              <w:adjustRightInd/>
              <w:spacing w:line="360" w:lineRule="auto"/>
              <w:ind w:left="0" w:leftChars="0" w:firstLine="0" w:firstLineChars="0"/>
              <w:jc w:val="center"/>
              <w:textAlignment w:val="auto"/>
              <w:rPr>
                <w:rFonts w:hint="default" w:ascii="仿宋" w:hAnsi="仿宋" w:eastAsia="仿宋" w:cs="仿宋"/>
                <w:b w:val="0"/>
                <w:bCs/>
                <w:kern w:val="2"/>
                <w:sz w:val="24"/>
                <w:szCs w:val="28"/>
                <w:lang w:val="en-US" w:eastAsia="zh-CN" w:bidi="ar-SA"/>
              </w:rPr>
            </w:pPr>
            <w:r>
              <w:rPr>
                <w:rFonts w:hint="eastAsia" w:ascii="仿宋" w:hAnsi="仿宋" w:cs="仿宋"/>
                <w:b w:val="0"/>
                <w:bCs/>
                <w:kern w:val="2"/>
                <w:sz w:val="24"/>
                <w:szCs w:val="28"/>
                <w:lang w:val="en-US" w:eastAsia="zh-CN" w:bidi="ar-SA"/>
              </w:rPr>
              <w:t>60</w:t>
            </w:r>
          </w:p>
        </w:tc>
      </w:tr>
    </w:tbl>
    <w:p>
      <w:pPr>
        <w:pStyle w:val="2"/>
        <w:keepNext w:val="0"/>
        <w:keepLines w:val="0"/>
        <w:pageBreakBefore w:val="0"/>
        <w:kinsoku/>
        <w:wordWrap/>
        <w:overflowPunct/>
        <w:topLinePunct w:val="0"/>
        <w:autoSpaceDE/>
        <w:autoSpaceDN/>
        <w:bidi w:val="0"/>
        <w:adjustRightInd/>
        <w:spacing w:line="360" w:lineRule="auto"/>
        <w:textAlignment w:val="auto"/>
        <w:rPr>
          <w:rFonts w:hint="eastAsia"/>
          <w:lang w:val="en-US" w:eastAsia="zh-CN"/>
        </w:rPr>
      </w:pPr>
    </w:p>
    <w:p>
      <w:pPr>
        <w:keepNext w:val="0"/>
        <w:keepLines w:val="0"/>
        <w:pageBreakBefore w:val="0"/>
        <w:numPr>
          <w:ilvl w:val="1"/>
          <w:numId w:val="1"/>
        </w:numPr>
        <w:kinsoku/>
        <w:wordWrap/>
        <w:overflowPunct/>
        <w:topLinePunct w:val="0"/>
        <w:autoSpaceDE/>
        <w:autoSpaceDN/>
        <w:bidi w:val="0"/>
        <w:adjustRightInd/>
        <w:spacing w:line="360" w:lineRule="auto"/>
        <w:ind w:left="630" w:leftChars="0" w:hanging="630" w:firstLineChars="0"/>
        <w:textAlignment w:val="auto"/>
        <w:outlineLvl w:val="1"/>
        <w:rPr>
          <w:rFonts w:hint="eastAsia" w:ascii="仿宋" w:hAnsi="仿宋" w:eastAsia="仿宋" w:cs="仿宋"/>
          <w:b/>
          <w:bCs/>
          <w:sz w:val="28"/>
          <w:szCs w:val="28"/>
          <w:lang w:val="en-US" w:eastAsia="zh-CN"/>
        </w:rPr>
      </w:pPr>
      <w:bookmarkStart w:id="45" w:name="_Toc9309"/>
      <w:bookmarkStart w:id="46" w:name="_Toc30236"/>
      <w:r>
        <w:rPr>
          <w:rFonts w:hint="eastAsia" w:ascii="仿宋" w:hAnsi="仿宋" w:eastAsia="仿宋" w:cs="仿宋"/>
          <w:b/>
          <w:bCs/>
          <w:sz w:val="28"/>
          <w:szCs w:val="28"/>
          <w:lang w:val="en-US" w:eastAsia="zh-CN"/>
        </w:rPr>
        <w:t>区划方法</w:t>
      </w:r>
      <w:bookmarkEnd w:id="45"/>
      <w:bookmarkEnd w:id="46"/>
    </w:p>
    <w:p>
      <w:pPr>
        <w:keepNext w:val="0"/>
        <w:keepLines w:val="0"/>
        <w:pageBreakBefore w:val="0"/>
        <w:numPr>
          <w:ilvl w:val="2"/>
          <w:numId w:val="1"/>
        </w:numPr>
        <w:kinsoku/>
        <w:wordWrap/>
        <w:overflowPunct/>
        <w:topLinePunct w:val="0"/>
        <w:autoSpaceDE/>
        <w:autoSpaceDN/>
        <w:bidi w:val="0"/>
        <w:adjustRightIn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47" w:name="_Toc317"/>
      <w:bookmarkStart w:id="48" w:name="_Toc15933"/>
      <w:r>
        <w:rPr>
          <w:rFonts w:hint="eastAsia" w:ascii="仿宋" w:hAnsi="仿宋" w:eastAsia="仿宋" w:cs="仿宋"/>
          <w:b/>
          <w:bCs/>
          <w:sz w:val="28"/>
          <w:szCs w:val="28"/>
          <w:lang w:val="en-US" w:eastAsia="zh-CN"/>
        </w:rPr>
        <w:t>区划的划分次序</w:t>
      </w:r>
      <w:bookmarkEnd w:id="47"/>
      <w:bookmarkEnd w:id="4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首先对0、1、3类声环境功能区确认划分，余下区域划分为2类声环境功能区，在此基础上划分4类声环境功能区。</w:t>
      </w:r>
    </w:p>
    <w:p>
      <w:pPr>
        <w:keepNext w:val="0"/>
        <w:keepLines w:val="0"/>
        <w:pageBreakBefore w:val="0"/>
        <w:numPr>
          <w:ilvl w:val="2"/>
          <w:numId w:val="1"/>
        </w:numPr>
        <w:kinsoku/>
        <w:wordWrap/>
        <w:overflowPunct/>
        <w:topLinePunct w:val="0"/>
        <w:autoSpaceDE/>
        <w:autoSpaceDN/>
        <w:bidi w:val="0"/>
        <w:adjustRightIn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49" w:name="_Toc13710"/>
      <w:bookmarkStart w:id="50" w:name="_Toc8114"/>
      <w:r>
        <w:rPr>
          <w:rFonts w:hint="eastAsia" w:ascii="仿宋" w:hAnsi="仿宋" w:eastAsia="仿宋" w:cs="仿宋"/>
          <w:b/>
          <w:bCs/>
          <w:sz w:val="28"/>
          <w:szCs w:val="28"/>
          <w:lang w:val="en-US" w:eastAsia="zh-CN"/>
        </w:rPr>
        <w:t>0～3类声环境功能区划分</w:t>
      </w:r>
      <w:bookmarkEnd w:id="49"/>
      <w:bookmarkEnd w:id="5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0 类声环境功能区适用于康复疗养区等特别需要安静的区域。该区域内及附近区域应无明显噪声源，区域界限明确。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（1）符合下列条件之一的划为1类声环境功能区：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①城市用地现状已形成一定规模或近期规划已明确主要功能的区域，其用地性质符合1类声环境功能区规定的区域；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②1类用地占地率大于70％（含70％）的混合用地区域。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（2）符合下列条件之一的划为2类声环境功能区：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①城市用地现状已形成一定规模或近期规划已明确主要功能的区域，其用地性质符合2类声环境功能区规定的区域；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②划定的0、1、3类声环境功能区以外居住、商业、工业混杂区域。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（3）符合下列条件之一的划为3类声环境功能区：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①城市用地现状已形成一定规模或近期规划已明确主要功能的区域，其用地性质符合3类声环境功能区规定的区域；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②II类用地占地率大于70％（含70％）的混合用地区域。</w:t>
      </w:r>
    </w:p>
    <w:p>
      <w:pPr>
        <w:pStyle w:val="2"/>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numPr>
          <w:ilvl w:val="2"/>
          <w:numId w:val="1"/>
        </w:numPr>
        <w:ind w:left="948" w:leftChars="0" w:hanging="728" w:firstLineChars="0"/>
        <w:outlineLvl w:val="2"/>
        <w:rPr>
          <w:rFonts w:hint="eastAsia" w:ascii="仿宋" w:hAnsi="仿宋" w:eastAsia="仿宋" w:cs="仿宋"/>
          <w:b/>
          <w:bCs/>
          <w:sz w:val="28"/>
          <w:szCs w:val="28"/>
          <w:lang w:val="en-US" w:eastAsia="zh-CN"/>
        </w:rPr>
      </w:pPr>
      <w:bookmarkStart w:id="51" w:name="_Toc11763"/>
      <w:bookmarkStart w:id="52" w:name="_Toc25282"/>
      <w:r>
        <w:rPr>
          <w:rFonts w:hint="eastAsia" w:ascii="仿宋" w:hAnsi="仿宋" w:eastAsia="仿宋" w:cs="仿宋"/>
          <w:b/>
          <w:bCs/>
          <w:sz w:val="28"/>
          <w:szCs w:val="28"/>
          <w:lang w:val="en-US" w:eastAsia="zh-CN"/>
        </w:rPr>
        <w:t>4类声环境功能区划分</w:t>
      </w:r>
      <w:bookmarkEnd w:id="51"/>
      <w:bookmarkEnd w:id="5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4a类声环境功能区划分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将交通干线边界线外一定距离内的区域划分为4a类声环境功能区。距离的确定方法如下：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①相邻区域为1类声环境功能区，距离为 50m±5m；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②相邻区域为2类声环境功能区，距离为 35m±5m；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③相邻区域为3类声环境功能区，距离为 20m±5m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当临街建筑高于三层楼房以上（含三层）时，将临街建筑面向交通干线一侧至交通干线边界线的区域定为4a类声环境功能区。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（2）4b 类声环境功能区划分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交通干线边界线外一定距离以内的区域划分为4b 类声环境功能区。距离的确定方法同3.4.3第一条。</w:t>
      </w:r>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53" w:name="_Toc365"/>
      <w:bookmarkStart w:id="54" w:name="_Toc17715"/>
      <w:r>
        <w:rPr>
          <w:rFonts w:hint="eastAsia" w:ascii="仿宋" w:hAnsi="仿宋" w:eastAsia="仿宋" w:cs="仿宋"/>
          <w:b/>
          <w:bCs/>
          <w:sz w:val="28"/>
          <w:szCs w:val="28"/>
          <w:lang w:val="en-US" w:eastAsia="zh-CN"/>
        </w:rPr>
        <w:t>声环境功能区划结果</w:t>
      </w:r>
      <w:bookmarkEnd w:id="53"/>
      <w:bookmarkEnd w:id="54"/>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划分概况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FF0000"/>
          <w:sz w:val="28"/>
          <w:szCs w:val="28"/>
        </w:rPr>
      </w:pPr>
      <w:r>
        <w:rPr>
          <w:rFonts w:hint="eastAsia" w:ascii="仿宋" w:hAnsi="仿宋" w:eastAsia="仿宋" w:cs="仿宋"/>
          <w:color w:val="auto"/>
          <w:sz w:val="28"/>
          <w:szCs w:val="28"/>
          <w:lang w:val="en-US" w:eastAsia="zh-CN"/>
        </w:rPr>
        <w:t>本次镇平县城市区域声环境功能区划分总面积为镇平县城区域规划面积，总计约为43.8平方公里。其中规划范围内</w:t>
      </w:r>
      <w:r>
        <w:rPr>
          <w:rFonts w:hint="eastAsia" w:ascii="仿宋" w:hAnsi="仿宋" w:eastAsia="仿宋" w:cs="仿宋"/>
          <w:color w:val="auto"/>
          <w:sz w:val="28"/>
          <w:szCs w:val="28"/>
        </w:rPr>
        <w:t>沪陕高速</w:t>
      </w:r>
      <w:r>
        <w:rPr>
          <w:rFonts w:hint="eastAsia" w:ascii="仿宋" w:hAnsi="仿宋" w:eastAsia="仿宋" w:cs="仿宋"/>
          <w:color w:val="auto"/>
          <w:sz w:val="28"/>
          <w:szCs w:val="28"/>
          <w:lang w:val="en-US" w:eastAsia="zh-CN"/>
        </w:rPr>
        <w:t>南</w:t>
      </w:r>
      <w:r>
        <w:rPr>
          <w:rFonts w:hint="eastAsia" w:ascii="仿宋" w:hAnsi="仿宋" w:eastAsia="仿宋" w:cs="仿宋"/>
          <w:color w:val="auto"/>
          <w:sz w:val="28"/>
          <w:szCs w:val="28"/>
        </w:rPr>
        <w:t>侧杨营组团建设用地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由于连片范围狭长，不进行声功能区域划分。共划分为1类、2类、3类和4类声环境功能区。</w:t>
      </w:r>
      <w:r>
        <w:rPr>
          <w:rFonts w:hint="eastAsia" w:ascii="仿宋" w:hAnsi="仿宋" w:eastAsia="仿宋" w:cs="仿宋"/>
          <w:color w:val="auto"/>
          <w:sz w:val="28"/>
          <w:szCs w:val="28"/>
        </w:rPr>
        <w:t>详见附图。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其中，1类声环境功能区面积6.6平方公里，占划分总面积的15.0％；2类声环境功能区面积27.8平方公里，占划分总面积的63.5％；3类声环境功能区面积9.4平方公里，占划分总面积的 21.5％。</w:t>
      </w:r>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标准适用区域类别的确定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根据镇平县城市建设现状及规划目标尚无符合“0”类标准的区域（即疗养区、高级别墅区、高级宾馆区等特别需要安静的区域），因此，此次不作0类声环境功能区的划分，仅划分1-4类声环境功能区。</w:t>
      </w:r>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详细划分过程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（1）范围划定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根据上位规划的规划图</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镇平</w:t>
      </w:r>
      <w:r>
        <w:rPr>
          <w:rFonts w:hint="eastAsia" w:ascii="仿宋" w:hAnsi="仿宋" w:eastAsia="仿宋" w:cs="仿宋"/>
          <w:color w:val="auto"/>
          <w:sz w:val="28"/>
          <w:szCs w:val="28"/>
        </w:rPr>
        <w:t>县</w:t>
      </w:r>
      <w:r>
        <w:rPr>
          <w:rFonts w:hint="eastAsia" w:ascii="仿宋" w:hAnsi="仿宋" w:eastAsia="仿宋" w:cs="仿宋"/>
          <w:color w:val="auto"/>
          <w:sz w:val="28"/>
          <w:szCs w:val="28"/>
          <w:lang w:val="en-US" w:eastAsia="zh-CN"/>
        </w:rPr>
        <w:t>城乡</w:t>
      </w:r>
      <w:r>
        <w:rPr>
          <w:rFonts w:hint="eastAsia" w:ascii="仿宋" w:hAnsi="仿宋" w:eastAsia="仿宋" w:cs="仿宋"/>
          <w:color w:val="auto"/>
          <w:sz w:val="28"/>
          <w:szCs w:val="28"/>
        </w:rPr>
        <w:t>总体规划</w:t>
      </w:r>
      <w:r>
        <w:rPr>
          <w:rFonts w:hint="eastAsia" w:ascii="仿宋" w:hAnsi="仿宋" w:eastAsia="仿宋" w:cs="仿宋"/>
          <w:color w:val="auto"/>
          <w:sz w:val="28"/>
          <w:szCs w:val="28"/>
          <w:lang w:val="en-US" w:eastAsia="zh-CN"/>
        </w:rPr>
        <w:t>修编</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2018-2035</w:t>
      </w:r>
      <w:r>
        <w:rPr>
          <w:rFonts w:hint="eastAsia" w:ascii="仿宋" w:hAnsi="仿宋" w:eastAsia="仿宋" w:cs="仿宋"/>
          <w:color w:val="auto"/>
          <w:sz w:val="28"/>
          <w:szCs w:val="28"/>
        </w:rPr>
        <w:t>年）</w:t>
      </w:r>
      <w:r>
        <w:rPr>
          <w:rFonts w:hint="eastAsia" w:ascii="仿宋" w:hAnsi="仿宋" w:eastAsia="仿宋" w:cs="仿宋"/>
          <w:sz w:val="28"/>
          <w:szCs w:val="28"/>
          <w:lang w:val="en-US" w:eastAsia="zh-CN"/>
        </w:rPr>
        <w:t>划定区划范围。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（2）现状连片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现状连片以事实为主体，以规划中的城市现状图为次，把相同功能的区域确定其范围。其中不确定功能的区域，进行了现场走访。本图首先对3类工业区和1类居住区进行了标识了，无法界定的或综合区域为2类区。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（3）规划连片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规划功能连片是以规划图为根据，对未来发展进行前瞻性和指导性布局。在规划连片中，先标注了3类区，后标注了1类区，剩余区域为商业或多重功能的界定的2类区域。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（4）现状和规划连片整合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规划和现状中新城综合服务中心区域内的镇平县一馆三中心、镇平县党校、镇平县第一高级中学、镇平县金陵外国语学校、镇平县人民医院等连片区域，镇平县雪枫中学、镇平县植物园、镇平县特殊教育学校等连片区域，石佛寺镇政府综合体连片区域等确定为1类区；镇平县产业集聚区、镇平县想念食品工业园应为3类区；老城区居住和商业混杂区，石佛寺居住和商业混合区应为2类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确定后结果后进行微调，结合连片结果，采用便于管理的原则按道路进行划分功能区。并进行普查监测，用以验证，并进行微调。</w:t>
      </w:r>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区划结果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（1）1类声环境功能区（居住、文教、行政办公为主区域）划分依据</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镇平</w:t>
      </w:r>
      <w:r>
        <w:rPr>
          <w:rFonts w:hint="eastAsia" w:ascii="仿宋" w:hAnsi="仿宋" w:eastAsia="仿宋" w:cs="仿宋"/>
          <w:color w:val="auto"/>
          <w:sz w:val="28"/>
          <w:szCs w:val="28"/>
        </w:rPr>
        <w:t>县</w:t>
      </w:r>
      <w:r>
        <w:rPr>
          <w:rFonts w:hint="eastAsia" w:ascii="仿宋" w:hAnsi="仿宋" w:eastAsia="仿宋" w:cs="仿宋"/>
          <w:color w:val="auto"/>
          <w:sz w:val="28"/>
          <w:szCs w:val="28"/>
          <w:lang w:val="en-US" w:eastAsia="zh-CN"/>
        </w:rPr>
        <w:t>城乡</w:t>
      </w:r>
      <w:r>
        <w:rPr>
          <w:rFonts w:hint="eastAsia" w:ascii="仿宋" w:hAnsi="仿宋" w:eastAsia="仿宋" w:cs="仿宋"/>
          <w:color w:val="auto"/>
          <w:sz w:val="28"/>
          <w:szCs w:val="28"/>
        </w:rPr>
        <w:t>总体规划</w:t>
      </w:r>
      <w:r>
        <w:rPr>
          <w:rFonts w:hint="eastAsia" w:ascii="仿宋" w:hAnsi="仿宋" w:eastAsia="仿宋" w:cs="仿宋"/>
          <w:color w:val="auto"/>
          <w:sz w:val="28"/>
          <w:szCs w:val="28"/>
          <w:lang w:val="en-US" w:eastAsia="zh-CN"/>
        </w:rPr>
        <w:t>修编</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2018-2035</w:t>
      </w:r>
      <w:r>
        <w:rPr>
          <w:rFonts w:hint="eastAsia" w:ascii="仿宋" w:hAnsi="仿宋" w:eastAsia="仿宋" w:cs="仿宋"/>
          <w:color w:val="auto"/>
          <w:sz w:val="28"/>
          <w:szCs w:val="28"/>
        </w:rPr>
        <w:t>年）</w:t>
      </w:r>
      <w:r>
        <w:rPr>
          <w:rFonts w:hint="eastAsia" w:ascii="仿宋" w:hAnsi="仿宋" w:eastAsia="仿宋" w:cs="仿宋"/>
          <w:sz w:val="28"/>
          <w:szCs w:val="28"/>
          <w:lang w:val="en-US" w:eastAsia="zh-CN"/>
        </w:rPr>
        <w:t>中心城区用地规划、居住用地规划以及中心城区空间结构规划，同时考虑城市用地现状和近期发展规划，将城市区域划分3个1类声环境功能区（6.6k㎡），分别为：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①新城组团片区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该区位于县城西南新城组团片区，东至玉神路，南至竹园路，西至玉源南路。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划分依据：从城市区域各片区主要职能及居住用地布局规划可知，该区域主要功能为行政服务、居住、教育、医疗、游园等，规划目标也多定位于生态宜居新城区。实际建设过程中该片区依托城市新行政中心建设，分布多为配套完善、布局紧凑、环境良好的现代化居住区，同时有镇平县一馆三中心、镇平县公安局、镇平县第一高级中学、镇平县思源实验学校、镇平县金陵外国语学校、镇平县人民医院等，居住、文教、行政用地占比在90％以上，且与实际建设相一致，因此该区域规划为1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②雪枫中学、植物园片区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该区域北至建设大道、南至涅阳路、东至植物园、西至泰山路。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划分依据：该片区位依托植物园、雪枫中学、全兴双语学校、镇平县特殊教育学校等，发展建设，以居住、文教为主，建成功能相对完善的生活区，该片区现状与规划相一致，主要以居住、文教为主，因此该区域规划为1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③石佛寺镇政府综合体片区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划分依据：该区域以石佛寺镇政府综合体、石佛寺镇卫生院及居民住宅区为主，现状以、规划以居住、行政、卫生等为主，因此该区域规划为1类声环境功能区。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（2）2类声环境功能区（居住、商业、工业混杂区）划分</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将城市区域划分2个2类声环境功能区（27.8k㎡），分别为：①石佛寺镇片区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该区域以居住商业、工业混合为分布特征，北至柳卢公路，西至规划边界石杨路及玉源路，南至建设大道，东至玉都大道。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划分依据：石佛寺镇片区原为城郊乡镇，目前镇区已与县城连片，经过长期发展此区域内玉雕加工工业、住宅、商业间隔分布，考虑到长期规划，将该区域确定为混合区（居住、商业、工业混合），规划为2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②老城组团片区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该区域为老城区以居住、商业为主。北至宁西铁路，南至南环路，西至玉神路，东至将军路规划区边界线。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划分依据：老城区组团位于城市区域中部，现状为老城区，规划以居住、商业、行政为主，老城区商业金融设施主要沿街呈带状分布，实际使用过程中商住用地在90％左右，属商业、居住、行政混合区，连接成片规划为2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（3）3类声环境功能区（以工业生产、仓储物流为主区域）划分根据城市区域总体规划，划分2个3类声环境功能区，镇平县产业集聚区以及镇平县想念食品工业园区（9.4k㎡）。</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划分依据：该区域为规划的城区工业园，规划用地主要以工业用地为主，规划发展以生态友好型工业为主，间有少量居住用地，工业用地占比90％以上。因此，其声环境功能划分为3类。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color w:val="C00000"/>
          <w:sz w:val="28"/>
          <w:szCs w:val="28"/>
          <w:lang w:val="en-US" w:eastAsia="zh-CN"/>
        </w:rPr>
        <w:t>（4）</w:t>
      </w:r>
      <w:r>
        <w:rPr>
          <w:rFonts w:hint="eastAsia" w:ascii="仿宋" w:hAnsi="仿宋" w:eastAsia="仿宋" w:cs="仿宋"/>
          <w:sz w:val="28"/>
          <w:szCs w:val="28"/>
          <w:lang w:val="en-US" w:eastAsia="zh-CN"/>
        </w:rPr>
        <w:t>4类声环境功能区（路交通干线两侧区域）划分</w:t>
      </w:r>
      <w:r>
        <w:rPr>
          <w:rFonts w:hint="eastAsia" w:ascii="仿宋" w:hAnsi="仿宋" w:eastAsia="仿宋" w:cs="仿宋"/>
          <w:color w:val="C0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①道路交通干线两侧4a类区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镇平县城区范围内交通主要以公路为主，根据镇平县县道路交通现状及规划结果，交通干线主要类型有城市主干路、城市次干路、城市支路，线路密集。为方便管理，本次区划将镇平交通干线划分为城市主干路，其两侧一定范围划为4类区。以城市主干道及次干路、支路一定距离内的区域划为4a类声环境功能区域。本次划分涉及城市12条主干道：玉源南路、新民路—京华路、杏山大道、建设大道、平安大道、玉源大道、玉都大道、玉神路、航天大道、健康路、菩提路、将军路。其两侧一定范围划为4类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当临街建筑高于三层楼房以上（含三层）时，将临街建筑面向交通干线一侧至交通干线边界线的区域定为4a类声环境功能区。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②4b类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镇平县县城区北边界宁西铁路经过，铁路沿线为4b类区域。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1～4类声环境功能区划分见附图。</w:t>
      </w:r>
    </w:p>
    <w:p>
      <w:pPr>
        <w:numPr>
          <w:ilvl w:val="3"/>
          <w:numId w:val="1"/>
        </w:numPr>
        <w:ind w:left="1493" w:leftChars="0" w:hanging="1073"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相关说明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（1）3类声环境功能区中现状为学校、医院、住宅、机关、公园、宾馆、会所等噪声敏感区域，执行2类声环境功能区标准。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（2）交通干线建设规划未实施前应按照当前声环境功能区类别管理，规划实施后实时调整为4类区。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（3）1类区、2类区、3类区划分的区域中包括4类区的，执行4类区；划分为4b类区与4a类区有重叠的部分，执行4b类区。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（4）各声环境功能区内的建设工地噪声执行相应《建筑施工场界环境噪声排放标准》（GB12523-2011）。</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（5）因部分道路未修建完毕，4类区的划分以实际道路和短期规划的道路为主，长期规划中的道路区域暂为其所属的功能区中。其所占据的面积暂以其规划中的长度为标准。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（6）部分长期规划中为中心城区，但现状为乡村的区域参考下条进行声环境功能区的规划。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（7）乡村区域一般不划分声环境功能区，根据环境管理的需要，人民政府环境保护行政主管部门可按以下要求确定乡村区域适用的声环境质量要求：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①村庄原则上执行1类声环境功能区要求，工业活动较多的村庄以及有交通干线经过的村庄可局部或全部执行2类声环境功能区要 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②集镇执行2类声环境功能区要求。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③独立于村庄、集镇之外的工业、仓储集中区执行3类声环境功能区要求。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④位于交通干线两侧一定距离内（参考GB/T15190第8.3条）的噪声敏感建筑物执行4类声环境功能区要求。</w:t>
      </w:r>
    </w:p>
    <w:p>
      <w:pPr>
        <w:pStyle w:val="2"/>
        <w:rPr>
          <w:rFonts w:hint="eastAsia"/>
          <w:lang w:val="en-US" w:eastAsia="zh-CN"/>
        </w:rPr>
      </w:pPr>
    </w:p>
    <w:p>
      <w:pPr>
        <w:numPr>
          <w:ilvl w:val="0"/>
          <w:numId w:val="1"/>
        </w:numPr>
        <w:ind w:left="225" w:leftChars="0" w:hanging="225" w:firstLineChars="0"/>
        <w:jc w:val="center"/>
        <w:outlineLvl w:val="0"/>
        <w:rPr>
          <w:rFonts w:hint="eastAsia" w:ascii="仿宋" w:hAnsi="仿宋" w:eastAsia="仿宋" w:cs="仿宋"/>
          <w:b/>
          <w:bCs/>
          <w:sz w:val="32"/>
          <w:szCs w:val="32"/>
          <w:lang w:val="en-US" w:eastAsia="zh-CN"/>
        </w:rPr>
      </w:pPr>
      <w:bookmarkStart w:id="55" w:name="_Toc13614"/>
      <w:bookmarkStart w:id="56" w:name="_Toc6898"/>
      <w:r>
        <w:rPr>
          <w:rFonts w:hint="eastAsia" w:ascii="仿宋" w:hAnsi="仿宋" w:eastAsia="仿宋" w:cs="仿宋"/>
          <w:b/>
          <w:bCs/>
          <w:sz w:val="32"/>
          <w:szCs w:val="32"/>
          <w:lang w:val="en-US" w:eastAsia="zh-CN"/>
        </w:rPr>
        <w:t>声环境功能区划分结果的可行性分析</w:t>
      </w:r>
      <w:bookmarkEnd w:id="55"/>
      <w:bookmarkEnd w:id="56"/>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57" w:name="_Toc29882"/>
      <w:bookmarkStart w:id="58" w:name="_Toc4292"/>
      <w:r>
        <w:rPr>
          <w:rFonts w:hint="eastAsia" w:ascii="仿宋" w:hAnsi="仿宋" w:eastAsia="仿宋" w:cs="仿宋"/>
          <w:b/>
          <w:bCs/>
          <w:sz w:val="28"/>
          <w:szCs w:val="28"/>
          <w:lang w:val="en-US" w:eastAsia="zh-CN"/>
        </w:rPr>
        <w:t>区划范围与城市规划的一致性分析</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本次区划方案以</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镇平</w:t>
      </w:r>
      <w:r>
        <w:rPr>
          <w:rFonts w:hint="eastAsia" w:ascii="仿宋" w:hAnsi="仿宋" w:eastAsia="仿宋" w:cs="仿宋"/>
          <w:color w:val="auto"/>
          <w:sz w:val="28"/>
          <w:szCs w:val="28"/>
        </w:rPr>
        <w:t>县</w:t>
      </w:r>
      <w:r>
        <w:rPr>
          <w:rFonts w:hint="eastAsia" w:ascii="仿宋" w:hAnsi="仿宋" w:eastAsia="仿宋" w:cs="仿宋"/>
          <w:color w:val="auto"/>
          <w:sz w:val="28"/>
          <w:szCs w:val="28"/>
          <w:lang w:val="en-US" w:eastAsia="zh-CN"/>
        </w:rPr>
        <w:t>城乡</w:t>
      </w:r>
      <w:r>
        <w:rPr>
          <w:rFonts w:hint="eastAsia" w:ascii="仿宋" w:hAnsi="仿宋" w:eastAsia="仿宋" w:cs="仿宋"/>
          <w:color w:val="auto"/>
          <w:sz w:val="28"/>
          <w:szCs w:val="28"/>
        </w:rPr>
        <w:t>总体规划</w:t>
      </w:r>
      <w:r>
        <w:rPr>
          <w:rFonts w:hint="eastAsia" w:ascii="仿宋" w:hAnsi="仿宋" w:eastAsia="仿宋" w:cs="仿宋"/>
          <w:color w:val="auto"/>
          <w:sz w:val="28"/>
          <w:szCs w:val="28"/>
          <w:lang w:val="en-US" w:eastAsia="zh-CN"/>
        </w:rPr>
        <w:t>修编</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2018-2035</w:t>
      </w:r>
      <w:r>
        <w:rPr>
          <w:rFonts w:hint="eastAsia" w:ascii="仿宋" w:hAnsi="仿宋" w:eastAsia="仿宋" w:cs="仿宋"/>
          <w:color w:val="auto"/>
          <w:sz w:val="28"/>
          <w:szCs w:val="28"/>
        </w:rPr>
        <w:t>年）</w:t>
      </w:r>
      <w:r>
        <w:rPr>
          <w:rFonts w:hint="eastAsia" w:ascii="仿宋" w:hAnsi="仿宋" w:eastAsia="仿宋" w:cs="仿宋"/>
          <w:sz w:val="28"/>
          <w:szCs w:val="28"/>
          <w:lang w:val="en-US" w:eastAsia="zh-CN"/>
        </w:rPr>
        <w:t>作为参照，将集中的大片A类用地划入1类声功能区，将集中的大片B类用地划入3类声功能区，将主要的C类用地（次干道以上道路、铁路）划入4类声功能区；城市区域规划面积为49.5k㎡，本次声功能区规划面积为43.8k㎡，依据规划的功能合理科学分区，噪声区划的范围与城市总体规划保持一致，噪声功能分区与规划功能区分区基本一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lang w:val="en-US" w:eastAsia="zh-CN"/>
        </w:rPr>
        <w:t>本次声环境功能区划分总面积43.8㎡，共划分了7个单元（不含4类）。</w:t>
      </w:r>
      <w:r>
        <w:rPr>
          <w:rFonts w:hint="eastAsia" w:ascii="仿宋" w:hAnsi="仿宋" w:eastAsia="仿宋" w:cs="仿宋"/>
          <w:color w:val="auto"/>
          <w:sz w:val="28"/>
          <w:szCs w:val="28"/>
        </w:rPr>
        <w:t>东至将军路及东侧建设用地，南至南外环路，西至石杨路及西侧建设用地，北至毕兴路、宁西铁路，总建设用地面积</w:t>
      </w:r>
      <w:r>
        <w:rPr>
          <w:rFonts w:hint="eastAsia" w:ascii="仿宋" w:hAnsi="仿宋" w:eastAsia="仿宋" w:cs="仿宋"/>
          <w:color w:val="auto"/>
          <w:sz w:val="28"/>
          <w:szCs w:val="28"/>
          <w:lang w:val="en-US" w:eastAsia="zh-CN"/>
        </w:rPr>
        <w:t>43.8</w:t>
      </w:r>
      <w:r>
        <w:rPr>
          <w:rFonts w:hint="eastAsia" w:ascii="仿宋" w:hAnsi="仿宋" w:eastAsia="仿宋" w:cs="仿宋"/>
          <w:color w:val="auto"/>
          <w:sz w:val="28"/>
          <w:szCs w:val="28"/>
        </w:rPr>
        <w:t>平方公里。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ascii="仿宋" w:hAnsi="仿宋" w:eastAsia="仿宋" w:cs="仿宋"/>
          <w:sz w:val="28"/>
          <w:szCs w:val="28"/>
          <w:lang w:val="en-US" w:eastAsia="zh-CN"/>
        </w:rPr>
      </w:pPr>
      <w:bookmarkStart w:id="59" w:name="_Toc1820"/>
      <w:bookmarkStart w:id="60" w:name="_Toc26396"/>
      <w:bookmarkStart w:id="61" w:name="_Toc3530"/>
      <w:r>
        <w:rPr>
          <w:rFonts w:hint="eastAsia" w:ascii="仿宋" w:hAnsi="仿宋" w:eastAsia="仿宋" w:cs="仿宋"/>
          <w:sz w:val="28"/>
          <w:szCs w:val="28"/>
          <w:lang w:val="en-US" w:eastAsia="zh-CN"/>
        </w:rPr>
        <w:t>（1）1类声环境功能区</w:t>
      </w:r>
      <w:bookmarkEnd w:id="59"/>
      <w:bookmarkEnd w:id="60"/>
      <w:bookmarkEnd w:id="6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1类声功能区用地类型为教育科研用地、居住用地、物流用地、公园绿地、商业用地、行政办公用地、体育用地、医疗卫生用地、特殊用地。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本次划分的1类声环境功能区区划分共3个单元，面积总计为6.6k㎡，占区划总面积的15.0％。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ascii="仿宋" w:hAnsi="仿宋" w:eastAsia="仿宋" w:cs="仿宋"/>
          <w:sz w:val="28"/>
          <w:szCs w:val="28"/>
          <w:lang w:val="en-US" w:eastAsia="zh-CN"/>
        </w:rPr>
      </w:pPr>
      <w:bookmarkStart w:id="62" w:name="_Toc9653"/>
      <w:bookmarkStart w:id="63" w:name="_Toc13758"/>
      <w:bookmarkStart w:id="64" w:name="_Toc17166"/>
      <w:r>
        <w:rPr>
          <w:rFonts w:hint="eastAsia" w:ascii="仿宋" w:hAnsi="仿宋" w:eastAsia="仿宋" w:cs="仿宋"/>
          <w:sz w:val="28"/>
          <w:szCs w:val="28"/>
          <w:lang w:val="en-US" w:eastAsia="zh-CN"/>
        </w:rPr>
        <w:t>（2）2类声环境功能区</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2类声功能区用地类型</w:t>
      </w:r>
      <w:r>
        <w:rPr>
          <w:rFonts w:hint="eastAsia" w:ascii="仿宋" w:hAnsi="仿宋" w:eastAsia="仿宋" w:cs="仿宋"/>
          <w:color w:val="C00000"/>
          <w:sz w:val="28"/>
          <w:szCs w:val="28"/>
          <w:lang w:val="en-US" w:eastAsia="zh-CN"/>
        </w:rPr>
        <w:t>为：、</w:t>
      </w:r>
      <w:r>
        <w:rPr>
          <w:rFonts w:hint="eastAsia" w:ascii="仿宋" w:hAnsi="仿宋" w:eastAsia="仿宋" w:cs="仿宋"/>
          <w:sz w:val="28"/>
          <w:szCs w:val="28"/>
          <w:lang w:val="en-US" w:eastAsia="zh-CN"/>
        </w:rPr>
        <w:t>商务用地、居住用地、市政设施用地、医疗卫生用地、绿地、文化设施用地、行政办公用地、工业用地。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本次划分的2类声环境功能区区划分共2个单元，面积总计为27.8k㎡，占区划总面积的63.5％。</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ascii="仿宋" w:hAnsi="仿宋" w:eastAsia="仿宋" w:cs="仿宋"/>
          <w:sz w:val="28"/>
          <w:szCs w:val="28"/>
          <w:lang w:val="en-US" w:eastAsia="zh-CN"/>
        </w:rPr>
      </w:pPr>
      <w:bookmarkStart w:id="65" w:name="_Toc1749"/>
      <w:bookmarkStart w:id="66" w:name="_Toc28217"/>
      <w:bookmarkStart w:id="67" w:name="_Toc28985"/>
      <w:r>
        <w:rPr>
          <w:rFonts w:hint="eastAsia" w:ascii="仿宋" w:hAnsi="仿宋" w:eastAsia="仿宋" w:cs="仿宋"/>
          <w:sz w:val="28"/>
          <w:szCs w:val="28"/>
          <w:lang w:val="en-US" w:eastAsia="zh-CN"/>
        </w:rPr>
        <w:t>（3）3类声环境功能区</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3类声功能区用地类型为工业用地、仓储用地。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划分的3类声环境功能区划分共2个单元，面积总计为9.4k㎡，占区域面积的21.5％，包括镇平县产业集聚区、想念食品工业园，符合与土地利用现状、总体规划，符合《声环境功能区划分技术规范》中条款8.2.4，城市用地现状已形成一定规模，其用地性质符合《声环境功能区划分技术规范》中条款4.4条规定的区域，划分为3类区的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ascii="仿宋" w:hAnsi="仿宋" w:eastAsia="仿宋" w:cs="仿宋"/>
          <w:sz w:val="28"/>
          <w:szCs w:val="28"/>
          <w:lang w:val="en-US" w:eastAsia="zh-CN"/>
        </w:rPr>
      </w:pPr>
      <w:bookmarkStart w:id="68" w:name="_Toc8696"/>
      <w:bookmarkStart w:id="69" w:name="_Toc81"/>
      <w:bookmarkStart w:id="70" w:name="_Toc27697"/>
      <w:r>
        <w:rPr>
          <w:rFonts w:hint="eastAsia" w:ascii="仿宋" w:hAnsi="仿宋" w:eastAsia="仿宋" w:cs="仿宋"/>
          <w:sz w:val="28"/>
          <w:szCs w:val="28"/>
          <w:lang w:val="en-US" w:eastAsia="zh-CN"/>
        </w:rPr>
        <w:t>（4）4类声环境功能区</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4a类声环境功能区划中共包含12条主干道。镇平县城区有一条铁路通过，为宁西铁路。另有铁路客运站、铁路货运站。为4b类声功能区。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用地类型为道路与交通设施用地，符合与土地利用现状、总体规划，符合《声环境功能区划分技术规范》中条款8.2.4，城市用地现状已形成一定规模，其用地性质符合《声环境功能区划分技术规范》中条款4.4条规定的区域，划分为4类区的规定。</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630" w:leftChars="0" w:hanging="630" w:firstLineChars="0"/>
        <w:textAlignment w:val="auto"/>
        <w:outlineLvl w:val="1"/>
        <w:rPr>
          <w:rFonts w:hint="eastAsia" w:ascii="仿宋" w:hAnsi="仿宋" w:eastAsia="仿宋" w:cs="仿宋"/>
          <w:b/>
          <w:bCs/>
          <w:sz w:val="28"/>
          <w:szCs w:val="28"/>
          <w:lang w:val="en-US" w:eastAsia="zh-CN"/>
        </w:rPr>
      </w:pPr>
      <w:bookmarkStart w:id="71" w:name="_Toc32363"/>
      <w:bookmarkStart w:id="72" w:name="_Toc10647"/>
      <w:r>
        <w:rPr>
          <w:rFonts w:hint="eastAsia" w:ascii="仿宋" w:hAnsi="仿宋" w:eastAsia="仿宋" w:cs="仿宋"/>
          <w:b/>
          <w:bCs/>
          <w:sz w:val="28"/>
          <w:szCs w:val="28"/>
          <w:lang w:val="en-US" w:eastAsia="zh-CN"/>
        </w:rPr>
        <w:t>划分结果与环境管理的可操作性分析</w:t>
      </w:r>
      <w:bookmarkEnd w:id="71"/>
      <w:bookmarkEnd w:id="7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镇平县是集工业、商业、文化、金融、服务、娱乐和居住为一体的城市。城市集中生活区有居住区、文教区、商业区、娱乐区等，没有明确界限，为方便居民生活，商住均混为一体，将居民集中生活混合区划分为2类声环境功能区是可行的；以居住为主的住宅区是需要保持安静的区域，划分为1类声环境功能区是可行的；以工业、物流</w:t>
      </w:r>
      <w:r>
        <w:rPr>
          <w:rFonts w:hint="eastAsia" w:ascii="仿宋" w:hAnsi="仿宋" w:eastAsia="仿宋" w:cs="仿宋"/>
          <w:color w:val="C00000"/>
          <w:sz w:val="28"/>
          <w:szCs w:val="28"/>
          <w:lang w:val="en-US" w:eastAsia="zh-CN"/>
        </w:rPr>
        <w:t>也</w:t>
      </w:r>
      <w:r>
        <w:rPr>
          <w:rFonts w:hint="eastAsia" w:ascii="仿宋" w:hAnsi="仿宋" w:eastAsia="仿宋" w:cs="仿宋"/>
          <w:sz w:val="28"/>
          <w:szCs w:val="28"/>
          <w:lang w:val="en-US" w:eastAsia="zh-CN"/>
        </w:rPr>
        <w:t>为主的区域是需要防止工业噪声对周围环境产生严重影响的区域；划分为3类声环境功能区是可行的；符合实际现状的，具有环境管理的可操作性。</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630" w:leftChars="0" w:hanging="630" w:firstLineChars="0"/>
        <w:textAlignment w:val="auto"/>
        <w:outlineLvl w:val="1"/>
        <w:rPr>
          <w:rFonts w:hint="eastAsia" w:ascii="仿宋" w:hAnsi="仿宋" w:eastAsia="仿宋" w:cs="仿宋"/>
          <w:b/>
          <w:bCs/>
          <w:sz w:val="28"/>
          <w:szCs w:val="28"/>
          <w:lang w:val="en-US" w:eastAsia="zh-CN"/>
        </w:rPr>
      </w:pPr>
      <w:bookmarkStart w:id="73" w:name="_Toc8791"/>
      <w:bookmarkStart w:id="74" w:name="_Toc19329"/>
      <w:r>
        <w:rPr>
          <w:rFonts w:hint="eastAsia" w:ascii="仿宋" w:hAnsi="仿宋" w:eastAsia="仿宋" w:cs="仿宋"/>
          <w:b/>
          <w:bCs/>
          <w:sz w:val="28"/>
          <w:szCs w:val="28"/>
        </w:rPr>
        <w:t>可行性分析的结论</w:t>
      </w:r>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通过分析可知，镇平县城区声环境功能区划分结果与镇平县城市建成区城市总体规划相协调、土地利用现状相符，与镇平县的环境目标相一致，具有较强的环境管理可操作性。</w:t>
      </w:r>
      <w:r>
        <w:rPr>
          <w:rFonts w:hint="eastAsia" w:ascii="仿宋" w:hAnsi="仿宋" w:eastAsia="仿宋" w:cs="仿宋"/>
          <w:color w:val="C00000"/>
          <w:sz w:val="28"/>
          <w:szCs w:val="28"/>
          <w:lang w:val="en-US" w:eastAsia="zh-CN"/>
        </w:rPr>
        <w:t>市</w:t>
      </w:r>
      <w:r>
        <w:rPr>
          <w:rFonts w:hint="eastAsia" w:ascii="仿宋" w:hAnsi="仿宋" w:eastAsia="仿宋" w:cs="仿宋"/>
          <w:sz w:val="28"/>
          <w:szCs w:val="28"/>
          <w:lang w:val="en-US" w:eastAsia="zh-CN"/>
        </w:rPr>
        <w:t>城区1、2、3类区在采取合理布局和加强社区噪声、商业噪声管理等一系列措施后，声环境质量将能达到标准要求；4类区随着城市的总体发展，通过对城区道路改造和采取相应的治理措施，控制车型、大小车分流、限制鸣笛等措施后，区域声环境质量也将能满足4类功能区标准要求。因此，镇平县城区声环境功能区划分结果是可行的。</w:t>
      </w:r>
    </w:p>
    <w:p>
      <w:pPr>
        <w:pStyle w:val="2"/>
        <w:rPr>
          <w:rFonts w:hint="eastAsia"/>
          <w:lang w:val="en-US" w:eastAsia="zh-CN"/>
        </w:rPr>
      </w:pPr>
    </w:p>
    <w:p>
      <w:pPr>
        <w:numPr>
          <w:ilvl w:val="0"/>
          <w:numId w:val="1"/>
        </w:numPr>
        <w:ind w:left="225" w:leftChars="0" w:hanging="225" w:firstLineChars="0"/>
        <w:jc w:val="center"/>
        <w:outlineLvl w:val="0"/>
        <w:rPr>
          <w:rFonts w:hint="eastAsia" w:ascii="仿宋" w:hAnsi="仿宋" w:eastAsia="仿宋" w:cs="仿宋"/>
          <w:b/>
          <w:bCs/>
          <w:sz w:val="32"/>
          <w:szCs w:val="32"/>
          <w:lang w:val="en-US" w:eastAsia="zh-CN"/>
        </w:rPr>
      </w:pPr>
      <w:bookmarkStart w:id="75" w:name="_Toc6345"/>
      <w:bookmarkStart w:id="76" w:name="_Toc31028"/>
      <w:r>
        <w:rPr>
          <w:rFonts w:hint="eastAsia" w:ascii="仿宋" w:hAnsi="仿宋" w:eastAsia="仿宋" w:cs="仿宋"/>
          <w:b/>
          <w:bCs/>
          <w:sz w:val="32"/>
          <w:szCs w:val="32"/>
          <w:lang w:val="en-US" w:eastAsia="zh-CN"/>
        </w:rPr>
        <w:t>对策及建议</w:t>
      </w:r>
      <w:bookmarkEnd w:id="75"/>
      <w:bookmarkEnd w:id="76"/>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77" w:name="_Toc8561"/>
      <w:bookmarkStart w:id="78" w:name="_Toc18102"/>
      <w:r>
        <w:rPr>
          <w:rFonts w:hint="eastAsia" w:ascii="仿宋" w:hAnsi="仿宋" w:eastAsia="仿宋" w:cs="仿宋"/>
          <w:b/>
          <w:bCs/>
          <w:sz w:val="28"/>
          <w:szCs w:val="28"/>
        </w:rPr>
        <w:t>城市噪声控制措施</w:t>
      </w:r>
      <w:bookmarkEnd w:id="77"/>
      <w:bookmarkEnd w:id="78"/>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79" w:name="_Toc5651"/>
      <w:bookmarkStart w:id="80" w:name="_Toc4524"/>
      <w:r>
        <w:rPr>
          <w:rFonts w:hint="eastAsia" w:ascii="仿宋" w:hAnsi="仿宋" w:eastAsia="仿宋" w:cs="仿宋"/>
          <w:b/>
          <w:bCs/>
          <w:sz w:val="28"/>
          <w:szCs w:val="28"/>
        </w:rPr>
        <w:t>依规实施城市建设，加强声环境功能区管控</w:t>
      </w:r>
      <w:bookmarkEnd w:id="79"/>
      <w:bookmarkEnd w:id="8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镇平县城市定位及城市空间发展布局，在城市发展建设中应以城市总体规划布局要求实施，充分考虑建设项目和区域开发、改造所产生的噪声对周围生活环境的影响，统筹规划，合理安排功能区和建设布局，确保城市建设符合本次功能区划要求，为整个城区声环境改善创造良好的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按照《声环境质量标准》（GB3096-2008）各类声环境功能区要求，1类区以居民住宅、医疗卫生、文化教育、科研设计、行政办公为主，需要保持安静。1类区总体应以保障区域环境安静，给区域创造优良的居住、办公环境为宗旨，合理规划，调整片区功能定位。按照《声环境质量标准》（GB3096-2008），2类区以商业金融、集市贸易为主要功能，或者居住、商业、工业混杂，需要维护住宅安静。2类区需维护住宅等敏感区域安静，混杂区应加强噪声防治与管理，从而进一步降低区域噪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按照《声环境质量标准》（GB 3096-2008），3类区是以工业生产、仓储物流为主要功能，需要防止工业噪声对周围环境产生严重影响的区域。3类区需要加强对外环境的防护，采取措施降低工业、仓储等企业噪声源强。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根据《声环境质量标准》（GB 3096-2008）4a、4b类区域的分类规定，交通干线两侧各功能区有不同的距离控制要求。在城市规划建设过程中，为保障区域居民生活质量，提升声环境质量及水平，各类新建敏感建筑应依规退让，已有建筑做好交通噪声污染防控。</w:t>
      </w:r>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81" w:name="_Toc30679"/>
      <w:bookmarkStart w:id="82" w:name="_Toc3392"/>
      <w:r>
        <w:rPr>
          <w:rFonts w:hint="eastAsia" w:ascii="仿宋" w:hAnsi="仿宋" w:eastAsia="仿宋" w:cs="仿宋"/>
          <w:b/>
          <w:bCs/>
          <w:sz w:val="28"/>
          <w:szCs w:val="28"/>
        </w:rPr>
        <w:t>强化依法管理，严控各类噪声源</w:t>
      </w:r>
      <w:bookmarkEnd w:id="81"/>
      <w:bookmarkEnd w:id="82"/>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生活噪声防治措施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生活噪声源是镇平县城区环境噪声污染的主要来源之一，应加强区域噪声源监管及防治，确保声环境满足功能区需要。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（1）加强娱乐场所、商业网点噪声管理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议城市管理、生态环境、文化、市场监管、公安、街道等部门、单位密切配合，联合执法，强化管控，在整顿市容的基础上，加强对宣传广播喇叭、商业音响、文化娱乐场所和排摊设点、流动摊贩的管理，运用经济、行政、技术等手段进行综合治理，从而降低社会生活噪声对区域环境的污染。对各种娱乐设施、商业网点音响、营业性饮食服务等场所，采取有效的防治环境噪声污染的措施，使其边界噪声达到国家规定的环境噪声排放标准，并严格限制夜间营业时间，减少对周围居民的噪声影响。新申办娱乐设施、经营性饮食服务等，应符合《中华人民共和国环境噪声污染防治法》、《娱乐场所管理条例》等相关要求，不允许在可能干扰学校、医院、机关正常学习、工作秩序的地点设立。强化对固定噪声源的治理，对噪声不达标的酒店、饭店、娱乐场所必须采取强硬措施，限期整改，届时仍不达标的应停业整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（2）加强居住小区噪声污染防治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对已建使用的居民住宅楼和邻近居民住宅楼的建筑进行装修，应当采用有效措施减轻、避免对周围居民造成噪声污染，禁止在规定的时间比如夜间（22:00-次日8:00）、周末、午休（12:00-14:00）时间内，从事产生噪声污染的</w:t>
      </w:r>
      <w:r>
        <w:rPr>
          <w:rFonts w:hint="eastAsia" w:ascii="仿宋" w:hAnsi="仿宋" w:eastAsia="仿宋" w:cs="仿宋"/>
          <w:color w:val="C00000"/>
          <w:sz w:val="28"/>
          <w:szCs w:val="28"/>
          <w:lang w:val="en-US" w:eastAsia="zh-CN"/>
        </w:rPr>
        <w:t>装修和家具加工</w:t>
      </w:r>
      <w:r>
        <w:rPr>
          <w:rFonts w:hint="eastAsia" w:ascii="仿宋" w:hAnsi="仿宋" w:eastAsia="仿宋" w:cs="仿宋"/>
          <w:sz w:val="28"/>
          <w:szCs w:val="28"/>
          <w:lang w:val="en-US" w:eastAsia="zh-CN"/>
        </w:rPr>
        <w:t>等活动。对新建或规划居民住宅小区，严格按照镇平城市规划用地进行选址，在建设期间必须严格执行国家规定的建筑施工场界噪声标准要求，并合理规划布局停车区域、休闲广场等，合理设置绿化隔离带，尽可能减少噪声对小区居民的影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（3）加强绿化工作，扩大绿化面积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充分利用道路两旁、河流两岸、建筑物周围、公共娱乐场所等空隙地带，种植花草树木，既能美化环境、净化空气，又可达到防尘降噪的目的。按照城市总规要求，新建、扩建、改造中心城区公园绿地，在城市建设用地内沿铁路两侧、高速公路及一般公路两侧设置道路防护绿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（4）加强重点区域噪声污染防治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加强对敏感区域噪声污染监管，对超标的行政片区部分点位加强重点监管，在例行监测的基础上开展执法性噪声环境监测，确定具体的生活噪声源，加强监管确保声环境质量不断提升。</w:t>
      </w:r>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交通噪声防治措施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交通噪声源是城区环境噪声污染的主要来源之一，且交通噪声源的声级较高，现状监测结果看，交通噪声超标率较高，需加强区域内交通噪声源的监管，确保声环境满足功能区需要。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（1）加快区域路网建设，改善道路设施状况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城市总规中心城区道路建设规划为依据，加快中心城区道路设施建设、改造，完善道路交通网络。结合城市发展建设，以规划为依据，推进中心城区主干道建设；加快推进中心城区内环线、外环线道路建设，缓解城区车流量。在道路新建、改造时，铺装低噪声路面，并按规划实施道路绿化，城区内沿线铁路两侧、高速公路两侧、一般公路两侧设置道路防护绿化隔离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（2）加强道路交通管理，控制交通噪声污染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交通管理部门应对现有的限速、禁鸣喇叭、人车分流路段加强管理，新增限速、禁鸣喇叭、人车分流路线，严格规定大型车、载重汽车和高噪声车辆的行驶时间和路线。严禁拖拉机、载客三轮摩托车进入中心城区。加强对道路交通噪声声级较大的路段进行监管，实施限速、大型车绕行等措施改善道路交通声环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心城区新建道路在经过已有的噪声敏感建筑物集中区域时，应当采取有效的噪声污染防治措施。在规划设计方案、工程设计方案、初步设计中未确定有效噪声污染防治措施的新建、改建、扩建的城市道路建设项目，规划部门不予办理规划许可证。尤其在建设规划铁路、高速公路时，靠近居住区、文教区等敏感区域，应充分考虑与敏感建筑物的噪声防护距离，严格按照规划建设绿化隔离带。在已有的道路两侧建设噪声敏感建筑物的，建设单位应当按照国家规定，采取传播途径控制、建筑隔声防护等措施，以减轻交通噪声对噪声敏感建筑物的影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（3）加强机动车辆管理，减少交通噪声污染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用机动车辆产生的噪声值应当达到国家规定的在用机动车辆噪声限值。在用机动车辆消声器及其他防治噪声污染的设备必须保证正常、有效使用，禁止改装、拆除或闲置。除特种车辆外禁止安装外挂式音响设备。加强车辆年检工作，现有各种机动车辆必须符合国家规定，淘汰老旧黄标车。</w:t>
      </w:r>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工业噪声防治措施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（1）禁止在医疗区、文教科研区、机关办公区、居民住宅区等区域内新建、改建、扩建产生噪声的工业企业，从事机械加工、汽车维修等产生噪声污染的经营活动。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（2）对新建、改建、扩建的建设项目要严格将防治噪声污染纳入环境影响评价和“三同时”内容，环境噪声污染防治设施必须与主体工程同时设计、同时施工、同时投产使用。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产生环境噪声污染的企业事业单位，必须确保防治环境噪声污染的设施正常使用，应当采取有效措施，对设备进行合理布局，采用低噪声设备，改进工艺，减轻环境噪声污染，减少噪声对周围生活环境的影响，达到工业企业厂界环境噪声排放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rPr>
      </w:pPr>
      <w:r>
        <w:rPr>
          <w:rFonts w:hint="eastAsia" w:ascii="仿宋" w:hAnsi="仿宋" w:eastAsia="仿宋" w:cs="仿宋"/>
          <w:sz w:val="28"/>
          <w:szCs w:val="28"/>
          <w:lang w:val="en-US" w:eastAsia="zh-CN"/>
        </w:rPr>
        <w:t>（4）在工业生产中因使用固定的设备造成环境噪声污染的工业企业，须向当地生态环境主管部门申报拥有的造成环境噪声污染的设备和种类、数量以及在正常作业条件下所发出的噪声值和防治环境噪声污染的设施情况，并提供防治噪声污染的技术资料。</w:t>
      </w:r>
    </w:p>
    <w:p>
      <w:pPr>
        <w:keepNext w:val="0"/>
        <w:keepLines w:val="0"/>
        <w:pageBreakBefore w:val="0"/>
        <w:widowControl w:val="0"/>
        <w:numPr>
          <w:ilvl w:val="3"/>
          <w:numId w:val="1"/>
        </w:numPr>
        <w:kinsoku/>
        <w:wordWrap/>
        <w:overflowPunct/>
        <w:topLinePunct w:val="0"/>
        <w:autoSpaceDE/>
        <w:autoSpaceDN/>
        <w:bidi w:val="0"/>
        <w:adjustRightInd/>
        <w:snapToGrid/>
        <w:spacing w:line="360" w:lineRule="auto"/>
        <w:ind w:left="1493" w:leftChars="0" w:hanging="1073" w:firstLineChars="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施工噪声防治措施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施工单位应按程序向相关部门申报施工地点、施工周期、施工方式、使用的设备及物料运输条件等情况。建筑施工单位应自觉的采用低噪声的施工机械，如液压打桩机或采用噪声比较小的振动打桩法和钻孔灌铸法等。水泥搅拌可采取成立水泥搅拌站，集中供给的方式，也可采取其他临时的隔声围护结构或吸声的隔声屏障、隔声罩等。根据施工期噪声的影响大小，调整施工时间，采取各种有效的防噪措施，保证施工作业场地声环境符合国家标准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（2）城建监督部门应加强对施工单位的管理工作，深入开展环境保护知识的宣传教育，提高施工作业人员的环保意识。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（3）加强对各施工现场的环境管理，加强巡查、通过抽查、暗访、突击检查等方式控制施工噪声的污染，对居民集中居住的区域，可采取强制性措施，如禁止夜间及午间打桩，禁止夜间进行产生环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境噪声污染的建筑施工作业。对需要连续作业的工艺也尽量调整在白天进行，需持续到夜间的必须取得相关部门的同意，并通告附近居民。</w:t>
      </w:r>
    </w:p>
    <w:p>
      <w:pPr>
        <w:numPr>
          <w:ilvl w:val="1"/>
          <w:numId w:val="1"/>
        </w:numPr>
        <w:ind w:left="630" w:leftChars="0" w:hanging="630" w:firstLineChars="0"/>
        <w:outlineLvl w:val="1"/>
        <w:rPr>
          <w:rFonts w:hint="eastAsia" w:ascii="仿宋" w:hAnsi="仿宋" w:eastAsia="仿宋" w:cs="仿宋"/>
          <w:b/>
          <w:bCs/>
          <w:sz w:val="28"/>
          <w:szCs w:val="28"/>
          <w:lang w:val="en-US" w:eastAsia="zh-CN"/>
        </w:rPr>
      </w:pPr>
      <w:bookmarkStart w:id="83" w:name="_Toc26081"/>
      <w:bookmarkStart w:id="84" w:name="_Toc2989"/>
      <w:r>
        <w:rPr>
          <w:rFonts w:hint="eastAsia" w:ascii="仿宋" w:hAnsi="仿宋" w:eastAsia="仿宋" w:cs="仿宋"/>
          <w:b/>
          <w:bCs/>
          <w:sz w:val="28"/>
          <w:szCs w:val="28"/>
        </w:rPr>
        <w:t>城市噪声监管建议</w:t>
      </w:r>
      <w:bookmarkEnd w:id="83"/>
      <w:bookmarkEnd w:id="84"/>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85" w:name="_Toc6070"/>
      <w:bookmarkStart w:id="86" w:name="_Toc31833"/>
      <w:r>
        <w:rPr>
          <w:rFonts w:hint="eastAsia" w:ascii="仿宋" w:hAnsi="仿宋" w:eastAsia="仿宋" w:cs="仿宋"/>
          <w:b/>
          <w:bCs/>
          <w:sz w:val="28"/>
          <w:szCs w:val="28"/>
        </w:rPr>
        <w:t>开展噪声达标区创建</w:t>
      </w:r>
      <w:bookmarkEnd w:id="85"/>
      <w:bookmarkEnd w:id="8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在声环境功能区划的基础上，严格按“噪声达标区”要求，开展“噪声达标区”的建设工作，提高声环境质量，保障城市居民正常生活、学习和工作场所的安静。</w:t>
      </w:r>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87" w:name="_Toc26684"/>
      <w:bookmarkStart w:id="88" w:name="_Toc11388"/>
      <w:r>
        <w:rPr>
          <w:rFonts w:hint="eastAsia" w:ascii="仿宋" w:hAnsi="仿宋" w:eastAsia="仿宋" w:cs="仿宋"/>
          <w:b/>
          <w:bCs/>
          <w:sz w:val="28"/>
          <w:szCs w:val="28"/>
        </w:rPr>
        <w:t>加强建设项目审批管理</w:t>
      </w:r>
      <w:bookmarkEnd w:id="87"/>
      <w:bookmarkEnd w:id="8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在声环境功能区划基础上，按照环评等法律法规，对于在1、2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20" w:leftChars="0"/>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类区范围内新建的项目，应严格审批，避免在文教科研、居住设施旁建设噪声污染项目。严格执行“三同时”制度，对技术落后、设备陈旧、噪声设施不完善的项目坚决不予审批。已经验收合格的噪声防治设施加强日常监理，未经生态环境部门同意，不得擅自拆除、闲置或变动，防止出现一边治理、一边产生新的噪声污染源的恶性循环现象。</w:t>
      </w:r>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89" w:name="_Toc5897"/>
      <w:bookmarkStart w:id="90" w:name="_Toc25486"/>
      <w:r>
        <w:rPr>
          <w:rFonts w:hint="eastAsia" w:ascii="仿宋" w:hAnsi="仿宋" w:eastAsia="仿宋" w:cs="仿宋"/>
          <w:b/>
          <w:bCs/>
          <w:sz w:val="28"/>
          <w:szCs w:val="28"/>
        </w:rPr>
        <w:t>完善噪声投诉与处理工作机制</w:t>
      </w:r>
      <w:bookmarkEnd w:id="89"/>
      <w:bookmarkEnd w:id="9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完善环保“12369”、公安“110”、城建“12319”举报热线的噪声污染投诉信息共享机制，对城市社会生活噪声、施工噪声、交通噪声和工业噪声污染扰民进行查处。根据各相关部门权责，制定行之有效的处理办法，让市民不用区分噪声类别，直接与相应监管部门联系，在最短的时间内使问题得到妥善解决。</w:t>
      </w:r>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91" w:name="_Toc9656"/>
      <w:bookmarkStart w:id="92" w:name="_Toc2707"/>
      <w:r>
        <w:rPr>
          <w:rFonts w:hint="eastAsia" w:ascii="仿宋" w:hAnsi="仿宋" w:eastAsia="仿宋" w:cs="仿宋"/>
          <w:b/>
          <w:bCs/>
          <w:sz w:val="28"/>
          <w:szCs w:val="28"/>
        </w:rPr>
        <w:t>加大环境噪声监管力度</w:t>
      </w:r>
      <w:bookmarkEnd w:id="91"/>
      <w:bookmarkEnd w:id="9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贯彻“谁污染，谁治理”原则，进一步完善噪声管理制度，加强相关执法人员的业务培训，加强现场监管，加大巡查和查处的力度和次数。理顺相关职能部门关系、各司其职，开展行之有效的集中联合专项整治；拓宽噪声污染问题巡查范围，主动发现噪声污染源；全面管理和重点管理相结合，针对市民夜间投诉较多和噪声污染较多的路段和区域，加强重点时段和重点区域的管理力度；督促噪声污染行为人有效运用噪声防治的先进技术、设备和设施；严格依照《中华人民共和国环境噪声污染防治法》等法律法规对产生噪声的行为进行处罚，并增强处罚力度，有效地遏制噪声污染的源头和减少噪声对市民生活、工作的影响。</w:t>
      </w:r>
    </w:p>
    <w:p>
      <w:pPr>
        <w:keepNext w:val="0"/>
        <w:keepLines w:val="0"/>
        <w:pageBreakBefore w:val="0"/>
        <w:widowControl w:val="0"/>
        <w:numPr>
          <w:ilvl w:val="2"/>
          <w:numId w:val="1"/>
        </w:numPr>
        <w:kinsoku/>
        <w:wordWrap/>
        <w:overflowPunct/>
        <w:topLinePunct w:val="0"/>
        <w:autoSpaceDE/>
        <w:autoSpaceDN/>
        <w:bidi w:val="0"/>
        <w:adjustRightInd/>
        <w:snapToGrid/>
        <w:spacing w:line="360" w:lineRule="auto"/>
        <w:ind w:left="948" w:leftChars="0" w:hanging="728" w:firstLineChars="0"/>
        <w:textAlignment w:val="auto"/>
        <w:outlineLvl w:val="2"/>
        <w:rPr>
          <w:rFonts w:hint="eastAsia" w:ascii="仿宋" w:hAnsi="仿宋" w:eastAsia="仿宋" w:cs="仿宋"/>
          <w:b/>
          <w:bCs/>
          <w:sz w:val="28"/>
          <w:szCs w:val="28"/>
          <w:lang w:val="en-US" w:eastAsia="zh-CN"/>
        </w:rPr>
      </w:pPr>
      <w:bookmarkStart w:id="93" w:name="_Toc2246"/>
      <w:bookmarkStart w:id="94" w:name="_Toc29654"/>
      <w:r>
        <w:rPr>
          <w:rFonts w:hint="eastAsia" w:ascii="仿宋" w:hAnsi="仿宋" w:eastAsia="仿宋" w:cs="仿宋"/>
          <w:b/>
          <w:bCs/>
          <w:sz w:val="28"/>
          <w:szCs w:val="28"/>
        </w:rPr>
        <w:t>加强城区声环境监测</w:t>
      </w:r>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加强镇平县环境监测站声环境监测能力建设，加快完善监测站设备安装和监测人员安排及监测人员技术业务培训，设置专职人员进行声环境监管，保障环境监测站开展本区域内的声环境常规监测和应急监测工作；推动中心城区环境噪声自动监测站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根据《环境噪声监测技术规范 城市声环境常规监测》（HJ640-2012）、《声环境质量标准》（GB 3096-2008）等技术规范要求，结合本次声环境功能区划，制订声环境监测方案，定期开展区域声环境、道路交通声环境、功能区声环境监测工作。</w:t>
      </w:r>
    </w:p>
    <w:p>
      <w:pPr>
        <w:keepNext w:val="0"/>
        <w:keepLines w:val="0"/>
        <w:pageBreakBefore w:val="0"/>
        <w:widowControl w:val="0"/>
        <w:numPr>
          <w:ilvl w:val="1"/>
          <w:numId w:val="1"/>
        </w:numPr>
        <w:kinsoku/>
        <w:wordWrap/>
        <w:overflowPunct/>
        <w:topLinePunct w:val="0"/>
        <w:autoSpaceDE/>
        <w:autoSpaceDN/>
        <w:bidi w:val="0"/>
        <w:adjustRightInd/>
        <w:snapToGrid/>
        <w:spacing w:line="360" w:lineRule="auto"/>
        <w:ind w:left="630" w:leftChars="0" w:hanging="630" w:firstLineChars="0"/>
        <w:textAlignment w:val="auto"/>
        <w:outlineLvl w:val="1"/>
        <w:rPr>
          <w:rFonts w:hint="eastAsia" w:ascii="仿宋" w:hAnsi="仿宋" w:eastAsia="仿宋" w:cs="仿宋"/>
          <w:b/>
          <w:bCs/>
          <w:sz w:val="28"/>
          <w:szCs w:val="28"/>
          <w:lang w:val="en-US" w:eastAsia="zh-CN"/>
        </w:rPr>
      </w:pPr>
      <w:bookmarkStart w:id="95" w:name="_Toc14806"/>
      <w:bookmarkStart w:id="96" w:name="_Toc11119"/>
      <w:r>
        <w:rPr>
          <w:rFonts w:hint="eastAsia" w:ascii="仿宋" w:hAnsi="仿宋" w:eastAsia="仿宋" w:cs="仿宋"/>
          <w:b/>
          <w:bCs/>
          <w:sz w:val="28"/>
          <w:szCs w:val="28"/>
        </w:rPr>
        <w:t>其他建议</w:t>
      </w:r>
      <w:bookmarkEnd w:id="95"/>
      <w:bookmarkEnd w:id="9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（1）以后的城市规划及旧城改造中，加宽道路，在交通拥挤的交叉路口，设立交桥，道路旁选择适当的树种进行绿化。</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（2）在今后城市规划和总体设计时，对各种交通干线和噪声源进行合理布局，一些要求安静的区域，如医院、学校、办公楼等，应与交通干线和工业区保持一定的距离，以利用环境的自然衰减来降低噪声。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（3）各种交通枢纽和大型公共场所应尽量建在城市边缘，或远离要求安静的区域。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（4）建立噪声达标区，按照城市环境整治定量考核要求，建立噪声达标区，并制定管理规章。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（5）根据城市规模和用地变化情况，噪声区划可适时调整，原则上不超过5年调整一次。</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pPr>
        <w:pStyle w:val="2"/>
        <w:ind w:left="0" w:leftChars="-200" w:hanging="420" w:hangingChars="150"/>
        <w:rPr>
          <w:rFonts w:hint="eastAsia"/>
          <w:lang w:val="en-US" w:eastAsia="zh-CN"/>
        </w:rPr>
      </w:pPr>
      <w:r>
        <w:rPr>
          <w:rFonts w:hint="eastAsia"/>
          <w:lang w:val="en-US" w:eastAsia="zh-CN"/>
        </w:rPr>
        <w:drawing>
          <wp:inline distT="0" distB="0" distL="114300" distR="114300">
            <wp:extent cx="8655050" cy="6120130"/>
            <wp:effectExtent l="0" t="0" r="6350" b="1270"/>
            <wp:docPr id="5" name="图片 5" descr="声环境功能区划分图（2022-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声环境功能区划分图（2022-2027）"/>
                    <pic:cNvPicPr>
                      <a:picLocks noChangeAspect="1"/>
                    </pic:cNvPicPr>
                  </pic:nvPicPr>
                  <pic:blipFill>
                    <a:blip r:embed="rId11"/>
                    <a:stretch>
                      <a:fillRect/>
                    </a:stretch>
                  </pic:blipFill>
                  <pic:spPr>
                    <a:xfrm rot="16200000">
                      <a:off x="0" y="0"/>
                      <a:ext cx="8655050" cy="6120130"/>
                    </a:xfrm>
                    <a:prstGeom prst="rect">
                      <a:avLst/>
                    </a:prstGeom>
                  </pic:spPr>
                </pic:pic>
              </a:graphicData>
            </a:graphic>
          </wp:inline>
        </w:drawing>
      </w:r>
    </w:p>
    <w:p>
      <w:pPr>
        <w:pStyle w:val="2"/>
        <w:ind w:left="-420" w:leftChars="-200" w:firstLine="0" w:firstLineChars="0"/>
        <w:rPr>
          <w:rFonts w:hint="eastAsia"/>
          <w:lang w:val="en-US" w:eastAsia="zh-CN"/>
        </w:rPr>
      </w:pPr>
      <w:r>
        <w:rPr>
          <w:rFonts w:hint="eastAsia"/>
          <w:lang w:val="en-US" w:eastAsia="zh-CN"/>
        </w:rPr>
        <w:drawing>
          <wp:inline distT="0" distB="0" distL="114300" distR="114300">
            <wp:extent cx="8655050" cy="6120130"/>
            <wp:effectExtent l="0" t="0" r="6350" b="1270"/>
            <wp:docPr id="6" name="图片 6" descr="02-县域城乡空间布局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县域城乡空间布局现状图"/>
                    <pic:cNvPicPr>
                      <a:picLocks noChangeAspect="1"/>
                    </pic:cNvPicPr>
                  </pic:nvPicPr>
                  <pic:blipFill>
                    <a:blip r:embed="rId12"/>
                    <a:stretch>
                      <a:fillRect/>
                    </a:stretch>
                  </pic:blipFill>
                  <pic:spPr>
                    <a:xfrm rot="5400000">
                      <a:off x="0" y="0"/>
                      <a:ext cx="8655050" cy="6120130"/>
                    </a:xfrm>
                    <a:prstGeom prst="rect">
                      <a:avLst/>
                    </a:prstGeom>
                  </pic:spPr>
                </pic:pic>
              </a:graphicData>
            </a:graphic>
          </wp:inline>
        </w:drawing>
      </w:r>
      <w:r>
        <w:rPr>
          <w:rFonts w:hint="eastAsia"/>
          <w:lang w:val="en-US" w:eastAsia="zh-CN"/>
        </w:rPr>
        <w:drawing>
          <wp:inline distT="0" distB="0" distL="114300" distR="114300">
            <wp:extent cx="8655050" cy="6120130"/>
            <wp:effectExtent l="0" t="0" r="6350" b="1270"/>
            <wp:docPr id="13" name="图片 13" descr="29-中心城区道路系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9-中心城区道路系统规划图"/>
                    <pic:cNvPicPr>
                      <a:picLocks noChangeAspect="1"/>
                    </pic:cNvPicPr>
                  </pic:nvPicPr>
                  <pic:blipFill>
                    <a:blip r:embed="rId13"/>
                    <a:stretch>
                      <a:fillRect/>
                    </a:stretch>
                  </pic:blipFill>
                  <pic:spPr>
                    <a:xfrm rot="16200000">
                      <a:off x="0" y="0"/>
                      <a:ext cx="8655050" cy="6120130"/>
                    </a:xfrm>
                    <a:prstGeom prst="rect">
                      <a:avLst/>
                    </a:prstGeom>
                  </pic:spPr>
                </pic:pic>
              </a:graphicData>
            </a:graphic>
          </wp:inline>
        </w:drawing>
      </w:r>
      <w:r>
        <w:rPr>
          <w:rFonts w:hint="eastAsia"/>
          <w:lang w:val="en-US" w:eastAsia="zh-CN"/>
        </w:rPr>
        <w:drawing>
          <wp:inline distT="0" distB="0" distL="114300" distR="114300">
            <wp:extent cx="8655050" cy="6120130"/>
            <wp:effectExtent l="0" t="0" r="6350" b="1270"/>
            <wp:docPr id="8" name="图片 8" descr="04-县域城乡综合交通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县域城乡综合交通现状图"/>
                    <pic:cNvPicPr>
                      <a:picLocks noChangeAspect="1"/>
                    </pic:cNvPicPr>
                  </pic:nvPicPr>
                  <pic:blipFill>
                    <a:blip r:embed="rId14"/>
                    <a:stretch>
                      <a:fillRect/>
                    </a:stretch>
                  </pic:blipFill>
                  <pic:spPr>
                    <a:xfrm rot="5400000">
                      <a:off x="0" y="0"/>
                      <a:ext cx="8655050" cy="6120130"/>
                    </a:xfrm>
                    <a:prstGeom prst="rect">
                      <a:avLst/>
                    </a:prstGeom>
                  </pic:spPr>
                </pic:pic>
              </a:graphicData>
            </a:graphic>
          </wp:inline>
        </w:drawing>
      </w:r>
    </w:p>
    <w:p>
      <w:pPr>
        <w:pStyle w:val="2"/>
        <w:ind w:left="-420" w:leftChars="-200" w:firstLine="0" w:firstLineChars="0"/>
        <w:rPr>
          <w:rFonts w:hint="eastAsia"/>
          <w:lang w:val="en-US" w:eastAsia="zh-CN"/>
        </w:rPr>
      </w:pPr>
      <w:r>
        <w:rPr>
          <w:rFonts w:hint="eastAsia"/>
          <w:lang w:val="en-US" w:eastAsia="zh-CN"/>
        </w:rPr>
        <w:drawing>
          <wp:inline distT="0" distB="0" distL="114300" distR="114300">
            <wp:extent cx="8655050" cy="6120130"/>
            <wp:effectExtent l="0" t="0" r="6350" b="1270"/>
            <wp:docPr id="9" name="图片 9" descr="48-中心城区近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8-中心城区近期规划图"/>
                    <pic:cNvPicPr>
                      <a:picLocks noChangeAspect="1"/>
                    </pic:cNvPicPr>
                  </pic:nvPicPr>
                  <pic:blipFill>
                    <a:blip r:embed="rId15"/>
                    <a:stretch>
                      <a:fillRect/>
                    </a:stretch>
                  </pic:blipFill>
                  <pic:spPr>
                    <a:xfrm rot="16200000">
                      <a:off x="0" y="0"/>
                      <a:ext cx="8655050" cy="6120130"/>
                    </a:xfrm>
                    <a:prstGeom prst="rect">
                      <a:avLst/>
                    </a:prstGeom>
                  </pic:spPr>
                </pic:pic>
              </a:graphicData>
            </a:graphic>
          </wp:inline>
        </w:drawing>
      </w:r>
      <w:r>
        <w:rPr>
          <w:rFonts w:hint="eastAsia"/>
          <w:lang w:val="en-US" w:eastAsia="zh-CN"/>
        </w:rPr>
        <w:drawing>
          <wp:inline distT="0" distB="0" distL="114300" distR="114300">
            <wp:extent cx="8655050" cy="6120130"/>
            <wp:effectExtent l="0" t="0" r="6350" b="1270"/>
            <wp:docPr id="10" name="图片 10" descr="50-中心城区远景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0-中心城区远景用地规划图"/>
                    <pic:cNvPicPr>
                      <a:picLocks noChangeAspect="1"/>
                    </pic:cNvPicPr>
                  </pic:nvPicPr>
                  <pic:blipFill>
                    <a:blip r:embed="rId16"/>
                    <a:stretch>
                      <a:fillRect/>
                    </a:stretch>
                  </pic:blipFill>
                  <pic:spPr>
                    <a:xfrm rot="16200000">
                      <a:off x="0" y="0"/>
                      <a:ext cx="8655050" cy="6120130"/>
                    </a:xfrm>
                    <a:prstGeom prst="rect">
                      <a:avLst/>
                    </a:prstGeom>
                  </pic:spPr>
                </pic:pic>
              </a:graphicData>
            </a:graphic>
          </wp:inline>
        </w:drawing>
      </w:r>
      <w:r>
        <w:rPr>
          <w:rFonts w:hint="eastAsia"/>
          <w:lang w:val="en-US" w:eastAsia="zh-CN"/>
        </w:rPr>
        <w:drawing>
          <wp:inline distT="0" distB="0" distL="114300" distR="114300">
            <wp:extent cx="8655050" cy="6120130"/>
            <wp:effectExtent l="0" t="0" r="6350" b="1270"/>
            <wp:docPr id="18" name="图片 18" descr="45-中心城区城市设计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5-中心城区城市设计结构图"/>
                    <pic:cNvPicPr>
                      <a:picLocks noChangeAspect="1"/>
                    </pic:cNvPicPr>
                  </pic:nvPicPr>
                  <pic:blipFill>
                    <a:blip r:embed="rId17"/>
                    <a:stretch>
                      <a:fillRect/>
                    </a:stretch>
                  </pic:blipFill>
                  <pic:spPr>
                    <a:xfrm rot="16200000">
                      <a:off x="0" y="0"/>
                      <a:ext cx="8655050" cy="6120130"/>
                    </a:xfrm>
                    <a:prstGeom prst="rect">
                      <a:avLst/>
                    </a:prstGeom>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0000000000000000000"/>
    <w:charset w:val="86"/>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center"/>
      <w:rPr>
        <w:rFonts w:hint="default" w:eastAsiaTheme="minorEastAsia"/>
        <w:sz w:val="21"/>
        <w:szCs w:val="21"/>
        <w:lang w:val="en-US" w:eastAsia="zh-CN"/>
      </w:rPr>
    </w:pPr>
    <w:r>
      <w:rPr>
        <w:rFonts w:hint="eastAsia"/>
        <w:sz w:val="21"/>
        <w:szCs w:val="21"/>
        <w:lang w:val="en-US" w:eastAsia="zh-CN"/>
      </w:rPr>
      <w:t>镇平县城市区域声环境功能区划分技术报告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86767"/>
    <w:multiLevelType w:val="multilevel"/>
    <w:tmpl w:val="26F86767"/>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032961"/>
    <w:rsid w:val="03032961"/>
    <w:rsid w:val="052870D9"/>
    <w:rsid w:val="0A0B6E9F"/>
    <w:rsid w:val="1F9463AD"/>
    <w:rsid w:val="22763FD6"/>
    <w:rsid w:val="241B031E"/>
    <w:rsid w:val="247E6D85"/>
    <w:rsid w:val="28DB1DD8"/>
    <w:rsid w:val="2F9C782C"/>
    <w:rsid w:val="37F63E2A"/>
    <w:rsid w:val="3E14715A"/>
    <w:rsid w:val="42B10978"/>
    <w:rsid w:val="4DA561B8"/>
    <w:rsid w:val="57614D6A"/>
    <w:rsid w:val="57E201A8"/>
    <w:rsid w:val="664701F6"/>
    <w:rsid w:val="6ABE48AD"/>
    <w:rsid w:val="769070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4"/>
    <w:basedOn w:val="1"/>
    <w:next w:val="1"/>
    <w:unhideWhenUsed/>
    <w:qFormat/>
    <w:uiPriority w:val="0"/>
    <w:pPr>
      <w:keepNext/>
      <w:keepLines/>
      <w:spacing w:before="50" w:after="50"/>
      <w:outlineLvl w:val="3"/>
    </w:pPr>
    <w:rPr>
      <w:rFonts w:ascii="黑体" w:hAnsi="黑体" w:eastAsia="黑体" w:cstheme="majorBidi"/>
      <w:bCs/>
      <w:szCs w:val="28"/>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报告正文"/>
    <w:basedOn w:val="1"/>
    <w:qFormat/>
    <w:uiPriority w:val="0"/>
    <w:pPr>
      <w:snapToGrid w:val="0"/>
      <w:spacing w:line="360" w:lineRule="auto"/>
      <w:ind w:firstLine="560" w:firstLineChars="200"/>
    </w:pPr>
    <w:rPr>
      <w:rFonts w:eastAsia="仿宋"/>
      <w:kern w:val="0"/>
      <w:sz w:val="28"/>
      <w:szCs w:val="28"/>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WPSOffice手动目录 1"/>
    <w:qFormat/>
    <w:uiPriority w:val="0"/>
    <w:pPr>
      <w:ind w:leftChars="0"/>
    </w:pPr>
    <w:rPr>
      <w:rFonts w:ascii="Times New Roman" w:hAnsi="Times New Roman" w:eastAsia="Arial Unicode MS" w:cs="Times New Roman"/>
      <w:sz w:val="20"/>
      <w:szCs w:val="20"/>
    </w:rPr>
  </w:style>
  <w:style w:type="paragraph" w:customStyle="1" w:styleId="13">
    <w:name w:val="WPSOffice手动目录 2"/>
    <w:qFormat/>
    <w:uiPriority w:val="0"/>
    <w:pPr>
      <w:ind w:leftChars="200"/>
    </w:pPr>
    <w:rPr>
      <w:rFonts w:ascii="Times New Roman" w:hAnsi="Times New Roman" w:eastAsia="Arial Unicode MS" w:cs="Times New Roman"/>
      <w:sz w:val="20"/>
      <w:szCs w:val="20"/>
    </w:rPr>
  </w:style>
  <w:style w:type="paragraph" w:customStyle="1" w:styleId="14">
    <w:name w:val="表样式"/>
    <w:basedOn w:val="1"/>
    <w:qFormat/>
    <w:uiPriority w:val="0"/>
    <w:pPr>
      <w:widowControl/>
      <w:jc w:val="center"/>
    </w:pPr>
    <w:rPr>
      <w:rFonts w:ascii="宋体"/>
      <w:szCs w:val="21"/>
    </w:rPr>
  </w:style>
  <w:style w:type="paragraph" w:customStyle="1" w:styleId="15">
    <w:name w:val="表头名"/>
    <w:qFormat/>
    <w:uiPriority w:val="0"/>
    <w:pPr>
      <w:jc w:val="center"/>
    </w:pPr>
    <w:rPr>
      <w:rFonts w:ascii="宋体" w:hAnsi="Times New Roman" w:eastAsia="宋体" w:cs="Times New Roman"/>
      <w:kern w:val="2"/>
      <w:sz w:val="21"/>
      <w:szCs w:val="20"/>
      <w:lang w:val="en-US" w:eastAsia="zh-CN" w:bidi="ar-SA"/>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71</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2022-12-10T08:44:00Z</dcterms:created>
  <dc:creator>Administrator</dc:creator>
  <cp:lastModifiedBy>Administrator</cp:lastModifiedBy>
  <dcterms:modified xsi:type="dcterms:W3CDTF">2022-12-21T06:57:13Z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8D8AD34FDAEB4B979557A28EB5613C7E</vt:lpwstr>
  </property>
</Properties>
</file>