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附件2：</w:t>
      </w:r>
    </w:p>
    <w:p>
      <w:pPr>
        <w:widowControl w:val="0"/>
        <w:wordWrap/>
        <w:autoSpaceDN w:val="0"/>
        <w:adjustRightInd/>
        <w:snapToGrid/>
        <w:spacing w:before="0" w:after="0" w:line="700" w:lineRule="exact"/>
        <w:ind w:left="0" w:leftChars="0" w:right="0" w:firstLine="0" w:firstLineChars="0"/>
        <w:jc w:val="center"/>
        <w:textAlignment w:val="center"/>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b w:val="0"/>
          <w:i w:val="0"/>
          <w:color w:val="000000"/>
          <w:sz w:val="44"/>
          <w:szCs w:val="44"/>
          <w:u w:val="none"/>
          <w:lang w:eastAsia="zh-CN"/>
        </w:rPr>
        <w:t>镇平县文化广电和旅游</w:t>
      </w:r>
      <w:r>
        <w:rPr>
          <w:rFonts w:hint="eastAsia" w:ascii="方正小标宋_GBK" w:hAnsi="方正小标宋_GBK" w:eastAsia="方正小标宋_GBK" w:cs="方正小标宋_GBK"/>
          <w:b w:val="0"/>
          <w:i w:val="0"/>
          <w:color w:val="000000"/>
          <w:sz w:val="44"/>
          <w:szCs w:val="44"/>
          <w:u w:val="none"/>
          <w:lang w:val="en-US" w:eastAsia="zh-CN"/>
        </w:rPr>
        <w:t>局</w:t>
      </w:r>
      <w:r>
        <w:rPr>
          <w:rFonts w:hint="eastAsia" w:ascii="方正小标宋_GBK" w:hAnsi="方正小标宋_GBK" w:eastAsia="方正小标宋_GBK" w:cs="方正小标宋_GBK"/>
          <w:sz w:val="44"/>
          <w:szCs w:val="44"/>
          <w:lang w:eastAsia="zh-CN"/>
        </w:rPr>
        <w:t>权责清单拟调整情况表</w:t>
      </w:r>
    </w:p>
    <w:p>
      <w:pPr>
        <w:pStyle w:val="6"/>
        <w:widowControl w:val="0"/>
        <w:wordWrap/>
        <w:adjustRightInd/>
        <w:snapToGrid/>
        <w:spacing w:before="0" w:after="0" w:line="400" w:lineRule="exact"/>
        <w:ind w:left="0" w:leftChars="0" w:right="0" w:firstLine="0" w:firstLineChars="0"/>
        <w:jc w:val="both"/>
        <w:textAlignment w:val="auto"/>
        <w:outlineLvl w:val="9"/>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部门负责人签字：</w:t>
      </w:r>
    </w:p>
    <w:p>
      <w:pPr>
        <w:pStyle w:val="6"/>
        <w:widowControl w:val="0"/>
        <w:wordWrap/>
        <w:adjustRightInd/>
        <w:snapToGrid/>
        <w:spacing w:before="0" w:after="0" w:line="400" w:lineRule="exact"/>
        <w:ind w:left="0" w:leftChars="0" w:right="0" w:firstLine="0" w:firstLineChars="0"/>
        <w:jc w:val="both"/>
        <w:textAlignment w:val="auto"/>
        <w:outlineLvl w:val="9"/>
        <w:rPr>
          <w:rFonts w:hint="eastAsia" w:ascii="黑体" w:hAnsi="黑体" w:eastAsia="黑体" w:cs="黑体"/>
          <w:b w:val="0"/>
          <w:i w:val="0"/>
          <w:color w:val="000000"/>
          <w:sz w:val="32"/>
          <w:szCs w:val="32"/>
          <w:u w:val="none"/>
          <w:lang w:eastAsia="zh-CN"/>
        </w:rPr>
      </w:pPr>
      <w:r>
        <w:rPr>
          <w:rFonts w:hint="default" w:ascii="宋体" w:hAnsi="宋体" w:eastAsia="宋体"/>
          <w:b w:val="0"/>
          <w:i w:val="0"/>
          <w:color w:val="000000"/>
          <w:sz w:val="22"/>
          <w:u w:val="none"/>
          <w:lang w:eastAsia="zh-CN"/>
        </w:rPr>
        <w:t>部门名称：（盖章）</w:t>
      </w:r>
    </w:p>
    <w:tbl>
      <w:tblPr>
        <w:tblStyle w:val="10"/>
        <w:tblW w:w="140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667"/>
        <w:gridCol w:w="1928"/>
        <w:gridCol w:w="7306"/>
        <w:gridCol w:w="1057"/>
        <w:gridCol w:w="1059"/>
        <w:gridCol w:w="907"/>
        <w:gridCol w:w="10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0"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lang w:eastAsia="zh-CN"/>
              </w:rPr>
            </w:pPr>
          </w:p>
          <w:p>
            <w:pPr>
              <w:pStyle w:val="6"/>
              <w:rPr>
                <w:rFonts w:hint="eastAsia"/>
                <w:lang w:eastAsia="zh-CN"/>
              </w:rPr>
            </w:pP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项目名称</w:t>
            </w:r>
          </w:p>
        </w:tc>
        <w:tc>
          <w:tcPr>
            <w:tcW w:w="7306"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设定依据</w:t>
            </w:r>
          </w:p>
        </w:tc>
        <w:tc>
          <w:tcPr>
            <w:tcW w:w="105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职权</w:t>
            </w:r>
          </w:p>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类别</w:t>
            </w:r>
          </w:p>
        </w:tc>
        <w:tc>
          <w:tcPr>
            <w:tcW w:w="1059"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责任</w:t>
            </w:r>
          </w:p>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股室</w:t>
            </w:r>
          </w:p>
        </w:tc>
        <w:tc>
          <w:tcPr>
            <w:tcW w:w="907"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拟调整情况</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400" w:lineRule="exact"/>
              <w:ind w:left="0" w:leftChars="0" w:right="0" w:firstLine="0" w:firstLineChars="0"/>
              <w:jc w:val="center"/>
              <w:textAlignment w:val="center"/>
              <w:outlineLvl w:val="9"/>
              <w:rPr>
                <w:rFonts w:hint="eastAsia" w:ascii="黑体" w:hAnsi="黑体" w:eastAsia="黑体" w:cs="黑体"/>
                <w:b/>
                <w:i w:val="0"/>
                <w:color w:val="000000"/>
                <w:sz w:val="24"/>
                <w:szCs w:val="24"/>
                <w:u w:val="none"/>
                <w:lang w:eastAsia="zh-CN"/>
              </w:rPr>
            </w:pPr>
            <w:r>
              <w:rPr>
                <w:rFonts w:hint="eastAsia" w:ascii="黑体" w:hAnsi="黑体" w:eastAsia="黑体" w:cs="黑体"/>
                <w:b/>
                <w:i w:val="0"/>
                <w:color w:val="000000"/>
                <w:sz w:val="24"/>
                <w:szCs w:val="24"/>
                <w:u w:val="none"/>
                <w:lang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1</w:t>
            </w:r>
          </w:p>
        </w:tc>
        <w:tc>
          <w:tcPr>
            <w:tcW w:w="19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snapToGrid w:val="0"/>
                <w:color w:val="000000"/>
                <w:kern w:val="0"/>
                <w:sz w:val="21"/>
                <w:szCs w:val="21"/>
                <w:lang w:val="en-US" w:eastAsia="zh-CN" w:bidi="ar"/>
              </w:rPr>
              <w:t>导游证核发</w:t>
            </w:r>
          </w:p>
        </w:tc>
        <w:tc>
          <w:tcPr>
            <w:tcW w:w="7306"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widowControl w:val="0"/>
              <w:shd w:val="clear" w:color="auto" w:fill="auto"/>
              <w:bidi w:val="0"/>
              <w:spacing w:before="0" w:after="0" w:line="240" w:lineRule="auto"/>
              <w:ind w:left="0" w:right="0" w:firstLine="420" w:firstLineChars="200"/>
              <w:jc w:val="left"/>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rPr>
              <w:t>《中华人民共和国旅游法》（2013年4月25日主席令第3号）第三十七条：参加导游资格考试成绩合格，与旅行社订立劳动合同或者在相关旅游行业组织注册的人员，可以申请取得导游证。</w:t>
            </w:r>
          </w:p>
          <w:p>
            <w:pPr>
              <w:autoSpaceDN w:val="0"/>
              <w:jc w:val="both"/>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bCs w:val="0"/>
                <w:i w:val="0"/>
                <w:iCs w:val="0"/>
                <w:smallCaps w:val="0"/>
                <w:strike w:val="0"/>
                <w:color w:val="auto"/>
                <w:spacing w:val="0"/>
                <w:w w:val="100"/>
                <w:position w:val="0"/>
                <w:sz w:val="21"/>
                <w:szCs w:val="21"/>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行政许可</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旅游事业股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2</w:t>
            </w:r>
          </w:p>
        </w:tc>
        <w:tc>
          <w:tcPr>
            <w:tcW w:w="19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snapToGrid w:val="0"/>
                <w:color w:val="000000"/>
                <w:kern w:val="0"/>
                <w:sz w:val="21"/>
                <w:szCs w:val="21"/>
                <w:lang w:val="en-US" w:eastAsia="zh-CN" w:bidi="ar"/>
              </w:rPr>
              <w:t>导游证补发</w:t>
            </w:r>
          </w:p>
        </w:tc>
        <w:tc>
          <w:tcPr>
            <w:tcW w:w="7306" w:type="dxa"/>
            <w:tcBorders>
              <w:top w:val="single" w:color="000000" w:sz="4" w:space="0"/>
              <w:left w:val="single" w:color="000000" w:sz="4" w:space="0"/>
              <w:bottom w:val="single" w:color="000000" w:sz="4" w:space="0"/>
              <w:right w:val="single" w:color="000000" w:sz="4" w:space="0"/>
            </w:tcBorders>
            <w:vAlign w:val="center"/>
          </w:tcPr>
          <w:p>
            <w:pPr>
              <w:pStyle w:val="20"/>
              <w:keepNext w:val="0"/>
              <w:keepLines w:val="0"/>
              <w:widowControl w:val="0"/>
              <w:shd w:val="clear" w:color="auto" w:fill="auto"/>
              <w:bidi w:val="0"/>
              <w:spacing w:before="0" w:after="0" w:line="240" w:lineRule="auto"/>
              <w:ind w:left="0" w:leftChars="0" w:right="0" w:rightChars="0" w:firstLine="420" w:firstLineChars="200"/>
              <w:jc w:val="left"/>
              <w:rPr>
                <w:rFonts w:hint="eastAsia" w:ascii="宋体" w:hAnsi="宋体" w:eastAsia="宋体" w:cs="宋体"/>
                <w:b w:val="0"/>
                <w:bCs w:val="0"/>
                <w:i w:val="0"/>
                <w:iCs w:val="0"/>
                <w:smallCaps w:val="0"/>
                <w:strike w:val="0"/>
                <w:color w:val="auto"/>
                <w:spacing w:val="0"/>
                <w:w w:val="100"/>
                <w:position w:val="0"/>
                <w:sz w:val="21"/>
                <w:szCs w:val="21"/>
              </w:rPr>
            </w:pPr>
            <w:r>
              <w:rPr>
                <w:rFonts w:hint="eastAsia" w:ascii="宋体" w:hAnsi="宋体" w:eastAsia="宋体" w:cs="宋体"/>
                <w:b w:val="0"/>
                <w:bCs w:val="0"/>
                <w:i w:val="0"/>
                <w:iCs w:val="0"/>
                <w:smallCaps w:val="0"/>
                <w:strike w:val="0"/>
                <w:color w:val="auto"/>
                <w:spacing w:val="0"/>
                <w:w w:val="100"/>
                <w:position w:val="0"/>
                <w:sz w:val="21"/>
                <w:szCs w:val="21"/>
              </w:rPr>
              <w:t>《中华人民共和国旅游法》（2013年4月25日主席令第3号）第三十七条：参加导游资格考试成绩合格，与旅行社订立劳动合同或者在相关旅游行业组织注册的人员，可以申请取得导游证。</w:t>
            </w:r>
          </w:p>
          <w:p>
            <w:pPr>
              <w:autoSpaceDN w:val="0"/>
              <w:jc w:val="both"/>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bCs w:val="0"/>
                <w:i w:val="0"/>
                <w:iCs w:val="0"/>
                <w:smallCaps w:val="0"/>
                <w:strike w:val="0"/>
                <w:color w:val="auto"/>
                <w:spacing w:val="0"/>
                <w:w w:val="100"/>
                <w:position w:val="0"/>
                <w:sz w:val="21"/>
                <w:szCs w:val="21"/>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行政许可</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旅游事业股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3</w:t>
            </w:r>
          </w:p>
        </w:tc>
        <w:tc>
          <w:tcPr>
            <w:tcW w:w="19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color w:val="454243"/>
                <w:spacing w:val="0"/>
                <w:w w:val="100"/>
                <w:position w:val="0"/>
                <w:sz w:val="21"/>
                <w:szCs w:val="21"/>
                <w:lang w:val="en-US" w:eastAsia="zh-CN"/>
              </w:rPr>
              <w:t>导游证换发</w:t>
            </w:r>
          </w:p>
        </w:tc>
        <w:tc>
          <w:tcPr>
            <w:tcW w:w="7306" w:type="dxa"/>
            <w:tcBorders>
              <w:top w:val="single" w:color="000000" w:sz="4" w:space="0"/>
              <w:left w:val="single" w:color="000000" w:sz="4" w:space="0"/>
              <w:bottom w:val="single" w:color="000000" w:sz="4" w:space="0"/>
              <w:right w:val="single" w:color="000000" w:sz="4" w:space="0"/>
            </w:tcBorders>
            <w:vAlign w:val="center"/>
          </w:tcPr>
          <w:p>
            <w:pPr>
              <w:ind w:firstLine="420" w:firstLineChars="200"/>
              <w:rPr>
                <w:rFonts w:hint="eastAsia" w:ascii="宋体" w:hAnsi="宋体" w:eastAsia="宋体" w:cs="宋体"/>
                <w:sz w:val="21"/>
                <w:szCs w:val="21"/>
              </w:rPr>
            </w:pPr>
            <w:r>
              <w:rPr>
                <w:rFonts w:hint="eastAsia" w:ascii="宋体" w:hAnsi="宋体" w:eastAsia="宋体" w:cs="宋体"/>
                <w:sz w:val="21"/>
                <w:szCs w:val="21"/>
              </w:rPr>
              <w:t>《中华人民共和国旅游法》（2013年4月25日主席令第3号）第三十七条：参加导游资格考试成绩合格，与旅行社订立劳动合同或者在相关旅游行业组织注册的人员，可以申请取得导游证。</w:t>
            </w:r>
          </w:p>
          <w:p>
            <w:pPr>
              <w:autoSpaceDN w:val="0"/>
              <w:jc w:val="both"/>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sz w:val="21"/>
                <w:szCs w:val="21"/>
              </w:rPr>
              <w:t>《导游人员管理条例》（1999年5月14日国务院令第263号）第四条：取得导游人员资格证书的，经与旅行社订立劳动合同或者在导游服务公司登记，方可持所订立的劳动合同或者登记证明材料，向省、自治区、直辖市人民政府旅游行政部门申请领取导游证。</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行政许可</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旅游事业股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val="en-US" w:eastAsia="zh-CN"/>
              </w:rPr>
            </w:pPr>
            <w:r>
              <w:rPr>
                <w:rFonts w:hint="eastAsia" w:ascii="宋体" w:hAnsi="宋体" w:eastAsia="宋体" w:cs="宋体"/>
                <w:b w:val="0"/>
                <w:i w:val="0"/>
                <w:color w:val="000000"/>
                <w:sz w:val="21"/>
                <w:szCs w:val="21"/>
                <w:u w:val="none"/>
                <w:lang w:val="en-US" w:eastAsia="zh-CN"/>
              </w:rPr>
              <w:t>4</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博物馆处理不够入藏标准、无保存价值的文物或者标本初审</w:t>
            </w:r>
          </w:p>
          <w:p>
            <w:pPr>
              <w:autoSpaceDN w:val="0"/>
              <w:jc w:val="center"/>
              <w:textAlignment w:val="center"/>
              <w:rPr>
                <w:rFonts w:hint="eastAsia" w:ascii="宋体" w:hAnsi="宋体" w:eastAsia="宋体" w:cs="宋体"/>
                <w:b w:val="0"/>
                <w:i w:val="0"/>
                <w:color w:val="000000"/>
                <w:sz w:val="21"/>
                <w:szCs w:val="21"/>
                <w:u w:val="none"/>
                <w:lang w:eastAsia="zh-CN"/>
              </w:rPr>
            </w:pPr>
          </w:p>
        </w:tc>
        <w:tc>
          <w:tcPr>
            <w:tcW w:w="7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一、《国务院对确需保留的行政审批项目设定行政许可的决定》（国务院令 第412号）</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附件465项：“项目名称：博物馆处理不够入藏标准、无保存价值的文物或标本审批。实施单位：县级以上人民政府文物行政主管部门。”</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二、文化部《博物馆管理办法》（文化部令第35号）</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第二十二条：“博物馆不够本馆收藏标准，或因腐蚀损毁等原因无法修复并无继续保存价值的藏品，经本馆或受委托的专家委员会评估认定后，可以向省级文物行政部门申请退出馆藏。退出馆藏申请材料的内容，应当包括拟不再收藏的藏品名称、数量和退出馆藏的原因，并附有关藏品档案复制件。”</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第二十三条　国有博物馆所在地省级文物行政部门应当在收到退出馆藏申请材料的30个工作日内，组织专家委员会复审。专家委员会复审未通过的，终止该藏品的退出馆藏程序。</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专家委员会复审通过的，省级文物行政部门应当将有关材料在国务院文物行政部门和有关省级文物行政部门的官方网站上公示30个工作日。期间如有其他国有文物收藏单位愿意接收有关藏品，则以调拨、交换等方式处理；期间如没有其他国有文物收藏单位愿意接收有关藏品，则由省级文物行政部门统一处置。处置方案报国务院文物行政部门批准后实施，处置所得资金应当用于博物馆事业发展。国有博物馆应当建立退出馆藏物品专项档案，并报省级文物行政部门备案。专项档案应当保存75年以上。</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第二十四条　非国有博物馆申请藏品退出馆藏，申请材料应附理事会、董事会或其他形式决策机构的书面意见。博物馆所在地省级文物行政部门应当在收到申请材料的30个工作日内作出是否允许退出馆藏的决定，并报国务院文物行政部门备案。</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三、《国有馆藏文物退出管理暂行办法》第八条：国有文物收藏单位拟将馆藏文物作退出处理的，应当在公示结束后，于实施退出行为30个工作日前，向主管的文物行政部门备案。属于馆藏二、三级文物的，应当逐级报省级文物行政部门备案。属于馆藏一级文物的，应当逐级报国务院文物行政部门备案：</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（一）评估报告或者相关书面证明材料；</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（二）国有文物收藏单位理事会或者集体研究意见；</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（三）馆藏文物退出后的处置方案，如属调拨、交换，应附相关意向书；</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（四）退出的馆藏文物的档案复印件；</w:t>
            </w:r>
            <w:r>
              <w:rPr>
                <w:rFonts w:hint="eastAsia" w:ascii="宋体" w:hAnsi="宋体" w:eastAsia="宋体" w:cs="宋体"/>
                <w:i w:val="0"/>
                <w:iCs w:val="0"/>
                <w:caps w:val="0"/>
                <w:color w:val="000000" w:themeColor="text1"/>
                <w:spacing w:val="0"/>
                <w:sz w:val="21"/>
                <w:szCs w:val="21"/>
                <w14:textFill>
                  <w14:solidFill>
                    <w14:schemeClr w14:val="tx1"/>
                  </w14:solidFill>
                </w14:textFill>
              </w:rPr>
              <w:br w:type="textWrapping"/>
            </w:r>
            <w:r>
              <w:rPr>
                <w:rFonts w:hint="eastAsia" w:ascii="宋体" w:hAnsi="宋体" w:eastAsia="宋体" w:cs="宋体"/>
                <w:i w:val="0"/>
                <w:iCs w:val="0"/>
                <w:caps w:val="0"/>
                <w:color w:val="000000" w:themeColor="text1"/>
                <w:spacing w:val="0"/>
                <w:sz w:val="21"/>
                <w:szCs w:val="21"/>
                <w14:textFill>
                  <w14:solidFill>
                    <w14:schemeClr w14:val="tx1"/>
                  </w14:solidFill>
                </w14:textFill>
              </w:rPr>
              <w:t>（五）公示情况。</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行政许可</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文物股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sz w:val="21"/>
                <w:szCs w:val="21"/>
                <w:lang w:eastAsia="zh-CN"/>
              </w:rPr>
            </w:pPr>
          </w:p>
          <w:p>
            <w:pPr>
              <w:pStyle w:val="2"/>
              <w:rPr>
                <w:rFonts w:hint="eastAsia" w:ascii="宋体" w:hAnsi="宋体" w:eastAsia="宋体" w:cs="宋体"/>
                <w:b w:val="0"/>
                <w:i w:val="0"/>
                <w:color w:val="000000"/>
                <w:sz w:val="21"/>
                <w:szCs w:val="21"/>
                <w:u w:val="none"/>
                <w:lang w:val="en-US" w:eastAsia="zh-CN"/>
              </w:rPr>
            </w:pPr>
            <w:r>
              <w:rPr>
                <w:rFonts w:hint="eastAsia" w:ascii="宋体" w:hAnsi="宋体" w:eastAsia="宋体" w:cs="宋体"/>
                <w:b w:val="0"/>
                <w:i w:val="0"/>
                <w:color w:val="000000"/>
                <w:sz w:val="21"/>
                <w:szCs w:val="21"/>
                <w:u w:val="none"/>
                <w:lang w:val="en-US" w:eastAsia="zh-CN"/>
              </w:rPr>
              <w:t>5</w:t>
            </w:r>
          </w:p>
          <w:p>
            <w:pPr>
              <w:pStyle w:val="2"/>
              <w:rPr>
                <w:rFonts w:hint="eastAsia" w:ascii="宋体" w:hAnsi="宋体" w:eastAsia="宋体" w:cs="宋体"/>
                <w:b w:val="0"/>
                <w:i w:val="0"/>
                <w:color w:val="000000"/>
                <w:sz w:val="21"/>
                <w:szCs w:val="21"/>
                <w:u w:val="none"/>
                <w:lang w:eastAsia="zh-CN"/>
              </w:rPr>
            </w:pP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非国有市级文物保护单位不可移动文物转让、抵押或者改变用途备案</w:t>
            </w:r>
          </w:p>
          <w:p>
            <w:pPr>
              <w:autoSpaceDN w:val="0"/>
              <w:jc w:val="center"/>
              <w:textAlignment w:val="center"/>
              <w:rPr>
                <w:rFonts w:hint="eastAsia" w:ascii="宋体" w:hAnsi="宋体" w:eastAsia="宋体" w:cs="宋体"/>
                <w:b w:val="0"/>
                <w:i w:val="0"/>
                <w:color w:val="000000"/>
                <w:sz w:val="21"/>
                <w:szCs w:val="21"/>
                <w:u w:val="none"/>
                <w:lang w:eastAsia="zh-CN"/>
              </w:rPr>
            </w:pPr>
          </w:p>
        </w:tc>
        <w:tc>
          <w:tcPr>
            <w:tcW w:w="7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t>文物保护法第二十五条第二款，非国有不可移动文物转让、抵押或者改变用途的，应当根据其级别报相应的文物行政部门备案</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val="en-US" w:eastAsia="zh-CN"/>
              </w:rPr>
            </w:pPr>
            <w:r>
              <w:rPr>
                <w:rFonts w:hint="eastAsia" w:ascii="宋体" w:hAnsi="宋体" w:eastAsia="宋体" w:cs="宋体"/>
                <w:b w:val="0"/>
                <w:i w:val="0"/>
                <w:color w:val="000000"/>
                <w:sz w:val="21"/>
                <w:szCs w:val="21"/>
                <w:u w:val="none"/>
                <w:lang w:val="en-US" w:eastAsia="zh-CN"/>
              </w:rPr>
              <w:t>其他职权</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文物股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69" w:hRule="atLeast"/>
          <w:jc w:val="center"/>
        </w:trPr>
        <w:tc>
          <w:tcPr>
            <w:tcW w:w="667" w:type="dxa"/>
            <w:tcBorders>
              <w:top w:val="single" w:color="000000" w:sz="4" w:space="0"/>
              <w:left w:val="single" w:color="000000" w:sz="4" w:space="0"/>
              <w:bottom w:val="single" w:color="000000" w:sz="4" w:space="0"/>
              <w:right w:val="single" w:color="000000" w:sz="4" w:space="0"/>
            </w:tcBorders>
            <w:vAlign w:val="center"/>
          </w:tcPr>
          <w:p>
            <w:pPr>
              <w:pStyle w:val="2"/>
              <w:rPr>
                <w:rFonts w:hint="eastAsia" w:ascii="宋体" w:hAnsi="宋体" w:eastAsia="宋体" w:cs="宋体"/>
                <w:b w:val="0"/>
                <w:i w:val="0"/>
                <w:color w:val="000000"/>
                <w:sz w:val="21"/>
                <w:szCs w:val="21"/>
                <w:u w:val="none"/>
                <w:lang w:val="en-US" w:eastAsia="zh-CN"/>
              </w:rPr>
            </w:pPr>
            <w:r>
              <w:rPr>
                <w:rFonts w:hint="eastAsia" w:ascii="宋体" w:hAnsi="宋体" w:eastAsia="宋体" w:cs="宋体"/>
                <w:b w:val="0"/>
                <w:i w:val="0"/>
                <w:color w:val="000000"/>
                <w:sz w:val="21"/>
                <w:szCs w:val="21"/>
                <w:u w:val="none"/>
                <w:lang w:val="en-US" w:eastAsia="zh-CN"/>
              </w:rPr>
              <w:t>6</w:t>
            </w:r>
          </w:p>
        </w:tc>
        <w:tc>
          <w:tcPr>
            <w:tcW w:w="192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利用市级文物保护单位举办大型活动审批</w:t>
            </w:r>
          </w:p>
        </w:tc>
        <w:tc>
          <w:tcPr>
            <w:tcW w:w="730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i w:val="0"/>
                <w:iCs w:val="0"/>
                <w:caps w:val="0"/>
                <w:color w:val="000000" w:themeColor="text1"/>
                <w:spacing w:val="0"/>
                <w:sz w:val="21"/>
                <w:szCs w:val="2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河南省实施《中华人民共和国文物保护法》办法（2010年5月28日河南省第十一届人民代表大会常务委员会第十五次会议通过 根据2016年3月29日河南省第十二届人民代表大会常务委员会第二十次会议《关于修改〈河南省煤炭条例〉等十部地方性法规的决定》修正）第四十八条：利用文物保护单位拍摄电影，电视和其他音像制品以及举办大型活动的，拍摄单位或者举办者应当制定文物保护方案，按照审批权限报相应的文物行政部门批准。</w:t>
            </w:r>
          </w:p>
        </w:tc>
        <w:tc>
          <w:tcPr>
            <w:tcW w:w="105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行政许可</w:t>
            </w:r>
          </w:p>
        </w:tc>
        <w:tc>
          <w:tcPr>
            <w:tcW w:w="1059"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文物股</w:t>
            </w:r>
          </w:p>
        </w:tc>
        <w:tc>
          <w:tcPr>
            <w:tcW w:w="907"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r>
              <w:rPr>
                <w:rFonts w:hint="eastAsia" w:ascii="宋体" w:hAnsi="宋体" w:eastAsia="宋体" w:cs="宋体"/>
                <w:b w:val="0"/>
                <w:i w:val="0"/>
                <w:color w:val="000000"/>
                <w:sz w:val="21"/>
                <w:szCs w:val="21"/>
                <w:u w:val="none"/>
                <w:lang w:eastAsia="zh-CN"/>
              </w:rPr>
              <w:t>新增</w:t>
            </w:r>
          </w:p>
        </w:tc>
        <w:tc>
          <w:tcPr>
            <w:tcW w:w="108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宋体" w:hAnsi="宋体" w:eastAsia="宋体" w:cs="宋体"/>
                <w:b w:val="0"/>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48" w:hRule="atLeast"/>
          <w:jc w:val="center"/>
        </w:trPr>
        <w:tc>
          <w:tcPr>
            <w:tcW w:w="14006" w:type="dxa"/>
            <w:gridSpan w:val="7"/>
            <w:tcBorders>
              <w:top w:val="single" w:color="000000" w:sz="4" w:space="0"/>
              <w:left w:val="single" w:color="000000" w:sz="4" w:space="0"/>
              <w:bottom w:val="single" w:color="000000" w:sz="4" w:space="0"/>
              <w:right w:val="single" w:color="000000" w:sz="4" w:space="0"/>
            </w:tcBorders>
            <w:vAlign w:val="center"/>
          </w:tcPr>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仿宋_GB2312" w:hAnsi="仿宋_GB2312" w:eastAsia="仿宋_GB2312"/>
                <w:b w:val="0"/>
                <w:i w:val="0"/>
                <w:color w:val="000000"/>
                <w:sz w:val="24"/>
                <w:szCs w:val="24"/>
                <w:u w:val="none"/>
                <w:lang w:eastAsia="zh-CN"/>
              </w:rPr>
            </w:pPr>
            <w:r>
              <w:rPr>
                <w:rFonts w:hint="default" w:ascii="仿宋_GB2312" w:hAnsi="仿宋_GB2312" w:eastAsia="仿宋_GB2312"/>
                <w:b w:val="0"/>
                <w:i w:val="0"/>
                <w:color w:val="000000"/>
                <w:sz w:val="24"/>
                <w:szCs w:val="24"/>
                <w:u w:val="none"/>
                <w:lang w:eastAsia="zh-CN"/>
              </w:rPr>
              <w:t>说明：</w:t>
            </w:r>
          </w:p>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仿宋_GB2312" w:hAnsi="仿宋_GB2312" w:eastAsia="仿宋_GB2312"/>
                <w:b w:val="0"/>
                <w:i w:val="0"/>
                <w:color w:val="000000"/>
                <w:sz w:val="24"/>
                <w:szCs w:val="24"/>
                <w:u w:val="none"/>
                <w:lang w:eastAsia="zh-CN"/>
              </w:rPr>
            </w:pPr>
            <w:r>
              <w:rPr>
                <w:rFonts w:hint="default" w:ascii="仿宋_GB2312" w:hAnsi="仿宋_GB2312" w:eastAsia="仿宋_GB2312"/>
                <w:b w:val="0"/>
                <w:i w:val="0"/>
                <w:color w:val="000000"/>
                <w:sz w:val="24"/>
                <w:szCs w:val="24"/>
                <w:u w:val="none"/>
                <w:lang w:eastAsia="zh-CN"/>
              </w:rPr>
              <w:t>1.拟调整情况一般包括拟取消、承接、下放、划入、划出、修改名称、修改依据等情况（如有其他调整也可自行填写），调整原因要加以备注说明原因，其中拟修改依据、修改名称的可在相应一栏中原名称、原依据的下方增加新的内容，并加下划线标注；</w:t>
            </w:r>
          </w:p>
          <w:p>
            <w:pPr>
              <w:widowControl w:val="0"/>
              <w:wordWrap/>
              <w:autoSpaceDN w:val="0"/>
              <w:adjustRightInd/>
              <w:snapToGrid/>
              <w:spacing w:before="0" w:after="0" w:line="280" w:lineRule="exact"/>
              <w:ind w:left="0" w:leftChars="0" w:right="0" w:firstLine="0" w:firstLineChars="0"/>
              <w:jc w:val="left"/>
              <w:textAlignment w:val="center"/>
              <w:outlineLvl w:val="9"/>
              <w:rPr>
                <w:rFonts w:hint="default" w:ascii="仿宋_GB2312" w:hAnsi="仿宋_GB2312" w:eastAsia="仿宋_GB2312"/>
                <w:b w:val="0"/>
                <w:i w:val="0"/>
                <w:color w:val="000000"/>
                <w:sz w:val="18"/>
                <w:u w:val="none"/>
                <w:lang w:eastAsia="zh-CN"/>
              </w:rPr>
            </w:pPr>
            <w:r>
              <w:rPr>
                <w:rFonts w:hint="default" w:ascii="仿宋_GB2312" w:hAnsi="仿宋_GB2312" w:eastAsia="仿宋_GB2312"/>
                <w:b w:val="0"/>
                <w:i w:val="0"/>
                <w:color w:val="000000"/>
                <w:sz w:val="24"/>
                <w:szCs w:val="24"/>
                <w:u w:val="none"/>
                <w:lang w:eastAsia="zh-CN"/>
              </w:rPr>
              <w:t>2.拟取消、下放、划出等不再由所属部门行使的行政职权，可不填责任处室。</w:t>
            </w:r>
          </w:p>
        </w:tc>
      </w:tr>
    </w:tbl>
    <w:p>
      <w:pPr>
        <w:widowControl w:val="0"/>
        <w:wordWrap/>
        <w:autoSpaceDN w:val="0"/>
        <w:adjustRightInd/>
        <w:snapToGrid/>
        <w:spacing w:before="0" w:after="0" w:line="700" w:lineRule="exact"/>
        <w:ind w:left="0" w:leftChars="0" w:right="0" w:firstLine="0" w:firstLineChars="0"/>
        <w:jc w:val="both"/>
        <w:textAlignment w:val="center"/>
        <w:outlineLvl w:val="9"/>
        <w:rPr>
          <w:rFonts w:hint="eastAsia" w:ascii="黑体" w:hAnsi="黑体" w:eastAsia="黑体" w:cs="黑体"/>
          <w:sz w:val="34"/>
          <w:szCs w:val="34"/>
          <w:lang w:val="en-US" w:eastAsia="zh-CN"/>
        </w:rPr>
      </w:pPr>
    </w:p>
    <w:p>
      <w:pPr>
        <w:pStyle w:val="6"/>
        <w:rPr>
          <w:rFonts w:hint="eastAsia"/>
          <w:lang w:val="en-US" w:eastAsia="zh-CN"/>
        </w:rPr>
      </w:pPr>
      <w:bookmarkStart w:id="0" w:name="_GoBack"/>
      <w:bookmarkEnd w:id="0"/>
    </w:p>
    <w:p>
      <w:pPr>
        <w:pStyle w:val="6"/>
        <w:rPr>
          <w:rFonts w:hint="eastAsia"/>
          <w:lang w:val="en-US" w:eastAsia="zh-CN"/>
        </w:rPr>
      </w:pPr>
    </w:p>
    <w:sectPr>
      <w:footerReference r:id="rId3" w:type="default"/>
      <w:pgSz w:w="16838" w:h="11906" w:orient="landscape"/>
      <w:pgMar w:top="1587" w:right="1531" w:bottom="1474" w:left="1531" w:header="851" w:footer="992" w:gutter="0"/>
      <w:pgNumType w:fmt="numberInDash"/>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Times New Roman"/>
        <w:kern w:val="2"/>
        <w:sz w:val="18"/>
        <w:szCs w:val="22"/>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- 4 -</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文本框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uAsgBAACY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H+T&#10;1ekD1Jh0FzAtDe/9gDsz+wGdmfSgos1fpEMwjtqeLtrKIRGRH62Wq1WFIYGx+YL47Ol5iJA+SG9J&#10;NhoacXhFU378BGlMnVNyNedvtTFlgMb95UDM7GG597HHbKVhN0yEdr49IZ8e595Qh2tOifnoUNa8&#10;IrMRZ2M3G4cQ9b4rO5TrQXh3SNhE6S1XGGGnwjiwwm5arrwRf95L1tMPtfk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lergLIAQAAmAMAAA4AAAAAAAAAAQAgAAAAHgEAAGRycy9lMm9Eb2Mu&#10;eG1sUEsFBgAAAAAGAAYAWQEAAFg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t>- 4 -</w:t>
                    </w:r>
                    <w:r>
                      <w:rPr>
                        <w:rFonts w:hint="eastAsia" w:ascii="宋体" w:hAnsi="宋体" w:eastAsia="宋体" w:cs="宋体"/>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NjgyM2I3ZmU5YmZhNmZlZWNhNGRhNmI4NzMyNDEifQ=="/>
    <w:docVar w:name="KSO_WPS_MARK_KEY" w:val="334ef564-c9eb-4a82-9772-f77a6a72d10a"/>
  </w:docVars>
  <w:rsids>
    <w:rsidRoot w:val="00000000"/>
    <w:rsid w:val="0C995EC1"/>
    <w:rsid w:val="0CA33DB8"/>
    <w:rsid w:val="1BC962E5"/>
    <w:rsid w:val="29A25A23"/>
    <w:rsid w:val="372569D8"/>
    <w:rsid w:val="3C24119B"/>
    <w:rsid w:val="41A1205F"/>
    <w:rsid w:val="4D9E5D6E"/>
    <w:rsid w:val="4F7F4E71"/>
    <w:rsid w:val="50AD23CA"/>
    <w:rsid w:val="51DD35C0"/>
    <w:rsid w:val="528B0B17"/>
    <w:rsid w:val="6B37129F"/>
    <w:rsid w:val="73012462"/>
    <w:rsid w:val="74095236"/>
    <w:rsid w:val="75B52A26"/>
    <w:rsid w:val="7CD84C88"/>
    <w:rsid w:val="7ECC70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paragraph" w:styleId="4">
    <w:name w:val="heading 2"/>
    <w:basedOn w:val="1"/>
    <w:next w:val="1"/>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5">
    <w:name w:val="heading 4"/>
    <w:basedOn w:val="1"/>
    <w:next w:val="1"/>
    <w:qFormat/>
    <w:uiPriority w:val="0"/>
    <w:pPr>
      <w:spacing w:before="0" w:beforeAutospacing="1" w:after="0" w:afterAutospacing="1"/>
      <w:jc w:val="left"/>
    </w:pPr>
    <w:rPr>
      <w:rFonts w:hint="eastAsia" w:ascii="宋体" w:hAnsi="宋体" w:eastAsia="宋体" w:cs="宋体"/>
      <w:b/>
      <w:kern w:val="0"/>
      <w:sz w:val="24"/>
      <w:szCs w:val="24"/>
      <w:lang w:val="en-US" w:eastAsia="zh-CN"/>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w:basedOn w:val="1"/>
    <w:qFormat/>
    <w:uiPriority w:val="0"/>
    <w:pPr>
      <w:spacing w:after="120" w:afterAutospacing="0"/>
    </w:pPr>
  </w:style>
  <w:style w:type="paragraph" w:styleId="7">
    <w:name w:val="Plain Text"/>
    <w:basedOn w:val="1"/>
    <w:unhideWhenUsed/>
    <w:qFormat/>
    <w:uiPriority w:val="99"/>
    <w:rPr>
      <w:rFonts w:ascii="宋体" w:hAnsi="Courier New" w:cs="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800080"/>
      <w:u w:val="none"/>
    </w:rPr>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8">
    <w:name w:val="page number"/>
    <w:basedOn w:val="12"/>
    <w:qFormat/>
    <w:uiPriority w:val="0"/>
  </w:style>
  <w:style w:type="character" w:customStyle="1" w:styleId="19">
    <w:name w:val="tz_input"/>
    <w:basedOn w:val="12"/>
    <w:qFormat/>
    <w:uiPriority w:val="0"/>
    <w:rPr>
      <w:color w:val="A01211"/>
      <w:sz w:val="16"/>
      <w:szCs w:val="16"/>
    </w:rPr>
  </w:style>
  <w:style w:type="paragraph" w:customStyle="1" w:styleId="20">
    <w:name w:val="Other|1"/>
    <w:basedOn w:val="1"/>
    <w:qFormat/>
    <w:uiPriority w:val="0"/>
    <w:pPr>
      <w:widowControl w:val="0"/>
      <w:shd w:val="clear" w:color="auto" w:fill="auto"/>
      <w:spacing w:line="296" w:lineRule="exact"/>
    </w:pPr>
    <w:rPr>
      <w:rFonts w:ascii="宋体" w:hAnsi="宋体" w:eastAsia="宋体" w:cs="宋体"/>
      <w:color w:val="454243"/>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1417</Words>
  <Characters>1479</Characters>
  <Lines>0</Lines>
  <Paragraphs>0</Paragraphs>
  <TotalTime>6</TotalTime>
  <ScaleCrop>false</ScaleCrop>
  <LinksUpToDate>false</LinksUpToDate>
  <CharactersWithSpaces>1536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未定义</cp:lastModifiedBy>
  <cp:lastPrinted>2022-08-26T02:18:00Z</cp:lastPrinted>
  <dcterms:modified xsi:type="dcterms:W3CDTF">2022-12-19T02:44:51Z</dcterms:modified>
  <dc:title>我姓趙，全場消費我买单的趙xoxo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08252B40EBDE4AB28F4012BA8AE37786</vt:lpwstr>
  </property>
</Properties>
</file>