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44"/>
          <w:szCs w:val="44"/>
        </w:rPr>
      </w:pPr>
      <w:r>
        <w:rPr>
          <w:rFonts w:hint="eastAsia" w:ascii="方正小标宋简体" w:hAnsi="方正小标宋简体" w:eastAsia="方正小标宋简体" w:cs="方正小标宋简体"/>
          <w:b/>
          <w:bCs/>
          <w:i w:val="0"/>
          <w:color w:val="000000"/>
          <w:sz w:val="44"/>
          <w:szCs w:val="44"/>
          <w:u w:val="none"/>
        </w:rPr>
        <w:t>镇平县古城片区棚户区改造项目</w:t>
      </w:r>
    </w:p>
    <w:p>
      <w:pPr>
        <w:ind w:firstLine="640" w:firstLineChars="200"/>
        <w:rPr>
          <w:rFonts w:hint="eastAsia" w:ascii="仿宋" w:hAnsi="仿宋" w:eastAsia="仿宋" w:cs="仿宋"/>
          <w:sz w:val="32"/>
          <w:szCs w:val="40"/>
          <w:lang w:val="en-US" w:eastAsia="zh-CN"/>
        </w:rPr>
      </w:pPr>
      <w:r>
        <w:rPr>
          <w:rFonts w:hint="eastAsia" w:ascii="仿宋" w:hAnsi="仿宋" w:eastAsia="仿宋" w:cs="仿宋"/>
          <w:sz w:val="32"/>
          <w:szCs w:val="40"/>
        </w:rPr>
        <w:t>该项目</w:t>
      </w:r>
      <w:r>
        <w:rPr>
          <w:rFonts w:hint="eastAsia" w:ascii="仿宋" w:hAnsi="仿宋" w:eastAsia="仿宋" w:cs="仿宋"/>
          <w:sz w:val="32"/>
          <w:szCs w:val="40"/>
          <w:lang w:val="en-US" w:eastAsia="zh-CN"/>
        </w:rPr>
        <w:t>主要包含两项建设内容即古城片区棚户区拆迁改造项目和安置房建设及团购项目。</w:t>
      </w:r>
    </w:p>
    <w:p>
      <w:pPr>
        <w:ind w:firstLine="420" w:firstLineChars="200"/>
        <w:rPr>
          <w:rFonts w:hint="eastAsia" w:ascii="仿宋" w:hAnsi="仿宋" w:eastAsia="仿宋" w:cs="仿宋"/>
          <w:b/>
          <w:bCs/>
          <w:sz w:val="32"/>
          <w:szCs w:val="40"/>
          <w:lang w:val="en-US" w:eastAsia="zh-CN"/>
        </w:rPr>
      </w:pPr>
      <w:r>
        <w:rPr>
          <w:rFonts w:hint="eastAsia" w:ascii="Calibri" w:hAnsi="Calibri" w:eastAsia="宋体" w:cs="黑体"/>
          <w:color w:val="auto"/>
          <w:kern w:val="2"/>
          <w:sz w:val="21"/>
          <w:szCs w:val="24"/>
          <w:lang w:val="en-US" w:eastAsia="zh-CN" w:bidi="ar-SA"/>
        </w:rPr>
        <w:pict>
          <v:shape id="_x0000_s1026" o:spid="_x0000_s1026" o:spt="75" type="#_x0000_t75" style="position:absolute;left:0pt;margin-left:699.25pt;margin-top:153.15pt;height:278.8pt;width:414.85pt;mso-position-horizontal-relative:page;mso-position-vertical-relative:page;mso-wrap-distance-bottom:0pt;mso-wrap-distance-left:9pt;mso-wrap-distance-right:9pt;mso-wrap-distance-top:0pt;z-index:251661312;mso-width-relative:page;mso-height-relative:page;" fillcolor="#FFFFFF" filled="f" o:preferrelative="t" stroked="f" coordsize="21600,21600">
            <v:path/>
            <v:fill on="f" color2="#FFFFFF" focussize="0,0"/>
            <v:stroke on="f"/>
            <v:imagedata r:id="rId4" gain="65536f" blacklevel="0f" gamma="0" o:title=""/>
            <o:lock v:ext="edit" position="f" selection="f" grouping="f" rotation="f" cropping="f" text="f" aspectratio="t"/>
            <w10:wrap type="square"/>
          </v:shape>
        </w:pict>
      </w:r>
      <w:r>
        <w:rPr>
          <w:rFonts w:hint="default" w:ascii="Calibri" w:hAnsi="Calibri" w:eastAsia="宋体" w:cs="黑体"/>
          <w:kern w:val="2"/>
          <w:sz w:val="21"/>
          <w:szCs w:val="24"/>
          <w:lang w:val="en-US" w:eastAsia="zh-CN" w:bidi="ar-SA"/>
        </w:rPr>
        <w:pict>
          <v:shape id="图片 1" o:spid="_x0000_s1027" o:spt="75" type="#_x0000_t75" style="position:absolute;left:0pt;margin-left:699.6pt;margin-top:179.25pt;height:236.05pt;width:411.5pt;mso-position-horizontal-relative:page;mso-position-vertical-relative:page;mso-wrap-distance-bottom:0pt;mso-wrap-distance-left:9pt;mso-wrap-distance-right:9pt;mso-wrap-distance-top:0pt;z-index:251659264;mso-width-relative:page;mso-height-relative:page;" fillcolor="#FFFFFF" filled="f" o:preferrelative="t" stroked="f" coordsize="21600,21600">
            <v:path/>
            <v:fill on="f" color2="#FFFFFF" focussize="0,0"/>
            <v:stroke on="f"/>
            <v:imagedata r:id="rId5" gain="65536f" blacklevel="0f" gamma="0" o:title=""/>
            <o:lock v:ext="edit" position="f" selection="f" grouping="f" rotation="f" cropping="f" text="f" aspectratio="t"/>
            <w10:wrap type="square"/>
          </v:shape>
        </w:pict>
      </w:r>
      <w:r>
        <w:rPr>
          <w:rFonts w:hint="eastAsia" w:ascii="仿宋" w:hAnsi="仿宋" w:eastAsia="仿宋" w:cs="仿宋"/>
          <w:b/>
          <w:bCs/>
          <w:sz w:val="32"/>
          <w:szCs w:val="40"/>
          <w:lang w:val="en-US" w:eastAsia="zh-CN"/>
        </w:rPr>
        <w:t>1、古城片区棚户区拆迁改造项目</w:t>
      </w:r>
    </w:p>
    <w:p>
      <w:pPr>
        <w:numPr>
          <w:ilvl w:val="0"/>
          <w:numId w:val="0"/>
        </w:num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40"/>
          <w:lang w:val="en-US" w:eastAsia="zh-CN"/>
        </w:rPr>
        <w:t>项目拆迁改造范围：</w:t>
      </w:r>
      <w:r>
        <w:rPr>
          <w:rFonts w:hint="eastAsia" w:ascii="仿宋" w:hAnsi="仿宋" w:eastAsia="仿宋" w:cs="仿宋"/>
          <w:b w:val="0"/>
          <w:bCs w:val="0"/>
          <w:sz w:val="32"/>
          <w:szCs w:val="40"/>
          <w:lang w:val="en-US" w:eastAsia="zh-CN"/>
        </w:rPr>
        <w:t>项目</w:t>
      </w:r>
      <w:r>
        <w:rPr>
          <w:rFonts w:hint="eastAsia" w:ascii="仿宋" w:hAnsi="仿宋" w:eastAsia="仿宋" w:cs="仿宋"/>
          <w:sz w:val="32"/>
          <w:szCs w:val="32"/>
          <w:lang w:val="en-US" w:eastAsia="zh-CN"/>
        </w:rPr>
        <w:t>北至府前街、南至涅阳路、西至卫生路、东至菩提路</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需拆除居民房屋1668户，拆除建筑面积315536㎡（其中临街420户，民宅615户，小高层364户，市场269户）；涉及公建单位17个，拆除土地面积42399.2㎡，建筑面积77190.5㎡；拆除总占地面积347亩，其中可用于建设开发面积287亩。</w:t>
      </w:r>
    </w:p>
    <w:p>
      <w:pPr>
        <w:ind w:firstLine="643" w:firstLineChars="200"/>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项目区位优势：</w:t>
      </w:r>
      <w:r>
        <w:rPr>
          <w:rFonts w:hint="eastAsia" w:ascii="仿宋" w:hAnsi="仿宋" w:eastAsia="仿宋" w:cs="仿宋"/>
          <w:b w:val="0"/>
          <w:bCs w:val="0"/>
          <w:sz w:val="32"/>
          <w:szCs w:val="32"/>
          <w:lang w:val="en-US" w:eastAsia="zh-CN"/>
        </w:rPr>
        <w:t>该</w:t>
      </w:r>
      <w:r>
        <w:rPr>
          <w:rFonts w:hint="eastAsia" w:ascii="仿宋" w:hAnsi="仿宋" w:eastAsia="仿宋" w:cs="仿宋"/>
          <w:sz w:val="32"/>
          <w:szCs w:val="32"/>
          <w:lang w:val="en-US" w:eastAsia="zh-CN"/>
        </w:rPr>
        <w:t>项目位于镇平县老城区核心区域，人口密集，位置优越，周边配套设施齐全，北侧毗邻行政区县委和县政府，东侧毗邻高端居住区中央华府和华美国际，南侧毗邻县第二人民医院和妇幼保健院，西侧毗邻商业街和万德隆购物中心，东西两侧菩提路、校场路贯穿县城南北，南北两侧工业路、中山街贯穿县城东西，交通便捷。</w:t>
      </w:r>
    </w:p>
    <w:p>
      <w:pPr>
        <w:ind w:firstLine="643" w:firstLineChars="200"/>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项目功能定位：</w:t>
      </w:r>
      <w:r>
        <w:rPr>
          <w:rFonts w:hint="eastAsia" w:ascii="仿宋" w:hAnsi="仿宋" w:eastAsia="仿宋" w:cs="仿宋"/>
          <w:sz w:val="32"/>
          <w:szCs w:val="32"/>
          <w:lang w:val="en-US" w:eastAsia="zh-CN"/>
        </w:rPr>
        <w:t>拟对拆迁区域范围内的护城河进行高标准治理改造，配套建设公园、地下停车场、商铺，打造未来南阳市西部文旅特色休闲商业街区。</w:t>
      </w:r>
    </w:p>
    <w:p>
      <w:pPr>
        <w:pStyle w:val="6"/>
        <w:rPr>
          <w:rFonts w:hint="eastAsia" w:ascii="黑体" w:hAnsi="黑体" w:eastAsia="黑体" w:cs="黑体"/>
          <w:spacing w:val="-5"/>
          <w:sz w:val="32"/>
          <w:lang w:eastAsia="zh-CN"/>
        </w:rPr>
      </w:pPr>
      <w:r>
        <w:rPr>
          <w:rFonts w:ascii="Calibri" w:hAnsi="Calibri" w:eastAsia="宋体" w:cs="黑体"/>
          <w:kern w:val="2"/>
          <w:sz w:val="21"/>
          <w:szCs w:val="24"/>
          <w:lang w:val="en-US" w:eastAsia="zh-CN" w:bidi="ar-SA"/>
        </w:rPr>
        <w:pict>
          <v:shape id="图片 3" o:spid="_x0000_s1028" o:spt="75" type="#_x0000_t75" style="position:absolute;left:0pt;margin-left:697pt;margin-top:474.1pt;height:262.6pt;width:420.05pt;mso-position-horizontal-relative:page;mso-position-vertical-relative:page;mso-wrap-distance-bottom:0pt;mso-wrap-distance-left:9pt;mso-wrap-distance-right:9pt;mso-wrap-distance-top:0pt;z-index:251660288;mso-width-relative:page;mso-height-relative:page;" fillcolor="#FFFFFF" filled="f" o:preferrelative="t" stroked="f" coordsize="21600,21600">
            <v:path/>
            <v:fill on="f" color2="#FFFFFF" focussize="0,0"/>
            <v:stroke on="f"/>
            <v:imagedata r:id="rId6" gain="65536f" blacklevel="0f" gamma="0" o:title=""/>
            <o:lock v:ext="edit" position="f" selection="f" grouping="f" rotation="f" cropping="f" text="f" aspectratio="t"/>
            <w10:wrap type="square"/>
          </v:shape>
        </w:pict>
      </w:r>
    </w:p>
    <w:p>
      <w:pPr>
        <w:numPr>
          <w:ilvl w:val="0"/>
          <w:numId w:val="0"/>
        </w:numPr>
        <w:ind w:firstLine="623" w:firstLineChars="200"/>
        <w:rPr>
          <w:rFonts w:hint="eastAsia" w:ascii="仿宋" w:hAnsi="仿宋" w:eastAsia="仿宋" w:cs="仿宋"/>
          <w:sz w:val="32"/>
          <w:szCs w:val="32"/>
          <w:lang w:val="en-US" w:eastAsia="zh-CN"/>
        </w:rPr>
      </w:pPr>
      <w:r>
        <w:rPr>
          <w:rFonts w:hint="eastAsia" w:ascii="仿宋" w:hAnsi="仿宋" w:eastAsia="仿宋" w:cs="仿宋"/>
          <w:b/>
          <w:bCs/>
          <w:spacing w:val="-5"/>
          <w:sz w:val="32"/>
          <w:lang w:eastAsia="zh-CN"/>
        </w:rPr>
        <w:t>项目成熟度及投资规模：</w:t>
      </w:r>
      <w:r>
        <w:rPr>
          <w:rFonts w:hint="eastAsia" w:ascii="仿宋" w:hAnsi="仿宋" w:eastAsia="仿宋" w:cs="仿宋"/>
          <w:b w:val="0"/>
          <w:bCs w:val="0"/>
          <w:spacing w:val="-5"/>
          <w:sz w:val="32"/>
          <w:lang w:val="en-US" w:eastAsia="zh-CN"/>
        </w:rPr>
        <w:t>该项目立项报批已结束，并对拆迁区域内群众及企事业单位进行了初步动员，企事业单位已启动搬迁。该项目预计投资</w:t>
      </w:r>
      <w:r>
        <w:rPr>
          <w:rFonts w:hint="eastAsia" w:ascii="仿宋" w:hAnsi="仿宋" w:eastAsia="仿宋" w:cs="仿宋"/>
          <w:sz w:val="32"/>
          <w:szCs w:val="32"/>
          <w:lang w:val="en-US" w:eastAsia="zh-CN"/>
        </w:rPr>
        <w:t>18.91亿元，其中：</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安置房建设成本：安置房建筑面积315536㎡×成本3500元=11.04亿；</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杂项成本（含签约奖、装修、附属物等）（临街420户+民宅615户）×20万+（小高层364户+市场269户）×10万=1.9亿；</w:t>
      </w:r>
    </w:p>
    <w:p>
      <w:pPr>
        <w:numPr>
          <w:ilvl w:val="0"/>
          <w:numId w:val="0"/>
        </w:num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公建迁移成本77190㎡×4500元=3.47亿；</w:t>
      </w:r>
    </w:p>
    <w:p>
      <w:pPr>
        <w:widowControl w:val="0"/>
        <w:numPr>
          <w:ilvl w:val="0"/>
          <w:numId w:val="0"/>
        </w:numPr>
        <w:wordWrap/>
        <w:adjustRightInd/>
        <w:snapToGrid/>
        <w:spacing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资金成本按</w:t>
      </w:r>
      <w:r>
        <w:rPr>
          <w:rFonts w:hint="eastAsia" w:ascii="仿宋" w:hAnsi="仿宋" w:eastAsia="仿宋" w:cs="仿宋"/>
          <w:color w:val="000000"/>
          <w:sz w:val="32"/>
          <w:szCs w:val="32"/>
          <w:lang w:val="en-US" w:eastAsia="zh-CN"/>
        </w:rPr>
        <w:t>年化率6.5‰</w:t>
      </w:r>
      <w:r>
        <w:rPr>
          <w:rFonts w:hint="eastAsia" w:ascii="仿宋" w:hAnsi="仿宋" w:eastAsia="仿宋" w:cs="仿宋"/>
          <w:sz w:val="32"/>
          <w:szCs w:val="32"/>
          <w:lang w:val="en-US" w:eastAsia="zh-CN"/>
        </w:rPr>
        <w:t>计算×2.5年=2.5亿</w:t>
      </w:r>
    </w:p>
    <w:p>
      <w:pPr>
        <w:widowControl w:val="0"/>
        <w:wordWrap/>
        <w:adjustRightInd/>
        <w:snapToGrid/>
        <w:spacing w:line="604" w:lineRule="exact"/>
        <w:ind w:left="0" w:leftChars="0" w:right="0" w:firstLine="623" w:firstLineChars="200"/>
        <w:jc w:val="both"/>
        <w:textAlignment w:val="auto"/>
        <w:outlineLvl w:val="9"/>
        <w:rPr>
          <w:rFonts w:hint="eastAsia" w:ascii="仿宋_GB2312" w:hAnsi="仿宋_GB2312" w:eastAsia="仿宋_GB2312" w:cs="仿宋_GB2312"/>
          <w:b/>
          <w:bCs/>
          <w:spacing w:val="-5"/>
          <w:sz w:val="32"/>
          <w:lang w:val="en-US" w:eastAsia="zh-CN"/>
        </w:rPr>
      </w:pPr>
    </w:p>
    <w:p>
      <w:pPr>
        <w:widowControl w:val="0"/>
        <w:wordWrap/>
        <w:adjustRightInd/>
        <w:snapToGrid/>
        <w:spacing w:line="604" w:lineRule="exact"/>
        <w:ind w:left="0" w:leftChars="0" w:right="0" w:firstLine="623" w:firstLineChars="200"/>
        <w:jc w:val="both"/>
        <w:textAlignment w:val="auto"/>
        <w:outlineLvl w:val="9"/>
        <w:rPr>
          <w:rFonts w:hint="eastAsia" w:ascii="仿宋_GB2312" w:hAnsi="仿宋_GB2312" w:eastAsia="仿宋_GB2312" w:cs="仿宋_GB2312"/>
          <w:b/>
          <w:bCs/>
          <w:spacing w:val="-5"/>
          <w:sz w:val="32"/>
          <w:lang w:val="en-US" w:eastAsia="zh-CN"/>
        </w:rPr>
      </w:pPr>
      <w:r>
        <w:rPr>
          <w:rFonts w:hint="eastAsia" w:ascii="仿宋_GB2312" w:hAnsi="仿宋_GB2312" w:eastAsia="仿宋_GB2312" w:cs="仿宋_GB2312"/>
          <w:b/>
          <w:bCs/>
          <w:spacing w:val="-5"/>
          <w:sz w:val="32"/>
          <w:lang w:val="en-US" w:eastAsia="zh-CN"/>
        </w:rPr>
        <w:t>合作模式：</w:t>
      </w:r>
    </w:p>
    <w:p>
      <w:pPr>
        <w:widowControl w:val="0"/>
        <w:wordWrap/>
        <w:adjustRightInd/>
        <w:snapToGrid/>
        <w:spacing w:line="604" w:lineRule="exact"/>
        <w:ind w:left="0" w:leftChars="0" w:right="0" w:firstLine="623" w:firstLineChars="200"/>
        <w:jc w:val="both"/>
        <w:textAlignment w:val="auto"/>
        <w:outlineLvl w:val="9"/>
        <w:rPr>
          <w:rFonts w:hint="eastAsia" w:ascii="Times New Roman" w:hAnsi="Times New Roman" w:eastAsia="仿宋_GB2312" w:cs="仿宋_GB2312"/>
          <w:spacing w:val="-5"/>
          <w:sz w:val="32"/>
          <w:szCs w:val="32"/>
        </w:rPr>
      </w:pPr>
      <w:r>
        <w:rPr>
          <w:rFonts w:hint="eastAsia" w:ascii="Times New Roman" w:hAnsi="Times New Roman" w:eastAsia="仿宋_GB2312" w:cs="仿宋_GB2312"/>
          <w:b/>
          <w:bCs/>
          <w:spacing w:val="-5"/>
          <w:sz w:val="32"/>
          <w:szCs w:val="32"/>
          <w:lang w:val="en-US" w:eastAsia="zh-CN"/>
        </w:rPr>
        <w:t>模式一：</w:t>
      </w:r>
      <w:r>
        <w:rPr>
          <w:rFonts w:hint="eastAsia" w:ascii="Times New Roman" w:hAnsi="Times New Roman" w:eastAsia="仿宋_GB2312" w:cs="仿宋_GB2312"/>
          <w:spacing w:val="-5"/>
          <w:sz w:val="32"/>
          <w:szCs w:val="32"/>
        </w:rPr>
        <w:t>社会资本与市、县融资平台合作或独立参与片区土地整理开发的改造项目，安置与开发实用地按不大于1</w:t>
      </w:r>
      <w:r>
        <w:rPr>
          <w:rFonts w:hint="eastAsia" w:ascii="Times New Roman" w:hAnsi="Times New Roman" w:eastAsia="仿宋_GB2312" w:cs="仿宋_GB2312"/>
          <w:spacing w:val="-5"/>
          <w:sz w:val="32"/>
          <w:szCs w:val="32"/>
          <w:lang w:eastAsia="zh-CN"/>
        </w:rPr>
        <w:t>：</w:t>
      </w:r>
      <w:r>
        <w:rPr>
          <w:rFonts w:hint="eastAsia" w:ascii="Times New Roman" w:hAnsi="Times New Roman" w:eastAsia="仿宋_GB2312" w:cs="仿宋_GB2312"/>
          <w:spacing w:val="-5"/>
          <w:sz w:val="32"/>
          <w:szCs w:val="32"/>
          <w:lang w:val="en-US" w:eastAsia="zh-CN"/>
        </w:rPr>
        <w:t>3</w:t>
      </w:r>
      <w:r>
        <w:rPr>
          <w:rFonts w:hint="eastAsia" w:ascii="Times New Roman" w:hAnsi="Times New Roman" w:eastAsia="仿宋_GB2312" w:cs="仿宋_GB2312"/>
          <w:spacing w:val="-5"/>
          <w:sz w:val="32"/>
          <w:szCs w:val="32"/>
        </w:rPr>
        <w:t>比例管控</w:t>
      </w:r>
      <w:r>
        <w:rPr>
          <w:rFonts w:hint="eastAsia" w:ascii="Times New Roman" w:hAnsi="Times New Roman" w:eastAsia="仿宋_GB2312" w:cs="仿宋_GB2312"/>
          <w:spacing w:val="-5"/>
          <w:sz w:val="32"/>
          <w:szCs w:val="32"/>
          <w:lang w:eastAsia="zh-CN"/>
        </w:rPr>
        <w:t>，</w:t>
      </w:r>
      <w:r>
        <w:rPr>
          <w:rFonts w:hint="eastAsia" w:ascii="Times New Roman" w:hAnsi="Times New Roman" w:eastAsia="仿宋_GB2312" w:cs="仿宋_GB2312"/>
          <w:spacing w:val="-5"/>
          <w:sz w:val="32"/>
          <w:szCs w:val="32"/>
        </w:rPr>
        <w:t>改造范围内涉及的国有土地纳入统一核算。安置与配套开发用地出让金全额上缴，扣除上解、计提及组织土地出让等相关费用后，剩余金额全部拨付乡镇（街道），用于项目改造范围内征迁补偿安置和道路、绿化、管网等公共基础设施建设。土地出让时，企业先期缴纳至指定专户的征迁补偿和安置资金，经乡镇（街道）同意后，可以用于土地出让金的缴纳周转，封闭运行。</w:t>
      </w:r>
    </w:p>
    <w:p>
      <w:pPr>
        <w:widowControl w:val="0"/>
        <w:wordWrap/>
        <w:adjustRightInd/>
        <w:snapToGrid/>
        <w:spacing w:line="604" w:lineRule="exact"/>
        <w:ind w:left="0" w:leftChars="0" w:right="0" w:firstLine="620" w:firstLineChars="200"/>
        <w:jc w:val="both"/>
        <w:textAlignment w:val="auto"/>
        <w:outlineLvl w:val="9"/>
        <w:rPr>
          <w:rFonts w:hint="eastAsia" w:ascii="Times New Roman" w:hAnsi="Times New Roman" w:eastAsia="仿宋_GB2312" w:cs="仿宋_GB2312"/>
          <w:spacing w:val="-5"/>
          <w:sz w:val="32"/>
          <w:szCs w:val="32"/>
        </w:rPr>
      </w:pPr>
      <w:r>
        <w:rPr>
          <w:rFonts w:hint="eastAsia" w:ascii="Times New Roman" w:hAnsi="Times New Roman" w:eastAsia="仿宋_GB2312" w:cs="仿宋_GB2312"/>
          <w:spacing w:val="-5"/>
          <w:sz w:val="32"/>
          <w:szCs w:val="32"/>
        </w:rPr>
        <w:t>更新改造项目范围内的边角用地（一般不超过</w:t>
      </w:r>
      <w:r>
        <w:rPr>
          <w:rFonts w:hint="eastAsia" w:ascii="Times New Roman" w:hAnsi="Times New Roman" w:eastAsia="仿宋_GB2312" w:cs="仿宋_GB2312"/>
          <w:spacing w:val="-5"/>
          <w:sz w:val="32"/>
          <w:szCs w:val="32"/>
          <w:lang w:val="en-US" w:eastAsia="zh-CN"/>
        </w:rPr>
        <w:t>10</w:t>
      </w:r>
      <w:bookmarkStart w:id="0" w:name="_GoBack"/>
      <w:bookmarkEnd w:id="0"/>
      <w:r>
        <w:rPr>
          <w:rFonts w:hint="eastAsia" w:ascii="Times New Roman" w:hAnsi="Times New Roman" w:eastAsia="仿宋_GB2312" w:cs="仿宋_GB2312"/>
          <w:spacing w:val="-5"/>
          <w:sz w:val="32"/>
          <w:szCs w:val="32"/>
        </w:rPr>
        <w:t>亩），不再用于出让开发，由县政府统筹安排使用（用于公共停车场、游园、体育公园、便民服务中心等公共类设施建设）；安置与开发比例外的剩余土地由县政府统一收储。</w:t>
      </w:r>
    </w:p>
    <w:p>
      <w:pPr>
        <w:widowControl w:val="0"/>
        <w:wordWrap/>
        <w:adjustRightInd/>
        <w:snapToGrid/>
        <w:spacing w:line="604" w:lineRule="exact"/>
        <w:ind w:left="0" w:leftChars="0" w:right="0" w:firstLine="623" w:firstLineChars="200"/>
        <w:jc w:val="both"/>
        <w:textAlignment w:val="auto"/>
        <w:outlineLvl w:val="9"/>
        <w:rPr>
          <w:rFonts w:hint="eastAsia" w:ascii="Times New Roman" w:hAnsi="Times New Roman" w:eastAsia="仿宋_GB2312" w:cs="仿宋_GB2312"/>
          <w:spacing w:val="-5"/>
          <w:sz w:val="32"/>
          <w:szCs w:val="32"/>
        </w:rPr>
      </w:pPr>
      <w:r>
        <w:rPr>
          <w:rFonts w:hint="eastAsia" w:ascii="Times New Roman" w:hAnsi="Times New Roman" w:eastAsia="仿宋_GB2312" w:cs="仿宋_GB2312"/>
          <w:b/>
          <w:bCs/>
          <w:spacing w:val="-5"/>
          <w:sz w:val="32"/>
          <w:szCs w:val="32"/>
          <w:lang w:val="en-US" w:eastAsia="zh-CN"/>
        </w:rPr>
        <w:t>模式二：</w:t>
      </w:r>
      <w:r>
        <w:rPr>
          <w:rFonts w:hint="eastAsia" w:ascii="Times New Roman" w:hAnsi="Times New Roman" w:eastAsia="仿宋_GB2312" w:cs="仿宋_GB2312"/>
          <w:spacing w:val="-5"/>
          <w:sz w:val="32"/>
          <w:szCs w:val="32"/>
        </w:rPr>
        <w:t>社会资本仅参与区域开发片区土地整理项目，土地出让金全额上缴，扣除上解、</w:t>
      </w:r>
      <w:r>
        <w:rPr>
          <w:rFonts w:hint="eastAsia" w:ascii="Calibri" w:hAnsi="Calibri" w:eastAsia="宋体" w:cs="黑体"/>
          <w:color w:val="auto"/>
          <w:kern w:val="2"/>
          <w:sz w:val="21"/>
          <w:szCs w:val="24"/>
          <w:lang w:val="en-US" w:eastAsia="zh-CN" w:bidi="ar-SA"/>
        </w:rPr>
        <w:pict>
          <v:shape id="_x0000_s1030" o:spid="_x0000_s1030" o:spt="75" type="#_x0000_t75" style="position:absolute;left:0pt;margin-left:698.5pt;margin-top:92pt;height:312.1pt;width:415.15pt;mso-position-horizontal-relative:page;mso-position-vertical-relative:page;mso-wrap-distance-bottom:0pt;mso-wrap-distance-left:9pt;mso-wrap-distance-right:9pt;mso-wrap-distance-top:0pt;z-index:251662336;mso-width-relative:page;mso-height-relative:page;" fillcolor="#FFFFFF" filled="f" o:preferrelative="t" stroked="f" coordsize="21600,21600">
            <v:path/>
            <v:fill on="f" color2="#FFFFFF" focussize="0,0"/>
            <v:stroke on="f"/>
            <v:imagedata r:id="rId7" gain="65536f" blacklevel="0f" gamma="0" o:title=""/>
            <o:lock v:ext="edit" position="f" selection="f" grouping="f" rotation="f" cropping="f" text="f" aspectratio="t"/>
            <w10:wrap type="square"/>
          </v:shape>
        </w:pict>
      </w:r>
      <w:r>
        <w:rPr>
          <w:rFonts w:hint="eastAsia" w:ascii="Times New Roman" w:hAnsi="Times New Roman" w:eastAsia="仿宋_GB2312" w:cs="仿宋_GB2312"/>
          <w:spacing w:val="-5"/>
          <w:sz w:val="32"/>
          <w:szCs w:val="32"/>
        </w:rPr>
        <w:t>计提、组织土地出让等费用后，剩余金额全部拨付乡镇（街道）。土地出让收入小于片区整理改造成本的，县政府在城控区范围内统筹平衡。</w:t>
      </w:r>
    </w:p>
    <w:p>
      <w:pPr>
        <w:widowControl w:val="0"/>
        <w:wordWrap/>
        <w:adjustRightInd/>
        <w:snapToGrid/>
        <w:spacing w:line="604" w:lineRule="exact"/>
        <w:ind w:left="0" w:leftChars="0" w:right="0" w:firstLine="620" w:firstLineChars="200"/>
        <w:jc w:val="both"/>
        <w:textAlignment w:val="auto"/>
        <w:outlineLvl w:val="9"/>
        <w:rPr>
          <w:rFonts w:hint="eastAsia" w:ascii="仿宋" w:hAnsi="仿宋" w:eastAsia="仿宋" w:cs="仿宋"/>
          <w:sz w:val="32"/>
          <w:szCs w:val="32"/>
          <w:lang w:val="en-US" w:eastAsia="zh-CN"/>
        </w:rPr>
      </w:pPr>
      <w:r>
        <w:rPr>
          <w:rFonts w:hint="eastAsia" w:ascii="Times New Roman" w:hAnsi="Times New Roman" w:eastAsia="仿宋_GB2312" w:cs="仿宋_GB2312"/>
          <w:spacing w:val="-5"/>
          <w:sz w:val="32"/>
          <w:szCs w:val="32"/>
        </w:rPr>
        <w:t>区域更新改造方案经县政府批准后，中标的投资主体在5日内应与项目辖区政府（办事</w:t>
      </w:r>
      <w:r>
        <w:rPr>
          <w:rFonts w:hint="eastAsia" w:ascii="仿宋" w:hAnsi="仿宋" w:eastAsia="仿宋" w:cs="仿宋"/>
          <w:b/>
          <w:bCs/>
          <w:color w:val="auto"/>
          <w:kern w:val="2"/>
          <w:sz w:val="32"/>
          <w:szCs w:val="32"/>
          <w:lang w:val="en-US" w:eastAsia="zh-CN" w:bidi="ar-SA"/>
        </w:rPr>
        <w:pict>
          <v:shape id="图片 5" o:spid="_x0000_s1031" o:spt="75" type="#_x0000_t75" style="position:absolute;left:0pt;margin-left:694.8pt;margin-top:75.6pt;height:261.7pt;width:419.9pt;mso-position-horizontal-relative:page;mso-position-vertical-relative:page;mso-wrap-distance-bottom:0pt;mso-wrap-distance-left:9pt;mso-wrap-distance-right:9pt;mso-wrap-distance-top:0pt;z-index:251663360;mso-width-relative:page;mso-height-relative:page;" fillcolor="#FFFFFF" filled="f" o:preferrelative="t" stroked="f" coordsize="21600,21600">
            <v:path/>
            <v:fill on="f" color2="#FFFFFF" focussize="0,0"/>
            <v:stroke on="f"/>
            <v:imagedata r:id="rId8" gain="65536f" blacklevel="0f" gamma="0" o:title=""/>
            <o:lock v:ext="edit" position="f" selection="f" grouping="f" rotation="f" cropping="f" text="f" aspectratio="t"/>
            <w10:wrap type="square"/>
          </v:shape>
        </w:pict>
      </w:r>
      <w:r>
        <w:rPr>
          <w:rFonts w:hint="eastAsia" w:ascii="Times New Roman" w:hAnsi="Times New Roman" w:eastAsia="仿宋_GB2312" w:cs="仿宋_GB2312"/>
          <w:spacing w:val="-5"/>
          <w:sz w:val="32"/>
          <w:szCs w:val="32"/>
        </w:rPr>
        <w:t>处）签订合作协议，并在中标通知书发出30日内将项目所需资金，包括征迁补偿、安置资金等所有费用，足额交存辖区政府（办事处）指定专户，所存资金支出必须符合项目用途，与进度一致</w:t>
      </w:r>
      <w:r>
        <w:rPr>
          <w:rFonts w:hint="eastAsia" w:ascii="Times New Roman" w:hAnsi="Times New Roman" w:eastAsia="仿宋_GB2312" w:cs="仿宋_GB2312"/>
          <w:spacing w:val="-5"/>
          <w:sz w:val="32"/>
          <w:szCs w:val="32"/>
          <w:lang w:eastAsia="zh-CN"/>
        </w:rPr>
        <w:t>。</w:t>
      </w:r>
    </w:p>
    <w:p>
      <w:pPr>
        <w:pStyle w:val="5"/>
        <w:rPr>
          <w:rFonts w:hint="default"/>
          <w:lang w:val="en-US" w:eastAsia="zh-CN"/>
        </w:rPr>
      </w:pPr>
    </w:p>
    <w:p>
      <w:pPr>
        <w:numPr>
          <w:ilvl w:val="0"/>
          <w:numId w:val="1"/>
        </w:numPr>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安置</w:t>
      </w:r>
      <w:r>
        <w:rPr>
          <w:rFonts w:hint="eastAsia" w:ascii="仿宋" w:hAnsi="仿宋" w:eastAsia="仿宋" w:cs="仿宋"/>
          <w:b/>
          <w:bCs/>
          <w:color w:val="auto"/>
          <w:sz w:val="32"/>
          <w:szCs w:val="32"/>
          <w:lang w:val="en-US" w:eastAsia="zh-CN"/>
        </w:rPr>
        <w:t>房建设及团购项目</w:t>
      </w:r>
    </w:p>
    <w:p>
      <w:pPr>
        <w:numPr>
          <w:ilvl w:val="0"/>
          <w:numId w:val="0"/>
        </w:numPr>
        <w:ind w:firstLine="643" w:firstLineChars="200"/>
        <w:rPr>
          <w:rFonts w:hint="eastAsia" w:ascii="仿宋" w:hAnsi="仿宋" w:eastAsia="仿宋" w:cs="仿宋"/>
          <w:b/>
          <w:bCs/>
          <w:color w:val="auto"/>
          <w:sz w:val="32"/>
          <w:szCs w:val="32"/>
          <w:lang w:val="en-US" w:eastAsia="zh-CN"/>
        </w:rPr>
      </w:pPr>
      <w:r>
        <w:rPr>
          <w:rFonts w:hint="default" w:ascii="Calibri" w:hAnsi="Calibri" w:eastAsia="仿宋" w:cs="Calibri"/>
          <w:b/>
          <w:bCs/>
          <w:color w:val="auto"/>
          <w:sz w:val="32"/>
          <w:szCs w:val="32"/>
        </w:rPr>
        <w:t>①</w:t>
      </w:r>
      <w:r>
        <w:rPr>
          <w:rFonts w:hint="eastAsia" w:ascii="仿宋" w:hAnsi="仿宋" w:eastAsia="仿宋" w:cs="仿宋"/>
          <w:b/>
          <w:bCs/>
          <w:color w:val="auto"/>
          <w:sz w:val="32"/>
          <w:szCs w:val="32"/>
        </w:rPr>
        <w:t>安置</w:t>
      </w:r>
      <w:r>
        <w:rPr>
          <w:rFonts w:hint="eastAsia" w:ascii="仿宋" w:hAnsi="仿宋" w:eastAsia="仿宋" w:cs="仿宋"/>
          <w:b/>
          <w:bCs/>
          <w:color w:val="auto"/>
          <w:sz w:val="32"/>
          <w:szCs w:val="32"/>
          <w:lang w:val="en-US" w:eastAsia="zh-CN"/>
        </w:rPr>
        <w:t>房建设：</w:t>
      </w:r>
    </w:p>
    <w:p>
      <w:pPr>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安置区位置：</w:t>
      </w:r>
      <w:r>
        <w:rPr>
          <w:rFonts w:hint="eastAsia" w:ascii="仿宋" w:hAnsi="仿宋" w:eastAsia="仿宋" w:cs="仿宋"/>
          <w:color w:val="auto"/>
          <w:sz w:val="32"/>
          <w:szCs w:val="32"/>
        </w:rPr>
        <w:t>安置区采取</w:t>
      </w:r>
      <w:r>
        <w:rPr>
          <w:rFonts w:hint="eastAsia" w:ascii="仿宋" w:hAnsi="仿宋" w:eastAsia="仿宋" w:cs="仿宋"/>
          <w:color w:val="auto"/>
          <w:sz w:val="32"/>
          <w:szCs w:val="32"/>
          <w:lang w:eastAsia="zh-CN"/>
        </w:rPr>
        <w:t>异地安置</w:t>
      </w:r>
      <w:r>
        <w:rPr>
          <w:rFonts w:hint="eastAsia" w:ascii="仿宋" w:hAnsi="仿宋" w:eastAsia="仿宋" w:cs="仿宋"/>
          <w:color w:val="auto"/>
          <w:sz w:val="32"/>
          <w:szCs w:val="32"/>
        </w:rPr>
        <w:t>的方法</w:t>
      </w:r>
      <w:r>
        <w:rPr>
          <w:rFonts w:hint="eastAsia"/>
          <w:color w:val="auto"/>
        </w:rPr>
        <w:t>，</w:t>
      </w:r>
      <w:r>
        <w:rPr>
          <w:rFonts w:hint="eastAsia" w:ascii="仿宋" w:hAnsi="仿宋" w:eastAsia="仿宋" w:cs="仿宋"/>
          <w:color w:val="auto"/>
          <w:sz w:val="32"/>
          <w:szCs w:val="32"/>
          <w:lang w:val="en-US" w:eastAsia="zh-CN"/>
        </w:rPr>
        <w:t>位于为</w:t>
      </w:r>
      <w:r>
        <w:rPr>
          <w:rFonts w:hint="eastAsia" w:ascii="仿宋" w:hAnsi="仿宋" w:eastAsia="仿宋" w:cs="仿宋"/>
          <w:color w:val="auto"/>
          <w:sz w:val="32"/>
          <w:szCs w:val="32"/>
          <w:lang w:eastAsia="zh-CN"/>
        </w:rPr>
        <w:t>雪枫路以南，菩提路以西，北大街以东，中山街以北，</w:t>
      </w:r>
      <w:r>
        <w:rPr>
          <w:rFonts w:hint="eastAsia" w:ascii="仿宋" w:hAnsi="仿宋" w:eastAsia="仿宋" w:cs="仿宋"/>
          <w:color w:val="auto"/>
          <w:sz w:val="32"/>
          <w:szCs w:val="32"/>
        </w:rPr>
        <w:t>项目拟建总建筑面积126183.41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，其中：地上建筑面积109683.55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（包括住宅</w:t>
      </w:r>
      <w:r>
        <w:rPr>
          <w:rFonts w:hint="eastAsia" w:ascii="仿宋" w:hAnsi="仿宋" w:eastAsia="仿宋" w:cs="仿宋"/>
          <w:color w:val="auto"/>
          <w:sz w:val="32"/>
          <w:szCs w:val="32"/>
          <w:lang w:val="en-US" w:eastAsia="zh-CN"/>
        </w:rPr>
        <w:t>760</w:t>
      </w:r>
      <w:r>
        <w:rPr>
          <w:rFonts w:hint="eastAsia" w:ascii="仿宋" w:hAnsi="仿宋" w:eastAsia="仿宋" w:cs="仿宋"/>
          <w:color w:val="auto"/>
          <w:sz w:val="32"/>
          <w:szCs w:val="32"/>
        </w:rPr>
        <w:t>套、建筑面积95631.55</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商业面积13120.78㎡，</w:t>
      </w:r>
      <w:r>
        <w:rPr>
          <w:rFonts w:hint="eastAsia" w:ascii="仿宋" w:hAnsi="仿宋" w:eastAsia="仿宋" w:cs="仿宋"/>
          <w:color w:val="auto"/>
          <w:sz w:val="32"/>
          <w:szCs w:val="32"/>
        </w:rPr>
        <w:t>物业用房和配套服务用房</w:t>
      </w:r>
      <w:r>
        <w:rPr>
          <w:rFonts w:hint="eastAsia" w:ascii="仿宋" w:hAnsi="仿宋" w:eastAsia="仿宋" w:cs="仿宋"/>
          <w:color w:val="auto"/>
          <w:sz w:val="32"/>
          <w:szCs w:val="32"/>
          <w:lang w:val="en-US" w:eastAsia="zh-CN"/>
        </w:rPr>
        <w:t>931.23㎡</w:t>
      </w:r>
      <w:r>
        <w:rPr>
          <w:rFonts w:hint="eastAsia" w:ascii="仿宋" w:hAnsi="仿宋" w:eastAsia="仿宋" w:cs="仿宋"/>
          <w:color w:val="auto"/>
          <w:sz w:val="32"/>
          <w:szCs w:val="32"/>
        </w:rPr>
        <w:t>），地下建筑面积16499.86</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。建设内容主要为住宅、物业和</w:t>
      </w:r>
      <w:r>
        <w:rPr>
          <w:rFonts w:hint="eastAsia" w:ascii="仿宋" w:hAnsi="仿宋" w:eastAsia="仿宋" w:cs="仿宋"/>
          <w:color w:val="auto"/>
          <w:sz w:val="32"/>
          <w:szCs w:val="32"/>
          <w:lang w:val="en-US" w:eastAsia="zh-CN"/>
        </w:rPr>
        <w:t>配套</w:t>
      </w:r>
      <w:r>
        <w:rPr>
          <w:rFonts w:hint="eastAsia" w:ascii="仿宋" w:hAnsi="仿宋" w:eastAsia="仿宋" w:cs="仿宋"/>
          <w:color w:val="auto"/>
          <w:sz w:val="32"/>
          <w:szCs w:val="32"/>
        </w:rPr>
        <w:t>服务用房以及小区内的绿化、硬化、给排水、电力等附属配套设施的建设。</w:t>
      </w:r>
    </w:p>
    <w:p>
      <w:pPr>
        <w:numPr>
          <w:ilvl w:val="0"/>
          <w:numId w:val="0"/>
        </w:numPr>
        <w:ind w:firstLine="643" w:firstLineChars="200"/>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安置区区位优势</w:t>
      </w:r>
      <w:r>
        <w:rPr>
          <w:rFonts w:hint="eastAsia" w:ascii="仿宋" w:hAnsi="仿宋" w:eastAsia="仿宋" w:cs="仿宋"/>
          <w:color w:val="auto"/>
          <w:sz w:val="32"/>
          <w:szCs w:val="32"/>
          <w:lang w:val="en-US" w:eastAsia="zh-CN"/>
        </w:rPr>
        <w:t>：安置区周边配套设施完善，功能齐全，东侧毗邻县中医院、县直幼儿园、二小，南侧毗邻璜学广场、财政局，西侧毗邻察院小学、二初中，北侧毗邻玉兰广场。</w:t>
      </w:r>
    </w:p>
    <w:p>
      <w:pPr>
        <w:pStyle w:val="6"/>
        <w:spacing w:line="240" w:lineRule="auto"/>
        <w:ind w:left="0" w:leftChars="0" w:firstLine="0" w:firstLineChars="0"/>
        <w:jc w:val="center"/>
      </w:pPr>
    </w:p>
    <w:p>
      <w:pPr>
        <w:widowControl w:val="0"/>
        <w:wordWrap/>
        <w:adjustRightInd/>
        <w:snapToGrid/>
        <w:spacing w:line="600" w:lineRule="exact"/>
        <w:ind w:left="0" w:leftChars="0" w:right="0" w:firstLine="623" w:firstLineChars="200"/>
        <w:jc w:val="both"/>
        <w:textAlignment w:val="auto"/>
        <w:outlineLvl w:val="9"/>
        <w:rPr>
          <w:rFonts w:hint="default" w:ascii="仿宋" w:hAnsi="仿宋" w:eastAsia="仿宋" w:cs="仿宋"/>
          <w:b/>
          <w:bCs/>
          <w:spacing w:val="-5"/>
          <w:sz w:val="32"/>
          <w:lang w:val="en-US" w:eastAsia="zh-CN"/>
        </w:rPr>
      </w:pPr>
      <w:r>
        <w:rPr>
          <w:rFonts w:hint="eastAsia" w:ascii="仿宋" w:hAnsi="仿宋" w:eastAsia="仿宋" w:cs="仿宋"/>
          <w:b/>
          <w:bCs/>
          <w:spacing w:val="-5"/>
          <w:sz w:val="32"/>
          <w:lang w:eastAsia="zh-CN"/>
        </w:rPr>
        <w:t>项目成熟度及投资规模：</w:t>
      </w:r>
      <w:r>
        <w:rPr>
          <w:rFonts w:hint="eastAsia" w:ascii="仿宋" w:hAnsi="仿宋" w:eastAsia="仿宋" w:cs="仿宋"/>
          <w:b w:val="0"/>
          <w:bCs w:val="0"/>
          <w:spacing w:val="-5"/>
          <w:sz w:val="32"/>
          <w:lang w:val="en-US" w:eastAsia="zh-CN"/>
        </w:rPr>
        <w:t>该项目已完成报批工作，已纳入河南省2022年保障房台账，项目前期手续已办理完毕，安置地块土地已拆迁完毕，资金到位后即可进场施工。</w:t>
      </w:r>
    </w:p>
    <w:p>
      <w:pPr>
        <w:pStyle w:val="5"/>
        <w:spacing w:line="240" w:lineRule="auto"/>
        <w:ind w:firstLine="643" w:firstLineChars="200"/>
        <w:jc w:val="left"/>
        <w:rPr>
          <w:rFonts w:hint="default" w:ascii="Calibri" w:hAnsi="Calibri" w:eastAsia="仿宋" w:cs="Calibri"/>
          <w:b/>
          <w:bCs/>
          <w:color w:val="auto"/>
          <w:sz w:val="32"/>
          <w:szCs w:val="32"/>
        </w:rPr>
      </w:pPr>
    </w:p>
    <w:p>
      <w:pPr>
        <w:pStyle w:val="5"/>
        <w:spacing w:line="240" w:lineRule="auto"/>
        <w:ind w:firstLine="643" w:firstLineChars="200"/>
        <w:jc w:val="left"/>
        <w:rPr>
          <w:rFonts w:hint="default"/>
          <w:b w:val="0"/>
          <w:bCs w:val="0"/>
          <w:lang w:val="en-US" w:eastAsia="zh-CN"/>
        </w:rPr>
      </w:pPr>
      <w:r>
        <w:rPr>
          <w:rFonts w:hint="default" w:ascii="Calibri" w:hAnsi="Calibri" w:eastAsia="仿宋" w:cs="Calibri"/>
          <w:b/>
          <w:bCs/>
          <w:color w:val="auto"/>
          <w:sz w:val="32"/>
          <w:szCs w:val="32"/>
        </w:rPr>
        <w:t>②</w:t>
      </w:r>
      <w:r>
        <w:rPr>
          <w:rFonts w:hint="eastAsia" w:ascii="仿宋" w:hAnsi="仿宋" w:eastAsia="仿宋" w:cs="仿宋"/>
          <w:b/>
          <w:bCs/>
          <w:color w:val="auto"/>
          <w:sz w:val="32"/>
          <w:szCs w:val="32"/>
          <w:lang w:val="en-US" w:eastAsia="zh-CN"/>
        </w:rPr>
        <w:t>团购“安置房超市”：</w:t>
      </w:r>
      <w:r>
        <w:rPr>
          <w:rFonts w:hint="eastAsia" w:ascii="仿宋" w:hAnsi="仿宋" w:eastAsia="仿宋" w:cs="仿宋"/>
          <w:b w:val="0"/>
          <w:bCs w:val="0"/>
          <w:color w:val="auto"/>
          <w:sz w:val="32"/>
          <w:szCs w:val="32"/>
          <w:lang w:val="en-US" w:eastAsia="zh-CN"/>
        </w:rPr>
        <w:t>由县政府提供片区开发规划区范围内已建楼盘组建“安置房超市”，采取团购方式，用于征迁户的安置选房。</w:t>
      </w:r>
    </w:p>
    <w:p>
      <w:pPr>
        <w:pStyle w:val="2"/>
        <w:rPr>
          <w:rFonts w:hint="eastAsia"/>
          <w:lang w:eastAsia="zh-CN"/>
        </w:rPr>
      </w:pPr>
    </w:p>
    <w:sectPr>
      <w:pgSz w:w="23760" w:h="16781" w:orient="landscape"/>
      <w:pgMar w:top="1417" w:right="1417" w:bottom="1417" w:left="1417" w:header="851" w:footer="1304" w:gutter="0"/>
      <w:cols w:space="72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E703FF"/>
    <w:multiLevelType w:val="singleLevel"/>
    <w:tmpl w:val="A6E703F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000000"/>
    <w:rsid w:val="001670C2"/>
    <w:rsid w:val="04407594"/>
    <w:rsid w:val="05B567DB"/>
    <w:rsid w:val="07454B26"/>
    <w:rsid w:val="13B06FDF"/>
    <w:rsid w:val="222928F9"/>
    <w:rsid w:val="24EA6C4B"/>
    <w:rsid w:val="25E67EAF"/>
    <w:rsid w:val="2A3A59DC"/>
    <w:rsid w:val="2F6859FF"/>
    <w:rsid w:val="41CB1A4D"/>
    <w:rsid w:val="4EE7621A"/>
    <w:rsid w:val="4F9935DA"/>
    <w:rsid w:val="501D5506"/>
    <w:rsid w:val="53213AEF"/>
    <w:rsid w:val="5C642943"/>
    <w:rsid w:val="5E31686D"/>
    <w:rsid w:val="61D31263"/>
    <w:rsid w:val="65DA51F7"/>
    <w:rsid w:val="6B6515DC"/>
    <w:rsid w:val="6FD4423D"/>
    <w:rsid w:val="7314596F"/>
    <w:rsid w:val="770A52AB"/>
    <w:rsid w:val="7BF32EA1"/>
    <w:rsid w:val="7EF257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7">
    <w:name w:val="heading 2"/>
    <w:basedOn w:val="1"/>
    <w:next w:val="1"/>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widowControl w:val="0"/>
      <w:spacing w:before="0" w:beforeAutospacing="0" w:after="120" w:afterAutospacing="0"/>
      <w:ind w:left="420" w:leftChars="200" w:right="0" w:firstLine="420" w:firstLineChars="200"/>
      <w:jc w:val="both"/>
    </w:pPr>
    <w:rPr>
      <w:rFonts w:hint="default" w:ascii="Times New Roman" w:hAnsi="Times New Roman" w:eastAsia="宋体" w:cs="Times New Roman"/>
      <w:kern w:val="2"/>
      <w:sz w:val="21"/>
      <w:szCs w:val="24"/>
      <w:lang w:val="en-US" w:eastAsia="zh-CN"/>
    </w:rPr>
  </w:style>
  <w:style w:type="paragraph" w:styleId="3">
    <w:name w:val="Body Text Indent"/>
    <w:basedOn w:val="1"/>
    <w:next w:val="4"/>
    <w:qFormat/>
    <w:uiPriority w:val="0"/>
    <w:pPr>
      <w:spacing w:line="240" w:lineRule="exact"/>
      <w:ind w:firstLine="0" w:firstLineChars="0"/>
      <w:jc w:val="center"/>
    </w:pPr>
    <w:rPr>
      <w:rFonts w:ascii="Times New Roman" w:hAnsi="Times New Roman" w:eastAsia="宋体"/>
      <w:sz w:val="21"/>
    </w:rPr>
  </w:style>
  <w:style w:type="paragraph" w:styleId="4">
    <w:name w:val="envelope return"/>
    <w:basedOn w:val="1"/>
    <w:unhideWhenUsed/>
    <w:qFormat/>
    <w:uiPriority w:val="99"/>
    <w:rPr>
      <w:rFonts w:ascii="Arial" w:hAnsi="Arial"/>
    </w:rPr>
  </w:style>
  <w:style w:type="paragraph" w:styleId="5">
    <w:name w:val="Body Text"/>
    <w:basedOn w:val="1"/>
    <w:next w:val="6"/>
    <w:qFormat/>
    <w:uiPriority w:val="0"/>
    <w:pPr>
      <w:spacing w:line="240" w:lineRule="exact"/>
      <w:ind w:firstLine="0" w:firstLineChars="0"/>
      <w:jc w:val="center"/>
    </w:pPr>
    <w:rPr>
      <w:rFonts w:ascii="Times New Roman" w:hAnsi="Times New Roman" w:eastAsia="宋体"/>
      <w:kern w:val="0"/>
      <w:sz w:val="21"/>
      <w:szCs w:val="24"/>
    </w:rPr>
  </w:style>
  <w:style w:type="paragraph" w:styleId="6">
    <w:name w:val="Body Text 2"/>
    <w:basedOn w:val="1"/>
    <w:next w:val="5"/>
    <w:qFormat/>
    <w:uiPriority w:val="0"/>
    <w:pPr>
      <w:spacing w:after="120" w:afterLines="0" w:afterAutospacing="0" w:line="480" w:lineRule="auto"/>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0">
    <w:name w:val="Normal (Web)"/>
    <w:basedOn w:val="1"/>
    <w:qFormat/>
    <w:uiPriority w:val="0"/>
    <w:pPr>
      <w:spacing w:before="0" w:beforeAutospacing="1" w:after="0" w:afterAutospacing="1"/>
      <w:ind w:left="0" w:right="0"/>
      <w:jc w:val="left"/>
    </w:pPr>
    <w:rPr>
      <w:kern w:val="0"/>
      <w:sz w:val="24"/>
      <w:u w:val="none"/>
      <w:lang w:val="en-US" w:eastAsia="zh-CN"/>
    </w:rPr>
  </w:style>
  <w:style w:type="character" w:styleId="13">
    <w:name w:val="FollowedHyperlink"/>
    <w:basedOn w:val="12"/>
    <w:qFormat/>
    <w:uiPriority w:val="0"/>
    <w:rPr>
      <w:color w:val="800080"/>
      <w:u w:val="none"/>
    </w:rPr>
  </w:style>
  <w:style w:type="character" w:styleId="14">
    <w:name w:val="Emphasis"/>
    <w:basedOn w:val="12"/>
    <w:qFormat/>
    <w:uiPriority w:val="0"/>
    <w:rPr>
      <w:i/>
    </w:rPr>
  </w:style>
  <w:style w:type="character" w:styleId="15">
    <w:name w:val="Hyperlink"/>
    <w:basedOn w:val="12"/>
    <w:qFormat/>
    <w:uiPriority w:val="0"/>
    <w:rPr>
      <w:color w:val="0000FF"/>
      <w:u w:val="none"/>
    </w:rPr>
  </w:style>
  <w:style w:type="character" w:customStyle="1" w:styleId="16">
    <w:name w:val="hover29"/>
    <w:basedOn w:val="12"/>
    <w:qFormat/>
    <w:uiPriority w:val="0"/>
  </w:style>
  <w:style w:type="character" w:customStyle="1" w:styleId="17">
    <w:name w:val="hover30"/>
    <w:basedOn w:val="12"/>
    <w:qFormat/>
    <w:uiPriority w:val="0"/>
  </w:style>
  <w:style w:type="character" w:customStyle="1" w:styleId="18">
    <w:name w:val="hover31"/>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1778</Words>
  <Characters>1919</Characters>
  <Lines>0</Lines>
  <Paragraphs>0</Paragraphs>
  <TotalTime>3</TotalTime>
  <ScaleCrop>false</ScaleCrop>
  <LinksUpToDate>false</LinksUpToDate>
  <CharactersWithSpaces>1927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2021-07-08T00:49:00Z</dcterms:created>
  <dc:creator>Administrator</dc:creator>
  <cp:lastModifiedBy>Administrator</cp:lastModifiedBy>
  <cp:lastPrinted>2022-04-04T01:56:00Z</cp:lastPrinted>
  <dcterms:modified xsi:type="dcterms:W3CDTF">2022-04-14T08:30:34Z</dcterms:modified>
  <dc:title>镇平县古城片区棚户区改造项目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4D7AA97A083C4BA2B3CB5F377B4E8BA6</vt:lpwstr>
  </property>
</Properties>
</file>