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Tencent Java 1.8.0_262 on Linux -->
    <w:p>
      <w:pPr>
        <w:snapToGrid w:val="false"/>
        <w:spacing w:before="0" w:after="0" w:line="560" w:lineRule="exact"/>
        <w:ind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kern w:val="0"/>
          <w:sz w:val="32"/>
          <w:szCs w:val="32"/>
        </w:rPr>
        <w:t xml:space="preserve">附件2 </w:t>
      </w:r>
    </w:p>
    <w:p>
      <w:pPr>
        <w:snapToGrid w:val="false"/>
        <w:spacing w:before="0" w:after="0" w:line="560" w:lineRule="exact"/>
        <w:ind/>
        <w:jc w:val="center"/>
        <w:rPr>
          <w:rFonts w:ascii="黑体" w:hAnsi="黑体" w:eastAsia="黑体"/>
          <w:color w:val="000000"/>
          <w:kern w:val="0"/>
          <w:sz w:val="36"/>
          <w:szCs w:val="36"/>
        </w:rPr>
      </w:pPr>
      <w:r>
        <w:rPr>
          <w:rFonts w:ascii="黑体" w:hAnsi="黑体" w:eastAsia="黑体"/>
          <w:color w:val="000000"/>
          <w:kern w:val="0"/>
          <w:sz w:val="36"/>
          <w:szCs w:val="36"/>
        </w:rPr>
        <w:t>镇平县“五项管理”督查表</w:t>
      </w:r>
    </w:p>
    <w:p>
      <w:pPr>
        <w:snapToGrid w:val="false"/>
        <w:spacing w:before="0" w:after="0" w:line="560" w:lineRule="exact"/>
        <w:ind/>
        <w:jc w:val="both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ascii="黑体" w:hAnsi="黑体" w:eastAsia="黑体"/>
          <w:color w:val="000000"/>
          <w:kern w:val="0"/>
          <w:sz w:val="32"/>
          <w:szCs w:val="32"/>
        </w:rPr>
        <w:t>乡镇：</w:t>
      </w:r>
      <w:r>
        <w:rPr>
          <w:rFonts w:ascii="黑体" w:hAnsi="黑体" w:eastAsia="黑体"/>
          <w:color w:val="000000"/>
          <w:kern w:val="0"/>
          <w:sz w:val="32"/>
          <w:szCs w:val="32"/>
          <w:u w:val="single"/>
        </w:rPr>
        <w:t xml:space="preserve">          </w:t>
      </w:r>
      <w:r>
        <w:rPr>
          <w:rFonts w:ascii="黑体" w:hAnsi="黑体" w:eastAsia="黑体"/>
          <w:color w:val="000000"/>
          <w:kern w:val="0"/>
          <w:sz w:val="32"/>
          <w:szCs w:val="32"/>
        </w:rPr>
        <w:t xml:space="preserve">            学校：</w:t>
      </w:r>
      <w:r>
        <w:rPr>
          <w:rFonts w:ascii="黑体" w:hAnsi="黑体" w:eastAsia="黑体"/>
          <w:color w:val="000000"/>
          <w:kern w:val="0"/>
          <w:sz w:val="32"/>
          <w:szCs w:val="32"/>
          <w:u w:val="single"/>
        </w:rPr>
        <w:t xml:space="preserve">          </w:t>
      </w:r>
      <w:r>
        <w:rPr>
          <w:rFonts w:ascii="黑体" w:hAnsi="黑体" w:eastAsia="黑体"/>
          <w:color w:val="000000"/>
          <w:kern w:val="0"/>
          <w:sz w:val="32"/>
          <w:szCs w:val="32"/>
        </w:rPr>
        <w:t xml:space="preserve">                      2021年  月  日</w:t>
      </w:r>
    </w:p>
    <w:p>
      <w:pPr>
        <w:snapToGrid w:val="false"/>
        <w:spacing w:before="0" w:after="0" w:line="560" w:lineRule="exact"/>
        <w:ind/>
        <w:jc w:val="both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ascii="黑体" w:hAnsi="黑体" w:eastAsia="黑体"/>
          <w:color w:val="000000"/>
          <w:kern w:val="0"/>
          <w:sz w:val="32"/>
          <w:szCs w:val="32"/>
        </w:rPr>
        <w:t>政务主任：</w:t>
      </w:r>
      <w:r>
        <w:rPr>
          <w:rFonts w:ascii="黑体" w:hAnsi="黑体" w:eastAsia="黑体"/>
          <w:color w:val="000000"/>
          <w:kern w:val="0"/>
          <w:sz w:val="32"/>
          <w:szCs w:val="32"/>
          <w:u w:val="single"/>
        </w:rPr>
        <w:t xml:space="preserve">          </w:t>
      </w:r>
      <w:r>
        <w:rPr>
          <w:rFonts w:ascii="黑体" w:hAnsi="黑体" w:eastAsia="黑体"/>
          <w:color w:val="000000"/>
          <w:kern w:val="0"/>
          <w:sz w:val="32"/>
          <w:szCs w:val="32"/>
        </w:rPr>
        <w:t xml:space="preserve">        校长：</w:t>
      </w:r>
      <w:r>
        <w:rPr>
          <w:rFonts w:ascii="黑体" w:hAnsi="黑体" w:eastAsia="黑体"/>
          <w:color w:val="000000"/>
          <w:kern w:val="0"/>
          <w:sz w:val="32"/>
          <w:szCs w:val="32"/>
          <w:u w:val="single"/>
        </w:rPr>
        <w:t xml:space="preserve">          </w:t>
      </w:r>
      <w:r>
        <w:rPr>
          <w:rFonts w:ascii="黑体" w:hAnsi="黑体" w:eastAsia="黑体"/>
          <w:color w:val="000000"/>
          <w:kern w:val="0"/>
          <w:sz w:val="32"/>
          <w:szCs w:val="32"/>
        </w:rPr>
        <w:t xml:space="preserve">         责任督学：</w:t>
      </w:r>
      <w:r>
        <w:rPr>
          <w:rFonts w:ascii="黑体" w:hAnsi="黑体" w:eastAsia="黑体"/>
          <w:color w:val="000000"/>
          <w:kern w:val="0"/>
          <w:sz w:val="32"/>
          <w:szCs w:val="32"/>
          <w:u w:val="single"/>
        </w:rPr>
        <w:t xml:space="preserve">          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1530"/>
        <w:gridCol w:w="3210"/>
        <w:gridCol w:w="1500"/>
        <w:gridCol w:w="1875"/>
        <w:gridCol w:w="5160"/>
      </w:tblGrid>
      <w:tr>
        <w:trPr>
          <w:trHeight w:val="780" w:hRule="atLeast"/>
        </w:trPr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t>督查项目</w:t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t>具体要求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t>督查方式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t>落实情况</w:t>
            </w:r>
          </w:p>
        </w:tc>
        <w:tc>
          <w:tcPr>
            <w:tcW w:w="5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t>整改措施</w:t>
            </w:r>
          </w:p>
        </w:tc>
      </w:tr>
      <w:tr>
        <w:trPr>
          <w:trHeight w:val="1245" w:hRule="atLeast"/>
        </w:trPr>
        <w:tc>
          <w:tcPr>
            <w:tcW w:w="15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黑体" w:hAnsi="黑体"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hAnsi="黑体" w:eastAsia="黑体"/>
                <w:color w:val="000000"/>
                <w:kern w:val="0"/>
                <w:sz w:val="32"/>
                <w:szCs w:val="32"/>
              </w:rPr>
              <w:t>（一）</w:t>
            </w:r>
          </w:p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黑体" w:hAnsi="黑体"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hAnsi="黑体" w:eastAsia="黑体"/>
                <w:color w:val="000000"/>
                <w:kern w:val="0"/>
                <w:sz w:val="32"/>
                <w:szCs w:val="32"/>
              </w:rPr>
              <w:t>睡眠</w:t>
            </w:r>
          </w:p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黑体" w:hAnsi="黑体"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hAnsi="黑体" w:eastAsia="黑体"/>
                <w:color w:val="000000"/>
                <w:kern w:val="0"/>
                <w:sz w:val="32"/>
                <w:szCs w:val="32"/>
              </w:rPr>
              <w:t>管理</w:t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是否开展充足睡眠对于中小学生健康成长的宣传教育。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查档案</w:t>
            </w:r>
          </w:p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访谈师生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</w:r>
          </w:p>
        </w:tc>
        <w:tc>
          <w:tcPr>
            <w:tcW w:w="5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</w:r>
          </w:p>
        </w:tc>
      </w:tr>
      <w:tr>
        <w:trPr>
          <w:trHeight w:val="1365" w:hRule="atLeast"/>
        </w:trPr>
        <w:tc>
          <w:tcPr>
            <w:tcW w:w="15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是否落实小学生每天睡眠时间应达到10小时，初中生应达到9小时，高中生应达到8小时。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查作息表</w:t>
            </w:r>
          </w:p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访谈学生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</w:r>
          </w:p>
        </w:tc>
        <w:tc>
          <w:tcPr>
            <w:tcW w:w="5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</w:r>
          </w:p>
        </w:tc>
      </w:tr>
      <w:tr>
        <w:trPr>
          <w:trHeight w:val="1215" w:hRule="atLeast"/>
        </w:trPr>
        <w:tc>
          <w:tcPr>
            <w:tcW w:w="15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是否落实小学上午上课时间一般不早于8:20，中学一般不得早于8:00的要求。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查作息表</w:t>
            </w:r>
          </w:p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访谈学生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</w:r>
          </w:p>
        </w:tc>
        <w:tc>
          <w:tcPr>
            <w:tcW w:w="5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</w:r>
          </w:p>
        </w:tc>
      </w:tr>
      <w:tr>
        <w:trPr>
          <w:trHeight w:val="1245" w:hRule="atLeast"/>
        </w:trPr>
        <w:tc>
          <w:tcPr>
            <w:tcW w:w="15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是否落实小学生就寝时间一般不晚于21:20；初中生一般不晚于22:00；高中生一般不晚于23:00。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查作息表</w:t>
            </w:r>
          </w:p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访谈学生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</w:r>
          </w:p>
        </w:tc>
        <w:tc>
          <w:tcPr>
            <w:tcW w:w="5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</w:r>
          </w:p>
        </w:tc>
      </w:tr>
      <w:tr>
        <w:trPr>
          <w:trHeight w:val="1605" w:hRule="atLeast"/>
        </w:trPr>
        <w:tc>
          <w:tcPr>
            <w:tcW w:w="15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黑体" w:hAnsi="黑体"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hAnsi="黑体" w:eastAsia="黑体"/>
                <w:color w:val="000000"/>
                <w:kern w:val="0"/>
                <w:sz w:val="32"/>
                <w:szCs w:val="32"/>
              </w:rPr>
              <w:t>（二）</w:t>
            </w:r>
          </w:p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黑体" w:hAnsi="黑体"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hAnsi="黑体" w:eastAsia="黑体"/>
                <w:color w:val="000000"/>
                <w:kern w:val="0"/>
                <w:sz w:val="32"/>
                <w:szCs w:val="32"/>
              </w:rPr>
              <w:t>作业</w:t>
            </w:r>
          </w:p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黑体" w:hAnsi="黑体"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hAnsi="黑体" w:eastAsia="黑体"/>
                <w:color w:val="000000"/>
                <w:kern w:val="0"/>
                <w:sz w:val="32"/>
                <w:szCs w:val="32"/>
              </w:rPr>
              <w:t>管理</w:t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是否落实小学一、二年级不留书面家庭作业，三至六年级书面家庭作业每天平均不超过60分钟，初中书面家庭作业每天平均不超过90分钟的要求。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访谈学生和家长</w:t>
            </w:r>
          </w:p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查学生作业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</w:r>
          </w:p>
        </w:tc>
        <w:tc>
          <w:tcPr>
            <w:tcW w:w="5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</w:r>
          </w:p>
        </w:tc>
      </w:tr>
      <w:tr>
        <w:trPr>
          <w:trHeight w:val="1335" w:hRule="atLeast"/>
        </w:trPr>
        <w:tc>
          <w:tcPr>
            <w:tcW w:w="15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是否将作业设计工作纳入校本教研工作体系，推进分层作业，作业难度符合学生实际，不得超过课程标准要求。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访谈教师</w:t>
            </w:r>
          </w:p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实地检查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</w:r>
          </w:p>
        </w:tc>
        <w:tc>
          <w:tcPr>
            <w:tcW w:w="5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</w:r>
          </w:p>
        </w:tc>
      </w:tr>
      <w:tr>
        <w:trPr>
          <w:trHeight w:val="930" w:hRule="atLeast"/>
        </w:trPr>
        <w:tc>
          <w:tcPr>
            <w:tcW w:w="15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是否给学生布置机械性、重复性、惩罚性的作业。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访谈师生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</w:r>
          </w:p>
        </w:tc>
        <w:tc>
          <w:tcPr>
            <w:tcW w:w="5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</w:r>
          </w:p>
        </w:tc>
      </w:tr>
      <w:tr>
        <w:trPr>
          <w:trHeight w:val="1485" w:hRule="atLeast"/>
        </w:trPr>
        <w:tc>
          <w:tcPr>
            <w:tcW w:w="15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是否认真批改作业。是否给家长布置（变相布置）作业或要求家长检查和批改作业。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访谈学生和家长</w:t>
            </w:r>
          </w:p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查学生作业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</w:r>
          </w:p>
        </w:tc>
        <w:tc>
          <w:tcPr>
            <w:tcW w:w="5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</w:r>
          </w:p>
        </w:tc>
      </w:tr>
    </w:tbl>
    <w:p>
      <w:pPr>
        <w:snapToGrid w:val="false"/>
        <w:spacing w:before="0" w:after="0" w:line="240" w:lineRule="auto"/>
        <w:ind/>
        <w:jc w:val="both"/>
        <w:rPr>
          <w:rFonts w:ascii="楷体_GB2312" w:hAnsi="楷体_GB2312" w:eastAsia="楷体_GB2312"/>
          <w:color w:val="000000"/>
          <w:sz w:val="32"/>
          <w:szCs w:val="32"/>
        </w:rPr>
      </w:pPr>
      <w:r>
        <w:rPr>
          <w:rFonts w:ascii="楷体_GB2312" w:hAnsi="楷体_GB2312" w:eastAsia="楷体_GB2312"/>
          <w:color w:val="000000"/>
          <w:sz w:val="32"/>
          <w:szCs w:val="32"/>
        </w:rPr>
      </w:r>
    </w:p>
    <w:p>
      <w:pPr>
        <w:snapToGrid w:val="false"/>
        <w:spacing w:before="0" w:after="0" w:line="240" w:lineRule="auto"/>
        <w:ind/>
        <w:jc w:val="both"/>
        <w:rPr>
          <w:rFonts w:ascii="楷体_GB2312" w:hAnsi="楷体_GB2312" w:eastAsia="楷体_GB2312"/>
          <w:color w:val="000000"/>
          <w:sz w:val="32"/>
          <w:szCs w:val="32"/>
        </w:rPr>
      </w:pPr>
      <w:r>
        <w:rPr>
          <w:rFonts w:ascii="楷体_GB2312" w:hAnsi="楷体_GB2312" w:eastAsia="楷体_GB2312"/>
          <w:color w:val="000000"/>
          <w:sz w:val="32"/>
          <w:szCs w:val="32"/>
        </w:rPr>
      </w:r>
    </w:p>
    <w:p>
      <w:pPr>
        <w:snapToGrid w:val="false"/>
        <w:spacing w:before="0" w:after="0" w:line="240" w:lineRule="auto"/>
        <w:ind/>
        <w:jc w:val="both"/>
        <w:rPr>
          <w:rFonts w:ascii="楷体_GB2312" w:hAnsi="楷体_GB2312" w:eastAsia="楷体_GB2312"/>
          <w:color w:val="000000"/>
          <w:sz w:val="32"/>
          <w:szCs w:val="32"/>
        </w:rPr>
      </w:pPr>
      <w:r>
        <w:rPr>
          <w:rFonts w:ascii="楷体_GB2312" w:hAnsi="楷体_GB2312" w:eastAsia="楷体_GB2312"/>
          <w:color w:val="000000"/>
          <w:sz w:val="32"/>
          <w:szCs w:val="32"/>
        </w:rPr>
      </w:r>
    </w:p>
    <w:p>
      <w:pPr>
        <w:snapToGrid w:val="false"/>
        <w:spacing w:before="0" w:after="0" w:line="240" w:lineRule="auto"/>
        <w:ind/>
        <w:jc w:val="both"/>
        <w:rPr>
          <w:rFonts w:ascii="楷体_GB2312" w:hAnsi="楷体_GB2312" w:eastAsia="楷体_GB2312"/>
          <w:color w:val="000000"/>
          <w:sz w:val="32"/>
          <w:szCs w:val="32"/>
        </w:rPr>
      </w:pPr>
      <w:r>
        <w:rPr>
          <w:rFonts w:ascii="楷体_GB2312" w:hAnsi="楷体_GB2312" w:eastAsia="楷体_GB2312"/>
          <w:color w:val="000000"/>
          <w:sz w:val="32"/>
          <w:szCs w:val="32"/>
        </w:rPr>
      </w:r>
    </w:p>
    <w:p>
      <w:pPr>
        <w:snapToGrid w:val="false"/>
        <w:spacing w:before="0" w:after="0" w:line="240" w:lineRule="auto"/>
        <w:ind/>
        <w:jc w:val="both"/>
        <w:rPr>
          <w:rFonts w:ascii="楷体_GB2312" w:hAnsi="楷体_GB2312" w:eastAsia="楷体_GB2312"/>
          <w:color w:val="000000"/>
          <w:sz w:val="32"/>
          <w:szCs w:val="32"/>
        </w:rPr>
      </w:pPr>
      <w:r>
        <w:rPr>
          <w:rFonts w:ascii="楷体_GB2312" w:hAnsi="楷体_GB2312" w:eastAsia="楷体_GB2312"/>
          <w:color w:val="000000"/>
          <w:sz w:val="32"/>
          <w:szCs w:val="32"/>
        </w:rPr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1530"/>
        <w:gridCol w:w="3225"/>
        <w:gridCol w:w="1500"/>
        <w:gridCol w:w="1875"/>
        <w:gridCol w:w="5160"/>
      </w:tblGrid>
      <w:tr>
        <w:trPr>
          <w:trHeight w:val="780" w:hRule="atLeast"/>
        </w:trPr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t>督查项目</w:t>
            </w:r>
          </w:p>
        </w:tc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t>具体要求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t>督查方式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t>落实情况</w:t>
            </w:r>
          </w:p>
        </w:tc>
        <w:tc>
          <w:tcPr>
            <w:tcW w:w="5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t>整改措施</w:t>
            </w:r>
          </w:p>
        </w:tc>
      </w:tr>
      <w:tr>
        <w:trPr>
          <w:trHeight w:val="1215" w:hRule="atLeast"/>
        </w:trPr>
        <w:tc>
          <w:tcPr>
            <w:tcW w:w="15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黑体" w:hAnsi="黑体"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hAnsi="黑体" w:eastAsia="黑体"/>
                <w:color w:val="000000"/>
                <w:kern w:val="0"/>
                <w:sz w:val="32"/>
                <w:szCs w:val="32"/>
              </w:rPr>
              <w:t>（三）</w:t>
            </w:r>
          </w:p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黑体" w:hAnsi="黑体"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hAnsi="黑体" w:eastAsia="黑体"/>
                <w:color w:val="000000"/>
                <w:kern w:val="0"/>
                <w:sz w:val="32"/>
                <w:szCs w:val="32"/>
              </w:rPr>
              <w:t>手机</w:t>
            </w:r>
          </w:p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ascii="黑体" w:hAnsi="黑体" w:eastAsia="黑体"/>
                <w:color w:val="000000"/>
                <w:sz w:val="32"/>
                <w:szCs w:val="32"/>
              </w:rPr>
              <w:t>管理</w:t>
            </w:r>
          </w:p>
        </w:tc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是否有学生手机带入校园申请制度，是否规定并严格执行学生手机不得带入课堂。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查档案</w:t>
            </w:r>
          </w:p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访谈师生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</w:r>
          </w:p>
        </w:tc>
        <w:tc>
          <w:tcPr>
            <w:tcW w:w="5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</w:r>
          </w:p>
        </w:tc>
      </w:tr>
      <w:tr>
        <w:trPr>
          <w:trHeight w:val="1545" w:hRule="atLeast"/>
        </w:trPr>
        <w:tc>
          <w:tcPr>
            <w:tcW w:w="15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</w:r>
          </w:p>
        </w:tc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是否将手机管理纳入学校日常管理，是否建立学生手机校园内统一保管制度，是否有手机保管装置、手机保管责任人、校内公用电话。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查档案</w:t>
            </w:r>
          </w:p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访谈师生</w:t>
            </w:r>
          </w:p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实地检查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</w:r>
          </w:p>
        </w:tc>
        <w:tc>
          <w:tcPr>
            <w:tcW w:w="5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</w:r>
          </w:p>
        </w:tc>
      </w:tr>
      <w:tr>
        <w:trPr>
          <w:trHeight w:val="1635" w:hRule="atLeast"/>
        </w:trPr>
        <w:tc>
          <w:tcPr>
            <w:tcW w:w="15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</w:r>
          </w:p>
        </w:tc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是否规定并严格执行不得用手机布置作业制度，是否规定并严格执行不得要求学生利用手机完成作业制度。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访谈学生、家长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</w:r>
          </w:p>
        </w:tc>
        <w:tc>
          <w:tcPr>
            <w:tcW w:w="5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</w:r>
          </w:p>
        </w:tc>
      </w:tr>
      <w:tr>
        <w:trPr>
          <w:trHeight w:val="1440" w:hRule="atLeast"/>
        </w:trPr>
        <w:tc>
          <w:tcPr>
            <w:tcW w:w="15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</w:r>
          </w:p>
        </w:tc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是否对学生合理使用手机进行教育引导，是否将学生手机管理要求告知学生家长，做好家校沟通。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访谈学生、家长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</w:r>
          </w:p>
        </w:tc>
        <w:tc>
          <w:tcPr>
            <w:tcW w:w="5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</w:r>
          </w:p>
        </w:tc>
      </w:tr>
      <w:tr>
        <w:trPr>
          <w:trHeight w:val="2025" w:hRule="atLeast"/>
        </w:trPr>
        <w:tc>
          <w:tcPr>
            <w:tcW w:w="15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黑体" w:hAnsi="黑体"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hAnsi="黑体" w:eastAsia="黑体"/>
                <w:color w:val="000000"/>
                <w:kern w:val="0"/>
                <w:sz w:val="32"/>
                <w:szCs w:val="32"/>
              </w:rPr>
              <w:t>（四）</w:t>
            </w:r>
          </w:p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黑体" w:hAnsi="黑体"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hAnsi="黑体" w:eastAsia="黑体"/>
                <w:color w:val="000000"/>
                <w:kern w:val="0"/>
                <w:sz w:val="32"/>
                <w:szCs w:val="32"/>
              </w:rPr>
              <w:t>读物</w:t>
            </w:r>
          </w:p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ascii="黑体" w:hAnsi="黑体" w:eastAsia="黑体"/>
                <w:color w:val="000000"/>
                <w:sz w:val="32"/>
                <w:szCs w:val="32"/>
              </w:rPr>
              <w:t>管理</w:t>
            </w:r>
          </w:p>
        </w:tc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对课外读物进校园工作，省级教育行政部门是否进行全面指导与管理，市、县级教育行政部门是否进行监督检查。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查档案</w:t>
            </w:r>
          </w:p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访谈师生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</w:r>
          </w:p>
        </w:tc>
        <w:tc>
          <w:tcPr>
            <w:tcW w:w="5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</w:r>
          </w:p>
        </w:tc>
      </w:tr>
      <w:tr>
        <w:trPr>
          <w:trHeight w:val="1860" w:hRule="atLeast"/>
        </w:trPr>
        <w:tc>
          <w:tcPr>
            <w:tcW w:w="15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</w:r>
          </w:p>
        </w:tc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是否按照《中小学生课外读物进校园管理办法》中列出的12条负面清单对校园推荐图书进行清理。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查档案</w:t>
            </w:r>
          </w:p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访谈师生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</w:r>
          </w:p>
        </w:tc>
        <w:tc>
          <w:tcPr>
            <w:tcW w:w="5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</w:r>
          </w:p>
        </w:tc>
      </w:tr>
      <w:tr>
        <w:trPr>
          <w:trHeight w:val="1890" w:hRule="atLeast"/>
        </w:trPr>
        <w:tc>
          <w:tcPr>
            <w:tcW w:w="15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</w:r>
          </w:p>
        </w:tc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是否对通过举办讲座、培训等活动在校园内销售课外读物现象进行有效管控。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查档案</w:t>
            </w:r>
          </w:p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访谈师生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</w:r>
          </w:p>
        </w:tc>
        <w:tc>
          <w:tcPr>
            <w:tcW w:w="5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</w:r>
          </w:p>
        </w:tc>
      </w:tr>
      <w:tr>
        <w:trPr>
          <w:trHeight w:val="1995" w:hRule="atLeast"/>
        </w:trPr>
        <w:tc>
          <w:tcPr>
            <w:tcW w:w="15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</w:r>
          </w:p>
        </w:tc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pacing w:val="-4"/>
                <w:kern w:val="0"/>
                <w:sz w:val="24"/>
                <w:szCs w:val="24"/>
              </w:rPr>
              <w:t>是否对强制或变相强制学生购买课外读物行为进行有效管控。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访谈学生、家长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</w:r>
          </w:p>
        </w:tc>
        <w:tc>
          <w:tcPr>
            <w:tcW w:w="5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</w:r>
          </w:p>
        </w:tc>
      </w:tr>
      <w:tr>
        <w:trPr>
          <w:trHeight w:val="1125" w:hRule="atLeast"/>
        </w:trPr>
        <w:tc>
          <w:tcPr>
            <w:tcW w:w="15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黑体" w:hAnsi="黑体"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hAnsi="黑体" w:eastAsia="黑体"/>
                <w:color w:val="000000"/>
                <w:kern w:val="0"/>
                <w:sz w:val="32"/>
                <w:szCs w:val="32"/>
              </w:rPr>
              <w:t>（五）</w:t>
            </w:r>
          </w:p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黑体" w:hAnsi="黑体"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hAnsi="黑体" w:eastAsia="黑体"/>
                <w:color w:val="000000"/>
                <w:kern w:val="0"/>
                <w:sz w:val="32"/>
                <w:szCs w:val="32"/>
              </w:rPr>
              <w:t>体质</w:t>
            </w:r>
          </w:p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ascii="黑体" w:hAnsi="黑体" w:eastAsia="黑体"/>
                <w:color w:val="000000"/>
                <w:sz w:val="32"/>
                <w:szCs w:val="32"/>
              </w:rPr>
              <w:t>管理</w:t>
            </w:r>
          </w:p>
        </w:tc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是否开展加强对学生体质健康成长的宣传教育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查档案</w:t>
            </w:r>
          </w:p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访谈师生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</w:r>
          </w:p>
        </w:tc>
        <w:tc>
          <w:tcPr>
            <w:tcW w:w="5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</w:r>
          </w:p>
        </w:tc>
      </w:tr>
      <w:tr>
        <w:trPr>
          <w:trHeight w:val="2040" w:hRule="atLeast"/>
        </w:trPr>
        <w:tc>
          <w:tcPr>
            <w:tcW w:w="15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</w:r>
          </w:p>
        </w:tc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查看国家规定的体育与健康课程落实情况，小学1-2年级是否安排每周4课时，小学3-6年级和初中是否安排每周3课时，高中是否安排每周2课时。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查课程表</w:t>
            </w:r>
          </w:p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访谈学生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</w:r>
          </w:p>
        </w:tc>
        <w:tc>
          <w:tcPr>
            <w:tcW w:w="5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</w:r>
          </w:p>
        </w:tc>
      </w:tr>
      <w:tr>
        <w:trPr>
          <w:trHeight w:val="2805" w:hRule="atLeast"/>
        </w:trPr>
        <w:tc>
          <w:tcPr>
            <w:tcW w:w="15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</w:r>
          </w:p>
        </w:tc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是否在没有体育课的当天，中小学校在下午课后组织学生进行一小时集体体育锻炼，是否全面落实大课间体育活动制度，中小学校每天统一安排30分钟的大课间体育活动，每节课间是否允许学生出教室适量活动或放松。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查课程表</w:t>
            </w:r>
          </w:p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访谈学生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</w:r>
          </w:p>
        </w:tc>
        <w:tc>
          <w:tcPr>
            <w:tcW w:w="5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</w:r>
          </w:p>
        </w:tc>
      </w:tr>
      <w:tr>
        <w:trPr>
          <w:trHeight w:val="1740" w:hRule="atLeast"/>
        </w:trPr>
        <w:tc>
          <w:tcPr>
            <w:tcW w:w="15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</w:r>
          </w:p>
        </w:tc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是否组织全体学生每天上下午各做1次眼保健操，是否建立中小学生视力状况监测机制，是否落实每学期2次全覆盖视力筛查。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查课程表</w:t>
            </w:r>
          </w:p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访谈学生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</w:r>
          </w:p>
        </w:tc>
        <w:tc>
          <w:tcPr>
            <w:tcW w:w="5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</w:r>
          </w:p>
        </w:tc>
      </w:tr>
      <w:tr>
        <w:trPr>
          <w:trHeight w:val="1875" w:hRule="atLeast"/>
        </w:trPr>
        <w:tc>
          <w:tcPr>
            <w:tcW w:w="15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</w:r>
          </w:p>
        </w:tc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是否建立并落实面向全体学生体质健康测试制度，是否建立并落实学生体质健康抽测复核制度，是否建立学生体质健康档案。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查档案</w:t>
            </w:r>
          </w:p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访谈学生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</w:r>
          </w:p>
        </w:tc>
        <w:tc>
          <w:tcPr>
            <w:tcW w:w="5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</w:r>
          </w:p>
        </w:tc>
      </w:tr>
    </w:tbl>
    <w:sectPr w:rsidR="00C604EC">
      <w:footerReference w:type="default" r:id="rId11"/>
      <w:pgSz w:w="16838" w:h="11906"/>
      <w:pgMar w:top="1800" w:right="1440" w:bottom="1800" w:left="1440" w:header="851" w:footer="992" w:gutter="0"/>
      <w:cols w:space="425"/>
      <w:docGrid w:type="lines" w:linePitch="312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commentsExtended.xml><?xml version="1.0" encoding="utf-8"?>
<w15:commentsEx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.xml><?xml version="1.0" encoding="utf-8"?>
<w:ftr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>
    <w:pPr>
      <w:snapToGrid w:val="false"/>
      <w:spacing w:before="0" w:after="0" w:line="240" w:lineRule="auto"/>
      <w:ind/>
      <w:jc w:val="left"/>
      <w:rPr>
        <w:rFonts w:ascii="宋体" w:hAnsi="宋体" w:eastAsia="宋体"/>
        <w:color w:val="000000"/>
        <w:sz w:val="18"/>
        <w:szCs w:val="18"/>
      </w:rPr>
    </w:pPr>
    <w:r>
      <w:rPr>
        <w:rFonts w:ascii="宋体" w:hAnsi="宋体" w:eastAsia="宋体"/>
        <w:color w:val="000000"/>
        <w:sz w:val="18"/>
        <w:szCs w:val="18"/>
      </w:rPr>
      <w:t/>
    </w:r>
  </w:p>
  <w:p>
    <w:pPr>
      <w:snapToGrid w:val="false"/>
      <w:spacing w:before="0" w:after="0" w:line="240" w:lineRule="auto"/>
      <w:ind/>
      <w:jc w:val="left"/>
      <w:rPr>
        <w:rFonts w:ascii="微软雅黑" w:hAnsi="微软雅黑" w:eastAsia="微软雅黑"/>
        <w:color w:val="000000"/>
        <w:sz w:val="21"/>
        <w:szCs w:val="21"/>
      </w:rPr>
    </w:pPr>
    <w:r>
      <w:fldChar w:fldCharType="begin"/>
    </w:r>
    <w:r>
      <w:rPr>
        <w:rFonts w:ascii="宋体" w:hAnsi="宋体" w:eastAsia="宋体"/>
        <w:sz w:val="24"/>
        <w:szCs w:val="24"/>
      </w:rPr>
      <w:instrText xml:space="preserve">PAGE</w:instrText>
    </w:r>
    <w:r>
      <w:fldChar w:fldCharType="end"/>
    </w:r>
  </w:p>
  <w:p>
    <w:pPr>
      <w:snapToGrid w:val="false"/>
      <w:spacing w:before="0" w:after="0" w:line="240" w:lineRule="auto"/>
      <w:ind/>
      <w:jc w:val="left"/>
      <w:rPr>
        <w:rFonts w:ascii="微软雅黑" w:hAnsi="微软雅黑" w:eastAsia="微软雅黑"/>
        <w:color w:val="000000"/>
        <w:sz w:val="21"/>
        <w:szCs w:val="21"/>
      </w:rPr>
    </w:pPr>
    <w:r>
      <w:rPr>
        <w:rFonts w:ascii="微软雅黑" w:hAnsi="微软雅黑" w:eastAsia="微软雅黑"/>
        <w:color w:val="000000"/>
        <w:sz w:val="21"/>
        <w:szCs w:val="21"/>
      </w:rPr>
      <w:t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>
      <o:colormru colors="white" v:ext="edit"/>
    </o:shapedefaults>
    <o:shapelayout v:ext="edit">
      <o:idmap data="1" v:ext="edit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Relationship Target="comments.xml" Type="http://schemas.openxmlformats.org/officeDocument/2006/relationships/comments" Id="rId9"/><Relationship Target="commentsExtended.xml" Type="http://schemas.microsoft.com/office/2011/relationships/commentsExtended" Id="rId10"/><Relationship Target="footer.xml" Type="http://schemas.openxmlformats.org/officeDocument/2006/relationships/footer" Id="rId11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