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40" w:lineRule="exact"/>
        <w:ind w:firstLine="7435" w:firstLineChars="1291"/>
        <w:rPr>
          <w:rFonts w:ascii="楷体_GB2312" w:eastAsia="楷体_GB2312"/>
          <w:b/>
          <w:spacing w:val="-20"/>
          <w:w w:val="85"/>
          <w:sz w:val="72"/>
          <w:szCs w:val="72"/>
        </w:rPr>
      </w:pPr>
    </w:p>
    <w:p>
      <w:pPr>
        <w:spacing w:line="740" w:lineRule="exact"/>
        <w:ind w:firstLine="7435" w:firstLineChars="1291"/>
        <w:rPr>
          <w:rFonts w:ascii="楷体_GB2312" w:eastAsia="楷体_GB2312"/>
          <w:b/>
          <w:spacing w:val="-20"/>
          <w:w w:val="85"/>
          <w:sz w:val="72"/>
          <w:szCs w:val="72"/>
        </w:rPr>
      </w:pPr>
    </w:p>
    <w:p>
      <w:pPr>
        <w:spacing w:line="740" w:lineRule="exact"/>
        <w:ind w:firstLine="1472" w:firstLineChars="1291"/>
        <w:rPr>
          <w:rFonts w:ascii="楷体_GB2312" w:eastAsia="楷体_GB2312"/>
          <w:b/>
          <w:spacing w:val="-20"/>
          <w:w w:val="85"/>
          <w:sz w:val="18"/>
          <w:szCs w:val="72"/>
        </w:rPr>
      </w:pPr>
    </w:p>
    <w:p>
      <w:pPr>
        <w:spacing w:line="700" w:lineRule="exact"/>
        <w:ind w:firstLine="7308" w:firstLineChars="1400"/>
        <w:rPr>
          <w:rFonts w:ascii="楷体_GB2312" w:eastAsia="楷体_GB2312"/>
          <w:b/>
          <w:sz w:val="52"/>
          <w:szCs w:val="52"/>
        </w:rPr>
      </w:pPr>
      <w:r>
        <w:rPr>
          <w:rFonts w:hint="eastAsia" w:ascii="楷体_GB2312" w:eastAsia="楷体_GB2312"/>
          <w:b/>
          <w:sz w:val="52"/>
          <w:szCs w:val="52"/>
        </w:rPr>
        <w:t>报告</w:t>
      </w:r>
    </w:p>
    <w:p>
      <w:pPr>
        <w:spacing w:line="880" w:lineRule="exact"/>
        <w:rPr>
          <w:rFonts w:ascii="楷体_GB2312" w:eastAsia="楷体_GB2312"/>
          <w:b/>
          <w:sz w:val="160"/>
          <w:szCs w:val="32"/>
        </w:rPr>
      </w:pPr>
    </w:p>
    <w:p>
      <w:pPr>
        <w:spacing w:line="520" w:lineRule="exact"/>
        <w:jc w:val="center"/>
        <w:rPr>
          <w:rFonts w:ascii="仿宋_GB2312" w:eastAsia="仿宋_GB2312"/>
          <w:sz w:val="36"/>
          <w:szCs w:val="36"/>
        </w:rPr>
      </w:pPr>
      <w:r>
        <w:rPr>
          <w:rFonts w:hint="eastAsia" w:ascii="仿宋_GB2312" w:eastAsia="仿宋_GB2312"/>
          <w:sz w:val="36"/>
          <w:szCs w:val="36"/>
        </w:rPr>
        <w:t>莲文</w:t>
      </w:r>
      <w:r>
        <w:rPr>
          <w:rFonts w:eastAsia="仿宋_GB2312"/>
          <w:sz w:val="36"/>
          <w:szCs w:val="36"/>
        </w:rPr>
        <w:t>〔20</w:t>
      </w:r>
      <w:r>
        <w:rPr>
          <w:rFonts w:hint="eastAsia" w:eastAsia="仿宋_GB2312"/>
          <w:sz w:val="36"/>
          <w:szCs w:val="36"/>
        </w:rPr>
        <w:t>23</w:t>
      </w:r>
      <w:r>
        <w:rPr>
          <w:rFonts w:eastAsia="仿宋_GB2312"/>
          <w:sz w:val="36"/>
          <w:szCs w:val="36"/>
        </w:rPr>
        <w:t>〕</w:t>
      </w:r>
      <w:r>
        <w:rPr>
          <w:rFonts w:hint="eastAsia" w:eastAsia="仿宋_GB2312"/>
          <w:sz w:val="36"/>
          <w:szCs w:val="36"/>
          <w:lang w:val="en-US" w:eastAsia="zh-CN"/>
        </w:rPr>
        <w:t>58</w:t>
      </w:r>
      <w:r>
        <w:rPr>
          <w:rFonts w:hint="eastAsia" w:ascii="仿宋_GB2312" w:eastAsia="仿宋_GB2312"/>
          <w:sz w:val="36"/>
          <w:szCs w:val="36"/>
        </w:rPr>
        <w:t>号</w:t>
      </w:r>
    </w:p>
    <w:p>
      <w:pPr>
        <w:spacing w:line="720" w:lineRule="exact"/>
        <w:jc w:val="center"/>
        <w:rPr>
          <w:rFonts w:ascii="仿宋_GB2312" w:eastAsia="仿宋_GB2312"/>
          <w:sz w:val="32"/>
          <w:szCs w:val="32"/>
        </w:rPr>
      </w:pPr>
    </w:p>
    <w:p>
      <w:pPr>
        <w:spacing w:line="720" w:lineRule="exact"/>
        <w:jc w:val="center"/>
        <w:rPr>
          <w:rFonts w:ascii="仿宋_GB2312" w:eastAsia="仿宋_GB2312"/>
          <w:sz w:val="32"/>
          <w:szCs w:val="32"/>
        </w:rPr>
      </w:pPr>
    </w:p>
    <w:p>
      <w:pPr>
        <w:spacing w:line="700" w:lineRule="exact"/>
        <w:jc w:val="center"/>
        <w:rPr>
          <w:rFonts w:ascii="方正小标宋简体" w:hAnsi="华文中宋" w:eastAsia="方正小标宋简体"/>
          <w:color w:val="000000"/>
          <w:spacing w:val="6"/>
          <w:sz w:val="40"/>
          <w:szCs w:val="40"/>
        </w:rPr>
      </w:pPr>
      <w:r>
        <w:rPr>
          <w:rFonts w:hint="eastAsia" w:ascii="方正小标宋简体" w:hAnsi="华文中宋" w:eastAsia="方正小标宋简体"/>
          <w:color w:val="000000"/>
          <w:spacing w:val="6"/>
          <w:sz w:val="40"/>
          <w:szCs w:val="40"/>
        </w:rPr>
        <w:t>中共莲花街道工作委员会 莲花街道办事处</w:t>
      </w:r>
    </w:p>
    <w:p>
      <w:pPr>
        <w:spacing w:line="700" w:lineRule="exact"/>
        <w:jc w:val="center"/>
        <w:rPr>
          <w:rFonts w:ascii="方正小标宋简体" w:hAnsi="华文中宋" w:eastAsia="方正小标宋简体"/>
          <w:color w:val="000000"/>
          <w:spacing w:val="6"/>
          <w:sz w:val="44"/>
          <w:szCs w:val="44"/>
        </w:rPr>
      </w:pPr>
      <w:r>
        <w:rPr>
          <w:rFonts w:hint="eastAsia" w:ascii="方正小标宋简体" w:hAnsi="华文中宋" w:eastAsia="方正小标宋简体"/>
          <w:color w:val="000000"/>
          <w:spacing w:val="6"/>
          <w:sz w:val="44"/>
          <w:szCs w:val="44"/>
        </w:rPr>
        <w:t>关于202</w:t>
      </w:r>
      <w:r>
        <w:rPr>
          <w:rFonts w:ascii="方正小标宋简体" w:hAnsi="华文中宋" w:eastAsia="方正小标宋简体"/>
          <w:color w:val="000000"/>
          <w:spacing w:val="6"/>
          <w:sz w:val="44"/>
          <w:szCs w:val="44"/>
        </w:rPr>
        <w:t>3</w:t>
      </w:r>
      <w:r>
        <w:rPr>
          <w:rFonts w:hint="eastAsia" w:ascii="方正小标宋简体" w:hAnsi="华文中宋" w:eastAsia="方正小标宋简体"/>
          <w:color w:val="000000"/>
          <w:spacing w:val="6"/>
          <w:sz w:val="44"/>
          <w:szCs w:val="44"/>
        </w:rPr>
        <w:t>年度法治政府建设工作的报告</w:t>
      </w:r>
    </w:p>
    <w:p>
      <w:pPr>
        <w:spacing w:line="700" w:lineRule="exact"/>
        <w:jc w:val="center"/>
        <w:rPr>
          <w:rFonts w:ascii="方正小标宋简体" w:hAnsi="华文中宋" w:eastAsia="方正小标宋简体"/>
          <w:color w:val="000000"/>
          <w:spacing w:val="6"/>
          <w:sz w:val="36"/>
          <w:szCs w:val="36"/>
        </w:rPr>
      </w:pPr>
    </w:p>
    <w:p>
      <w:pPr>
        <w:pStyle w:val="6"/>
        <w:spacing w:beforeAutospacing="0" w:afterAutospacing="0" w:line="600" w:lineRule="exact"/>
        <w:jc w:val="both"/>
        <w:rPr>
          <w:rFonts w:ascii="仿宋_GB2312" w:hAnsi="仿宋_GB2312" w:eastAsia="仿宋_GB2312" w:cs="仿宋_GB2312"/>
          <w:sz w:val="34"/>
          <w:szCs w:val="34"/>
        </w:rPr>
      </w:pPr>
      <w:r>
        <w:rPr>
          <w:rFonts w:hint="eastAsia" w:ascii="仿宋_GB2312" w:hAnsi="仿宋_GB2312" w:eastAsia="仿宋_GB2312" w:cs="仿宋_GB2312"/>
          <w:sz w:val="34"/>
          <w:szCs w:val="34"/>
        </w:rPr>
        <w:t>中共西峡县委、西峡县人民政府：</w:t>
      </w:r>
    </w:p>
    <w:p>
      <w:pPr>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sz w:val="34"/>
          <w:szCs w:val="34"/>
        </w:rPr>
        <w:t>2023年以来，莲花街道坚持以</w:t>
      </w:r>
      <w:r>
        <w:rPr>
          <w:rFonts w:hint="eastAsia" w:ascii="仿宋_GB2312" w:hAnsi="仿宋_GB2312" w:eastAsia="仿宋_GB2312" w:cs="仿宋_GB2312"/>
          <w:color w:val="000000"/>
          <w:sz w:val="34"/>
          <w:szCs w:val="34"/>
          <w:shd w:val="clear" w:color="auto" w:fill="FFFFFF"/>
        </w:rPr>
        <w:t>习近平新时代中国特色社会主义思想为指导，</w:t>
      </w:r>
      <w:r>
        <w:rPr>
          <w:rFonts w:hint="eastAsia" w:ascii="仿宋_GB2312" w:hAnsi="仿宋_GB2312" w:eastAsia="仿宋_GB2312" w:cs="仿宋_GB2312"/>
          <w:sz w:val="34"/>
          <w:szCs w:val="34"/>
        </w:rPr>
        <w:t>认真贯彻学习党的二十大精神和习近平法治思想，</w:t>
      </w:r>
      <w:r>
        <w:rPr>
          <w:rFonts w:hint="eastAsia" w:ascii="仿宋_GB2312" w:hAnsi="仿宋_GB2312" w:eastAsia="仿宋_GB2312" w:cs="仿宋_GB2312"/>
          <w:color w:val="000000"/>
          <w:sz w:val="34"/>
          <w:szCs w:val="34"/>
          <w:shd w:val="clear" w:color="auto" w:fill="FFFFFF"/>
        </w:rPr>
        <w:t>坚持党对法治政府建设工作的绝对领导，加强街道法治政府建设组织领导，依法全面履行政府职能；</w:t>
      </w:r>
      <w:r>
        <w:rPr>
          <w:rFonts w:hint="eastAsia" w:ascii="仿宋_GB2312" w:hAnsi="仿宋_GB2312" w:eastAsia="仿宋_GB2312" w:cs="仿宋_GB2312"/>
          <w:sz w:val="34"/>
          <w:szCs w:val="34"/>
        </w:rPr>
        <w:t>不断健全党领导全面依法治理制度机制，</w:t>
      </w:r>
      <w:r>
        <w:rPr>
          <w:rFonts w:hint="eastAsia" w:ascii="仿宋_GB2312" w:hAnsi="仿宋_GB2312" w:eastAsia="仿宋_GB2312" w:cs="仿宋_GB2312"/>
          <w:color w:val="000000"/>
          <w:sz w:val="34"/>
          <w:szCs w:val="34"/>
        </w:rPr>
        <w:t>深入推进法治政府建设主体工程，规范行政执法行为，推进服务型行政执法，优化法治化营商环境，切实提高法治社会建设水平服务保障更高水平平安西峡建设，为经济社会发展营造了良好的法治环境。</w:t>
      </w:r>
    </w:p>
    <w:p>
      <w:pPr>
        <w:pStyle w:val="6"/>
        <w:spacing w:beforeAutospacing="0" w:afterAutospacing="0" w:line="600" w:lineRule="exact"/>
        <w:ind w:firstLine="683" w:firstLineChars="200"/>
        <w:jc w:val="both"/>
        <w:rPr>
          <w:rFonts w:ascii="黑体" w:hAnsi="黑体" w:eastAsia="黑体" w:cs="黑体"/>
          <w:b/>
          <w:bCs/>
          <w:sz w:val="34"/>
          <w:szCs w:val="34"/>
        </w:rPr>
      </w:pPr>
      <w:r>
        <w:rPr>
          <w:rFonts w:hint="eastAsia" w:ascii="黑体" w:hAnsi="黑体" w:eastAsia="黑体" w:cs="黑体"/>
          <w:b/>
          <w:bCs/>
          <w:sz w:val="34"/>
          <w:szCs w:val="34"/>
        </w:rPr>
        <w:t>一、高度重视，依法全面履行政府职能</w:t>
      </w:r>
    </w:p>
    <w:p>
      <w:pPr>
        <w:pStyle w:val="6"/>
        <w:widowControl/>
        <w:shd w:val="clear" w:color="auto" w:fill="FFFFFF"/>
        <w:spacing w:beforeAutospacing="0" w:afterAutospacing="0" w:line="600" w:lineRule="exact"/>
        <w:ind w:firstLine="683" w:firstLineChars="200"/>
        <w:jc w:val="both"/>
        <w:rPr>
          <w:rFonts w:ascii="仿宋_GB2312" w:hAnsi="仿宋_GB2312" w:eastAsia="仿宋_GB2312" w:cs="仿宋_GB2312"/>
          <w:kern w:val="2"/>
          <w:sz w:val="34"/>
          <w:szCs w:val="34"/>
        </w:rPr>
      </w:pPr>
      <w:r>
        <w:rPr>
          <w:rStyle w:val="8"/>
          <w:rFonts w:hint="eastAsia" w:ascii="楷体_GB2312" w:hAnsi="楷体_GB2312" w:eastAsia="楷体_GB2312" w:cs="楷体_GB2312"/>
          <w:color w:val="000000"/>
          <w:sz w:val="34"/>
          <w:szCs w:val="34"/>
          <w:shd w:val="clear" w:color="auto" w:fill="FFFFFF"/>
        </w:rPr>
        <w:t>1、加强组织领导，切实履行第一责任人职责</w:t>
      </w:r>
      <w:r>
        <w:rPr>
          <w:rFonts w:hint="eastAsia" w:ascii="楷体_GB2312" w:hAnsi="楷体_GB2312" w:eastAsia="楷体_GB2312" w:cs="楷体_GB2312"/>
          <w:color w:val="000000"/>
          <w:sz w:val="34"/>
          <w:szCs w:val="34"/>
          <w:shd w:val="clear" w:color="auto" w:fill="FFFFFF"/>
        </w:rPr>
        <w:t>。</w:t>
      </w:r>
      <w:r>
        <w:rPr>
          <w:rFonts w:hint="eastAsia" w:ascii="仿宋_GB2312" w:hAnsi="仿宋_GB2312" w:eastAsia="仿宋_GB2312" w:cs="仿宋_GB2312"/>
          <w:b/>
          <w:sz w:val="34"/>
          <w:szCs w:val="34"/>
        </w:rPr>
        <w:t>一是完善机构。</w:t>
      </w:r>
      <w:r>
        <w:rPr>
          <w:rFonts w:hint="eastAsia" w:ascii="仿宋_GB2312" w:hAnsi="仿宋_GB2312" w:eastAsia="仿宋_GB2312" w:cs="仿宋_GB2312"/>
          <w:color w:val="000000"/>
          <w:sz w:val="34"/>
          <w:szCs w:val="34"/>
          <w:shd w:val="clear" w:color="auto" w:fill="FFFFFF"/>
        </w:rPr>
        <w:t>街道党工委、办事处高度重视，将法治政府建设工作纳入街道党工委、办事处综合目标管理考评，根据人事调整，及时对街道党工委法治建设议事协调机构和办事机构、协调小组组成人员进行调整，组建由街道办事处主任任组长，党工委副书记、政法委员、办事处副主任、城区派出所所长、党工委委员、武装部长为副组长的街道法治政府创建工作领导小组，依据全市法治政府示范市、全县法治政府示范县创建方案组建工作专班，制定方案，细化法治政府创建工作学习任务，全面深入推进法治政府创建工作。将法治政府建设纳入街道发展总体规划和年度工作计划，街道党工委书记全年召开4次专题会议部署安排法治政府建设年度重点工作，3次听取法治建设情况工作汇报，班子成员深入基层调研，解决实际存在问题20余件。坚持把依法办事作为街道党工政班子民主生活会的重要内容，研究解决法治政府建设中的重大问题；切实</w:t>
      </w:r>
      <w:r>
        <w:rPr>
          <w:rFonts w:hint="eastAsia" w:ascii="仿宋_GB2312" w:hAnsi="仿宋_GB2312" w:eastAsia="仿宋_GB2312" w:cs="仿宋_GB2312"/>
          <w:sz w:val="34"/>
          <w:szCs w:val="34"/>
        </w:rPr>
        <w:t>形成党政领导、政法牵头、各部门齐抓共管、全社会共同参与的法治建设大格局。</w:t>
      </w:r>
      <w:r>
        <w:rPr>
          <w:rStyle w:val="8"/>
          <w:rFonts w:hint="eastAsia" w:ascii="仿宋_GB2312" w:hAnsi="仿宋_GB2312" w:eastAsia="仿宋_GB2312" w:cs="仿宋_GB2312"/>
          <w:color w:val="000000"/>
          <w:sz w:val="34"/>
          <w:szCs w:val="34"/>
          <w:shd w:val="clear" w:color="auto" w:fill="FFFFFF"/>
        </w:rPr>
        <w:t>二是强化宣传</w:t>
      </w:r>
      <w:r>
        <w:rPr>
          <w:rFonts w:hint="eastAsia" w:ascii="仿宋_GB2312" w:hAnsi="仿宋_GB2312" w:eastAsia="仿宋_GB2312" w:cs="仿宋_GB2312"/>
          <w:bCs/>
          <w:color w:val="000000"/>
          <w:sz w:val="34"/>
          <w:szCs w:val="34"/>
          <w:shd w:val="clear" w:color="auto" w:fill="FFFFFF"/>
        </w:rPr>
        <w:t>。</w:t>
      </w:r>
      <w:r>
        <w:rPr>
          <w:rFonts w:hint="eastAsia" w:ascii="仿宋_GB2312" w:hAnsi="仿宋_GB2312" w:eastAsia="仿宋_GB2312" w:cs="仿宋_GB2312"/>
          <w:kern w:val="2"/>
          <w:sz w:val="34"/>
          <w:szCs w:val="34"/>
        </w:rPr>
        <w:t>严格落实“第一议题”制度，将习近平法治思想作为学习的重要内容，纳入理论学习中心组学习计划，围绕习近平法治思想“十一个坚持”，每月聚焦一个主题开展专题学习，街道党政领导干部积极利用讲党课等形式，向单位工作人员宣传阐释习近平法治思想的重要意义，</w:t>
      </w:r>
      <w:r>
        <w:rPr>
          <w:rFonts w:hint="eastAsia" w:ascii="仿宋_GB2312" w:hAnsi="仿宋_GB2312" w:eastAsia="仿宋_GB2312" w:cs="仿宋_GB2312"/>
          <w:color w:val="000000"/>
          <w:sz w:val="34"/>
          <w:szCs w:val="34"/>
          <w:shd w:val="clear" w:color="auto" w:fill="FFFFFF"/>
        </w:rPr>
        <w:t>领导干部发挥模范带头作用，教育引导街道、社区全体干部职工，并督促执法人员加强学习，组织行政执法人员开展业务考试12次，提高依法执政、依法行政的能力和水平。</w:t>
      </w:r>
      <w:r>
        <w:rPr>
          <w:rFonts w:hint="eastAsia" w:ascii="仿宋_GB2312" w:hAnsi="仿宋_GB2312" w:eastAsia="仿宋_GB2312" w:cs="仿宋_GB2312"/>
          <w:kern w:val="2"/>
          <w:sz w:val="34"/>
          <w:szCs w:val="34"/>
        </w:rPr>
        <w:t>街道全体党员干部通过认真学习，做好学习笔记，撰写学习心得；全年开展业务测试3次，检验学习成果，从而做到</w:t>
      </w:r>
      <w:r>
        <w:rPr>
          <w:rFonts w:hint="eastAsia" w:ascii="仿宋_GB2312" w:hAnsi="仿宋_GB2312" w:eastAsia="仿宋_GB2312" w:cs="仿宋_GB2312"/>
          <w:color w:val="000000"/>
          <w:sz w:val="34"/>
          <w:szCs w:val="34"/>
          <w:shd w:val="clear" w:color="auto" w:fill="FFFFFF"/>
        </w:rPr>
        <w:t>学法、知法、用法、守法。</w:t>
      </w:r>
      <w:r>
        <w:rPr>
          <w:rStyle w:val="8"/>
          <w:rFonts w:hint="eastAsia" w:ascii="仿宋_GB2312" w:hAnsi="仿宋_GB2312" w:eastAsia="仿宋_GB2312" w:cs="仿宋_GB2312"/>
          <w:sz w:val="34"/>
          <w:szCs w:val="34"/>
        </w:rPr>
        <w:t>三是依法决策。</w:t>
      </w:r>
      <w:r>
        <w:rPr>
          <w:rFonts w:hint="eastAsia" w:ascii="仿宋_GB2312" w:hAnsi="仿宋_GB2312" w:eastAsia="仿宋_GB2312" w:cs="仿宋_GB2312"/>
          <w:sz w:val="34"/>
          <w:szCs w:val="34"/>
        </w:rPr>
        <w:t>认真履行法定职责，在依法决策工作上，严格执行《莲花街道党工委会议议事规则》《莲花街道项目建设领导小组会议议事规则》，完善了街道内部决策程序。健全法律顾问工作机制，聘请县龙城律师事务所所长喻银根为街道法律顾问，完善以街道法治工作人员为主体、法学专家和律师参加的法律顾问队伍。根据《河南省行政合法性审查工作规定》等相关文件</w:t>
      </w:r>
      <w:r>
        <w:rPr>
          <w:rFonts w:hint="eastAsia" w:ascii="仿宋_GB2312" w:hAnsi="仿宋_GB2312" w:eastAsia="仿宋_GB2312" w:cs="仿宋_GB2312"/>
          <w:color w:val="000000"/>
          <w:sz w:val="34"/>
          <w:szCs w:val="34"/>
          <w:shd w:val="clear" w:color="auto" w:fill="FFFFFF"/>
        </w:rPr>
        <w:t>规定，明确</w:t>
      </w:r>
      <w:r>
        <w:rPr>
          <w:rFonts w:hint="eastAsia" w:ascii="仿宋_GB2312" w:hAnsi="仿宋_GB2312" w:eastAsia="仿宋_GB2312" w:cs="仿宋_GB2312"/>
          <w:sz w:val="34"/>
          <w:szCs w:val="34"/>
        </w:rPr>
        <w:t>行政合法性审查分管领导、责任股室和工作人员</w:t>
      </w:r>
      <w:r>
        <w:rPr>
          <w:rFonts w:hint="eastAsia" w:ascii="仿宋_GB2312" w:hAnsi="仿宋_GB2312" w:eastAsia="仿宋_GB2312" w:cs="仿宋_GB2312"/>
          <w:color w:val="000000"/>
          <w:sz w:val="34"/>
          <w:szCs w:val="34"/>
          <w:shd w:val="clear" w:color="auto" w:fill="FFFFFF"/>
        </w:rPr>
        <w:t>、规范审核程序，精准发力，规范有序推进合法性审核工作。全年</w:t>
      </w:r>
      <w:r>
        <w:rPr>
          <w:rFonts w:hint="eastAsia" w:ascii="仿宋_GB2312" w:hAnsi="仿宋_GB2312" w:eastAsia="仿宋_GB2312" w:cs="仿宋_GB2312"/>
          <w:sz w:val="34"/>
          <w:szCs w:val="34"/>
        </w:rPr>
        <w:t>对涉及辖区经济社会发展与人民群众利益密切相关的2项重大事项，街道在决策前都进行了合法</w:t>
      </w:r>
      <w:r>
        <w:rPr>
          <w:rFonts w:hint="eastAsia" w:ascii="仿宋_GB2312" w:hAnsi="仿宋_GB2312" w:eastAsia="仿宋_GB2312" w:cs="仿宋_GB2312"/>
          <w:color w:val="000000"/>
          <w:sz w:val="34"/>
          <w:szCs w:val="34"/>
          <w:shd w:val="clear" w:color="auto" w:fill="FFFFFF"/>
        </w:rPr>
        <w:t>性审查，然后提交街道党政领导班子会议集体讨论决策，讨论通过后上报有关部门备案。</w:t>
      </w:r>
      <w:r>
        <w:rPr>
          <w:rFonts w:hint="eastAsia" w:ascii="仿宋_GB2312" w:hAnsi="仿宋_GB2312" w:eastAsia="仿宋_GB2312" w:cs="仿宋_GB2312"/>
          <w:b/>
          <w:sz w:val="34"/>
          <w:szCs w:val="34"/>
        </w:rPr>
        <w:t>四是加强监督。</w:t>
      </w:r>
      <w:r>
        <w:rPr>
          <w:rFonts w:hint="eastAsia" w:ascii="仿宋_GB2312" w:hAnsi="仿宋_GB2312" w:eastAsia="仿宋_GB2312" w:cs="仿宋_GB2312"/>
          <w:sz w:val="34"/>
          <w:szCs w:val="34"/>
        </w:rPr>
        <w:t>认真落实领导干部述职述廉述法，个人重大事项报告，谈话和诫勉等制度；主动接受上级人大、政协、司法和社会监督，坚持民主管理和政务、居务公开制度，规范“三委”换届选举，建立健全居委会运作机制，确保居民群众依法行使民主选举、民主决策、民主管理、民主监督权。加强对辖区内企事业单位民主法治建设的指导。</w:t>
      </w:r>
      <w:r>
        <w:rPr>
          <w:rFonts w:hint="eastAsia" w:ascii="仿宋_GB2312" w:hAnsi="仿宋_GB2312" w:eastAsia="仿宋_GB2312" w:cs="仿宋_GB2312"/>
          <w:b/>
          <w:sz w:val="34"/>
          <w:szCs w:val="34"/>
        </w:rPr>
        <w:t>五是强化保障。</w:t>
      </w:r>
      <w:r>
        <w:rPr>
          <w:rFonts w:hint="eastAsia" w:ascii="仿宋_GB2312" w:hAnsi="仿宋_GB2312" w:eastAsia="仿宋_GB2312" w:cs="仿宋_GB2312"/>
          <w:sz w:val="34"/>
          <w:szCs w:val="34"/>
        </w:rPr>
        <w:t>组建街道、社区两级普法工作队伍，建立健全相关工作制度，街道全年落实法治宣传教育经费5万元，全部用作街道、社区普法宣传工作经费。</w:t>
      </w:r>
    </w:p>
    <w:p>
      <w:pPr>
        <w:spacing w:line="600" w:lineRule="exact"/>
        <w:ind w:firstLine="683" w:firstLineChars="200"/>
        <w:rPr>
          <w:rFonts w:ascii="仿宋_GB2312" w:hAnsi="仿宋_GB2312" w:eastAsia="仿宋_GB2312" w:cs="仿宋_GB2312"/>
          <w:color w:val="000000"/>
          <w:sz w:val="34"/>
          <w:szCs w:val="34"/>
          <w:shd w:val="clear" w:color="auto" w:fill="FFFFFF"/>
        </w:rPr>
      </w:pPr>
      <w:r>
        <w:rPr>
          <w:rStyle w:val="8"/>
          <w:rFonts w:hint="eastAsia" w:ascii="楷体_GB2312" w:hAnsi="楷体_GB2312" w:eastAsia="楷体_GB2312" w:cs="楷体_GB2312"/>
          <w:color w:val="000000"/>
          <w:kern w:val="0"/>
          <w:sz w:val="34"/>
          <w:szCs w:val="34"/>
          <w:shd w:val="clear" w:color="auto" w:fill="FFFFFF"/>
        </w:rPr>
        <w:t>2、实施法治创建工程，提升法治建设水平。</w:t>
      </w:r>
      <w:r>
        <w:rPr>
          <w:rStyle w:val="8"/>
          <w:rFonts w:hint="eastAsia" w:ascii="仿宋_GB2312" w:hAnsi="仿宋_GB2312" w:eastAsia="仿宋_GB2312" w:cs="仿宋_GB2312"/>
          <w:b w:val="0"/>
          <w:color w:val="000000"/>
          <w:sz w:val="34"/>
          <w:szCs w:val="34"/>
          <w:shd w:val="clear" w:color="auto" w:fill="FFFFFF"/>
        </w:rPr>
        <w:t>莲花街道</w:t>
      </w:r>
      <w:r>
        <w:rPr>
          <w:rStyle w:val="8"/>
          <w:rFonts w:hint="eastAsia" w:ascii="仿宋_GB2312" w:hAnsi="仿宋_GB2312" w:eastAsia="仿宋_GB2312" w:cs="仿宋_GB2312"/>
          <w:b w:val="0"/>
          <w:bCs/>
          <w:color w:val="000000"/>
          <w:sz w:val="34"/>
          <w:szCs w:val="34"/>
          <w:shd w:val="clear" w:color="auto" w:fill="FFFFFF"/>
        </w:rPr>
        <w:t>保持河南省平安建设先进单位、</w:t>
      </w:r>
      <w:r>
        <w:rPr>
          <w:rFonts w:hint="eastAsia" w:ascii="仿宋_GB2312" w:hAnsi="仿宋_GB2312" w:eastAsia="仿宋_GB2312" w:cs="仿宋_GB2312"/>
          <w:color w:val="000000"/>
          <w:kern w:val="0"/>
          <w:sz w:val="34"/>
          <w:szCs w:val="34"/>
        </w:rPr>
        <w:t>河南省法治建设先进街道</w:t>
      </w:r>
      <w:r>
        <w:rPr>
          <w:rFonts w:hint="eastAsia" w:ascii="仿宋_GB2312" w:hAnsi="仿宋_GB2312" w:eastAsia="仿宋_GB2312" w:cs="仿宋_GB2312"/>
          <w:sz w:val="34"/>
          <w:szCs w:val="34"/>
        </w:rPr>
        <w:t>、南阳市“七五”普法先进集体、全县法治政府建设先进街道荣誉称号。莲花社区、新兴社区分别保持全国民主法治社区、市级民主法治社区荣誉称号，深化完善“一征三议两公开”工作法，建立和完善了居民自治章程、居民议事制度和居务公开制度，依法保障群众知情权、参与权、表达权和监督权。　</w:t>
      </w:r>
    </w:p>
    <w:p>
      <w:pPr>
        <w:widowControl/>
        <w:spacing w:line="600" w:lineRule="exact"/>
        <w:ind w:firstLine="683" w:firstLineChars="200"/>
        <w:jc w:val="left"/>
        <w:rPr>
          <w:rFonts w:ascii="仿宋_GB2312" w:hAnsi="仿宋_GB2312" w:eastAsia="仿宋_GB2312" w:cs="仿宋_GB2312"/>
          <w:sz w:val="34"/>
          <w:szCs w:val="34"/>
        </w:rPr>
      </w:pPr>
      <w:r>
        <w:rPr>
          <w:rStyle w:val="8"/>
          <w:rFonts w:hint="eastAsia" w:ascii="楷体_GB2312" w:hAnsi="楷体_GB2312" w:eastAsia="楷体_GB2312" w:cs="楷体_GB2312"/>
          <w:color w:val="000000"/>
          <w:kern w:val="0"/>
          <w:sz w:val="34"/>
          <w:szCs w:val="34"/>
          <w:shd w:val="clear" w:color="auto" w:fill="FFFFFF"/>
        </w:rPr>
        <w:t>3、开设法治大讲堂，领导干部带头宣讲。</w:t>
      </w:r>
      <w:r>
        <w:rPr>
          <w:rFonts w:hint="eastAsia" w:ascii="仿宋_GB2312" w:hAnsi="仿宋_GB2312" w:eastAsia="仿宋_GB2312" w:cs="仿宋_GB2312"/>
          <w:sz w:val="34"/>
          <w:szCs w:val="34"/>
        </w:rPr>
        <w:t>“八五”普法以来，街道以法治大讲堂为载体，积极开展形式多样的法律“六进”法治、德治宣传活动，推动了居民自治有人管、德治教育有典型、法治宣传有案例、共治推动有内容的社会治理格局。</w:t>
      </w:r>
      <w:r>
        <w:rPr>
          <w:rFonts w:hint="eastAsia" w:ascii="仿宋_GB2312" w:hAnsi="仿宋_GB2312" w:eastAsia="仿宋_GB2312" w:cs="仿宋_GB2312"/>
          <w:color w:val="000000"/>
          <w:sz w:val="34"/>
          <w:szCs w:val="34"/>
        </w:rPr>
        <w:t>组建街道、社区法治宣讲团，将党政机关干部、法律顾问、法治模范人物、法律明白人等纳入宣讲团，</w:t>
      </w:r>
      <w:r>
        <w:rPr>
          <w:rFonts w:hint="eastAsia" w:ascii="仿宋_GB2312" w:hAnsi="仿宋_GB2312" w:eastAsia="仿宋_GB2312" w:cs="仿宋_GB2312"/>
          <w:sz w:val="34"/>
          <w:szCs w:val="34"/>
        </w:rPr>
        <w:t>以社区党群服务中心、法治长廊、学校等为宣传阵地，授课教师积极为群众宣讲习近平新时代中国特色社会主义思想、党的二十大及历次全会精神、宪法和法律法规，有</w:t>
      </w:r>
      <w:r>
        <w:rPr>
          <w:rFonts w:hint="eastAsia" w:ascii="仿宋_GB2312" w:hAnsi="仿宋_GB2312" w:eastAsia="仿宋_GB2312" w:cs="仿宋_GB2312"/>
          <w:color w:val="000000"/>
          <w:sz w:val="34"/>
          <w:szCs w:val="34"/>
        </w:rPr>
        <w:t>针对性地为社区群众授课，培养兼具致富能力和法律能力的全能人才</w:t>
      </w:r>
      <w:r>
        <w:rPr>
          <w:rFonts w:hint="eastAsia" w:ascii="仿宋_GB2312" w:hAnsi="仿宋_GB2312" w:eastAsia="仿宋_GB2312" w:cs="仿宋_GB2312"/>
          <w:b/>
          <w:color w:val="000000"/>
          <w:sz w:val="34"/>
          <w:szCs w:val="34"/>
        </w:rPr>
        <w:t>。</w:t>
      </w:r>
      <w:r>
        <w:rPr>
          <w:rFonts w:hint="eastAsia" w:ascii="仿宋_GB2312" w:hAnsi="仿宋_GB2312" w:eastAsia="仿宋_GB2312" w:cs="仿宋_GB2312"/>
          <w:sz w:val="34"/>
          <w:szCs w:val="34"/>
        </w:rPr>
        <w:t>自活动开展以来，宣讲300余场次，发放宪法读本6000余本，法治宣传单页3万余份，使干群深受教育启发，进一步塑造街道党员干部良好形象，收到良好社会宣传效果。</w:t>
      </w:r>
    </w:p>
    <w:p>
      <w:pPr>
        <w:spacing w:line="600" w:lineRule="exact"/>
        <w:ind w:firstLine="683" w:firstLineChars="200"/>
        <w:rPr>
          <w:rFonts w:ascii="仿宋_GB2312" w:hAnsi="仿宋_GB2312" w:eastAsia="仿宋_GB2312" w:cs="仿宋_GB2312"/>
          <w:color w:val="000000"/>
          <w:sz w:val="34"/>
          <w:szCs w:val="34"/>
        </w:rPr>
      </w:pPr>
      <w:r>
        <w:rPr>
          <w:rStyle w:val="8"/>
          <w:rFonts w:hint="eastAsia" w:ascii="楷体_GB2312" w:hAnsi="楷体_GB2312" w:eastAsia="楷体_GB2312" w:cs="楷体_GB2312"/>
          <w:color w:val="000000"/>
          <w:kern w:val="0"/>
          <w:sz w:val="34"/>
          <w:szCs w:val="34"/>
          <w:shd w:val="clear" w:color="auto" w:fill="FFFFFF"/>
        </w:rPr>
        <w:t>4、持续优化营商环境，推动企业稳健发展。</w:t>
      </w:r>
      <w:r>
        <w:rPr>
          <w:rFonts w:hint="eastAsia" w:ascii="仿宋_GB2312" w:hAnsi="仿宋_GB2312" w:eastAsia="仿宋_GB2312" w:cs="仿宋_GB2312"/>
          <w:sz w:val="34"/>
          <w:szCs w:val="34"/>
        </w:rPr>
        <w:t>莲花街道</w:t>
      </w:r>
      <w:r>
        <w:rPr>
          <w:rFonts w:hint="eastAsia" w:ascii="仿宋_GB2312" w:hAnsi="仿宋_GB2312" w:eastAsia="仿宋_GB2312" w:cs="仿宋_GB2312"/>
          <w:color w:val="000000"/>
          <w:sz w:val="34"/>
          <w:szCs w:val="34"/>
        </w:rPr>
        <w:t>坚持</w:t>
      </w:r>
      <w:r>
        <w:rPr>
          <w:rFonts w:hint="eastAsia" w:ascii="仿宋_GB2312" w:hAnsi="仿宋_GB2312" w:eastAsia="仿宋_GB2312" w:cs="仿宋_GB2312"/>
          <w:sz w:val="34"/>
          <w:szCs w:val="34"/>
        </w:rPr>
        <w:t>“营商环境就是生产力”“抓营商环境就是抓发展”的理念，持续开展“我为企业办实事”实践活动和“万人助万企”活动，促进辖区企业持续、健康、稳定发展。</w:t>
      </w:r>
      <w:r>
        <w:rPr>
          <w:rFonts w:hint="eastAsia" w:ascii="仿宋_GB2312" w:hAnsi="仿宋_GB2312" w:eastAsia="仿宋_GB2312" w:cs="仿宋_GB2312"/>
          <w:b/>
          <w:bCs/>
          <w:sz w:val="34"/>
          <w:szCs w:val="34"/>
        </w:rPr>
        <w:t>一是简化办事流程。</w:t>
      </w:r>
      <w:r>
        <w:rPr>
          <w:rFonts w:hint="eastAsia" w:ascii="仿宋_GB2312" w:hAnsi="仿宋_GB2312" w:eastAsia="仿宋_GB2312" w:cs="仿宋_GB2312"/>
          <w:sz w:val="34"/>
          <w:szCs w:val="34"/>
        </w:rPr>
        <w:t>紧扣中央、省、市、县“减证便民”各项安排部署，先后清理取消精减烦扰企业和群众的“奇葩”证明、循环证明、重复证明等各类无谓证明事项三批12项，大大减少盖章、审核、备案、确认、告知等繁琐环节和手续。</w:t>
      </w:r>
      <w:r>
        <w:rPr>
          <w:rFonts w:hint="eastAsia" w:ascii="仿宋_GB2312" w:hAnsi="仿宋_GB2312" w:eastAsia="仿宋_GB2312" w:cs="仿宋_GB2312"/>
          <w:b/>
          <w:bCs/>
          <w:sz w:val="34"/>
          <w:szCs w:val="34"/>
        </w:rPr>
        <w:t>二是主动上门服务。</w:t>
      </w:r>
      <w:r>
        <w:rPr>
          <w:rFonts w:hint="eastAsia" w:ascii="仿宋_GB2312" w:hAnsi="仿宋_GB2312" w:eastAsia="仿宋_GB2312" w:cs="仿宋_GB2312"/>
          <w:sz w:val="34"/>
          <w:szCs w:val="34"/>
        </w:rPr>
        <w:t>持续大力开展“万人助万企”活动，37名中层干部分包辖区所有企业，主动上门收集、解决问题。针对</w:t>
      </w:r>
      <w:r>
        <w:rPr>
          <w:rFonts w:hint="eastAsia" w:ascii="仿宋_GB2312" w:hAnsi="仿宋_GB2312" w:eastAsia="仿宋_GB2312" w:cs="仿宋_GB2312"/>
          <w:kern w:val="0"/>
          <w:sz w:val="34"/>
          <w:szCs w:val="34"/>
        </w:rPr>
        <w:t>西峡县宏宇包装有限公司因为发展需要，企业规模在扩大，需要更加专业的技术人员。在与企业领导进行了解后，包联领导共同商量应对措施，而后莲花街道联合县人社局开展西峡县莲花街道“重点企业进社区”现场招聘会，县政协副主席</w:t>
      </w:r>
      <w:bookmarkStart w:id="0" w:name="_GoBack"/>
      <w:r>
        <w:rPr>
          <w:rFonts w:hint="eastAsia" w:ascii="仿宋_GB2312" w:hAnsi="仿宋_GB2312" w:eastAsia="仿宋_GB2312" w:cs="仿宋_GB2312"/>
          <w:kern w:val="0"/>
          <w:sz w:val="34"/>
          <w:szCs w:val="34"/>
        </w:rPr>
        <w:t>杜书</w:t>
      </w:r>
      <w:r>
        <w:rPr>
          <w:rFonts w:hint="eastAsia" w:ascii="仿宋_GB2312" w:hAnsi="仿宋_GB2312" w:eastAsia="仿宋_GB2312" w:cs="仿宋_GB2312"/>
          <w:kern w:val="0"/>
          <w:sz w:val="34"/>
          <w:szCs w:val="34"/>
          <w:lang w:eastAsia="zh-CN"/>
        </w:rPr>
        <w:t>玲</w:t>
      </w:r>
      <w:r>
        <w:rPr>
          <w:rFonts w:hint="eastAsia" w:ascii="仿宋_GB2312" w:hAnsi="仿宋_GB2312" w:eastAsia="仿宋_GB2312" w:cs="仿宋_GB2312"/>
          <w:kern w:val="0"/>
          <w:sz w:val="34"/>
          <w:szCs w:val="34"/>
        </w:rPr>
        <w:t>、莲花街道党工委书记武安朝、县人社局党组成员、</w:t>
      </w:r>
      <w:bookmarkEnd w:id="0"/>
      <w:r>
        <w:rPr>
          <w:rFonts w:hint="eastAsia" w:ascii="仿宋_GB2312" w:hAnsi="仿宋_GB2312" w:eastAsia="仿宋_GB2312" w:cs="仿宋_GB2312"/>
          <w:kern w:val="0"/>
          <w:sz w:val="34"/>
          <w:szCs w:val="34"/>
        </w:rPr>
        <w:t>副局长李春梅、街道党工委副书记、办事处主任袁博、企业代表伟华实业副总沈永强参加活动，有效满足了企业用工需求，缓解了企业“用工难”问题。</w:t>
      </w:r>
      <w:r>
        <w:rPr>
          <w:rFonts w:hint="eastAsia" w:ascii="仿宋_GB2312" w:hAnsi="仿宋_GB2312" w:eastAsia="仿宋_GB2312" w:cs="仿宋_GB2312"/>
          <w:b/>
          <w:bCs/>
          <w:sz w:val="34"/>
          <w:szCs w:val="34"/>
        </w:rPr>
        <w:t>三是“保姆式”服务。</w:t>
      </w:r>
      <w:r>
        <w:rPr>
          <w:rFonts w:hint="eastAsia" w:ascii="仿宋_GB2312" w:hAnsi="仿宋_GB2312" w:eastAsia="仿宋_GB2312" w:cs="仿宋_GB2312"/>
          <w:sz w:val="34"/>
          <w:szCs w:val="34"/>
        </w:rPr>
        <w:t>对于招商引资项目、重大基础设施项目、急需开工项目等特殊项目，指派专人全程跟踪，及时汇报沟通，帮助企业牵线搭桥，确保企业享受“保姆式”服务。针对金方圆公司准备新上智能化编织车间项目，需要建设千余平方米的车间，街道立即与相关部门对接，协调用地、建设许可证、环评手续办理等，让企业切实感受到政府部门优化营商环境的诚意。据不完全统计，在“万人助万企”活动中，</w:t>
      </w:r>
      <w:r>
        <w:rPr>
          <w:rFonts w:hint="eastAsia" w:ascii="仿宋_GB2312" w:hAnsi="仿宋_GB2312" w:eastAsia="仿宋_GB2312" w:cs="仿宋_GB2312"/>
          <w:kern w:val="0"/>
          <w:sz w:val="34"/>
          <w:szCs w:val="34"/>
        </w:rPr>
        <w:t>莲花街道包联企业领导干部累计实地走访企业140余次，共收集问题27件，莲花街道共收集了27个企业问题、解决了 27个企业问题，企业满意度100%。</w:t>
      </w:r>
      <w:r>
        <w:rPr>
          <w:rFonts w:hint="eastAsia" w:ascii="仿宋_GB2312" w:hAnsi="仿宋_GB2312" w:eastAsia="仿宋_GB2312" w:cs="仿宋_GB2312"/>
          <w:b/>
          <w:bCs/>
          <w:sz w:val="34"/>
          <w:szCs w:val="34"/>
        </w:rPr>
        <w:t>四是送法进企业。</w:t>
      </w:r>
      <w:r>
        <w:rPr>
          <w:rFonts w:hint="eastAsia" w:ascii="仿宋_GB2312" w:hAnsi="仿宋_GB2312" w:eastAsia="仿宋_GB2312" w:cs="仿宋_GB2312"/>
          <w:kern w:val="0"/>
          <w:sz w:val="34"/>
          <w:szCs w:val="34"/>
        </w:rPr>
        <w:t>莲花街道针对申请人对企业登记知识薄弱问题，在登记过程中，有针对性的对企业进行涉及登记方面法律、法规的讲解，帮助申请人了解自己所办的企业涉及的法律、法规。莲花街道组建普法小组,定期对辖区企业进行法治检查、普法宣传。帮助西峡县宏宇包装有限公司、西峡县金方圆密封材料有限责任公司等辖区企业排查自身存在法律风险，现场提出预防风险建议。同时就企业员工提出的有关婚姻家庭、劳动合同、经济合同及如何申请法律援助等问题一一进行解答。莲花街道</w:t>
      </w:r>
      <w:r>
        <w:rPr>
          <w:rFonts w:hint="eastAsia" w:ascii="仿宋_GB2312" w:hAnsi="仿宋_GB2312" w:eastAsia="仿宋_GB2312" w:cs="仿宋_GB2312"/>
          <w:color w:val="000000"/>
          <w:sz w:val="34"/>
          <w:szCs w:val="34"/>
          <w:shd w:val="clear" w:color="auto" w:fill="FFFFFF"/>
        </w:rPr>
        <w:t>通过有针对性地开展帮助解决资金、法律援助等帮扶活动，确保“万人助万企”“送法进企业”活动措施条条落实、件件落地、事事见效</w:t>
      </w:r>
      <w:r>
        <w:rPr>
          <w:rFonts w:hint="eastAsia" w:ascii="仿宋_GB2312" w:hAnsi="仿宋_GB2312" w:eastAsia="仿宋_GB2312" w:cs="仿宋_GB2312"/>
          <w:color w:val="000000"/>
          <w:sz w:val="34"/>
          <w:szCs w:val="34"/>
        </w:rPr>
        <w:t>。</w:t>
      </w:r>
    </w:p>
    <w:p>
      <w:pPr>
        <w:spacing w:line="600" w:lineRule="exact"/>
        <w:ind w:firstLine="683" w:firstLineChars="200"/>
        <w:rPr>
          <w:rFonts w:hint="eastAsia" w:ascii="仿宋_GB2312" w:hAnsi="仿宋_GB2312" w:eastAsia="仿宋_GB2312" w:cs="仿宋_GB2312"/>
          <w:sz w:val="34"/>
          <w:szCs w:val="34"/>
        </w:rPr>
      </w:pPr>
      <w:r>
        <w:rPr>
          <w:rFonts w:hint="eastAsia" w:ascii="楷体" w:hAnsi="楷体" w:eastAsia="楷体" w:cs="仿宋_GB2312"/>
          <w:b/>
          <w:sz w:val="34"/>
          <w:szCs w:val="34"/>
        </w:rPr>
        <w:t>5、强力推进河南省行政执法责任制示范点创建工作。</w:t>
      </w:r>
      <w:r>
        <w:rPr>
          <w:rFonts w:hint="eastAsia" w:ascii="仿宋_GB2312" w:hAnsi="仿宋_GB2312" w:eastAsia="仿宋_GB2312" w:cs="仿宋_GB2312"/>
          <w:sz w:val="34"/>
          <w:szCs w:val="34"/>
        </w:rPr>
        <w:t>今年以来，莲花街道高度重视示范点创建工作，聚力队伍建设、阵地建设、规范执法等工作重点，以行政执法规范化建设、执法人员能力提升专项活动为抓手，全力推进严格公正文明执法，促使创建工作稳步开展，取得初步成效：</w:t>
      </w:r>
      <w:r>
        <w:rPr>
          <w:rFonts w:hint="eastAsia" w:ascii="仿宋_GB2312" w:hAnsi="仿宋_GB2312" w:eastAsia="仿宋_GB2312" w:cs="仿宋_GB2312"/>
          <w:b/>
          <w:sz w:val="34"/>
          <w:szCs w:val="34"/>
        </w:rPr>
        <w:t>一是加强队伍建设,促能力提升。</w:t>
      </w:r>
      <w:r>
        <w:rPr>
          <w:rFonts w:hint="eastAsia" w:ascii="仿宋_GB2312" w:hAnsi="仿宋_GB2312" w:eastAsia="仿宋_GB2312" w:cs="仿宋_GB2312"/>
          <w:sz w:val="34"/>
          <w:szCs w:val="34"/>
        </w:rPr>
        <w:t>建立执法人员周五专项学习制度，将《法治政府建设应知应会》、《行政处罚法》、《行政许可法》等，纳入专项学习内容。组织线上集中学习4 次，依托“学习强国”学习平台、河南省干部网络学院等线上学习平台，实现“灵活学”。组织执法人员交流研讨 2次，以学促行、以行践学、学以致用，实现“交流学”。通过参加网上法治知识竞赛、案卷评审整改、主抓副职亲自带队执法等活动，实现“检验学”。街道纪工委、党建办、法制室等单位要牵头组织监督检查，通过现场执法监督、开通网上投诉举报通道、定期评查案卷等形式，加强正面激励与负面惩戒，切实提升执法质效。</w:t>
      </w:r>
      <w:r>
        <w:rPr>
          <w:rFonts w:hint="eastAsia" w:ascii="仿宋" w:hAnsi="仿宋" w:eastAsia="仿宋" w:cs="仿宋_GB2312"/>
          <w:b/>
          <w:sz w:val="34"/>
          <w:szCs w:val="34"/>
        </w:rPr>
        <w:t>二是加强阵地规范化建设，促宣传氛围营造。</w:t>
      </w:r>
      <w:r>
        <w:rPr>
          <w:rFonts w:hint="eastAsia" w:ascii="仿宋_GB2312" w:hAnsi="仿宋_GB2312" w:eastAsia="仿宋_GB2312" w:cs="仿宋_GB2312"/>
          <w:sz w:val="34"/>
          <w:szCs w:val="34"/>
        </w:rPr>
        <w:t>专门腾出一栋办公楼，以执法“蓝”为主题色彩重新布局装修，高标准完成“三室一库”办公用房建设，增设投诉举报室、联合支部办公室等业务用房7间、公示栏9处、文化墙6面，将上级调研督导、组织学习、执法开展等工作场面以图文形式展现，营造有力度有温度的工作氛围。</w:t>
      </w:r>
      <w:r>
        <w:rPr>
          <w:rFonts w:hint="eastAsia" w:ascii="楷体" w:hAnsi="楷体" w:eastAsia="楷体" w:cs="仿宋_GB2312"/>
          <w:b/>
          <w:sz w:val="34"/>
          <w:szCs w:val="34"/>
        </w:rPr>
        <w:t>三是加强行政执法程序规范</w:t>
      </w:r>
      <w:r>
        <w:rPr>
          <w:rFonts w:hint="eastAsia" w:ascii="仿宋_GB2312" w:hAnsi="仿宋_GB2312" w:eastAsia="仿宋_GB2312" w:cs="仿宋_GB2312"/>
          <w:sz w:val="34"/>
          <w:szCs w:val="34"/>
        </w:rPr>
        <w:t>。梳理行政执法权责清单，对现有适用权限明细在政府网站公示公告，将行政执法案件办理简易程序、普通程序等流程图上墙公示，建立行政执法岗责体系。建立行政相对人违法风险防控清单。将行政相对人违法风险逐一研判分析，建立源头防范机制，推进行政指导机制，明确常态检查任务，及时纠正违法行为，将违法风险化解在矛盾萌芽。规范行政执法资格。行政执法人员均取得《河南省行政执法证》，做到执法人员持证上岗、亮证执法。规范行政执法程序。开展行政执法流程规范演练，执法大队主抓副职封彦庆带头示范，严格按照亮证执法、说明理由、调查取证、听取陈述申辩、听证、审查决定等执法流程行使执法权限。今年以来，聚焦疫情防控、营商环境、城市管理等重点领域，开展执法检查56次，参与交通秩序专项治理活动、消防安全检查、文明城市创建活动，下发整改通知书100份，协同查处违建案8起、拆除违建6处、处置环保噪音热线4起,引导规劝群众280人次,处理违章占道30余起。</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Fonts w:hint="eastAsia" w:ascii="黑体" w:hAnsi="黑体" w:eastAsia="黑体" w:cs="黑体"/>
          <w:b/>
          <w:bCs/>
          <w:sz w:val="34"/>
          <w:szCs w:val="34"/>
        </w:rPr>
        <w:t xml:space="preserve">二、注重实效，法治工作载体不断创新  </w:t>
      </w:r>
      <w:r>
        <w:rPr>
          <w:rFonts w:hint="eastAsia" w:ascii="仿宋_GB2312" w:hAnsi="仿宋_GB2312" w:eastAsia="仿宋_GB2312" w:cs="仿宋_GB2312"/>
          <w:sz w:val="34"/>
          <w:szCs w:val="34"/>
        </w:rPr>
        <w:t>　　</w:t>
      </w:r>
    </w:p>
    <w:p>
      <w:pPr>
        <w:pStyle w:val="6"/>
        <w:spacing w:beforeAutospacing="0" w:afterAutospacing="0" w:line="600" w:lineRule="exact"/>
        <w:ind w:firstLine="683" w:firstLineChars="200"/>
        <w:jc w:val="both"/>
        <w:rPr>
          <w:rFonts w:ascii="仿宋_GB2312" w:hAnsi="仿宋_GB2312" w:eastAsia="仿宋_GB2312" w:cs="仿宋_GB2312"/>
          <w:color w:val="000000"/>
          <w:sz w:val="34"/>
          <w:szCs w:val="34"/>
        </w:rPr>
      </w:pPr>
      <w:r>
        <w:rPr>
          <w:rStyle w:val="8"/>
          <w:rFonts w:hint="eastAsia" w:ascii="楷体_GB2312" w:hAnsi="楷体_GB2312" w:eastAsia="楷体_GB2312" w:cs="楷体_GB2312"/>
          <w:color w:val="000000"/>
          <w:sz w:val="34"/>
          <w:szCs w:val="34"/>
          <w:shd w:val="clear" w:color="auto" w:fill="FFFFFF"/>
        </w:rPr>
        <w:t>1、提升法治宣传阵地。</w:t>
      </w:r>
      <w:r>
        <w:rPr>
          <w:rFonts w:hint="eastAsia" w:ascii="仿宋_GB2312" w:hAnsi="仿宋_GB2312" w:eastAsia="仿宋_GB2312" w:cs="仿宋_GB2312"/>
          <w:sz w:val="34"/>
          <w:szCs w:val="34"/>
        </w:rPr>
        <w:t>利用校园周边、公园、游园等人流量大的区域，</w:t>
      </w:r>
      <w:r>
        <w:rPr>
          <w:rFonts w:hint="eastAsia" w:ascii="仿宋_GB2312" w:hAnsi="仿宋_GB2312" w:eastAsia="仿宋_GB2312" w:cs="仿宋_GB2312"/>
          <w:color w:val="000000"/>
          <w:sz w:val="34"/>
          <w:szCs w:val="34"/>
        </w:rPr>
        <w:t>结合街道实际，打造独特的法治文化阵地。精品打造街道社区法律服务站、社区法治学校、法治宣传长廊，整合优势资源，充分发挥法治宣传阵地辐射带动作用，加强法律服务学术交流，加强普法宣传队伍培训，筑牢群众法治宣传主阵地，全力推动社区法治建设。</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Style w:val="8"/>
          <w:rFonts w:hint="eastAsia" w:ascii="楷体_GB2312" w:hAnsi="楷体_GB2312" w:eastAsia="楷体_GB2312" w:cs="楷体_GB2312"/>
          <w:color w:val="000000"/>
          <w:sz w:val="34"/>
          <w:szCs w:val="34"/>
          <w:shd w:val="clear" w:color="auto" w:fill="FFFFFF"/>
        </w:rPr>
        <w:t>2、全面落实法律顾问机制。</w:t>
      </w:r>
      <w:r>
        <w:rPr>
          <w:rFonts w:hint="eastAsia" w:ascii="仿宋_GB2312" w:hAnsi="仿宋_GB2312" w:eastAsia="仿宋_GB2312" w:cs="仿宋_GB2312"/>
          <w:sz w:val="34"/>
          <w:szCs w:val="34"/>
        </w:rPr>
        <w:t>选聘政治觉悟高、经验丰富的律师担任街道2个社区法律顾问，充分发挥法律顾问“社区发展服务员、国家法律政策宣传员、社会弱势群体援助员、矛盾纠纷调解员，社会治安信息员”的作用，全面服务基层社会稳定、群众依法维权、社区民主法治建设。社区法律顾问全年进社区200余次，参与矛盾纠纷调解100余次，开展法治讲座20余次，接受法律咨询2000余人次，发放法律宣传单3000余份，协助街道社区解决涉法涉诉案件10余起。</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Style w:val="8"/>
          <w:rFonts w:hint="eastAsia" w:ascii="楷体_GB2312" w:hAnsi="楷体_GB2312" w:eastAsia="楷体_GB2312" w:cs="楷体_GB2312"/>
          <w:color w:val="000000"/>
          <w:sz w:val="34"/>
          <w:szCs w:val="34"/>
          <w:shd w:val="clear" w:color="auto" w:fill="FFFFFF"/>
        </w:rPr>
        <w:t>3、专兼职调解员入户释法解疑。</w:t>
      </w:r>
      <w:r>
        <w:rPr>
          <w:rFonts w:hint="eastAsia" w:ascii="仿宋_GB2312" w:hAnsi="仿宋_GB2312" w:eastAsia="仿宋_GB2312" w:cs="仿宋_GB2312"/>
          <w:sz w:val="34"/>
          <w:szCs w:val="34"/>
        </w:rPr>
        <w:t>选聘思想政治坚定、法律业务精通、经验丰富的街道机关干部、人民调解员、社区“五老”党员、法律工作者、专职网格员153人担任街道、社区专兼职矛盾调解员，深入各社区开展法律宣传、法律咨询和法律服务。由社区老党员、老干部、老教师、老战士、老模范自愿组成的“五老”评议团，利用“道德法庭”，对邻里纠纷、上访老户、特殊利益群体等难热点问题，定点定向服务，从法律、道德两个层面对当事人进行约束，定纷止争。莲花社区居民白金华就是通过“五老评议团”最终调解成功，放弃上访的典型案例。</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Style w:val="8"/>
          <w:rFonts w:hint="eastAsia" w:ascii="楷体_GB2312" w:hAnsi="楷体_GB2312" w:eastAsia="楷体_GB2312" w:cs="楷体_GB2312"/>
          <w:color w:val="000000"/>
          <w:sz w:val="34"/>
          <w:szCs w:val="34"/>
          <w:shd w:val="clear" w:color="auto" w:fill="FFFFFF"/>
        </w:rPr>
        <w:t>4、创新法治宣传载体。</w:t>
      </w:r>
      <w:r>
        <w:rPr>
          <w:rFonts w:hint="eastAsia" w:ascii="仿宋_GB2312" w:hAnsi="仿宋_GB2312" w:eastAsia="仿宋_GB2312" w:cs="仿宋_GB2312"/>
          <w:b/>
          <w:bCs/>
          <w:sz w:val="34"/>
          <w:szCs w:val="34"/>
        </w:rPr>
        <w:t>一是利用新兴媒体普法</w:t>
      </w:r>
      <w:r>
        <w:rPr>
          <w:rFonts w:hint="eastAsia" w:ascii="仿宋_GB2312" w:hAnsi="仿宋_GB2312" w:eastAsia="仿宋_GB2312" w:cs="仿宋_GB2312"/>
          <w:sz w:val="34"/>
          <w:szCs w:val="34"/>
        </w:rPr>
        <w:t>。街道主动与县电视台合作，拍摄法治工作宣传片3次，借助</w:t>
      </w:r>
      <w:r>
        <w:rPr>
          <w:rFonts w:hint="eastAsia" w:ascii="仿宋_GB2312" w:hAnsi="仿宋_GB2312" w:eastAsia="仿宋_GB2312" w:cs="仿宋_GB2312"/>
          <w:color w:val="000000"/>
          <w:sz w:val="34"/>
          <w:szCs w:val="34"/>
        </w:rPr>
        <w:t>微信、微博、微信公众号等新兴网络媒体</w:t>
      </w:r>
      <w:r>
        <w:rPr>
          <w:rFonts w:hint="eastAsia" w:ascii="仿宋_GB2312" w:hAnsi="仿宋_GB2312" w:eastAsia="仿宋_GB2312" w:cs="仿宋_GB2312"/>
          <w:sz w:val="34"/>
          <w:szCs w:val="34"/>
        </w:rPr>
        <w:t>，扩大法治宣传教育的覆盖面，提高法治宣传教育的效果，有力营造浓厚法治氛围。</w:t>
      </w:r>
      <w:r>
        <w:rPr>
          <w:rFonts w:hint="eastAsia" w:ascii="仿宋_GB2312" w:hAnsi="仿宋_GB2312" w:eastAsia="仿宋_GB2312" w:cs="仿宋_GB2312"/>
          <w:b/>
          <w:bCs/>
          <w:sz w:val="34"/>
          <w:szCs w:val="34"/>
        </w:rPr>
        <w:t>二是</w:t>
      </w:r>
      <w:r>
        <w:rPr>
          <w:rFonts w:hint="eastAsia" w:ascii="仿宋_GB2312" w:hAnsi="仿宋_GB2312" w:eastAsia="仿宋_GB2312" w:cs="仿宋_GB2312"/>
          <w:color w:val="000000"/>
          <w:sz w:val="34"/>
          <w:szCs w:val="34"/>
        </w:rPr>
        <w:t>深入开展以“法治进社区”，“法治进校园”为主的法律“六进”活动，利用春灯节等重要节假日，邀请县普法艺术团、民间文化宣讲队深入社区演出，</w:t>
      </w:r>
      <w:r>
        <w:rPr>
          <w:rFonts w:hint="eastAsia" w:ascii="仿宋_GB2312" w:hAnsi="仿宋_GB2312" w:eastAsia="仿宋_GB2312" w:cs="仿宋_GB2312"/>
          <w:sz w:val="34"/>
          <w:szCs w:val="34"/>
        </w:rPr>
        <w:t>截至目前，已开展送法进社区巡回演出30余场，法治进校园10余次。</w:t>
      </w:r>
      <w:r>
        <w:rPr>
          <w:rFonts w:hint="eastAsia" w:ascii="仿宋_GB2312" w:hAnsi="仿宋_GB2312" w:eastAsia="仿宋_GB2312" w:cs="仿宋_GB2312"/>
          <w:color w:val="000000"/>
          <w:sz w:val="34"/>
          <w:szCs w:val="34"/>
          <w:shd w:val="clear" w:color="auto" w:fill="FFFFFF"/>
        </w:rPr>
        <w:t>通过系列法治活动的开展，教育引导辖区居民树立正确的法治观念，进一步创提升居民法治素养。</w:t>
      </w:r>
      <w:r>
        <w:rPr>
          <w:rFonts w:hint="eastAsia" w:ascii="仿宋_GB2312" w:hAnsi="仿宋_GB2312" w:eastAsia="仿宋_GB2312" w:cs="仿宋_GB2312"/>
          <w:sz w:val="34"/>
          <w:szCs w:val="34"/>
        </w:rPr>
        <w:t xml:space="preserve"> 　　</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Fonts w:hint="eastAsia" w:ascii="黑体" w:hAnsi="黑体" w:eastAsia="黑体" w:cs="黑体"/>
          <w:b/>
          <w:bCs/>
          <w:sz w:val="34"/>
          <w:szCs w:val="34"/>
        </w:rPr>
        <w:t xml:space="preserve">三、突出重点，法治宣传力度不断加强 </w:t>
      </w:r>
      <w:r>
        <w:rPr>
          <w:rFonts w:hint="eastAsia" w:ascii="黑体" w:hAnsi="黑体" w:eastAsia="黑体" w:cs="黑体"/>
          <w:sz w:val="34"/>
          <w:szCs w:val="34"/>
        </w:rPr>
        <w:t xml:space="preserve"> 　</w:t>
      </w:r>
      <w:r>
        <w:rPr>
          <w:rFonts w:hint="eastAsia" w:ascii="仿宋_GB2312" w:hAnsi="仿宋_GB2312" w:eastAsia="仿宋_GB2312" w:cs="仿宋_GB2312"/>
          <w:sz w:val="34"/>
          <w:szCs w:val="34"/>
        </w:rPr>
        <w:t>　</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Style w:val="8"/>
          <w:rFonts w:hint="eastAsia" w:ascii="楷体_GB2312" w:hAnsi="楷体_GB2312" w:eastAsia="楷体_GB2312" w:cs="楷体_GB2312"/>
          <w:color w:val="000000"/>
          <w:sz w:val="34"/>
          <w:szCs w:val="34"/>
          <w:shd w:val="clear" w:color="auto" w:fill="FFFFFF"/>
        </w:rPr>
        <w:t>1、强化党员干部职工学法用法。</w:t>
      </w:r>
      <w:r>
        <w:rPr>
          <w:rFonts w:hint="eastAsia" w:ascii="仿宋_GB2312" w:hAnsi="仿宋_GB2312" w:eastAsia="仿宋_GB2312" w:cs="仿宋_GB2312"/>
          <w:b/>
          <w:bCs/>
          <w:sz w:val="34"/>
          <w:szCs w:val="34"/>
        </w:rPr>
        <w:t>一是</w:t>
      </w:r>
      <w:r>
        <w:rPr>
          <w:rFonts w:hint="eastAsia" w:ascii="仿宋_GB2312" w:hAnsi="仿宋_GB2312" w:eastAsia="仿宋_GB2312" w:cs="仿宋_GB2312"/>
          <w:sz w:val="34"/>
          <w:szCs w:val="34"/>
        </w:rPr>
        <w:t>按照“八五”普法工作的要求，完善了领导干部学法等规章制度，以领导干部学法用法为引领，加强《宪法》、《民法典》、《优化营商环境条例》《河南省优化营商环境条例》《南阳市优化营商环境条例》等法律学习，带动全体党员干部积极学法用法。</w:t>
      </w:r>
      <w:r>
        <w:rPr>
          <w:rFonts w:hint="eastAsia" w:ascii="仿宋_GB2312" w:hAnsi="仿宋_GB2312" w:eastAsia="仿宋_GB2312" w:cs="仿宋_GB2312"/>
          <w:b/>
          <w:bCs/>
          <w:sz w:val="34"/>
          <w:szCs w:val="34"/>
        </w:rPr>
        <w:t>二是</w:t>
      </w:r>
      <w:r>
        <w:rPr>
          <w:rFonts w:hint="eastAsia" w:ascii="仿宋_GB2312" w:hAnsi="仿宋_GB2312" w:eastAsia="仿宋_GB2312" w:cs="仿宋_GB2312"/>
          <w:sz w:val="34"/>
          <w:szCs w:val="34"/>
        </w:rPr>
        <w:t>大力加强对执法人员的法治教育，积极推进行政执法体制改革，根据县法政办工作部署坚持全年开展24次对全体行政执法人员进行业务知识集体培训，组织街道综合行政执法中队10余人参加执法证考试，提升一线执法人员的法律素养，积极推进服务型行政执法工作，严格落实行政执法“三项制度”，不断规范执法行为，推动公正文明执法工作水平的提升。</w:t>
      </w:r>
      <w:r>
        <w:rPr>
          <w:rFonts w:hint="eastAsia" w:ascii="仿宋_GB2312" w:hAnsi="仿宋_GB2312" w:eastAsia="仿宋_GB2312" w:cs="仿宋_GB2312"/>
          <w:b/>
          <w:bCs/>
          <w:sz w:val="34"/>
          <w:szCs w:val="34"/>
        </w:rPr>
        <w:t>三是</w:t>
      </w:r>
      <w:r>
        <w:rPr>
          <w:rFonts w:hint="eastAsia" w:ascii="仿宋_GB2312" w:hAnsi="仿宋_GB2312" w:eastAsia="仿宋_GB2312" w:cs="仿宋_GB2312"/>
          <w:sz w:val="34"/>
          <w:szCs w:val="34"/>
        </w:rPr>
        <w:t>开通“魅力莲花”微信公众号、“平安法治莲花”微信群、平安莲花QQ群，定期向街道干部职工和社区、居组干部发送法治教育信息。  　　</w:t>
      </w:r>
    </w:p>
    <w:p>
      <w:pPr>
        <w:pStyle w:val="6"/>
        <w:spacing w:beforeAutospacing="0" w:afterAutospacing="0" w:line="600" w:lineRule="exact"/>
        <w:ind w:firstLine="683" w:firstLineChars="200"/>
        <w:jc w:val="both"/>
        <w:rPr>
          <w:rFonts w:ascii="仿宋_GB2312" w:hAnsi="仿宋_GB2312" w:eastAsia="仿宋_GB2312" w:cs="仿宋_GB2312"/>
          <w:color w:val="000000"/>
          <w:sz w:val="34"/>
          <w:szCs w:val="34"/>
        </w:rPr>
      </w:pPr>
      <w:r>
        <w:rPr>
          <w:rStyle w:val="8"/>
          <w:rFonts w:hint="eastAsia" w:ascii="楷体_GB2312" w:hAnsi="楷体_GB2312" w:eastAsia="楷体_GB2312" w:cs="楷体_GB2312"/>
          <w:color w:val="000000"/>
          <w:sz w:val="34"/>
          <w:szCs w:val="34"/>
          <w:shd w:val="clear" w:color="auto" w:fill="FFFFFF"/>
        </w:rPr>
        <w:t>2、加强重点法律条文的宣传教育。</w:t>
      </w:r>
      <w:r>
        <w:rPr>
          <w:rFonts w:hint="eastAsia" w:ascii="仿宋_GB2312" w:hAnsi="仿宋_GB2312" w:eastAsia="仿宋_GB2312" w:cs="仿宋_GB2312"/>
          <w:bCs/>
          <w:sz w:val="34"/>
          <w:szCs w:val="34"/>
        </w:rPr>
        <w:t>借助“</w:t>
      </w:r>
      <w:r>
        <w:rPr>
          <w:rFonts w:hint="eastAsia" w:ascii="仿宋_GB2312" w:hAnsi="仿宋_GB2312" w:eastAsia="仿宋_GB2312" w:cs="仿宋_GB2312"/>
          <w:sz w:val="34"/>
          <w:szCs w:val="34"/>
        </w:rPr>
        <w:t>法治宣传月</w:t>
      </w:r>
      <w:r>
        <w:rPr>
          <w:rFonts w:hint="eastAsia" w:ascii="仿宋_GB2312" w:hAnsi="仿宋_GB2312" w:eastAsia="仿宋_GB2312" w:cs="仿宋_GB2312"/>
          <w:bCs/>
          <w:sz w:val="34"/>
          <w:szCs w:val="34"/>
        </w:rPr>
        <w:t>”</w:t>
      </w:r>
      <w:r>
        <w:rPr>
          <w:rFonts w:hint="eastAsia" w:ascii="仿宋_GB2312" w:hAnsi="仿宋_GB2312" w:eastAsia="仿宋_GB2312" w:cs="仿宋_GB2312"/>
          <w:sz w:val="34"/>
          <w:szCs w:val="34"/>
        </w:rPr>
        <w:t>、“ 12.4”宪法宣传周等时间节点；坚持</w:t>
      </w:r>
      <w:r>
        <w:rPr>
          <w:rFonts w:hint="eastAsia" w:ascii="仿宋_GB2312" w:hAnsi="仿宋_GB2312" w:eastAsia="仿宋_GB2312" w:cs="仿宋_GB2312"/>
          <w:color w:val="000000"/>
          <w:sz w:val="34"/>
          <w:szCs w:val="34"/>
        </w:rPr>
        <w:t>把《宪法》和《民法典》学习宣传教育作为当前街道的重要政治任务和工作责任，紧扣党员干部和青少年两个重点，发放《宪法》、《民法典》3000余册。先后召开4次专题学习活动，组织街道、社区党员干部群众学习相关法律条文，</w:t>
      </w:r>
      <w:r>
        <w:rPr>
          <w:rFonts w:hint="eastAsia" w:ascii="仿宋_GB2312" w:hAnsi="仿宋_GB2312" w:eastAsia="仿宋_GB2312" w:cs="仿宋_GB2312"/>
          <w:color w:val="000000"/>
          <w:sz w:val="34"/>
          <w:szCs w:val="34"/>
          <w:shd w:val="clear" w:color="auto" w:fill="FFFFFF"/>
        </w:rPr>
        <w:t>切实增强广大党员干部的法治意识和法治素养。</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Style w:val="8"/>
          <w:rFonts w:hint="eastAsia" w:ascii="楷体_GB2312" w:hAnsi="楷体_GB2312" w:eastAsia="楷体_GB2312" w:cs="楷体_GB2312"/>
          <w:color w:val="000000"/>
          <w:sz w:val="34"/>
          <w:szCs w:val="34"/>
          <w:shd w:val="clear" w:color="auto" w:fill="FFFFFF"/>
        </w:rPr>
        <w:t>3、强化对重点人群普法工作。</w:t>
      </w:r>
      <w:r>
        <w:rPr>
          <w:rFonts w:hint="eastAsia" w:ascii="仿宋_GB2312" w:hAnsi="仿宋_GB2312" w:eastAsia="仿宋_GB2312" w:cs="仿宋_GB2312"/>
          <w:sz w:val="34"/>
          <w:szCs w:val="34"/>
        </w:rPr>
        <w:t>深入开展“法治进校园”活动，充分发挥中小学法治副校长和法治辅导员的作用，着重引导在校青少年牢固树立社会主义法治理念和法治意识，预防和减少青少年校园欺凌等违法犯罪行为，开展法治进校园活动20余次；利用社区法治学校等普法阵地，加强对流动人口、外来务工人员等弱势群体的法治宣传教育，引导他们依法表达合法利益诉求；结合当下反腐倡廉、扫黑除恶、意识形态、党规党纪等工作，加强对社区“两委”班子的法治教育，不断提高基层自治组织的民主法治管理水平。  　　</w:t>
      </w:r>
    </w:p>
    <w:p>
      <w:pPr>
        <w:pStyle w:val="6"/>
        <w:spacing w:beforeAutospacing="0" w:afterAutospacing="0" w:line="600" w:lineRule="exact"/>
        <w:ind w:firstLine="683" w:firstLineChars="200"/>
        <w:jc w:val="both"/>
        <w:rPr>
          <w:rFonts w:ascii="仿宋_GB2312" w:hAnsi="仿宋_GB2312" w:eastAsia="仿宋_GB2312" w:cs="仿宋_GB2312"/>
          <w:sz w:val="34"/>
          <w:szCs w:val="34"/>
        </w:rPr>
      </w:pPr>
      <w:r>
        <w:rPr>
          <w:rStyle w:val="8"/>
          <w:rFonts w:hint="eastAsia" w:ascii="楷体_GB2312" w:hAnsi="楷体_GB2312" w:eastAsia="楷体_GB2312" w:cs="楷体_GB2312"/>
          <w:color w:val="000000"/>
          <w:sz w:val="34"/>
          <w:szCs w:val="34"/>
          <w:shd w:val="clear" w:color="auto" w:fill="FFFFFF"/>
        </w:rPr>
        <w:t>4、深入推进普法进基层活动。</w:t>
      </w:r>
      <w:r>
        <w:rPr>
          <w:rFonts w:hint="eastAsia" w:ascii="仿宋_GB2312" w:hAnsi="仿宋_GB2312" w:eastAsia="仿宋_GB2312" w:cs="仿宋_GB2312"/>
          <w:sz w:val="34"/>
          <w:szCs w:val="34"/>
        </w:rPr>
        <w:t>通过送法进企业、进商户等“六进”活动，加强普法宣传，扩大普法覆盖面。利用县、街道连续开展的“道德模范”、“六项文明竞赛”、“十星级文明户”评选活动，将辖区诚信守法、依法经营企业、商户等人员列入评选对象，并优先向上级推荐，通过系列激励措施，弘扬诚信守法社会正能量。</w:t>
      </w:r>
    </w:p>
    <w:p>
      <w:pPr>
        <w:pStyle w:val="6"/>
        <w:spacing w:beforeAutospacing="0" w:afterAutospacing="0" w:line="600" w:lineRule="exact"/>
        <w:ind w:firstLine="683" w:firstLineChars="200"/>
        <w:jc w:val="both"/>
        <w:rPr>
          <w:rFonts w:ascii="黑体" w:hAnsi="黑体" w:eastAsia="黑体" w:cs="黑体"/>
          <w:b/>
          <w:bCs/>
          <w:sz w:val="34"/>
          <w:szCs w:val="34"/>
        </w:rPr>
      </w:pPr>
      <w:r>
        <w:rPr>
          <w:rFonts w:hint="eastAsia" w:ascii="黑体" w:hAnsi="黑体" w:eastAsia="黑体" w:cs="黑体"/>
          <w:b/>
          <w:bCs/>
          <w:sz w:val="34"/>
          <w:szCs w:val="34"/>
        </w:rPr>
        <w:t>四、存在问题及下步计划、建议</w:t>
      </w:r>
    </w:p>
    <w:p>
      <w:pPr>
        <w:spacing w:line="600" w:lineRule="exact"/>
        <w:ind w:firstLine="680" w:firstLineChars="20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回顾今年的工作，虽然在法治政府建设方面取得一定成绩，较好地完成年度任务，但仍存在干部队伍人员素质参差不齐，依法行政业务水平有待提升，普法教育形式单一，活动载体不多，法律知识和应诉能力有待进一步提高等问题。建议上级部门进一步充实行政执法队伍，同时参考乡镇机构改革方案，落实街道综治中心、综合行政执法中队副科级待遇，实现基层综合行政执法力量与法治政府建设工作实际相适应。</w:t>
      </w:r>
    </w:p>
    <w:p>
      <w:pPr>
        <w:pStyle w:val="6"/>
        <w:spacing w:beforeAutospacing="0" w:afterAutospacing="0" w:line="600" w:lineRule="exact"/>
        <w:ind w:firstLine="683" w:firstLineChars="200"/>
        <w:jc w:val="both"/>
        <w:rPr>
          <w:rFonts w:ascii="黑体" w:hAnsi="黑体" w:eastAsia="黑体" w:cs="黑体"/>
          <w:b/>
          <w:bCs/>
          <w:sz w:val="34"/>
          <w:szCs w:val="34"/>
        </w:rPr>
      </w:pPr>
      <w:r>
        <w:rPr>
          <w:rFonts w:hint="eastAsia" w:ascii="黑体" w:hAnsi="黑体" w:eastAsia="黑体" w:cs="黑体"/>
          <w:b/>
          <w:bCs/>
          <w:sz w:val="34"/>
          <w:szCs w:val="34"/>
        </w:rPr>
        <w:t>五、2024年度推进法治政府建设的主要安排</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2024年，莲花街道将深入贯彻党的“二十大”和二十届一中、二中全会精神，全面落实习近平法治思想总要求，不断提升基层治理现代化水平。</w:t>
      </w:r>
      <w:r>
        <w:rPr>
          <w:rFonts w:hint="eastAsia" w:ascii="仿宋_GB2312" w:hAnsi="仿宋_GB2312" w:eastAsia="仿宋_GB2312" w:cs="仿宋_GB2312"/>
          <w:b/>
          <w:sz w:val="34"/>
          <w:szCs w:val="34"/>
        </w:rPr>
        <w:t>一是</w:t>
      </w:r>
      <w:r>
        <w:rPr>
          <w:rFonts w:hint="eastAsia" w:ascii="仿宋_GB2312" w:hAnsi="仿宋_GB2312" w:eastAsia="仿宋_GB2312" w:cs="仿宋_GB2312"/>
          <w:sz w:val="34"/>
          <w:szCs w:val="34"/>
        </w:rPr>
        <w:t>狠抓队伍建设。加强法治队伍建设，推动基层工作依法开展、基层事务依法办理、基层问题依法解决，有效落实政府法律顾问的日常管理、评价等系列工作，提高法律顾问服务水平和质量，同时加大工作考核力度，使依法行政工作形成完善的工作体制。</w:t>
      </w:r>
      <w:r>
        <w:rPr>
          <w:rFonts w:hint="eastAsia" w:ascii="仿宋_GB2312" w:hAnsi="仿宋_GB2312" w:eastAsia="仿宋_GB2312" w:cs="仿宋_GB2312"/>
          <w:b/>
          <w:sz w:val="34"/>
          <w:szCs w:val="34"/>
        </w:rPr>
        <w:t>二是</w:t>
      </w:r>
      <w:r>
        <w:rPr>
          <w:rFonts w:hint="eastAsia" w:ascii="仿宋_GB2312" w:hAnsi="仿宋_GB2312" w:eastAsia="仿宋_GB2312" w:cs="仿宋_GB2312"/>
          <w:sz w:val="34"/>
          <w:szCs w:val="34"/>
        </w:rPr>
        <w:t>提升法治水平。推进学法长效机制建设，落实领导干部网上学法用法考试机制、法治工作人员岗位培训制度、年度述法治度等，全年安排集中学法不少于5次，提高领导干部法治素养和法治工作人员业务水平。</w:t>
      </w:r>
      <w:r>
        <w:rPr>
          <w:rFonts w:hint="eastAsia" w:ascii="仿宋_GB2312" w:hAnsi="仿宋_GB2312" w:eastAsia="仿宋_GB2312" w:cs="仿宋_GB2312"/>
          <w:b/>
          <w:sz w:val="34"/>
          <w:szCs w:val="34"/>
        </w:rPr>
        <w:t>三是</w:t>
      </w:r>
      <w:r>
        <w:rPr>
          <w:rFonts w:hint="eastAsia" w:ascii="仿宋_GB2312" w:hAnsi="仿宋_GB2312" w:eastAsia="仿宋_GB2312" w:cs="仿宋_GB2312"/>
          <w:sz w:val="34"/>
          <w:szCs w:val="34"/>
        </w:rPr>
        <w:t>加强法治宣传。将抖音、微信公众号、微博等新兴传播工具作为自媒体时代普法宣传的重要载体，通过“互联网+”全面展示法治工作特色亮点，同时创新法治活动形式，开展丰富多样的普法宣传活动，增强广大市民对法治建设建设工作的知晓度和认知度，营造法治建设建设的良好氛围。</w:t>
      </w:r>
    </w:p>
    <w:p>
      <w:pPr>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街道办事处将继续坚持以群众需求为导向，用活“民主法治建设”这个破解基层社会治理难题的“金钥匙”，扎实有效推进依法治理各项工作，不断探索基层社会治理新模式，为西峡创建全国法治政府建设示范县做出更大的贡献！</w:t>
      </w:r>
    </w:p>
    <w:p>
      <w:pPr>
        <w:spacing w:line="520" w:lineRule="exact"/>
        <w:ind w:firstLine="5100" w:firstLineChars="1500"/>
        <w:rPr>
          <w:rFonts w:ascii="仿宋_GB2312" w:hAnsi="仿宋" w:eastAsia="仿宋_GB2312"/>
          <w:sz w:val="34"/>
          <w:szCs w:val="34"/>
        </w:rPr>
      </w:pPr>
      <w:r>
        <w:rPr>
          <w:rFonts w:hint="eastAsia" w:ascii="宋体" w:hAnsi="宋体" w:eastAsia="仿宋_GB2312" w:cs="宋体"/>
          <w:color w:val="000000"/>
          <w:sz w:val="34"/>
          <w:szCs w:val="34"/>
          <w:shd w:val="clear" w:color="auto" w:fill="FFFFFF"/>
        </w:rPr>
        <w:t> </w:t>
      </w:r>
      <w:r>
        <w:rPr>
          <w:rFonts w:hint="eastAsia" w:ascii="仿宋_GB2312" w:hAnsi="宋体" w:eastAsia="仿宋_GB2312" w:cs="宋体"/>
          <w:color w:val="000000"/>
          <w:sz w:val="34"/>
          <w:szCs w:val="34"/>
          <w:shd w:val="clear" w:color="auto" w:fill="FFFFFF"/>
        </w:rPr>
        <w:t xml:space="preserve"> </w:t>
      </w:r>
    </w:p>
    <w:p>
      <w:pPr>
        <w:spacing w:line="520" w:lineRule="exact"/>
        <w:ind w:firstLine="5100" w:firstLineChars="1500"/>
        <w:rPr>
          <w:rFonts w:ascii="仿宋_GB2312" w:hAnsi="仿宋" w:eastAsia="仿宋_GB2312"/>
          <w:sz w:val="34"/>
          <w:szCs w:val="34"/>
        </w:rPr>
      </w:pPr>
    </w:p>
    <w:p>
      <w:pPr>
        <w:spacing w:line="520" w:lineRule="exact"/>
        <w:ind w:firstLine="5100" w:firstLineChars="1500"/>
        <w:rPr>
          <w:rFonts w:ascii="仿宋_GB2312" w:hAnsi="仿宋" w:eastAsia="仿宋_GB2312"/>
          <w:sz w:val="34"/>
          <w:szCs w:val="34"/>
        </w:rPr>
      </w:pPr>
      <w:r>
        <w:rPr>
          <w:rFonts w:hint="eastAsia" w:ascii="仿宋_GB2312" w:hAnsi="仿宋" w:eastAsia="仿宋_GB2312"/>
          <w:sz w:val="34"/>
          <w:szCs w:val="34"/>
        </w:rPr>
        <w:t>202</w:t>
      </w:r>
      <w:r>
        <w:rPr>
          <w:rFonts w:ascii="仿宋_GB2312" w:hAnsi="仿宋" w:eastAsia="仿宋_GB2312"/>
          <w:sz w:val="34"/>
          <w:szCs w:val="34"/>
        </w:rPr>
        <w:t>3</w:t>
      </w:r>
      <w:r>
        <w:rPr>
          <w:rFonts w:hint="eastAsia" w:ascii="仿宋_GB2312" w:hAnsi="仿宋" w:eastAsia="仿宋_GB2312"/>
          <w:sz w:val="34"/>
          <w:szCs w:val="34"/>
        </w:rPr>
        <w:t>年12月30日</w:t>
      </w:r>
    </w:p>
    <w:p>
      <w:pPr>
        <w:spacing w:line="520" w:lineRule="exact"/>
        <w:rPr>
          <w:rFonts w:ascii="仿宋_GB2312" w:hAnsi="仿宋_GB2312" w:eastAsia="仿宋_GB2312"/>
          <w:color w:val="000000"/>
          <w:sz w:val="34"/>
          <w:szCs w:val="34"/>
        </w:rPr>
      </w:pPr>
      <w:r>
        <w:rPr>
          <w:rFonts w:hint="eastAsia" w:ascii="仿宋_GB2312" w:hAnsi="仿宋_GB2312" w:eastAsia="仿宋_GB2312"/>
          <w:color w:val="000000"/>
          <w:sz w:val="34"/>
          <w:szCs w:val="34"/>
        </w:rPr>
        <w:t xml:space="preserve">              </w:t>
      </w:r>
    </w:p>
    <w:p>
      <w:pPr>
        <w:spacing w:line="520" w:lineRule="exact"/>
        <w:rPr>
          <w:rFonts w:ascii="仿宋_GB2312" w:eastAsia="仿宋_GB2312"/>
          <w:sz w:val="32"/>
          <w:szCs w:val="32"/>
          <w:u w:val="single"/>
        </w:rPr>
      </w:pPr>
      <w:r>
        <w:rPr>
          <w:rFonts w:hint="eastAsia" w:ascii="仿宋_GB2312" w:eastAsia="仿宋_GB2312"/>
          <w:sz w:val="32"/>
          <w:szCs w:val="32"/>
          <w:u w:val="single"/>
        </w:rPr>
        <w:t xml:space="preserve">                                                         </w:t>
      </w:r>
    </w:p>
    <w:p>
      <w:pPr>
        <w:spacing w:line="460" w:lineRule="exact"/>
        <w:rPr>
          <w:rFonts w:ascii="仿宋_GB2312" w:eastAsia="仿宋_GB2312"/>
          <w:sz w:val="32"/>
          <w:szCs w:val="32"/>
          <w:u w:val="single"/>
        </w:rPr>
      </w:pPr>
      <w:r>
        <w:rPr>
          <w:rFonts w:hint="eastAsia" w:ascii="仿宋_GB2312" w:eastAsia="仿宋_GB2312"/>
          <w:sz w:val="32"/>
          <w:szCs w:val="32"/>
          <w:u w:val="single"/>
        </w:rPr>
        <w:t>莲花街道党政办公室                 202</w:t>
      </w:r>
      <w:r>
        <w:rPr>
          <w:rFonts w:ascii="仿宋_GB2312" w:eastAsia="仿宋_GB2312"/>
          <w:sz w:val="32"/>
          <w:szCs w:val="32"/>
          <w:u w:val="single"/>
        </w:rPr>
        <w:t>3</w:t>
      </w:r>
      <w:r>
        <w:rPr>
          <w:rFonts w:hint="eastAsia" w:ascii="仿宋_GB2312" w:eastAsia="仿宋_GB2312"/>
          <w:sz w:val="32"/>
          <w:szCs w:val="32"/>
          <w:u w:val="single"/>
        </w:rPr>
        <w:t xml:space="preserve">年12月30日印发  </w:t>
      </w:r>
    </w:p>
    <w:p>
      <w:pPr>
        <w:spacing w:line="460" w:lineRule="exact"/>
        <w:ind w:firstLine="6560" w:firstLineChars="2050"/>
        <w:rPr>
          <w:rFonts w:ascii="仿宋_GB2312" w:eastAsia="仿宋_GB2312"/>
          <w:color w:val="000000"/>
          <w:sz w:val="32"/>
          <w:szCs w:val="32"/>
        </w:rPr>
      </w:pPr>
      <w:r>
        <w:rPr>
          <w:rFonts w:hint="eastAsia" w:ascii="仿宋_GB2312" w:eastAsia="仿宋_GB2312"/>
          <w:color w:val="000000"/>
          <w:sz w:val="32"/>
          <w:szCs w:val="32"/>
        </w:rPr>
        <w:t xml:space="preserve">  （共印10份）</w:t>
      </w:r>
    </w:p>
    <w:sectPr>
      <w:headerReference r:id="rId4" w:type="default"/>
      <w:footerReference r:id="rId5" w:type="default"/>
      <w:pgSz w:w="11906" w:h="16838"/>
      <w:pgMar w:top="2211" w:right="1474" w:bottom="1871" w:left="1587" w:header="851" w:footer="1276"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新宋体-18030">
    <w:altName w:val="微软雅黑"/>
    <w:panose1 w:val="00000000000000000000"/>
    <w:charset w:val="86"/>
    <w:family w:val="auto"/>
    <w:pitch w:val="default"/>
    <w:sig w:usb0="00000000" w:usb1="00000000" w:usb2="000A005E" w:usb3="00000000" w:csb0="00040001"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0"/>
        <w:sz w:val="18"/>
        <w:szCs w:val="18"/>
        <w:lang w:val="en-US" w:eastAsia="zh-CN" w:bidi="ar-SA"/>
      </w:rPr>
      <w:pict>
        <v:shape id="文本框 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- 14 -</w:t>
                </w:r>
                <w:r>
                  <w:rPr>
                    <w:rFonts w:hint="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U3NDMzNzgyMWYxNGI2MGNhYjM3OTE4Y2ZmYWFhZDYifQ=="/>
  </w:docVars>
  <w:rsids>
    <w:rsidRoot w:val="1BE61258"/>
    <w:rsid w:val="000E13D6"/>
    <w:rsid w:val="00246B61"/>
    <w:rsid w:val="003F0433"/>
    <w:rsid w:val="00492093"/>
    <w:rsid w:val="004A357E"/>
    <w:rsid w:val="00586CB3"/>
    <w:rsid w:val="00592AB3"/>
    <w:rsid w:val="007437B5"/>
    <w:rsid w:val="00956FFC"/>
    <w:rsid w:val="009F0592"/>
    <w:rsid w:val="00A403DE"/>
    <w:rsid w:val="00A40BCE"/>
    <w:rsid w:val="00C55363"/>
    <w:rsid w:val="00C95086"/>
    <w:rsid w:val="00D8073A"/>
    <w:rsid w:val="00DD137D"/>
    <w:rsid w:val="00ED5201"/>
    <w:rsid w:val="16781A44"/>
    <w:rsid w:val="1BE61258"/>
    <w:rsid w:val="1F762F28"/>
    <w:rsid w:val="30555F53"/>
    <w:rsid w:val="3FCE040C"/>
    <w:rsid w:val="45BC2A2B"/>
    <w:rsid w:val="4CBB08EC"/>
    <w:rsid w:val="55223E39"/>
    <w:rsid w:val="57736179"/>
    <w:rsid w:val="5CFD63DB"/>
    <w:rsid w:val="6EF410D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line="360" w:lineRule="auto"/>
    </w:pPr>
    <w:rPr>
      <w:rFonts w:eastAsia="新宋体-18030" w:cs="新宋体-18030"/>
      <w:b/>
      <w:sz w:val="32"/>
    </w:rPr>
  </w:style>
  <w:style w:type="paragraph" w:styleId="3">
    <w:name w:val="Balloon Text"/>
    <w:basedOn w:val="1"/>
    <w:link w:val="11"/>
    <w:uiPriority w:val="0"/>
    <w:rPr>
      <w:sz w:val="18"/>
      <w:szCs w:val="18"/>
    </w:rPr>
  </w:style>
  <w:style w:type="paragraph" w:styleId="4">
    <w:name w:val="footer"/>
    <w:basedOn w:val="1"/>
    <w:unhideWhenUsed/>
    <w:uiPriority w:val="99"/>
    <w:pPr>
      <w:tabs>
        <w:tab w:val="center" w:pos="4153"/>
        <w:tab w:val="right" w:pos="8306"/>
      </w:tabs>
      <w:snapToGrid w:val="0"/>
      <w:jc w:val="left"/>
    </w:pPr>
    <w:rPr>
      <w:kern w:val="0"/>
      <w:sz w:val="18"/>
      <w:szCs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Autospacing="1" w:afterAutospacing="1"/>
      <w:jc w:val="left"/>
    </w:pPr>
    <w:rPr>
      <w:rFonts w:ascii="Calibri" w:hAnsi="Calibri"/>
      <w:kern w:val="0"/>
      <w:sz w:val="24"/>
      <w:szCs w:val="24"/>
    </w:rPr>
  </w:style>
  <w:style w:type="character" w:styleId="8">
    <w:name w:val="Strong"/>
    <w:qFormat/>
    <w:uiPriority w:val="0"/>
    <w:rPr>
      <w:b/>
    </w:rPr>
  </w:style>
  <w:style w:type="character" w:styleId="9">
    <w:name w:val="page number"/>
    <w:uiPriority w:val="0"/>
    <w:rPr>
      <w:rFonts w:ascii="Times New Roman" w:hAnsi="Times New Roman" w:eastAsia="宋体" w:cs="Times New Roman"/>
    </w:rPr>
  </w:style>
  <w:style w:type="character" w:customStyle="1" w:styleId="11">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1006</Words>
  <Characters>5738</Characters>
  <Lines>47</Lines>
  <Paragraphs>13</Paragraphs>
  <TotalTime>0</TotalTime>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2023-01-12T06:35:00Z</dcterms:created>
  <dc:creator>lenovo</dc:creator>
  <cp:lastModifiedBy>Administrator</cp:lastModifiedBy>
  <cp:lastPrinted>2024-01-19T03:23:00Z</cp:lastPrinted>
  <dcterms:modified xsi:type="dcterms:W3CDTF">2024-01-23T07:18:07Z</dcterms:modified>
  <dc:title>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y fmtid="{D5CDD505-2E9C-101B-9397-08002B2CF9AE}" pid="3" name="ICV">
    <vt:lpwstr>33F87C2B57BD4FA7992D2355D66C8156</vt:lpwstr>
  </property>
</Properties>
</file>