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88" w:rsidRDefault="00155CF7" w:rsidP="00C62B6D">
      <w:pPr>
        <w:spacing w:line="440" w:lineRule="exact"/>
        <w:rPr>
          <w:rFonts w:ascii="黑体" w:eastAsia="黑体" w:hAnsi="宋体"/>
          <w:sz w:val="24"/>
        </w:rPr>
      </w:pPr>
      <w:r>
        <w:rPr>
          <w:rFonts w:ascii="黑体" w:eastAsia="黑体" w:hAnsi="宋体" w:hint="eastAsia"/>
          <w:sz w:val="24"/>
        </w:rPr>
        <w:t>西峡县第</w:t>
      </w:r>
      <w:r w:rsidR="00C62B6D">
        <w:rPr>
          <w:rFonts w:ascii="黑体" w:eastAsia="黑体" w:hAnsi="宋体" w:hint="eastAsia"/>
          <w:sz w:val="24"/>
        </w:rPr>
        <w:t>十六</w:t>
      </w:r>
      <w:r>
        <w:rPr>
          <w:rFonts w:ascii="黑体" w:eastAsia="黑体" w:hAnsi="宋体" w:hint="eastAsia"/>
          <w:sz w:val="24"/>
        </w:rPr>
        <w:t>届人大常委会</w:t>
      </w:r>
    </w:p>
    <w:p w:rsidR="00BA1488" w:rsidRDefault="00155CF7">
      <w:pPr>
        <w:spacing w:line="440" w:lineRule="exact"/>
        <w:rPr>
          <w:rFonts w:ascii="黑体" w:eastAsia="黑体" w:hAnsi="宋体"/>
          <w:sz w:val="24"/>
          <w:highlight w:val="red"/>
        </w:rPr>
      </w:pPr>
      <w:r>
        <w:rPr>
          <w:rFonts w:ascii="黑体" w:eastAsia="黑体" w:hAnsi="宋体" w:hint="eastAsia"/>
          <w:sz w:val="24"/>
        </w:rPr>
        <w:t>第</w:t>
      </w:r>
      <w:r w:rsidR="00C62B6D">
        <w:rPr>
          <w:rFonts w:ascii="黑体" w:eastAsia="黑体" w:hAnsi="宋体" w:hint="eastAsia"/>
          <w:sz w:val="24"/>
        </w:rPr>
        <w:t>九</w:t>
      </w:r>
      <w:r>
        <w:rPr>
          <w:rFonts w:ascii="黑体" w:eastAsia="黑体" w:hAnsi="宋体" w:hint="eastAsia"/>
          <w:sz w:val="24"/>
        </w:rPr>
        <w:t>次会议文件</w:t>
      </w:r>
    </w:p>
    <w:p w:rsidR="00BA1488" w:rsidRDefault="00BA1488">
      <w:pPr>
        <w:spacing w:line="550" w:lineRule="exact"/>
        <w:jc w:val="center"/>
        <w:rPr>
          <w:rFonts w:ascii="黑体" w:eastAsia="黑体" w:hAnsi="黑体" w:cs="黑体"/>
          <w:b/>
          <w:sz w:val="44"/>
          <w:szCs w:val="44"/>
        </w:rPr>
      </w:pPr>
    </w:p>
    <w:p w:rsidR="00BA1488" w:rsidRDefault="00155CF7">
      <w:pPr>
        <w:adjustRightInd w:val="0"/>
        <w:snapToGrid w:val="0"/>
        <w:spacing w:line="540" w:lineRule="exact"/>
        <w:jc w:val="center"/>
        <w:rPr>
          <w:rFonts w:ascii="黑体" w:eastAsia="黑体" w:hAnsi="黑体" w:cs="黑体"/>
          <w:b/>
          <w:sz w:val="44"/>
          <w:szCs w:val="44"/>
        </w:rPr>
      </w:pPr>
      <w:r>
        <w:rPr>
          <w:rFonts w:ascii="黑体" w:eastAsia="黑体" w:hAnsi="黑体" w:cs="黑体" w:hint="eastAsia"/>
          <w:b/>
          <w:sz w:val="44"/>
          <w:szCs w:val="44"/>
        </w:rPr>
        <w:t>西峡县2022年财政决算（草案）和</w:t>
      </w:r>
    </w:p>
    <w:p w:rsidR="00BA1488" w:rsidRDefault="00155CF7">
      <w:pPr>
        <w:adjustRightInd w:val="0"/>
        <w:snapToGrid w:val="0"/>
        <w:spacing w:line="540" w:lineRule="exact"/>
        <w:jc w:val="center"/>
        <w:outlineLvl w:val="0"/>
        <w:rPr>
          <w:rFonts w:ascii="黑体" w:eastAsia="黑体" w:hAnsi="黑体" w:cs="黑体"/>
          <w:b/>
          <w:sz w:val="32"/>
          <w:szCs w:val="32"/>
        </w:rPr>
      </w:pPr>
      <w:r>
        <w:rPr>
          <w:rFonts w:ascii="黑体" w:eastAsia="黑体" w:hAnsi="黑体" w:cs="黑体" w:hint="eastAsia"/>
          <w:b/>
          <w:sz w:val="44"/>
          <w:szCs w:val="44"/>
        </w:rPr>
        <w:t>2023年上半年财政预算执行情况的报告</w:t>
      </w:r>
    </w:p>
    <w:p w:rsidR="00BA1488" w:rsidRDefault="00BA1488">
      <w:pPr>
        <w:adjustRightInd w:val="0"/>
        <w:snapToGrid w:val="0"/>
        <w:spacing w:line="540" w:lineRule="exact"/>
        <w:jc w:val="center"/>
        <w:rPr>
          <w:rFonts w:ascii="楷体_GB2312" w:eastAsia="楷体_GB2312"/>
          <w:b/>
          <w:sz w:val="32"/>
          <w:szCs w:val="32"/>
        </w:rPr>
      </w:pPr>
    </w:p>
    <w:p w:rsidR="00BA1488" w:rsidRDefault="00155CF7">
      <w:pPr>
        <w:spacing w:line="520" w:lineRule="exact"/>
        <w:jc w:val="center"/>
        <w:rPr>
          <w:rFonts w:ascii="楷体_GB2312" w:eastAsia="楷体_GB2312" w:hAnsi="楷体_GB2312" w:cs="楷体_GB2312"/>
          <w:b/>
          <w:bCs/>
          <w:w w:val="92"/>
          <w:sz w:val="32"/>
          <w:szCs w:val="32"/>
        </w:rPr>
      </w:pPr>
      <w:r>
        <w:rPr>
          <w:rFonts w:ascii="楷体_GB2312" w:eastAsia="楷体_GB2312" w:hAnsi="楷体_GB2312" w:cs="楷体_GB2312" w:hint="eastAsia"/>
          <w:b/>
          <w:bCs/>
          <w:w w:val="92"/>
          <w:sz w:val="32"/>
          <w:szCs w:val="32"/>
        </w:rPr>
        <w:t>——2023年</w:t>
      </w:r>
      <w:r w:rsidR="00C62B6D">
        <w:rPr>
          <w:rFonts w:ascii="楷体_GB2312" w:eastAsia="楷体_GB2312" w:hAnsi="楷体_GB2312" w:cs="楷体_GB2312" w:hint="eastAsia"/>
          <w:b/>
          <w:bCs/>
          <w:w w:val="92"/>
          <w:sz w:val="32"/>
          <w:szCs w:val="32"/>
        </w:rPr>
        <w:t>9</w:t>
      </w:r>
      <w:r>
        <w:rPr>
          <w:rFonts w:ascii="楷体_GB2312" w:eastAsia="楷体_GB2312" w:hAnsi="楷体_GB2312" w:cs="楷体_GB2312" w:hint="eastAsia"/>
          <w:b/>
          <w:bCs/>
          <w:w w:val="92"/>
          <w:sz w:val="32"/>
          <w:szCs w:val="32"/>
        </w:rPr>
        <w:t>月</w:t>
      </w:r>
      <w:r w:rsidR="00C62B6D">
        <w:rPr>
          <w:rFonts w:ascii="楷体_GB2312" w:eastAsia="楷体_GB2312" w:hAnsi="楷体_GB2312" w:cs="楷体_GB2312" w:hint="eastAsia"/>
          <w:b/>
          <w:bCs/>
          <w:w w:val="92"/>
          <w:sz w:val="32"/>
          <w:szCs w:val="32"/>
        </w:rPr>
        <w:t>5</w:t>
      </w:r>
      <w:r>
        <w:rPr>
          <w:rFonts w:ascii="楷体_GB2312" w:eastAsia="楷体_GB2312" w:hAnsi="楷体_GB2312" w:cs="楷体_GB2312" w:hint="eastAsia"/>
          <w:b/>
          <w:bCs/>
          <w:w w:val="92"/>
          <w:sz w:val="32"/>
          <w:szCs w:val="32"/>
        </w:rPr>
        <w:t>日在县</w:t>
      </w:r>
      <w:r w:rsidR="00C62B6D">
        <w:rPr>
          <w:rFonts w:ascii="楷体_GB2312" w:eastAsia="楷体_GB2312" w:hAnsi="楷体_GB2312" w:cs="楷体_GB2312" w:hint="eastAsia"/>
          <w:b/>
          <w:bCs/>
          <w:w w:val="92"/>
          <w:sz w:val="32"/>
          <w:szCs w:val="32"/>
        </w:rPr>
        <w:t>十六</w:t>
      </w:r>
      <w:r>
        <w:rPr>
          <w:rFonts w:ascii="楷体_GB2312" w:eastAsia="楷体_GB2312" w:hAnsi="楷体_GB2312" w:cs="楷体_GB2312" w:hint="eastAsia"/>
          <w:b/>
          <w:bCs/>
          <w:w w:val="92"/>
          <w:sz w:val="32"/>
          <w:szCs w:val="32"/>
        </w:rPr>
        <w:t>届人大常委会第</w:t>
      </w:r>
      <w:r w:rsidR="00C62B6D">
        <w:rPr>
          <w:rFonts w:ascii="楷体_GB2312" w:eastAsia="楷体_GB2312" w:hAnsi="楷体_GB2312" w:cs="楷体_GB2312" w:hint="eastAsia"/>
          <w:b/>
          <w:bCs/>
          <w:w w:val="92"/>
          <w:sz w:val="32"/>
          <w:szCs w:val="32"/>
        </w:rPr>
        <w:t>九</w:t>
      </w:r>
      <w:r>
        <w:rPr>
          <w:rFonts w:ascii="楷体_GB2312" w:eastAsia="楷体_GB2312" w:hAnsi="楷体_GB2312" w:cs="楷体_GB2312" w:hint="eastAsia"/>
          <w:b/>
          <w:bCs/>
          <w:w w:val="92"/>
          <w:sz w:val="32"/>
          <w:szCs w:val="32"/>
        </w:rPr>
        <w:t>次会议上</w:t>
      </w:r>
    </w:p>
    <w:p w:rsidR="00BA1488" w:rsidRDefault="00155CF7">
      <w:pPr>
        <w:adjustRightInd w:val="0"/>
        <w:snapToGrid w:val="0"/>
        <w:spacing w:line="540" w:lineRule="exact"/>
        <w:jc w:val="center"/>
        <w:rPr>
          <w:rFonts w:ascii="楷体_GB2312" w:eastAsia="楷体_GB2312"/>
          <w:b/>
          <w:sz w:val="32"/>
          <w:szCs w:val="32"/>
        </w:rPr>
      </w:pPr>
      <w:r>
        <w:rPr>
          <w:rFonts w:ascii="楷体_GB2312" w:eastAsia="楷体_GB2312" w:hint="eastAsia"/>
          <w:b/>
          <w:sz w:val="32"/>
          <w:szCs w:val="32"/>
        </w:rPr>
        <w:t>县财政局局长徐玉宏</w:t>
      </w:r>
    </w:p>
    <w:p w:rsidR="00BA1488" w:rsidRDefault="00BA1488">
      <w:pPr>
        <w:adjustRightInd w:val="0"/>
        <w:snapToGrid w:val="0"/>
        <w:spacing w:line="540" w:lineRule="exact"/>
        <w:rPr>
          <w:rFonts w:ascii="方正大标宋简体" w:eastAsia="方正大标宋简体"/>
          <w:b/>
          <w:sz w:val="32"/>
          <w:szCs w:val="32"/>
        </w:rPr>
      </w:pPr>
    </w:p>
    <w:p w:rsidR="00BA1488" w:rsidRDefault="00155CF7">
      <w:pPr>
        <w:overflowPunct w:val="0"/>
        <w:autoSpaceDE w:val="0"/>
        <w:adjustRightInd w:val="0"/>
        <w:snapToGrid w:val="0"/>
        <w:spacing w:line="600" w:lineRule="exact"/>
        <w:rPr>
          <w:rFonts w:ascii="仿宋_GB2312" w:eastAsia="仿宋_GB2312"/>
          <w:sz w:val="32"/>
          <w:szCs w:val="32"/>
        </w:rPr>
      </w:pPr>
      <w:r>
        <w:rPr>
          <w:rFonts w:ascii="仿宋_GB2312" w:eastAsia="仿宋_GB2312" w:hint="eastAsia"/>
          <w:sz w:val="32"/>
          <w:szCs w:val="32"/>
        </w:rPr>
        <w:t>主任、各位副主任、各位委员：</w:t>
      </w:r>
    </w:p>
    <w:p w:rsidR="00BA1488" w:rsidRDefault="00155CF7">
      <w:pPr>
        <w:overflowPunct w:val="0"/>
        <w:autoSpaceDE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我受县人民政府委托，向县人大常委会报告</w:t>
      </w:r>
      <w:r>
        <w:rPr>
          <w:rFonts w:ascii="仿宋_GB2312" w:eastAsia="仿宋_GB2312"/>
          <w:sz w:val="32"/>
          <w:szCs w:val="32"/>
        </w:rPr>
        <w:t>20</w:t>
      </w:r>
      <w:r>
        <w:rPr>
          <w:rFonts w:ascii="仿宋_GB2312" w:eastAsia="仿宋_GB2312" w:hint="eastAsia"/>
          <w:sz w:val="32"/>
          <w:szCs w:val="32"/>
        </w:rPr>
        <w:t>22年财政决算（草案）和</w:t>
      </w:r>
      <w:r>
        <w:rPr>
          <w:rFonts w:ascii="仿宋_GB2312" w:eastAsia="仿宋_GB2312"/>
          <w:sz w:val="32"/>
          <w:szCs w:val="32"/>
        </w:rPr>
        <w:t>20</w:t>
      </w:r>
      <w:r>
        <w:rPr>
          <w:rFonts w:ascii="仿宋_GB2312" w:eastAsia="仿宋_GB2312" w:hint="eastAsia"/>
          <w:sz w:val="32"/>
          <w:szCs w:val="32"/>
        </w:rPr>
        <w:t>23年上半年财政预算执行情况，请予审议。</w:t>
      </w:r>
    </w:p>
    <w:p w:rsidR="00BA1488" w:rsidRDefault="00155CF7">
      <w:pPr>
        <w:overflowPunct w:val="0"/>
        <w:autoSpaceDE w:val="0"/>
        <w:autoSpaceDN w:val="0"/>
        <w:adjustRightInd w:val="0"/>
        <w:snapToGrid w:val="0"/>
        <w:spacing w:line="560" w:lineRule="exact"/>
        <w:ind w:firstLineChars="200" w:firstLine="640"/>
        <w:outlineLvl w:val="0"/>
        <w:rPr>
          <w:rFonts w:ascii="黑体" w:eastAsia="黑体" w:hAnsi="黑体"/>
          <w:kern w:val="0"/>
          <w:sz w:val="32"/>
          <w:szCs w:val="32"/>
          <w:lang w:val="zh-CN"/>
        </w:rPr>
      </w:pPr>
      <w:r>
        <w:rPr>
          <w:rFonts w:ascii="黑体" w:eastAsia="黑体" w:hAnsi="黑体" w:hint="eastAsia"/>
          <w:kern w:val="0"/>
          <w:sz w:val="32"/>
          <w:szCs w:val="32"/>
        </w:rPr>
        <w:t>一、</w:t>
      </w:r>
      <w:r>
        <w:rPr>
          <w:rFonts w:ascii="黑体" w:eastAsia="黑体" w:hAnsi="黑体" w:hint="eastAsia"/>
          <w:kern w:val="0"/>
          <w:sz w:val="32"/>
          <w:szCs w:val="32"/>
          <w:lang w:val="zh-CN"/>
        </w:rPr>
        <w:t>关于</w:t>
      </w:r>
      <w:r>
        <w:rPr>
          <w:rFonts w:ascii="黑体" w:eastAsia="黑体" w:hAnsi="黑体"/>
          <w:kern w:val="0"/>
          <w:sz w:val="32"/>
          <w:szCs w:val="32"/>
          <w:lang w:val="zh-CN"/>
        </w:rPr>
        <w:t>20</w:t>
      </w:r>
      <w:r>
        <w:rPr>
          <w:rFonts w:ascii="黑体" w:eastAsia="黑体" w:hAnsi="黑体" w:hint="eastAsia"/>
          <w:kern w:val="0"/>
          <w:sz w:val="32"/>
          <w:szCs w:val="32"/>
        </w:rPr>
        <w:t>22</w:t>
      </w:r>
      <w:r>
        <w:rPr>
          <w:rFonts w:ascii="黑体" w:eastAsia="黑体" w:hAnsi="黑体" w:hint="eastAsia"/>
          <w:kern w:val="0"/>
          <w:sz w:val="32"/>
          <w:szCs w:val="32"/>
          <w:lang w:val="zh-CN"/>
        </w:rPr>
        <w:t>年财政决算情况</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2022年，面对内外部环境变化和疫情反复带来的巨大困难，在县委的正确领导和县人大、县政协的监督支持下，全县人民坚持以习近平新时代中国特色社会主义思想为指导，贯彻落实习近平总书记视察河南、南阳重要讲话和重要指示精神，锚定“两个确保”，实施“十大战略”，统筹疫情防控和经济社会发展，经济呈现稳中有进、稳中向好态势，严格落实“六稳”“六保”工作，确保了各项工作平稳运行。在此基础上，全县财政预算执行情况总体较好。</w:t>
      </w:r>
    </w:p>
    <w:p w:rsidR="00BA1488" w:rsidRDefault="00155CF7">
      <w:pPr>
        <w:overflowPunct w:val="0"/>
        <w:autoSpaceDE w:val="0"/>
        <w:autoSpaceDN w:val="0"/>
        <w:adjustRightInd w:val="0"/>
        <w:snapToGrid w:val="0"/>
        <w:spacing w:line="560" w:lineRule="exact"/>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（一）</w:t>
      </w:r>
      <w:r>
        <w:rPr>
          <w:rFonts w:ascii="楷体_GB2312" w:eastAsia="楷体_GB2312" w:hAnsi="仿宋"/>
          <w:b/>
          <w:kern w:val="0"/>
          <w:sz w:val="32"/>
          <w:szCs w:val="32"/>
        </w:rPr>
        <w:t>202</w:t>
      </w:r>
      <w:r>
        <w:rPr>
          <w:rFonts w:ascii="楷体_GB2312" w:eastAsia="楷体_GB2312" w:hAnsi="仿宋" w:hint="eastAsia"/>
          <w:b/>
          <w:kern w:val="0"/>
          <w:sz w:val="32"/>
          <w:szCs w:val="32"/>
        </w:rPr>
        <w:t>2年预算收支情况</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cs="宋体"/>
          <w:b/>
          <w:snapToGrid w:val="0"/>
          <w:kern w:val="0"/>
          <w:sz w:val="32"/>
          <w:szCs w:val="32"/>
        </w:rPr>
        <w:t>1.</w:t>
      </w:r>
      <w:r>
        <w:rPr>
          <w:rFonts w:ascii="仿宋_GB2312" w:eastAsia="仿宋_GB2312" w:hAnsi="仿宋" w:cs="宋体" w:hint="eastAsia"/>
          <w:b/>
          <w:snapToGrid w:val="0"/>
          <w:kern w:val="0"/>
          <w:sz w:val="32"/>
          <w:szCs w:val="32"/>
        </w:rPr>
        <w:t>一般公共预算</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收入方面</w:t>
      </w:r>
      <w:r>
        <w:rPr>
          <w:rFonts w:ascii="仿宋_GB2312" w:eastAsia="仿宋_GB2312" w:hAnsi="仿宋" w:hint="eastAsia"/>
          <w:sz w:val="32"/>
          <w:szCs w:val="32"/>
        </w:rPr>
        <w:t xml:space="preserve"> 县十六届人大一次会议确定</w:t>
      </w:r>
      <w:r>
        <w:rPr>
          <w:rFonts w:ascii="仿宋_GB2312" w:eastAsia="仿宋_GB2312" w:hAnsi="仿宋"/>
          <w:sz w:val="32"/>
          <w:szCs w:val="32"/>
        </w:rPr>
        <w:t>20</w:t>
      </w:r>
      <w:r>
        <w:rPr>
          <w:rFonts w:ascii="仿宋_GB2312" w:eastAsia="仿宋_GB2312" w:hAnsi="仿宋" w:hint="eastAsia"/>
          <w:sz w:val="32"/>
          <w:szCs w:val="32"/>
        </w:rPr>
        <w:t>22年一般公共预算收入计划218300万元，实际完成222777万元，为预算的102.1</w:t>
      </w:r>
      <w:r>
        <w:rPr>
          <w:rFonts w:ascii="仿宋_GB2312" w:eastAsia="仿宋_GB2312" w:hAnsi="仿宋"/>
          <w:sz w:val="32"/>
          <w:szCs w:val="32"/>
        </w:rPr>
        <w:t>%</w:t>
      </w:r>
      <w:r>
        <w:rPr>
          <w:rFonts w:ascii="仿宋_GB2312" w:eastAsia="仿宋_GB2312" w:hAnsi="仿宋" w:hint="eastAsia"/>
          <w:sz w:val="32"/>
          <w:szCs w:val="32"/>
        </w:rPr>
        <w:t>，</w:t>
      </w:r>
      <w:r>
        <w:rPr>
          <w:rFonts w:ascii="仿宋_GB2312" w:eastAsia="仿宋_GB2312" w:hAnsi="仿宋" w:hint="eastAsia"/>
          <w:sz w:val="32"/>
          <w:szCs w:val="32"/>
        </w:rPr>
        <w:lastRenderedPageBreak/>
        <w:t>比上年（同口径，下同）增长13.8</w:t>
      </w:r>
      <w:r>
        <w:rPr>
          <w:rFonts w:ascii="仿宋_GB2312" w:eastAsia="仿宋_GB2312" w:hAnsi="仿宋"/>
          <w:sz w:val="32"/>
          <w:szCs w:val="32"/>
        </w:rPr>
        <w:t>%</w:t>
      </w:r>
      <w:r>
        <w:rPr>
          <w:rFonts w:ascii="仿宋_GB2312" w:eastAsia="仿宋_GB2312" w:hAnsi="仿宋" w:hint="eastAsia"/>
          <w:sz w:val="32"/>
          <w:szCs w:val="32"/>
        </w:rPr>
        <w:t>。其中：增值税完成83483万元，下降0.7</w:t>
      </w:r>
      <w:r>
        <w:rPr>
          <w:rFonts w:ascii="仿宋_GB2312" w:eastAsia="仿宋_GB2312" w:hAnsi="仿宋"/>
          <w:sz w:val="32"/>
          <w:szCs w:val="32"/>
        </w:rPr>
        <w:t>%</w:t>
      </w:r>
      <w:r>
        <w:rPr>
          <w:rFonts w:ascii="仿宋_GB2312" w:eastAsia="仿宋_GB2312" w:hAnsi="仿宋" w:hint="eastAsia"/>
          <w:sz w:val="32"/>
          <w:szCs w:val="32"/>
        </w:rPr>
        <w:t>；企业所得税完成7231万元，下降32.1</w:t>
      </w:r>
      <w:r>
        <w:rPr>
          <w:rFonts w:ascii="仿宋_GB2312" w:eastAsia="仿宋_GB2312" w:hAnsi="仿宋"/>
          <w:sz w:val="32"/>
          <w:szCs w:val="32"/>
        </w:rPr>
        <w:t>%</w:t>
      </w:r>
      <w:r>
        <w:rPr>
          <w:rFonts w:ascii="仿宋_GB2312" w:eastAsia="仿宋_GB2312" w:hAnsi="仿宋" w:hint="eastAsia"/>
          <w:sz w:val="32"/>
          <w:szCs w:val="32"/>
        </w:rPr>
        <w:t>；个人所得税完成13799万元，增长360.5</w:t>
      </w:r>
      <w:r>
        <w:rPr>
          <w:rFonts w:ascii="仿宋_GB2312" w:eastAsia="仿宋_GB2312" w:hAnsi="仿宋"/>
          <w:sz w:val="32"/>
          <w:szCs w:val="32"/>
        </w:rPr>
        <w:t>%</w:t>
      </w:r>
      <w:r>
        <w:rPr>
          <w:rFonts w:ascii="仿宋_GB2312" w:eastAsia="仿宋_GB2312" w:hAnsi="仿宋" w:hint="eastAsia"/>
          <w:sz w:val="32"/>
          <w:szCs w:val="32"/>
        </w:rPr>
        <w:t>；资源税完成1249万元，下降18.6</w:t>
      </w:r>
      <w:r>
        <w:rPr>
          <w:rFonts w:ascii="仿宋_GB2312" w:eastAsia="仿宋_GB2312" w:hAnsi="仿宋"/>
          <w:sz w:val="32"/>
          <w:szCs w:val="32"/>
        </w:rPr>
        <w:t>%</w:t>
      </w:r>
      <w:r>
        <w:rPr>
          <w:rFonts w:ascii="仿宋_GB2312" w:eastAsia="仿宋_GB2312" w:hAnsi="仿宋" w:hint="eastAsia"/>
          <w:sz w:val="32"/>
          <w:szCs w:val="32"/>
        </w:rPr>
        <w:t>；城市维护建设税完成8942万元，下降0.2%；房产税完成3194万元，增长3.0</w:t>
      </w:r>
      <w:r>
        <w:rPr>
          <w:rFonts w:ascii="仿宋_GB2312" w:eastAsia="仿宋_GB2312" w:hAnsi="仿宋"/>
          <w:sz w:val="32"/>
          <w:szCs w:val="32"/>
        </w:rPr>
        <w:t>%</w:t>
      </w:r>
      <w:r>
        <w:rPr>
          <w:rFonts w:ascii="仿宋_GB2312" w:eastAsia="仿宋_GB2312" w:hAnsi="仿宋" w:hint="eastAsia"/>
          <w:sz w:val="32"/>
          <w:szCs w:val="32"/>
        </w:rPr>
        <w:t>；印花税完成3565万元，增长20.4</w:t>
      </w:r>
      <w:r>
        <w:rPr>
          <w:rFonts w:ascii="仿宋_GB2312" w:eastAsia="仿宋_GB2312" w:hAnsi="仿宋"/>
          <w:sz w:val="32"/>
          <w:szCs w:val="32"/>
        </w:rPr>
        <w:t>%</w:t>
      </w:r>
      <w:r>
        <w:rPr>
          <w:rFonts w:ascii="仿宋_GB2312" w:eastAsia="仿宋_GB2312" w:hAnsi="仿宋" w:hint="eastAsia"/>
          <w:sz w:val="32"/>
          <w:szCs w:val="32"/>
        </w:rPr>
        <w:t>；城镇土地使用税完成6252万元，增长12.2</w:t>
      </w:r>
      <w:r>
        <w:rPr>
          <w:rFonts w:ascii="仿宋_GB2312" w:eastAsia="仿宋_GB2312" w:hAnsi="仿宋"/>
          <w:sz w:val="32"/>
          <w:szCs w:val="32"/>
        </w:rPr>
        <w:t>%</w:t>
      </w:r>
      <w:r>
        <w:rPr>
          <w:rFonts w:ascii="仿宋_GB2312" w:eastAsia="仿宋_GB2312" w:hAnsi="仿宋" w:hint="eastAsia"/>
          <w:sz w:val="32"/>
          <w:szCs w:val="32"/>
        </w:rPr>
        <w:t>；土地增值税完成3959万元，下降21.7</w:t>
      </w:r>
      <w:r>
        <w:rPr>
          <w:rFonts w:ascii="仿宋_GB2312" w:eastAsia="仿宋_GB2312" w:hAnsi="仿宋"/>
          <w:sz w:val="32"/>
          <w:szCs w:val="32"/>
        </w:rPr>
        <w:t>%</w:t>
      </w:r>
      <w:r>
        <w:rPr>
          <w:rFonts w:ascii="仿宋_GB2312" w:eastAsia="仿宋_GB2312" w:hAnsi="仿宋" w:hint="eastAsia"/>
          <w:sz w:val="32"/>
          <w:szCs w:val="32"/>
        </w:rPr>
        <w:t>；环境保护税完成503万元，增长6.6</w:t>
      </w:r>
      <w:r>
        <w:rPr>
          <w:rFonts w:ascii="仿宋_GB2312" w:eastAsia="仿宋_GB2312" w:hAnsi="仿宋"/>
          <w:sz w:val="32"/>
          <w:szCs w:val="32"/>
        </w:rPr>
        <w:t>%</w:t>
      </w:r>
      <w:r>
        <w:rPr>
          <w:rFonts w:ascii="仿宋_GB2312" w:eastAsia="仿宋_GB2312" w:hAnsi="仿宋" w:hint="eastAsia"/>
          <w:sz w:val="32"/>
          <w:szCs w:val="32"/>
        </w:rPr>
        <w:t>；耕地占用税完成22928万元，增长54.8</w:t>
      </w:r>
      <w:r>
        <w:rPr>
          <w:rFonts w:ascii="仿宋_GB2312" w:eastAsia="仿宋_GB2312" w:hAnsi="仿宋"/>
          <w:sz w:val="32"/>
          <w:szCs w:val="32"/>
        </w:rPr>
        <w:t>%</w:t>
      </w:r>
      <w:r>
        <w:rPr>
          <w:rFonts w:ascii="仿宋_GB2312" w:eastAsia="仿宋_GB2312" w:hAnsi="仿宋" w:hint="eastAsia"/>
          <w:sz w:val="32"/>
          <w:szCs w:val="32"/>
        </w:rPr>
        <w:t>；契税完成9708万元，增长46.2</w:t>
      </w:r>
      <w:r>
        <w:rPr>
          <w:rFonts w:ascii="仿宋_GB2312" w:eastAsia="仿宋_GB2312" w:hAnsi="仿宋"/>
          <w:sz w:val="32"/>
          <w:szCs w:val="32"/>
        </w:rPr>
        <w:t>%</w:t>
      </w:r>
      <w:r>
        <w:rPr>
          <w:rFonts w:ascii="仿宋_GB2312" w:eastAsia="仿宋_GB2312" w:hAnsi="仿宋" w:hint="eastAsia"/>
          <w:sz w:val="32"/>
          <w:szCs w:val="32"/>
        </w:rPr>
        <w:t>；烟叶税完成388万元，下降23.5</w:t>
      </w:r>
      <w:r>
        <w:rPr>
          <w:rFonts w:ascii="仿宋_GB2312" w:eastAsia="仿宋_GB2312" w:hAnsi="仿宋"/>
          <w:sz w:val="32"/>
          <w:szCs w:val="32"/>
        </w:rPr>
        <w:t>%</w:t>
      </w:r>
      <w:r>
        <w:rPr>
          <w:rFonts w:ascii="仿宋_GB2312" w:eastAsia="仿宋_GB2312" w:hAnsi="仿宋" w:hint="eastAsia"/>
          <w:sz w:val="32"/>
          <w:szCs w:val="32"/>
        </w:rPr>
        <w:t>；车船税1773万元；非税收入完成55803万元，增长15.3</w:t>
      </w:r>
      <w:r>
        <w:rPr>
          <w:rFonts w:ascii="仿宋_GB2312" w:eastAsia="仿宋_GB2312" w:hAnsi="仿宋"/>
          <w:sz w:val="32"/>
          <w:szCs w:val="32"/>
        </w:rPr>
        <w:t>%</w:t>
      </w:r>
      <w:r>
        <w:rPr>
          <w:rFonts w:ascii="仿宋_GB2312" w:eastAsia="仿宋_GB2312" w:hAnsi="仿宋" w:hint="eastAsia"/>
          <w:sz w:val="32"/>
          <w:szCs w:val="32"/>
        </w:rPr>
        <w:t>。</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
          <w:kern w:val="0"/>
          <w:sz w:val="32"/>
          <w:szCs w:val="32"/>
        </w:rPr>
      </w:pPr>
      <w:r>
        <w:rPr>
          <w:rFonts w:ascii="仿宋_GB2312" w:eastAsia="仿宋_GB2312" w:hAnsi="仿宋" w:hint="eastAsia"/>
          <w:b/>
          <w:sz w:val="32"/>
          <w:szCs w:val="32"/>
        </w:rPr>
        <w:t xml:space="preserve">支出方面 </w:t>
      </w:r>
      <w:r>
        <w:rPr>
          <w:rFonts w:ascii="仿宋_GB2312" w:eastAsia="仿宋_GB2312" w:hAnsi="仿宋" w:hint="eastAsia"/>
          <w:sz w:val="32"/>
          <w:szCs w:val="32"/>
        </w:rPr>
        <w:t>县十六届人大一次会议审议批准</w:t>
      </w:r>
      <w:r>
        <w:rPr>
          <w:rFonts w:ascii="仿宋_GB2312" w:eastAsia="仿宋_GB2312" w:hAnsi="仿宋"/>
          <w:sz w:val="32"/>
          <w:szCs w:val="32"/>
        </w:rPr>
        <w:t>202</w:t>
      </w:r>
      <w:r>
        <w:rPr>
          <w:rFonts w:ascii="仿宋_GB2312" w:eastAsia="仿宋_GB2312" w:hAnsi="仿宋" w:hint="eastAsia"/>
          <w:sz w:val="32"/>
          <w:szCs w:val="32"/>
        </w:rPr>
        <w:t>2年支出预算379857万元，预算执行中，加上新增政府债券、上级追加、调入资金，减去上解等项目，支出预算调整数为463777万元。执行结果，全县财政支出463777万元，占调整预算的100</w:t>
      </w:r>
      <w:r>
        <w:rPr>
          <w:rFonts w:ascii="仿宋_GB2312" w:eastAsia="仿宋_GB2312" w:hAnsi="仿宋"/>
          <w:sz w:val="32"/>
          <w:szCs w:val="32"/>
        </w:rPr>
        <w:t>%</w:t>
      </w:r>
      <w:r>
        <w:rPr>
          <w:rFonts w:ascii="仿宋_GB2312" w:eastAsia="仿宋_GB2312" w:hAnsi="仿宋" w:hint="eastAsia"/>
          <w:sz w:val="32"/>
          <w:szCs w:val="32"/>
        </w:rPr>
        <w:t>，增长8.7</w:t>
      </w:r>
      <w:r>
        <w:rPr>
          <w:rFonts w:ascii="仿宋_GB2312" w:eastAsia="仿宋_GB2312" w:hAnsi="仿宋"/>
          <w:sz w:val="32"/>
          <w:szCs w:val="32"/>
        </w:rPr>
        <w:t>%</w:t>
      </w:r>
      <w:r>
        <w:rPr>
          <w:rFonts w:ascii="仿宋_GB2312" w:eastAsia="仿宋_GB2312" w:hAnsi="仿宋" w:hint="eastAsia"/>
          <w:sz w:val="32"/>
          <w:szCs w:val="32"/>
        </w:rPr>
        <w:t>。其中：一般公共服务支出</w:t>
      </w:r>
      <w:r>
        <w:rPr>
          <w:rFonts w:ascii="仿宋_GB2312" w:eastAsia="仿宋_GB2312" w:hAnsi="仿宋"/>
          <w:sz w:val="32"/>
          <w:szCs w:val="32"/>
        </w:rPr>
        <w:t>2</w:t>
      </w:r>
      <w:r>
        <w:rPr>
          <w:rFonts w:ascii="仿宋_GB2312" w:eastAsia="仿宋_GB2312" w:hAnsi="仿宋" w:hint="eastAsia"/>
          <w:sz w:val="32"/>
          <w:szCs w:val="32"/>
        </w:rPr>
        <w:t>3339万元，下降22.0</w:t>
      </w:r>
      <w:r>
        <w:rPr>
          <w:rFonts w:ascii="仿宋_GB2312" w:eastAsia="仿宋_GB2312" w:hAnsi="仿宋"/>
          <w:sz w:val="32"/>
          <w:szCs w:val="32"/>
        </w:rPr>
        <w:t>%</w:t>
      </w:r>
      <w:r>
        <w:rPr>
          <w:rFonts w:ascii="仿宋_GB2312" w:eastAsia="仿宋_GB2312" w:hAnsi="仿宋" w:hint="eastAsia"/>
          <w:sz w:val="32"/>
          <w:szCs w:val="32"/>
        </w:rPr>
        <w:t>；国防支出65万元；公共安全支出</w:t>
      </w:r>
      <w:r>
        <w:rPr>
          <w:rFonts w:ascii="仿宋_GB2312" w:eastAsia="仿宋_GB2312" w:hAnsi="仿宋"/>
          <w:sz w:val="32"/>
          <w:szCs w:val="32"/>
        </w:rPr>
        <w:t>10</w:t>
      </w:r>
      <w:r>
        <w:rPr>
          <w:rFonts w:ascii="仿宋_GB2312" w:eastAsia="仿宋_GB2312" w:hAnsi="仿宋" w:hint="eastAsia"/>
          <w:sz w:val="32"/>
          <w:szCs w:val="32"/>
        </w:rPr>
        <w:t>676万元，增长1.7</w:t>
      </w:r>
      <w:r>
        <w:rPr>
          <w:rFonts w:ascii="仿宋_GB2312" w:eastAsia="仿宋_GB2312" w:hAnsi="仿宋"/>
          <w:sz w:val="32"/>
          <w:szCs w:val="32"/>
        </w:rPr>
        <w:t>%</w:t>
      </w:r>
      <w:r>
        <w:rPr>
          <w:rFonts w:ascii="仿宋_GB2312" w:eastAsia="仿宋_GB2312" w:hAnsi="仿宋" w:hint="eastAsia"/>
          <w:sz w:val="32"/>
          <w:szCs w:val="32"/>
        </w:rPr>
        <w:t>；教育支出</w:t>
      </w:r>
      <w:r>
        <w:rPr>
          <w:rFonts w:ascii="仿宋_GB2312" w:eastAsia="仿宋_GB2312" w:hAnsi="仿宋"/>
          <w:sz w:val="32"/>
          <w:szCs w:val="32"/>
        </w:rPr>
        <w:t>1</w:t>
      </w:r>
      <w:r>
        <w:rPr>
          <w:rFonts w:ascii="仿宋_GB2312" w:eastAsia="仿宋_GB2312" w:hAnsi="仿宋" w:hint="eastAsia"/>
          <w:sz w:val="32"/>
          <w:szCs w:val="32"/>
        </w:rPr>
        <w:t>41891万元，增长</w:t>
      </w:r>
      <w:r>
        <w:rPr>
          <w:rFonts w:ascii="仿宋_GB2312" w:eastAsia="仿宋_GB2312" w:hAnsi="仿宋"/>
          <w:sz w:val="32"/>
          <w:szCs w:val="32"/>
        </w:rPr>
        <w:t>1</w:t>
      </w:r>
      <w:r>
        <w:rPr>
          <w:rFonts w:ascii="仿宋_GB2312" w:eastAsia="仿宋_GB2312" w:hAnsi="仿宋" w:hint="eastAsia"/>
          <w:sz w:val="32"/>
          <w:szCs w:val="32"/>
        </w:rPr>
        <w:t>2.0</w:t>
      </w:r>
      <w:r>
        <w:rPr>
          <w:rFonts w:ascii="仿宋_GB2312" w:eastAsia="仿宋_GB2312" w:hAnsi="仿宋"/>
          <w:sz w:val="32"/>
          <w:szCs w:val="32"/>
        </w:rPr>
        <w:t>%</w:t>
      </w:r>
      <w:r>
        <w:rPr>
          <w:rFonts w:ascii="仿宋_GB2312" w:eastAsia="仿宋_GB2312" w:hAnsi="仿宋" w:hint="eastAsia"/>
          <w:sz w:val="32"/>
          <w:szCs w:val="32"/>
        </w:rPr>
        <w:t>；科学技术支出</w:t>
      </w:r>
      <w:r>
        <w:rPr>
          <w:rFonts w:ascii="仿宋_GB2312" w:eastAsia="仿宋_GB2312" w:hAnsi="仿宋"/>
          <w:sz w:val="32"/>
          <w:szCs w:val="32"/>
        </w:rPr>
        <w:t>1</w:t>
      </w:r>
      <w:r>
        <w:rPr>
          <w:rFonts w:ascii="仿宋_GB2312" w:eastAsia="仿宋_GB2312" w:hAnsi="仿宋" w:hint="eastAsia"/>
          <w:sz w:val="32"/>
          <w:szCs w:val="32"/>
        </w:rPr>
        <w:t>7030万元，增长7.4</w:t>
      </w:r>
      <w:r>
        <w:rPr>
          <w:rFonts w:ascii="仿宋_GB2312" w:eastAsia="仿宋_GB2312" w:hAnsi="仿宋"/>
          <w:sz w:val="32"/>
          <w:szCs w:val="32"/>
        </w:rPr>
        <w:t>%</w:t>
      </w:r>
      <w:r>
        <w:rPr>
          <w:rFonts w:ascii="仿宋_GB2312" w:eastAsia="仿宋_GB2312" w:hAnsi="仿宋" w:hint="eastAsia"/>
          <w:sz w:val="32"/>
          <w:szCs w:val="32"/>
        </w:rPr>
        <w:t>；文化旅游体育与传媒支出</w:t>
      </w:r>
      <w:r>
        <w:rPr>
          <w:rFonts w:ascii="仿宋_GB2312" w:eastAsia="仿宋_GB2312" w:hAnsi="仿宋"/>
          <w:sz w:val="32"/>
          <w:szCs w:val="32"/>
        </w:rPr>
        <w:t>1</w:t>
      </w:r>
      <w:r>
        <w:rPr>
          <w:rFonts w:ascii="仿宋_GB2312" w:eastAsia="仿宋_GB2312" w:hAnsi="仿宋" w:hint="eastAsia"/>
          <w:sz w:val="32"/>
          <w:szCs w:val="32"/>
        </w:rPr>
        <w:t>398万元，增长13.8</w:t>
      </w:r>
      <w:r>
        <w:rPr>
          <w:rFonts w:ascii="仿宋_GB2312" w:eastAsia="仿宋_GB2312" w:hAnsi="仿宋"/>
          <w:sz w:val="32"/>
          <w:szCs w:val="32"/>
        </w:rPr>
        <w:t>%</w:t>
      </w:r>
      <w:r>
        <w:rPr>
          <w:rFonts w:ascii="仿宋_GB2312" w:eastAsia="仿宋_GB2312" w:hAnsi="仿宋" w:hint="eastAsia"/>
          <w:sz w:val="32"/>
          <w:szCs w:val="32"/>
        </w:rPr>
        <w:t>；社会保障和就业支出64943万元，增长0.6</w:t>
      </w:r>
      <w:r>
        <w:rPr>
          <w:rFonts w:ascii="仿宋_GB2312" w:eastAsia="仿宋_GB2312" w:hAnsi="仿宋"/>
          <w:sz w:val="32"/>
          <w:szCs w:val="32"/>
        </w:rPr>
        <w:t>%</w:t>
      </w:r>
      <w:r>
        <w:rPr>
          <w:rFonts w:ascii="仿宋_GB2312" w:eastAsia="仿宋_GB2312" w:hAnsi="仿宋" w:hint="eastAsia"/>
          <w:sz w:val="32"/>
          <w:szCs w:val="32"/>
        </w:rPr>
        <w:t>；卫生与健康支出</w:t>
      </w:r>
      <w:r>
        <w:rPr>
          <w:rFonts w:ascii="仿宋_GB2312" w:eastAsia="仿宋_GB2312" w:hAnsi="仿宋"/>
          <w:sz w:val="32"/>
          <w:szCs w:val="32"/>
        </w:rPr>
        <w:t>4</w:t>
      </w:r>
      <w:r>
        <w:rPr>
          <w:rFonts w:ascii="仿宋_GB2312" w:eastAsia="仿宋_GB2312" w:hAnsi="仿宋" w:hint="eastAsia"/>
          <w:sz w:val="32"/>
          <w:szCs w:val="32"/>
        </w:rPr>
        <w:t>8496万元，增长0.8</w:t>
      </w:r>
      <w:r>
        <w:rPr>
          <w:rFonts w:ascii="仿宋_GB2312" w:eastAsia="仿宋_GB2312" w:hAnsi="仿宋"/>
          <w:sz w:val="32"/>
          <w:szCs w:val="32"/>
        </w:rPr>
        <w:t>%</w:t>
      </w:r>
      <w:r>
        <w:rPr>
          <w:rFonts w:ascii="仿宋_GB2312" w:eastAsia="仿宋_GB2312" w:hAnsi="仿宋" w:hint="eastAsia"/>
          <w:sz w:val="32"/>
          <w:szCs w:val="32"/>
        </w:rPr>
        <w:t>；节能环保支出40470万元，增长6.3</w:t>
      </w:r>
      <w:r>
        <w:rPr>
          <w:rFonts w:ascii="仿宋_GB2312" w:eastAsia="仿宋_GB2312" w:hAnsi="仿宋"/>
          <w:sz w:val="32"/>
          <w:szCs w:val="32"/>
        </w:rPr>
        <w:t>%</w:t>
      </w:r>
      <w:r>
        <w:rPr>
          <w:rFonts w:ascii="仿宋_GB2312" w:eastAsia="仿宋_GB2312" w:hAnsi="仿宋" w:hint="eastAsia"/>
          <w:sz w:val="32"/>
          <w:szCs w:val="32"/>
        </w:rPr>
        <w:t>；城乡社区支出5374万元，增长4.0</w:t>
      </w:r>
      <w:r>
        <w:rPr>
          <w:rFonts w:ascii="仿宋_GB2312" w:eastAsia="仿宋_GB2312" w:hAnsi="仿宋"/>
          <w:sz w:val="32"/>
          <w:szCs w:val="32"/>
        </w:rPr>
        <w:t>%</w:t>
      </w:r>
      <w:r>
        <w:rPr>
          <w:rFonts w:ascii="仿宋_GB2312" w:eastAsia="仿宋_GB2312" w:hAnsi="仿宋" w:hint="eastAsia"/>
          <w:sz w:val="32"/>
          <w:szCs w:val="32"/>
        </w:rPr>
        <w:t>；农林水支出65183万元，增长12.0</w:t>
      </w:r>
      <w:r>
        <w:rPr>
          <w:rFonts w:ascii="仿宋_GB2312" w:eastAsia="仿宋_GB2312" w:hAnsi="仿宋"/>
          <w:sz w:val="32"/>
          <w:szCs w:val="32"/>
        </w:rPr>
        <w:t>%</w:t>
      </w:r>
      <w:r>
        <w:rPr>
          <w:rFonts w:ascii="仿宋_GB2312" w:eastAsia="仿宋_GB2312" w:hAnsi="仿宋" w:hint="eastAsia"/>
          <w:sz w:val="32"/>
          <w:szCs w:val="32"/>
        </w:rPr>
        <w:t>；交通运输支出27657万元，增长135.3</w:t>
      </w:r>
      <w:r>
        <w:rPr>
          <w:rFonts w:ascii="仿宋_GB2312" w:eastAsia="仿宋_GB2312" w:hAnsi="仿宋"/>
          <w:sz w:val="32"/>
          <w:szCs w:val="32"/>
        </w:rPr>
        <w:t>%</w:t>
      </w:r>
      <w:r>
        <w:rPr>
          <w:rFonts w:ascii="仿宋_GB2312" w:eastAsia="仿宋_GB2312" w:hAnsi="仿宋" w:hint="eastAsia"/>
          <w:sz w:val="32"/>
          <w:szCs w:val="32"/>
        </w:rPr>
        <w:t>；资源勘探信息等支出1614万元，增长1.8</w:t>
      </w:r>
      <w:r>
        <w:rPr>
          <w:rFonts w:ascii="仿宋_GB2312" w:eastAsia="仿宋_GB2312" w:hAnsi="仿宋"/>
          <w:sz w:val="32"/>
          <w:szCs w:val="32"/>
        </w:rPr>
        <w:t>%</w:t>
      </w:r>
      <w:r>
        <w:rPr>
          <w:rFonts w:ascii="仿宋_GB2312" w:eastAsia="仿宋_GB2312" w:hAnsi="仿宋" w:hint="eastAsia"/>
          <w:sz w:val="32"/>
          <w:szCs w:val="32"/>
        </w:rPr>
        <w:t>；商业服务业等支出2294万元，增长3.5</w:t>
      </w:r>
      <w:r>
        <w:rPr>
          <w:rFonts w:ascii="仿宋_GB2312" w:eastAsia="仿宋_GB2312" w:hAnsi="仿宋"/>
          <w:sz w:val="32"/>
          <w:szCs w:val="32"/>
        </w:rPr>
        <w:t>%</w:t>
      </w:r>
      <w:r>
        <w:rPr>
          <w:rFonts w:ascii="仿宋_GB2312" w:eastAsia="仿宋_GB2312" w:hAnsi="仿宋" w:hint="eastAsia"/>
          <w:sz w:val="32"/>
          <w:szCs w:val="32"/>
        </w:rPr>
        <w:t>；金融支出660万元，增长3.4</w:t>
      </w:r>
      <w:r>
        <w:rPr>
          <w:rFonts w:ascii="仿宋_GB2312" w:eastAsia="仿宋_GB2312" w:hAnsi="仿宋"/>
          <w:sz w:val="32"/>
          <w:szCs w:val="32"/>
        </w:rPr>
        <w:t>%</w:t>
      </w:r>
      <w:r>
        <w:rPr>
          <w:rFonts w:ascii="仿宋_GB2312" w:eastAsia="仿宋_GB2312" w:hAnsi="仿宋" w:hint="eastAsia"/>
          <w:sz w:val="32"/>
          <w:szCs w:val="32"/>
        </w:rPr>
        <w:t>；自然资源海洋气象等支出1015万元，增长4.6</w:t>
      </w:r>
      <w:r>
        <w:rPr>
          <w:rFonts w:ascii="仿宋_GB2312" w:eastAsia="仿宋_GB2312" w:hAnsi="仿宋"/>
          <w:sz w:val="32"/>
          <w:szCs w:val="32"/>
        </w:rPr>
        <w:t>%</w:t>
      </w:r>
      <w:r>
        <w:rPr>
          <w:rFonts w:ascii="仿宋_GB2312" w:eastAsia="仿宋_GB2312" w:hAnsi="仿宋" w:hint="eastAsia"/>
          <w:sz w:val="32"/>
          <w:szCs w:val="32"/>
        </w:rPr>
        <w:t>；住房保障支出</w:t>
      </w:r>
      <w:r>
        <w:rPr>
          <w:rFonts w:ascii="仿宋_GB2312" w:eastAsia="仿宋_GB2312" w:hAnsi="仿宋" w:hint="eastAsia"/>
          <w:sz w:val="32"/>
          <w:szCs w:val="32"/>
        </w:rPr>
        <w:lastRenderedPageBreak/>
        <w:t>4367万元，增长2.7</w:t>
      </w:r>
      <w:r>
        <w:rPr>
          <w:rFonts w:ascii="仿宋_GB2312" w:eastAsia="仿宋_GB2312" w:hAnsi="仿宋"/>
          <w:sz w:val="32"/>
          <w:szCs w:val="32"/>
        </w:rPr>
        <w:t>%</w:t>
      </w:r>
      <w:r>
        <w:rPr>
          <w:rFonts w:ascii="仿宋_GB2312" w:eastAsia="仿宋_GB2312" w:hAnsi="仿宋" w:hint="eastAsia"/>
          <w:sz w:val="32"/>
          <w:szCs w:val="32"/>
        </w:rPr>
        <w:t>；粮油物资储备支出278万元，增长10.3</w:t>
      </w:r>
      <w:r>
        <w:rPr>
          <w:rFonts w:ascii="仿宋_GB2312" w:eastAsia="仿宋_GB2312" w:hAnsi="仿宋"/>
          <w:sz w:val="32"/>
          <w:szCs w:val="32"/>
        </w:rPr>
        <w:t>%</w:t>
      </w:r>
      <w:r>
        <w:rPr>
          <w:rFonts w:ascii="仿宋_GB2312" w:eastAsia="仿宋_GB2312" w:hAnsi="仿宋" w:hint="eastAsia"/>
          <w:sz w:val="32"/>
          <w:szCs w:val="32"/>
        </w:rPr>
        <w:t>；灾害防治及应急管理支出1847万元，增长1.9%；债务付息支出5179万元，增长4.6%；债务发行费用支出1万元。（详见《</w:t>
      </w:r>
      <w:r>
        <w:rPr>
          <w:rFonts w:ascii="仿宋_GB2312" w:eastAsia="仿宋_GB2312" w:hAnsi="仿宋" w:hint="eastAsia"/>
          <w:bCs/>
          <w:sz w:val="32"/>
          <w:szCs w:val="32"/>
        </w:rPr>
        <w:t>西峡县</w:t>
      </w:r>
      <w:r>
        <w:rPr>
          <w:rFonts w:ascii="仿宋_GB2312" w:eastAsia="仿宋_GB2312" w:hAnsi="仿宋"/>
          <w:bCs/>
          <w:sz w:val="32"/>
          <w:szCs w:val="32"/>
        </w:rPr>
        <w:t>202</w:t>
      </w:r>
      <w:r>
        <w:rPr>
          <w:rFonts w:ascii="仿宋_GB2312" w:eastAsia="仿宋_GB2312" w:hAnsi="仿宋" w:hint="eastAsia"/>
          <w:bCs/>
          <w:sz w:val="32"/>
          <w:szCs w:val="32"/>
        </w:rPr>
        <w:t>2年一般公共预算收支决算总表</w:t>
      </w:r>
      <w:r>
        <w:rPr>
          <w:rFonts w:ascii="仿宋_GB2312" w:eastAsia="仿宋_GB2312" w:hAnsi="仿宋" w:hint="eastAsia"/>
          <w:sz w:val="32"/>
          <w:szCs w:val="32"/>
        </w:rPr>
        <w:t>》）。</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b/>
          <w:sz w:val="32"/>
          <w:szCs w:val="32"/>
        </w:rPr>
        <w:t>2.</w:t>
      </w:r>
      <w:r>
        <w:rPr>
          <w:rFonts w:ascii="仿宋_GB2312" w:eastAsia="仿宋_GB2312" w:hAnsi="仿宋" w:hint="eastAsia"/>
          <w:b/>
          <w:sz w:val="32"/>
          <w:szCs w:val="32"/>
        </w:rPr>
        <w:t>政府性基金预算</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县十六届人大一次会议批准的2022年全县政府性基金收入预算为94000万元，实际完成104029万元，为预算的110.7%，同比增长11.6%；支出预算94163万元，加上新增政府专项债券、上级补助，减去债务还本支出、调出资金等因素，支出预算调整数为185302万元，实际完成185302万元，为调整预算的100.0%，增长3.8%（详见《西峡县2022年政府性基金收支决算总表》）。</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b/>
          <w:kern w:val="0"/>
          <w:sz w:val="32"/>
          <w:szCs w:val="32"/>
        </w:rPr>
        <w:t>3.</w:t>
      </w:r>
      <w:r>
        <w:rPr>
          <w:rFonts w:ascii="仿宋_GB2312" w:eastAsia="仿宋_GB2312" w:hAnsi="仿宋" w:hint="eastAsia"/>
          <w:b/>
          <w:kern w:val="0"/>
          <w:sz w:val="32"/>
          <w:szCs w:val="32"/>
        </w:rPr>
        <w:t>社会保险基金预算</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县十六届人大一次会议批准的</w:t>
      </w:r>
      <w:r>
        <w:rPr>
          <w:rFonts w:ascii="仿宋_GB2312" w:eastAsia="仿宋_GB2312" w:hAnsi="仿宋"/>
          <w:kern w:val="0"/>
          <w:sz w:val="32"/>
          <w:szCs w:val="32"/>
        </w:rPr>
        <w:t>202</w:t>
      </w:r>
      <w:r>
        <w:rPr>
          <w:rFonts w:ascii="仿宋_GB2312" w:eastAsia="仿宋_GB2312" w:hAnsi="仿宋" w:hint="eastAsia"/>
          <w:kern w:val="0"/>
          <w:sz w:val="32"/>
          <w:szCs w:val="32"/>
        </w:rPr>
        <w:t>2年全县社会保险基金收入预算38202万元，实际完成44746万元，为预算的117</w:t>
      </w:r>
      <w:r>
        <w:rPr>
          <w:rFonts w:ascii="仿宋_GB2312" w:eastAsia="仿宋_GB2312" w:hAnsi="仿宋"/>
          <w:kern w:val="0"/>
          <w:sz w:val="32"/>
          <w:szCs w:val="32"/>
        </w:rPr>
        <w:t>%</w:t>
      </w:r>
      <w:r>
        <w:rPr>
          <w:rFonts w:ascii="仿宋_GB2312" w:eastAsia="仿宋_GB2312" w:hAnsi="仿宋" w:hint="eastAsia"/>
          <w:kern w:val="0"/>
          <w:sz w:val="32"/>
          <w:szCs w:val="32"/>
        </w:rPr>
        <w:t>，增长5</w:t>
      </w:r>
      <w:r>
        <w:rPr>
          <w:rFonts w:ascii="仿宋_GB2312" w:eastAsia="仿宋_GB2312" w:hAnsi="仿宋"/>
          <w:kern w:val="0"/>
          <w:sz w:val="32"/>
          <w:szCs w:val="32"/>
        </w:rPr>
        <w:t>%</w:t>
      </w:r>
      <w:r>
        <w:rPr>
          <w:rFonts w:ascii="仿宋_GB2312" w:eastAsia="仿宋_GB2312" w:hAnsi="仿宋" w:hint="eastAsia"/>
          <w:kern w:val="0"/>
          <w:sz w:val="32"/>
          <w:szCs w:val="32"/>
        </w:rPr>
        <w:t>。支出预算为46320万元，实际完成43222万元，为预算的93.3</w:t>
      </w:r>
      <w:r>
        <w:rPr>
          <w:rFonts w:ascii="仿宋_GB2312" w:eastAsia="仿宋_GB2312" w:hAnsi="仿宋"/>
          <w:kern w:val="0"/>
          <w:sz w:val="32"/>
          <w:szCs w:val="32"/>
        </w:rPr>
        <w:t>%</w:t>
      </w:r>
      <w:r>
        <w:rPr>
          <w:rFonts w:ascii="仿宋_GB2312" w:eastAsia="仿宋_GB2312" w:hAnsi="仿宋" w:hint="eastAsia"/>
          <w:kern w:val="0"/>
          <w:sz w:val="32"/>
          <w:szCs w:val="32"/>
        </w:rPr>
        <w:t>，增长3</w:t>
      </w:r>
      <w:r>
        <w:rPr>
          <w:rFonts w:ascii="仿宋_GB2312" w:eastAsia="仿宋_GB2312" w:hAnsi="仿宋"/>
          <w:kern w:val="0"/>
          <w:sz w:val="32"/>
          <w:szCs w:val="32"/>
        </w:rPr>
        <w:t>%</w:t>
      </w:r>
      <w:r>
        <w:rPr>
          <w:rFonts w:ascii="仿宋_GB2312" w:eastAsia="仿宋_GB2312" w:hAnsi="仿宋" w:hint="eastAsia"/>
          <w:sz w:val="32"/>
          <w:szCs w:val="32"/>
        </w:rPr>
        <w:t>（医疗保险基金收支于2021年8月1日起由市级统筹核算）</w:t>
      </w:r>
      <w:r>
        <w:rPr>
          <w:rFonts w:ascii="仿宋_GB2312" w:eastAsia="仿宋_GB2312" w:hAnsi="仿宋" w:hint="eastAsia"/>
          <w:kern w:val="0"/>
          <w:sz w:val="32"/>
          <w:szCs w:val="32"/>
        </w:rPr>
        <w:t>。</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b/>
          <w:kern w:val="0"/>
          <w:sz w:val="32"/>
          <w:szCs w:val="32"/>
        </w:rPr>
        <w:t>4.</w:t>
      </w:r>
      <w:r>
        <w:rPr>
          <w:rFonts w:ascii="仿宋_GB2312" w:eastAsia="仿宋_GB2312" w:hAnsi="仿宋" w:hint="eastAsia"/>
          <w:b/>
          <w:kern w:val="0"/>
          <w:sz w:val="32"/>
          <w:szCs w:val="32"/>
        </w:rPr>
        <w:t>国有资本经营预算</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2022年全县国有资本经营收入完成5000万元。上级补助收入49万元，收入合计5049万元。调入一般公共预算5000万元，结余49万元结转下年支出。</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
          <w:b/>
          <w:bCs/>
          <w:kern w:val="0"/>
          <w:sz w:val="32"/>
          <w:szCs w:val="32"/>
        </w:rPr>
      </w:pPr>
      <w:r>
        <w:rPr>
          <w:rFonts w:ascii="仿宋_GB2312" w:eastAsia="仿宋_GB2312" w:hAnsi="仿宋"/>
          <w:b/>
          <w:bCs/>
          <w:kern w:val="0"/>
          <w:sz w:val="32"/>
          <w:szCs w:val="32"/>
        </w:rPr>
        <w:t>5.</w:t>
      </w:r>
      <w:r>
        <w:rPr>
          <w:rFonts w:ascii="仿宋_GB2312" w:eastAsia="仿宋_GB2312" w:hAnsi="仿宋" w:hint="eastAsia"/>
          <w:b/>
          <w:bCs/>
          <w:kern w:val="0"/>
          <w:sz w:val="32"/>
          <w:szCs w:val="32"/>
        </w:rPr>
        <w:t>政府债务情况</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2022年，全县共争取政府债券140631万元，其中：一般债券26231万元（新增一般债券12231万元，再融资一般债券14000万元），专项债券114400万元（新增专项债券112900万元，再融资</w:t>
      </w:r>
      <w:r>
        <w:rPr>
          <w:rFonts w:ascii="仿宋_GB2312" w:eastAsia="仿宋_GB2312" w:hAnsi="仿宋_GB2312" w:cs="仿宋_GB2312" w:hint="eastAsia"/>
          <w:kern w:val="0"/>
          <w:sz w:val="32"/>
          <w:szCs w:val="32"/>
        </w:rPr>
        <w:lastRenderedPageBreak/>
        <w:t>专项债券1500万元）。</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2022年，全县政府债券还本付息31750万元，其中：还本15620万元，付息16130万元。</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截至2022年底，全县政府债务余额550873万元，其中：一般债务余额162993万元，专项债务余额387880万元。</w:t>
      </w:r>
    </w:p>
    <w:p w:rsidR="00BA1488" w:rsidRDefault="00155CF7">
      <w:pPr>
        <w:tabs>
          <w:tab w:val="left" w:pos="1080"/>
        </w:tabs>
        <w:overflowPunct w:val="0"/>
        <w:autoSpaceDE w:val="0"/>
        <w:autoSpaceDN w:val="0"/>
        <w:adjustRightInd w:val="0"/>
        <w:snapToGrid w:val="0"/>
        <w:spacing w:line="560" w:lineRule="exact"/>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（二）落实县人大决议和财政工作情况</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年来，财政部门认真贯彻县委、县政府决策部署，按照《预算法》及其实施条例，落实县人大预算决议和审查意见要求，坚持积极的财政政策并提升效能，更加注重精准、可持续，积极落实减税降费政策，加大对保就业、保民生、保市场主体的支持力度，常态化实施财政资金直达机制，加强民生和重点领域经费保障，防范地方政府债务风险，深化财税体制改革，狠抓财政管理和政策落实，为完成全年经济社会发展主要目标任务提供了有力保障。</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 w:cs="仿宋"/>
          <w:kern w:val="0"/>
          <w:sz w:val="32"/>
          <w:szCs w:val="32"/>
        </w:rPr>
      </w:pPr>
      <w:r>
        <w:rPr>
          <w:rFonts w:ascii="仿宋_GB2312" w:eastAsia="仿宋_GB2312" w:hAnsi="仿宋" w:cs="仿宋" w:hint="eastAsia"/>
          <w:b/>
          <w:bCs/>
          <w:kern w:val="0"/>
          <w:sz w:val="32"/>
          <w:szCs w:val="32"/>
        </w:rPr>
        <w:t>1.有效落实稳经济一揽子财政政策措施。</w:t>
      </w:r>
      <w:r>
        <w:rPr>
          <w:rFonts w:ascii="仿宋_GB2312" w:eastAsia="仿宋_GB2312" w:hAnsi="仿宋" w:cs="仿宋" w:hint="eastAsia"/>
          <w:kern w:val="0"/>
          <w:sz w:val="32"/>
          <w:szCs w:val="32"/>
        </w:rPr>
        <w:t>全县新增减税降费及退税缓税缓费共计67516万元，其中留抵退税21000万元，新增减税降费31516万元，缓缴税费15000万元。落实落细税收优惠政策，办理物流企业1家，扶持资金3000万元；再生资源企业1家，扶持资金8000万元；新兴创新创业企业6家，扶持资金2300万元；上市企业限售股办理3家，减持奖励7795万元。对受疫情影响不能正常经营的中小微企业、个体工商户，承租国有资产类经营用房的免收3个月房租、减半收取12个月房租，减免6万元，惠及小微企业和个体工商户10家。落实满负荷生产财政奖励政策，支持企业复工复产，全县共拨付奖补资金395万元。落实失业保险稳</w:t>
      </w:r>
      <w:r>
        <w:rPr>
          <w:rFonts w:ascii="仿宋_GB2312" w:eastAsia="仿宋_GB2312" w:hAnsi="仿宋" w:cs="仿宋" w:hint="eastAsia"/>
          <w:kern w:val="0"/>
          <w:sz w:val="32"/>
          <w:szCs w:val="32"/>
        </w:rPr>
        <w:lastRenderedPageBreak/>
        <w:t>岗补贴返还政策，累计返还稳岗补贴801万元，惠及企业282家。</w:t>
      </w:r>
      <w:r>
        <w:rPr>
          <w:rFonts w:ascii="仿宋_GB2312" w:eastAsia="仿宋_GB2312" w:hAnsi="宋体" w:cs="仿宋_GB2312" w:hint="eastAsia"/>
          <w:kern w:val="0"/>
          <w:sz w:val="32"/>
          <w:szCs w:val="32"/>
        </w:rPr>
        <w:t>充分发挥“过桥资金池”和“担保资金池”作用，累计为24家企业担保6490万元；注资5030万元设立中小企业发展基金，为养生殿酒业、环碧公司等企业转贷资金1500万元，有效缓解企业融资难、融资贵的问题。</w:t>
      </w:r>
      <w:r>
        <w:rPr>
          <w:rFonts w:ascii="仿宋_GB2312" w:eastAsia="仿宋_GB2312" w:hAnsi="仿宋" w:cs="仿宋" w:hint="eastAsia"/>
          <w:kern w:val="0"/>
          <w:sz w:val="32"/>
          <w:szCs w:val="32"/>
        </w:rPr>
        <w:t xml:space="preserve">政府采购合同融资949万元。县本级筹措资金100万元，支持“惠享西峡”活动开展，带动消费579万元。 </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宋体" w:cs="仿宋_GB2312"/>
          <w:kern w:val="0"/>
          <w:sz w:val="32"/>
          <w:szCs w:val="32"/>
        </w:rPr>
      </w:pPr>
      <w:r>
        <w:rPr>
          <w:rFonts w:ascii="仿宋_GB2312" w:eastAsia="仿宋_GB2312" w:hAnsi="仿宋_GB2312" w:cs="仿宋_GB2312" w:hint="eastAsia"/>
          <w:b/>
          <w:bCs/>
          <w:kern w:val="0"/>
          <w:sz w:val="32"/>
          <w:szCs w:val="32"/>
        </w:rPr>
        <w:t>2.大力支持产业转型升级。</w:t>
      </w:r>
      <w:r>
        <w:rPr>
          <w:rFonts w:ascii="仿宋_GB2312" w:eastAsia="仿宋_GB2312" w:hAnsi="仿宋_GB2312" w:cs="仿宋_GB2312" w:hint="eastAsia"/>
          <w:kern w:val="0"/>
          <w:sz w:val="32"/>
          <w:szCs w:val="32"/>
        </w:rPr>
        <w:t>全县科技支出完成17030万元，增长7.4%。</w:t>
      </w:r>
      <w:r>
        <w:rPr>
          <w:rFonts w:ascii="仿宋_GB2312" w:eastAsia="仿宋_GB2312" w:hAnsi="宋体" w:cs="仿宋_GB2312" w:hint="eastAsia"/>
          <w:kern w:val="0"/>
          <w:sz w:val="32"/>
          <w:szCs w:val="32"/>
        </w:rPr>
        <w:t>筹措资金4635万元，用于2022年度制造业高质量发展专项资金、南阳市科技贴息资金、专精特新小巨人企业等财政奖补；争取省级制造业高质量发展专项资金6211万元，推动仲景宛西制药股份有限公司年产200万盒天智颗粒生产线技术升级改造等7个项目建设；统筹资金2178万元，支持众德公司涡轮增压总成研发及产业化、西排公司年产200万支高端汽车关键零部件智能制造、仲景食品香菇酱鲜味成分优化研究与生产技术改造、飞龙特铸年产200万支涡轮增压器壳体技术改造、宛药公司中药配方颗粒生产线技术升级改造、飞龙汽车部件国家技术创新示范企业等重点工业项目建设。有力支持了企业的转型升级，为企业增效、财政增收奠定了基础。</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3.全力保障重大项目建设。</w:t>
      </w:r>
      <w:r>
        <w:rPr>
          <w:rFonts w:ascii="仿宋_GB2312" w:eastAsia="仿宋_GB2312" w:hAnsi="仿宋_GB2312" w:cs="仿宋_GB2312" w:hint="eastAsia"/>
          <w:kern w:val="0"/>
          <w:sz w:val="32"/>
          <w:szCs w:val="32"/>
        </w:rPr>
        <w:t>统筹资金26500万元，重点扶持G345线、农村公路、干线公路、水毁桥梁、农村公交</w:t>
      </w:r>
      <w:r>
        <w:rPr>
          <w:rFonts w:ascii="仿宋_GB2312" w:eastAsia="仿宋_GB2312" w:hAnsi="宋体" w:cs="仿宋_GB2312" w:hint="eastAsia"/>
          <w:kern w:val="0"/>
          <w:sz w:val="32"/>
          <w:szCs w:val="32"/>
        </w:rPr>
        <w:t>等重点项目建设，</w:t>
      </w:r>
      <w:r>
        <w:rPr>
          <w:rFonts w:ascii="仿宋_GB2312" w:eastAsia="仿宋_GB2312" w:hAnsi="仿宋_GB2312" w:cs="仿宋_GB2312" w:hint="eastAsia"/>
          <w:kern w:val="0"/>
          <w:sz w:val="32"/>
          <w:szCs w:val="32"/>
        </w:rPr>
        <w:t>推进县域内公共服务均等化全民共享改革红利。规范发展、阳光运行政府和社会资本合作模式（PPP），引导社会资本参与市政设施重大项目投资运营。2022年，财政</w:t>
      </w:r>
      <w:r>
        <w:rPr>
          <w:rFonts w:ascii="仿宋_GB2312" w:eastAsia="仿宋_GB2312" w:hAnsi="宋体" w:cs="仿宋_GB2312" w:hint="eastAsia"/>
          <w:kern w:val="0"/>
          <w:sz w:val="32"/>
          <w:szCs w:val="32"/>
        </w:rPr>
        <w:t>统筹资金71000万元，支持推进城市道路和G312线西峡内乡界至丁河段公路新建工程</w:t>
      </w:r>
      <w:r>
        <w:rPr>
          <w:rFonts w:ascii="仿宋_GB2312" w:eastAsia="仿宋_GB2312" w:hAnsi="宋体" w:cs="仿宋_GB2312" w:hint="eastAsia"/>
          <w:kern w:val="0"/>
          <w:sz w:val="32"/>
          <w:szCs w:val="32"/>
        </w:rPr>
        <w:lastRenderedPageBreak/>
        <w:t>项目建设，</w:t>
      </w:r>
      <w:r>
        <w:rPr>
          <w:rFonts w:ascii="仿宋_GB2312" w:eastAsia="仿宋_GB2312" w:hAnsi="宋体" w:cs="仿宋_GB2312"/>
          <w:kern w:val="0"/>
          <w:sz w:val="32"/>
          <w:szCs w:val="32"/>
        </w:rPr>
        <w:t>已</w:t>
      </w:r>
      <w:r>
        <w:rPr>
          <w:rFonts w:ascii="仿宋_GB2312" w:eastAsia="仿宋_GB2312" w:hAnsi="宋体" w:cs="仿宋_GB2312" w:hint="eastAsia"/>
          <w:kern w:val="0"/>
          <w:sz w:val="32"/>
          <w:szCs w:val="32"/>
        </w:rPr>
        <w:t>完成14条道路的提升改造。</w:t>
      </w:r>
      <w:r>
        <w:rPr>
          <w:rFonts w:ascii="仿宋_GB2312" w:eastAsia="仿宋_GB2312" w:hAnsi="仿宋" w:cs="仿宋" w:hint="eastAsia"/>
          <w:kern w:val="0"/>
          <w:sz w:val="32"/>
          <w:szCs w:val="32"/>
        </w:rPr>
        <w:t>争取政府债券资金140631万元，有力支持了中医院迁建、智能制造装备产业园、新材料综合提升产业园等重点产业园基础设施和教育医疗项目顺利运行，2023年政府债券申报工作正在稳步推进。</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4.持续加大民生投入力度。全面落实就业优先政策。</w:t>
      </w:r>
      <w:r>
        <w:rPr>
          <w:rFonts w:ascii="仿宋_GB2312" w:eastAsia="仿宋_GB2312" w:hAnsi="宋体" w:cs="仿宋_GB2312" w:hint="eastAsia"/>
          <w:kern w:val="0"/>
          <w:sz w:val="32"/>
          <w:szCs w:val="32"/>
        </w:rPr>
        <w:t>全县社会保障与就业支出64943</w:t>
      </w:r>
      <w:r>
        <w:rPr>
          <w:rFonts w:ascii="仿宋_GB2312" w:eastAsia="仿宋_GB2312" w:hAnsi="仿宋" w:hint="eastAsia"/>
          <w:kern w:val="0"/>
          <w:sz w:val="32"/>
          <w:szCs w:val="32"/>
        </w:rPr>
        <w:t>万</w:t>
      </w:r>
      <w:r>
        <w:rPr>
          <w:rFonts w:ascii="仿宋_GB2312" w:eastAsia="仿宋_GB2312" w:hAnsi="宋体" w:cs="仿宋_GB2312" w:hint="eastAsia"/>
          <w:kern w:val="0"/>
          <w:sz w:val="32"/>
          <w:szCs w:val="32"/>
        </w:rPr>
        <w:t>元，增长0.6</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。其中：财政对城乡居民养老保险补助9993万元；财政对机关事业单位养老保险收支缺口补助13514万元；统筹资金11226万元，确保城乡低保对象等困难群众及残疾人等特殊群体基本生活得到有效保障。</w:t>
      </w:r>
      <w:r>
        <w:rPr>
          <w:rFonts w:ascii="仿宋_GB2312" w:eastAsia="仿宋_GB2312" w:hAnsi="宋体" w:cs="仿宋_GB2312" w:hint="eastAsia"/>
          <w:b/>
          <w:bCs/>
          <w:kern w:val="0"/>
          <w:sz w:val="32"/>
          <w:szCs w:val="32"/>
        </w:rPr>
        <w:t>推动教育公平和高质量发展。</w:t>
      </w:r>
      <w:r>
        <w:rPr>
          <w:rFonts w:ascii="仿宋_GB2312" w:eastAsia="仿宋_GB2312" w:hAnsi="宋体" w:cs="仿宋_GB2312" w:hint="eastAsia"/>
          <w:kern w:val="0"/>
          <w:sz w:val="32"/>
          <w:szCs w:val="32"/>
        </w:rPr>
        <w:t>全县教育支出141891</w:t>
      </w:r>
      <w:r>
        <w:rPr>
          <w:rFonts w:ascii="仿宋_GB2312" w:eastAsia="仿宋_GB2312" w:hAnsi="仿宋" w:hint="eastAsia"/>
          <w:kern w:val="0"/>
          <w:sz w:val="32"/>
          <w:szCs w:val="32"/>
        </w:rPr>
        <w:t>万</w:t>
      </w:r>
      <w:r>
        <w:rPr>
          <w:rFonts w:ascii="仿宋_GB2312" w:eastAsia="仿宋_GB2312" w:hAnsi="宋体" w:cs="仿宋_GB2312" w:hint="eastAsia"/>
          <w:kern w:val="0"/>
          <w:sz w:val="32"/>
          <w:szCs w:val="32"/>
        </w:rPr>
        <w:t>元，增长12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其中：统筹资金4800万元，落实全县6196名教师义务教育阶段乡镇教师生活补助、班主任津贴、地方教龄津贴，切实保障乡村教师待遇。统筹资金8120万元，用于全县300所义务教育阶段学校生均公用经费，促进教育基本公共服务均等化；统筹资金1638万元，用于义务教育薄弱环节改善与能力提升；统筹资金4120万元，为学前教育阶段、义务教育阶段、高中阶段、职业教育阶段家庭经济困难学生提供了良好的学习环境。</w:t>
      </w:r>
      <w:r>
        <w:rPr>
          <w:rFonts w:ascii="仿宋_GB2312" w:eastAsia="仿宋_GB2312" w:hAnsi="宋体" w:cs="仿宋_GB2312" w:hint="eastAsia"/>
          <w:b/>
          <w:bCs/>
          <w:kern w:val="0"/>
          <w:sz w:val="32"/>
          <w:szCs w:val="32"/>
        </w:rPr>
        <w:t>支持完善公共卫生体系建设。</w:t>
      </w:r>
      <w:r>
        <w:rPr>
          <w:rFonts w:ascii="仿宋_GB2312" w:eastAsia="仿宋_GB2312" w:hAnsi="宋体" w:cs="仿宋_GB2312" w:hint="eastAsia"/>
          <w:kern w:val="0"/>
          <w:sz w:val="32"/>
          <w:szCs w:val="32"/>
        </w:rPr>
        <w:t>全县卫生健康支出48496</w:t>
      </w:r>
      <w:r>
        <w:rPr>
          <w:rFonts w:ascii="仿宋_GB2312" w:eastAsia="仿宋_GB2312" w:hAnsi="仿宋" w:hint="eastAsia"/>
          <w:kern w:val="0"/>
          <w:sz w:val="32"/>
          <w:szCs w:val="32"/>
        </w:rPr>
        <w:t>万</w:t>
      </w:r>
      <w:r>
        <w:rPr>
          <w:rFonts w:ascii="仿宋_GB2312" w:eastAsia="仿宋_GB2312" w:hAnsi="宋体" w:cs="仿宋_GB2312" w:hint="eastAsia"/>
          <w:kern w:val="0"/>
          <w:sz w:val="32"/>
          <w:szCs w:val="32"/>
        </w:rPr>
        <w:t>元，增长0.8</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其中：城乡居民医疗保险年人均财政补助标准从580元提高到610元；基本公共卫生服务资金人均经费标准从79元提高到84元。筹措8280万元，用于新冠肺炎检测费、隔离观察和防疫物资采购，支持常态化疫情防控工作；安排4250万元，支持公立医院综合改革、加强医疗服务与保障能力建设，15家乡镇卫生院通过了上级标准化达标验收，提升了服务基层能力。</w:t>
      </w:r>
      <w:r>
        <w:rPr>
          <w:rFonts w:ascii="仿宋_GB2312" w:eastAsia="仿宋_GB2312" w:hAnsi="宋体" w:cs="仿宋_GB2312" w:hint="eastAsia"/>
          <w:b/>
          <w:bCs/>
          <w:kern w:val="0"/>
          <w:sz w:val="32"/>
          <w:szCs w:val="32"/>
        </w:rPr>
        <w:t>支持完善公共文化服务体系。</w:t>
      </w:r>
      <w:r>
        <w:rPr>
          <w:rFonts w:ascii="仿宋_GB2312" w:eastAsia="仿宋_GB2312" w:hAnsi="宋体" w:cs="仿宋_GB2312" w:hint="eastAsia"/>
          <w:kern w:val="0"/>
          <w:sz w:val="32"/>
          <w:szCs w:val="32"/>
        </w:rPr>
        <w:t>全县文化旅游体</w:t>
      </w:r>
      <w:r>
        <w:rPr>
          <w:rFonts w:ascii="仿宋_GB2312" w:eastAsia="仿宋_GB2312" w:hAnsi="宋体" w:cs="仿宋_GB2312" w:hint="eastAsia"/>
          <w:kern w:val="0"/>
          <w:sz w:val="32"/>
          <w:szCs w:val="32"/>
        </w:rPr>
        <w:lastRenderedPageBreak/>
        <w:t>育与传媒支出1398</w:t>
      </w:r>
      <w:r>
        <w:rPr>
          <w:rFonts w:ascii="仿宋_GB2312" w:eastAsia="仿宋_GB2312" w:hAnsi="仿宋" w:hint="eastAsia"/>
          <w:kern w:val="0"/>
          <w:sz w:val="32"/>
          <w:szCs w:val="32"/>
        </w:rPr>
        <w:t>万</w:t>
      </w:r>
      <w:r>
        <w:rPr>
          <w:rFonts w:ascii="仿宋_GB2312" w:eastAsia="仿宋_GB2312" w:hAnsi="宋体" w:cs="仿宋_GB2312" w:hint="eastAsia"/>
          <w:kern w:val="0"/>
          <w:sz w:val="32"/>
          <w:szCs w:val="32"/>
        </w:rPr>
        <w:t>元，增长13.8</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。保障文化艺术奖励基金、艺术团政府采购服务费用、文物保护、科学技术奖励、科学创新、科普活动及科技馆免费开放，倾力为我县的文化旅游科技事业保驾护航。</w:t>
      </w:r>
      <w:r>
        <w:rPr>
          <w:rFonts w:ascii="仿宋_GB2312" w:eastAsia="仿宋_GB2312" w:hAnsi="宋体" w:cs="仿宋_GB2312" w:hint="eastAsia"/>
          <w:b/>
          <w:bCs/>
          <w:kern w:val="0"/>
          <w:sz w:val="32"/>
          <w:szCs w:val="32"/>
        </w:rPr>
        <w:t>推动平安西峡建设。</w:t>
      </w:r>
      <w:r>
        <w:rPr>
          <w:rFonts w:ascii="仿宋_GB2312" w:eastAsia="仿宋_GB2312" w:hAnsi="宋体" w:cs="仿宋_GB2312" w:hint="eastAsia"/>
          <w:kern w:val="0"/>
          <w:sz w:val="32"/>
          <w:szCs w:val="32"/>
        </w:rPr>
        <w:t>全县公共安全支出</w:t>
      </w:r>
      <w:r>
        <w:rPr>
          <w:rFonts w:ascii="仿宋_GB2312" w:eastAsia="仿宋_GB2312" w:hAnsi="仿宋" w:hint="eastAsia"/>
          <w:kern w:val="0"/>
          <w:sz w:val="32"/>
          <w:szCs w:val="32"/>
        </w:rPr>
        <w:t>10676万</w:t>
      </w:r>
      <w:r>
        <w:rPr>
          <w:rFonts w:ascii="仿宋_GB2312" w:eastAsia="仿宋_GB2312" w:hAnsi="宋体" w:cs="仿宋_GB2312" w:hint="eastAsia"/>
          <w:kern w:val="0"/>
          <w:sz w:val="32"/>
          <w:szCs w:val="32"/>
        </w:rPr>
        <w:t>元，增长1.7</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支持法治政府建设、严重精神病患者救助、保险及有奖看护、国家司法救助、社区矫正、法律援助、民事调解、村居法律顾问、雪亮工程运行维护和政法队伍优化，不断提升政法部门服务大局的能力水平，有力推动平安西峡建设。</w:t>
      </w:r>
      <w:r>
        <w:rPr>
          <w:rFonts w:ascii="仿宋_GB2312" w:eastAsia="仿宋_GB2312" w:hAnsi="宋体" w:cs="仿宋_GB2312" w:hint="eastAsia"/>
          <w:b/>
          <w:bCs/>
          <w:kern w:val="0"/>
          <w:sz w:val="32"/>
          <w:szCs w:val="32"/>
        </w:rPr>
        <w:t>加强生态环境保护。</w:t>
      </w:r>
      <w:r>
        <w:rPr>
          <w:rFonts w:ascii="仿宋_GB2312" w:eastAsia="仿宋_GB2312" w:hAnsi="宋体" w:cs="仿宋_GB2312" w:hint="eastAsia"/>
          <w:kern w:val="0"/>
          <w:sz w:val="32"/>
          <w:szCs w:val="32"/>
        </w:rPr>
        <w:t>全县节能环保支出40470万元，增长6.3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，重点支持打好蓝天、碧水、净土保卫战，推动碳达峰、碳中和有序开展。其中：安排资金</w:t>
      </w:r>
      <w:r>
        <w:rPr>
          <w:rFonts w:ascii="仿宋_GB2312" w:eastAsia="仿宋_GB2312" w:hAnsi="仿宋_GB2312" w:cs="仿宋_GB2312" w:hint="eastAsia"/>
          <w:kern w:val="0"/>
          <w:sz w:val="32"/>
          <w:szCs w:val="32"/>
        </w:rPr>
        <w:t>5460万元，加大对鹳河锑污染防治、汉冶钢厂防尘改造等一大批环保项目实施，助推了我县环境生态工作快速发展；城市综合治理建设资金10500万元，重点扶持县城及周围6个乡镇河道、污水管网、自来水管道、森林生态、生物多样保护和修复；</w:t>
      </w:r>
      <w:r>
        <w:rPr>
          <w:rFonts w:ascii="仿宋_GB2312" w:eastAsia="仿宋_GB2312" w:hAnsi="宋体" w:cs="仿宋_GB2312" w:hint="eastAsia"/>
          <w:kern w:val="0"/>
          <w:sz w:val="32"/>
          <w:szCs w:val="32"/>
        </w:rPr>
        <w:t>筹措</w:t>
      </w:r>
      <w:r>
        <w:rPr>
          <w:rFonts w:ascii="仿宋_GB2312" w:eastAsia="仿宋_GB2312" w:hAnsi="仿宋_GB2312" w:cs="仿宋_GB2312" w:hint="eastAsia"/>
          <w:kern w:val="0"/>
          <w:sz w:val="32"/>
          <w:szCs w:val="32"/>
        </w:rPr>
        <w:t>资金9259万元，保障城区及乡镇垃圾处理场和污水处理场的正常运行</w:t>
      </w:r>
      <w:r>
        <w:rPr>
          <w:rFonts w:ascii="仿宋_GB2312" w:eastAsia="仿宋_GB2312" w:hAnsi="宋体" w:cs="仿宋_GB2312" w:hint="eastAsia"/>
          <w:kern w:val="0"/>
          <w:sz w:val="32"/>
          <w:szCs w:val="32"/>
        </w:rPr>
        <w:t>；筹措</w:t>
      </w:r>
      <w:r>
        <w:rPr>
          <w:rFonts w:ascii="仿宋_GB2312" w:eastAsia="仿宋_GB2312" w:hAnsi="仿宋_GB2312" w:cs="仿宋_GB2312" w:hint="eastAsia"/>
          <w:kern w:val="0"/>
          <w:sz w:val="32"/>
          <w:szCs w:val="32"/>
        </w:rPr>
        <w:t>资金4300万元，用于城区清扫、保洁、公厕及垃圾中转站运行、垃圾清运，提升城区环境质量。</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宋体" w:cs="仿宋_GB2312"/>
          <w:b/>
          <w:bCs/>
          <w:kern w:val="0"/>
          <w:sz w:val="32"/>
          <w:szCs w:val="32"/>
        </w:rPr>
      </w:pPr>
      <w:r>
        <w:rPr>
          <w:rFonts w:ascii="仿宋_GB2312" w:eastAsia="仿宋_GB2312" w:hAnsi="仿宋_GB2312" w:cs="仿宋_GB2312" w:hint="eastAsia"/>
          <w:b/>
          <w:bCs/>
          <w:kern w:val="0"/>
          <w:sz w:val="32"/>
          <w:szCs w:val="32"/>
        </w:rPr>
        <w:t>5.助推乡村全面发展。</w:t>
      </w:r>
      <w:r>
        <w:rPr>
          <w:rFonts w:ascii="仿宋_GB2312" w:eastAsia="仿宋_GB2312" w:hAnsi="宋体" w:cs="仿宋_GB2312"/>
          <w:kern w:val="0"/>
          <w:sz w:val="32"/>
          <w:szCs w:val="32"/>
        </w:rPr>
        <w:t>全</w:t>
      </w:r>
      <w:r>
        <w:rPr>
          <w:rFonts w:ascii="仿宋_GB2312" w:eastAsia="仿宋_GB2312" w:hAnsi="宋体" w:cs="仿宋_GB2312" w:hint="eastAsia"/>
          <w:kern w:val="0"/>
          <w:sz w:val="32"/>
          <w:szCs w:val="32"/>
        </w:rPr>
        <w:t>县</w:t>
      </w:r>
      <w:r>
        <w:rPr>
          <w:rFonts w:ascii="仿宋_GB2312" w:eastAsia="仿宋_GB2312" w:hAnsi="宋体" w:cs="仿宋_GB2312"/>
          <w:kern w:val="0"/>
          <w:sz w:val="32"/>
          <w:szCs w:val="32"/>
        </w:rPr>
        <w:t>农林水支出</w:t>
      </w:r>
      <w:r>
        <w:rPr>
          <w:rFonts w:ascii="仿宋_GB2312" w:eastAsia="仿宋_GB2312" w:hAnsi="宋体" w:cs="仿宋_GB2312" w:hint="eastAsia"/>
          <w:kern w:val="0"/>
          <w:sz w:val="32"/>
          <w:szCs w:val="32"/>
        </w:rPr>
        <w:t>65183万</w:t>
      </w:r>
      <w:r>
        <w:rPr>
          <w:rFonts w:ascii="仿宋_GB2312" w:eastAsia="仿宋_GB2312" w:hAnsi="宋体" w:cs="仿宋_GB2312"/>
          <w:kern w:val="0"/>
          <w:sz w:val="32"/>
          <w:szCs w:val="32"/>
        </w:rPr>
        <w:t>元，</w:t>
      </w:r>
      <w:r>
        <w:rPr>
          <w:rFonts w:ascii="仿宋_GB2312" w:eastAsia="仿宋_GB2312" w:hAnsi="宋体" w:cs="仿宋_GB2312" w:hint="eastAsia"/>
          <w:kern w:val="0"/>
          <w:sz w:val="32"/>
          <w:szCs w:val="32"/>
        </w:rPr>
        <w:t>增长12%。集中财力重点支持乡村振兴战略实施。争取支农资金36254万元，为三农和乡村振兴工作提供了坚实保障。筹措衔接推进乡村振兴补助资金9618万元，其中县本级安排资金2750万元，实施脱贫项目160个，优先保证了到户产业奖补、雨露计划等项目实施，促进农业增产增效和农民增收，全力支持巩固拓展脱贫攻坚成果与乡村振兴有效衔接。落实惠农政策性补贴8大类、补贴资金8659</w:t>
      </w:r>
      <w:r>
        <w:rPr>
          <w:rFonts w:ascii="仿宋_GB2312" w:eastAsia="仿宋_GB2312" w:hAnsi="宋体" w:cs="仿宋_GB2312" w:hint="eastAsia"/>
          <w:kern w:val="0"/>
          <w:sz w:val="32"/>
          <w:szCs w:val="32"/>
        </w:rPr>
        <w:lastRenderedPageBreak/>
        <w:t>万元，支持农田水利基础设施建设，巩固提高农业综合生产能力。争取美丽乡村项目9个，村级集体经济项目9个，农村公益事业项目40个，到位资金</w:t>
      </w:r>
      <w:r>
        <w:rPr>
          <w:rFonts w:ascii="仿宋_GB2312" w:eastAsia="仿宋_GB2312" w:hAnsi="黑体" w:hint="eastAsia"/>
          <w:kern w:val="0"/>
          <w:sz w:val="32"/>
          <w:szCs w:val="32"/>
        </w:rPr>
        <w:t>3512</w:t>
      </w:r>
      <w:r>
        <w:rPr>
          <w:rFonts w:ascii="仿宋_GB2312" w:eastAsia="仿宋_GB2312" w:hAnsi="宋体" w:cs="仿宋_GB2312" w:hint="eastAsia"/>
          <w:kern w:val="0"/>
          <w:sz w:val="32"/>
          <w:szCs w:val="32"/>
        </w:rPr>
        <w:t>万元，涵盖16个乡镇、56个村组，收益人口达5.3万余人。发放信贷资金11905万元，支持349个新型农业经营主体贷款，有力支持了我县菌果药特色产业和食用菌“双改”工作的推进。全面实施小麦、玉米完全成本保险。全年拨付财政保费补贴949万元，小麦参保面积4.46万亩，玉米投保面积4.95万亩，猕猴桃投保面积2.86万亩，食用菌投保5777万袋，为猕猴桃、香菇等特色种植农户减损保收发挥了重要作用。</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6.规范财政资金管理使用。</w:t>
      </w:r>
      <w:r>
        <w:rPr>
          <w:rFonts w:ascii="仿宋_GB2312" w:eastAsia="仿宋_GB2312" w:hAnsi="宋体" w:cs="仿宋_GB2312" w:hint="eastAsia"/>
          <w:kern w:val="0"/>
          <w:sz w:val="32"/>
          <w:szCs w:val="32"/>
        </w:rPr>
        <w:t>上级共下达我县各类直达资金90457万元，支付进度</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通过强化资金监督检查、积极开展财政绩效评价、加强政府采购全程监管、加大财政投资评审力度等措施，有力促进了财政资金的安全规范高效使用。全年通过惠民惠农财政补贴资金“一卡通”系统成功发放各类补贴资金18884万元，惠及70万人次。检查资金总量3000万元，有效促进财政资金规范使用。政府采购规模达</w:t>
      </w:r>
      <w:r>
        <w:rPr>
          <w:rFonts w:ascii="仿宋_GB2312" w:eastAsia="仿宋_GB2312" w:hAnsi="仿宋" w:cs="仿宋" w:hint="eastAsia"/>
          <w:kern w:val="0"/>
          <w:sz w:val="32"/>
          <w:szCs w:val="32"/>
        </w:rPr>
        <w:t>64600万元，节约资金7000万元，资金节约率10.8%</w:t>
      </w:r>
      <w:r>
        <w:rPr>
          <w:rFonts w:ascii="仿宋_GB2312" w:eastAsia="仿宋_GB2312" w:hAnsi="宋体" w:cs="仿宋_GB2312" w:hint="eastAsia"/>
          <w:kern w:val="0"/>
          <w:sz w:val="32"/>
          <w:szCs w:val="32"/>
        </w:rPr>
        <w:t>；财政投资评审总额110600万元，审减金额12700万元，审减率达11.5%。为缓解疫情对财政收支造成的压力，狠抓资金统筹调度，一方面认真开展涉税信息采集和对比分析，上报信息19400余条，通过综合治税实现增收12500万元；另一方面积极向上争取转移支付资金236900万元</w:t>
      </w:r>
      <w:r>
        <w:rPr>
          <w:rFonts w:ascii="仿宋_GB2312" w:eastAsia="仿宋_GB2312" w:hint="eastAsia"/>
          <w:kern w:val="0"/>
          <w:sz w:val="32"/>
          <w:szCs w:val="32"/>
        </w:rPr>
        <w:t>。同时，盘活存量资金</w:t>
      </w:r>
      <w:r>
        <w:rPr>
          <w:rStyle w:val="NormalCharacter"/>
          <w:rFonts w:ascii="仿宋_GB2312" w:eastAsia="仿宋_GB2312" w:hAnsi="仿宋" w:cs="仿宋" w:hint="eastAsia"/>
          <w:kern w:val="0"/>
          <w:sz w:val="32"/>
          <w:szCs w:val="32"/>
        </w:rPr>
        <w:t>14500万元，</w:t>
      </w:r>
      <w:r>
        <w:rPr>
          <w:rFonts w:ascii="仿宋_GB2312" w:eastAsia="仿宋_GB2312" w:hAnsi="宋体" w:cs="仿宋_GB2312" w:hint="eastAsia"/>
          <w:kern w:val="0"/>
          <w:sz w:val="32"/>
          <w:szCs w:val="32"/>
        </w:rPr>
        <w:t>统筹用于民生事业发展。</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宋体" w:cs="仿宋_GB2312"/>
          <w:kern w:val="0"/>
          <w:sz w:val="32"/>
          <w:szCs w:val="32"/>
        </w:rPr>
      </w:pPr>
      <w:r>
        <w:rPr>
          <w:rFonts w:ascii="仿宋_GB2312" w:eastAsia="仿宋_GB2312" w:hAnsi="仿宋_GB2312" w:cs="仿宋_GB2312" w:hint="eastAsia"/>
          <w:b/>
          <w:bCs/>
          <w:kern w:val="0"/>
          <w:sz w:val="32"/>
          <w:szCs w:val="32"/>
        </w:rPr>
        <w:t>7.深入推进财政体制改革。</w:t>
      </w:r>
      <w:r>
        <w:rPr>
          <w:rFonts w:ascii="仿宋_GB2312" w:eastAsia="仿宋_GB2312" w:hAnsi="宋体" w:cs="仿宋_GB2312" w:hint="eastAsia"/>
          <w:kern w:val="0"/>
          <w:sz w:val="32"/>
          <w:szCs w:val="32"/>
        </w:rPr>
        <w:t>严格落实《预算法》和《河南省预算审查监督条例》,按时向人大报告预算执行、预算调整、国</w:t>
      </w:r>
      <w:r>
        <w:rPr>
          <w:rFonts w:ascii="仿宋_GB2312" w:eastAsia="仿宋_GB2312" w:hAnsi="宋体" w:cs="仿宋_GB2312" w:hint="eastAsia"/>
          <w:kern w:val="0"/>
          <w:sz w:val="32"/>
          <w:szCs w:val="32"/>
        </w:rPr>
        <w:lastRenderedPageBreak/>
        <w:t>有资产管理等工作情况，主动接受人大全口径、全过程、全方位监督。同时扎实做好预决算公开，认真完成人大审议意见和审计建议的整改，依法理财、科学理财能力不断提高。全面落实省直管县财政体制改革，圆满完成财政体制改革收入类基数和共同财政事权支出类基数核定划转，保障预算管理一体化系统平稳运行。持续推进预算管理制度改革，坚持先有预算后有支出，坚决禁止超预算、无预算安排支出，进一步强化预算约束力。按照事前绩效把关评估、事中绩效跟踪运行、事后绩效结果反馈的思路，建立了全方位、全过程、全覆盖的预算绩效闭环管理体系，全面实行预算绩效管理。将县级112个预算部门纳入绩效运行监控范围，涵盖项目234个，涉及资金70233万元，实现部门整体、项目绩效运行监控全覆盖。对乡村振兴等5个项目资金开展绩效评价，完善了公共安全类、教育类等15类不同领域绩效指标体系，推动提高收入质量和财政资源配置效率，增强财政可持续性，保障我县重点工程和重点项目有序开展。扎实推进财政电子票据改革，全县160多个单位已实现了“电子开票、自动核销、全程跟踪、源头控制”，非税收入征管系统单位使用率和上线率达到100%，实现了非税收入全领域电子化收缴。落实国有资产报告制度，向县人大报告2021年国有资产管理综合情况和2021年度自然资源类国有资产管理专项情况，不断推动国有资产改革的规范化、科学化。</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今年以来，县审计局对2022年的县级预算执行情况进行了认真审计，提出了很好的意见和建议，部分问题已经立行立改，并将长期坚持。对于还未整改到位的问题，我们将高度重视，通过</w:t>
      </w:r>
      <w:r>
        <w:rPr>
          <w:rFonts w:ascii="仿宋_GB2312" w:eastAsia="仿宋_GB2312" w:hAnsi="宋体" w:cs="仿宋_GB2312" w:hint="eastAsia"/>
          <w:kern w:val="0"/>
          <w:sz w:val="32"/>
          <w:szCs w:val="32"/>
        </w:rPr>
        <w:lastRenderedPageBreak/>
        <w:t>完善制度、加强管理、深化改革、创新机制等措施综合施策，积极稳妥地逐步统筹解决。</w:t>
      </w:r>
    </w:p>
    <w:p w:rsidR="00BA1488" w:rsidRDefault="00155CF7">
      <w:pPr>
        <w:overflowPunct w:val="0"/>
        <w:autoSpaceDE w:val="0"/>
        <w:autoSpaceDN w:val="0"/>
        <w:adjustRightInd w:val="0"/>
        <w:snapToGrid w:val="0"/>
        <w:spacing w:line="560" w:lineRule="exact"/>
        <w:ind w:firstLineChars="200" w:firstLine="640"/>
        <w:outlineLvl w:val="0"/>
        <w:rPr>
          <w:rFonts w:ascii="仿宋_GB2312" w:eastAsia="仿宋_GB2312"/>
          <w:kern w:val="0"/>
          <w:sz w:val="32"/>
          <w:szCs w:val="32"/>
        </w:rPr>
      </w:pPr>
      <w:r>
        <w:rPr>
          <w:rFonts w:ascii="黑体" w:eastAsia="黑体" w:hint="eastAsia"/>
          <w:bCs/>
          <w:kern w:val="0"/>
          <w:sz w:val="32"/>
          <w:szCs w:val="32"/>
        </w:rPr>
        <w:t>二、2023年上半年财政预算执行情况</w:t>
      </w:r>
    </w:p>
    <w:p w:rsidR="00BA1488" w:rsidRDefault="00155CF7">
      <w:pPr>
        <w:overflowPunct w:val="0"/>
        <w:autoSpaceDE w:val="0"/>
        <w:autoSpaceDN w:val="0"/>
        <w:adjustRightInd w:val="0"/>
        <w:snapToGrid w:val="0"/>
        <w:spacing w:line="560" w:lineRule="exact"/>
        <w:ind w:firstLineChars="200" w:firstLine="640"/>
        <w:rPr>
          <w:rFonts w:ascii="楷体_GB2312" w:eastAsia="楷体_GB2312"/>
          <w:b/>
          <w:kern w:val="0"/>
          <w:sz w:val="32"/>
          <w:szCs w:val="32"/>
        </w:rPr>
      </w:pPr>
      <w:r>
        <w:rPr>
          <w:rFonts w:ascii="仿宋_GB2312" w:eastAsia="仿宋_GB2312" w:hint="eastAsia"/>
          <w:kern w:val="0"/>
          <w:sz w:val="32"/>
          <w:szCs w:val="32"/>
        </w:rPr>
        <w:t>今年以来，在县委、县政府的正确领导下，在县人大和县政协的关心支持下，财政部门深入贯彻县委经济工作会议精神，围绕中心工作，聚焦落实稳住经济一揽子政策措施，着力实施保市场主体、保就业、保民生等财政政策，推动经济高质量发展。</w:t>
      </w:r>
    </w:p>
    <w:p w:rsidR="00BA1488" w:rsidRDefault="00155CF7">
      <w:pPr>
        <w:overflowPunct w:val="0"/>
        <w:autoSpaceDE w:val="0"/>
        <w:autoSpaceDN w:val="0"/>
        <w:adjustRightInd w:val="0"/>
        <w:snapToGrid w:val="0"/>
        <w:spacing w:line="560" w:lineRule="exact"/>
        <w:ind w:firstLineChars="200" w:firstLine="643"/>
        <w:outlineLvl w:val="1"/>
        <w:rPr>
          <w:rFonts w:ascii="楷体_GB2312" w:eastAsia="楷体_GB2312"/>
          <w:b/>
          <w:kern w:val="0"/>
          <w:sz w:val="32"/>
          <w:szCs w:val="32"/>
        </w:rPr>
      </w:pPr>
      <w:r>
        <w:rPr>
          <w:rFonts w:ascii="楷体_GB2312" w:eastAsia="楷体_GB2312" w:hint="eastAsia"/>
          <w:b/>
          <w:kern w:val="0"/>
          <w:sz w:val="32"/>
          <w:szCs w:val="32"/>
        </w:rPr>
        <w:t>（一）2023年上半年预算执行情况</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1. 一般公共预算执行情况。（1）一般公共预算收入。</w:t>
      </w:r>
      <w:r>
        <w:rPr>
          <w:rFonts w:ascii="仿宋_GB2312" w:eastAsia="仿宋_GB2312" w:hint="eastAsia"/>
          <w:kern w:val="0"/>
          <w:sz w:val="32"/>
          <w:szCs w:val="32"/>
        </w:rPr>
        <w:t>上半年，全县一般公共预算收入完成</w:t>
      </w:r>
      <w:r>
        <w:rPr>
          <w:rFonts w:ascii="仿宋_GB2312" w:eastAsia="仿宋_GB2312" w:hAnsi="宋体" w:cs="宋体" w:hint="eastAsia"/>
          <w:kern w:val="0"/>
          <w:sz w:val="32"/>
          <w:szCs w:val="32"/>
        </w:rPr>
        <w:t>139440万元，完成预算进度55.9%，同比增长15.5%，增收34141万元。</w:t>
      </w:r>
      <w:r>
        <w:rPr>
          <w:rFonts w:ascii="仿宋_GB2312" w:eastAsia="仿宋_GB2312" w:hint="eastAsia"/>
          <w:kern w:val="0"/>
          <w:sz w:val="32"/>
          <w:szCs w:val="32"/>
        </w:rPr>
        <w:t>其中，税收收入完成</w:t>
      </w:r>
      <w:r>
        <w:rPr>
          <w:rFonts w:ascii="仿宋_GB2312" w:eastAsia="仿宋_GB2312" w:hAnsi="宋体" w:cs="宋体" w:hint="eastAsia"/>
          <w:kern w:val="0"/>
          <w:sz w:val="32"/>
          <w:szCs w:val="32"/>
        </w:rPr>
        <w:t>94857万元，占年初预算数187010万元的50.7%，同比增长1.3%，增收16580万元，税收比重为68％。</w:t>
      </w:r>
      <w:r>
        <w:rPr>
          <w:rFonts w:ascii="仿宋_GB2312" w:eastAsia="仿宋_GB2312" w:hint="eastAsia"/>
          <w:b/>
          <w:bCs/>
          <w:kern w:val="0"/>
          <w:sz w:val="32"/>
          <w:szCs w:val="32"/>
        </w:rPr>
        <w:t>（2）一般公共预算支出。</w:t>
      </w:r>
      <w:r>
        <w:rPr>
          <w:rFonts w:ascii="仿宋_GB2312" w:eastAsia="仿宋_GB2312" w:hint="eastAsia"/>
          <w:kern w:val="0"/>
          <w:sz w:val="32"/>
          <w:szCs w:val="32"/>
        </w:rPr>
        <w:t>上半年，全县一般公共预算支出325520</w:t>
      </w:r>
      <w:r>
        <w:rPr>
          <w:rFonts w:ascii="仿宋_GB2312" w:eastAsia="仿宋_GB2312" w:hAnsi="仿宋_GB2312" w:cs="仿宋_GB2312" w:hint="eastAsia"/>
          <w:kern w:val="0"/>
          <w:sz w:val="32"/>
          <w:szCs w:val="32"/>
        </w:rPr>
        <w:t>万元,同比增长10.5%。</w:t>
      </w:r>
      <w:r>
        <w:rPr>
          <w:rFonts w:ascii="仿宋_GB2312" w:eastAsia="仿宋_GB2312" w:hAnsi="宋体" w:cs="宋体" w:hint="eastAsia"/>
          <w:kern w:val="0"/>
          <w:sz w:val="32"/>
          <w:szCs w:val="32"/>
        </w:rPr>
        <w:t>其中，</w:t>
      </w:r>
      <w:r>
        <w:rPr>
          <w:rFonts w:ascii="仿宋_GB2312" w:eastAsia="仿宋_GB2312" w:hAnsi="仿宋_GB2312" w:cs="仿宋_GB2312" w:hint="eastAsia"/>
          <w:kern w:val="0"/>
          <w:sz w:val="32"/>
          <w:szCs w:val="32"/>
        </w:rPr>
        <w:t>重点支出分别是教育支出107758万元，社会保障和就业支出60821万元，农林水支出29770万元，卫生健康支出37861万元，一般公共服务支出26889万元，文化旅游支出2002万元。</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2.政府性基金执行情况。</w:t>
      </w:r>
      <w:r>
        <w:rPr>
          <w:rFonts w:ascii="仿宋_GB2312" w:eastAsia="仿宋_GB2312" w:hint="eastAsia"/>
          <w:kern w:val="0"/>
          <w:sz w:val="32"/>
          <w:szCs w:val="32"/>
        </w:rPr>
        <w:t>上半年，政府性基金预算收入完成3380万元，同比下降82.3%，减收20566万元。政府性基金预算支出完成73277万元，同比下降35%，减支39413万元（专项债券较同期减少4.83亿元）。</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3.社会保险基金执行情况。</w:t>
      </w:r>
      <w:r>
        <w:rPr>
          <w:rFonts w:ascii="仿宋_GB2312" w:eastAsia="仿宋_GB2312" w:hint="eastAsia"/>
          <w:kern w:val="0"/>
          <w:sz w:val="32"/>
          <w:szCs w:val="32"/>
        </w:rPr>
        <w:t>上半年，社会保险基金预算收入完成24894万元，同比下降8.4%，减收2305万元；社会保险基金预算支出完成29940万元，同比下降5.2%，减支1650万元。</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lastRenderedPageBreak/>
        <w:t>4.国有资本经营执行情况。</w:t>
      </w:r>
      <w:r>
        <w:rPr>
          <w:rFonts w:ascii="仿宋_GB2312" w:eastAsia="仿宋_GB2312" w:hint="eastAsia"/>
          <w:kern w:val="0"/>
          <w:sz w:val="32"/>
          <w:szCs w:val="32"/>
        </w:rPr>
        <w:t>上半年，国有资本经营补助收入20万元。</w:t>
      </w:r>
    </w:p>
    <w:p w:rsidR="00BA1488" w:rsidRDefault="00155CF7">
      <w:pPr>
        <w:overflowPunct w:val="0"/>
        <w:autoSpaceDE w:val="0"/>
        <w:autoSpaceDN w:val="0"/>
        <w:adjustRightInd w:val="0"/>
        <w:snapToGrid w:val="0"/>
        <w:spacing w:line="560" w:lineRule="exact"/>
        <w:ind w:firstLineChars="200" w:firstLine="643"/>
        <w:outlineLvl w:val="1"/>
        <w:rPr>
          <w:rFonts w:ascii="楷体_GB2312" w:eastAsia="楷体_GB2312"/>
          <w:b/>
          <w:kern w:val="0"/>
          <w:sz w:val="32"/>
          <w:szCs w:val="32"/>
        </w:rPr>
      </w:pPr>
      <w:r>
        <w:rPr>
          <w:rFonts w:ascii="楷体_GB2312" w:eastAsia="楷体_GB2312" w:hint="eastAsia"/>
          <w:b/>
          <w:kern w:val="0"/>
          <w:sz w:val="32"/>
          <w:szCs w:val="32"/>
        </w:rPr>
        <w:t>（二）2023年上半年政府性债务情况</w:t>
      </w:r>
    </w:p>
    <w:p w:rsidR="00BA1488" w:rsidRDefault="00155CF7">
      <w:pPr>
        <w:pStyle w:val="a6"/>
        <w:adjustRightInd w:val="0"/>
        <w:snapToGrid w:val="0"/>
        <w:spacing w:line="560" w:lineRule="exact"/>
        <w:ind w:firstLine="643"/>
        <w:rPr>
          <w:rFonts w:ascii="仿宋_GB2312" w:eastAsia="仿宋_GB2312" w:hAnsi="等线" w:hint="eastAsia"/>
          <w:kern w:val="0"/>
          <w:sz w:val="32"/>
          <w:szCs w:val="32"/>
        </w:rPr>
      </w:pPr>
      <w:r>
        <w:rPr>
          <w:rFonts w:ascii="仿宋_GB2312" w:eastAsia="仿宋_GB2312" w:hAnsi="等线" w:hint="eastAsia"/>
          <w:b/>
          <w:bCs/>
          <w:kern w:val="0"/>
          <w:sz w:val="32"/>
          <w:szCs w:val="32"/>
        </w:rPr>
        <w:t>1.政府债务余额情况。</w:t>
      </w:r>
      <w:r>
        <w:rPr>
          <w:rFonts w:ascii="仿宋_GB2312" w:eastAsia="仿宋_GB2312" w:hAnsi="等线" w:hint="eastAsia"/>
          <w:kern w:val="0"/>
          <w:sz w:val="32"/>
          <w:szCs w:val="32"/>
        </w:rPr>
        <w:t>2023年6月末我县政府债务余额59.47亿元，其中一般债务余额16.29亿元，专项债务余额43.18亿元。</w:t>
      </w:r>
    </w:p>
    <w:p w:rsidR="00BA1488" w:rsidRDefault="00155CF7">
      <w:pPr>
        <w:adjustRightInd w:val="0"/>
        <w:snapToGrid w:val="0"/>
        <w:spacing w:line="56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2.政府债券资金争取及使用情况。</w:t>
      </w:r>
      <w:r>
        <w:rPr>
          <w:rFonts w:ascii="仿宋_GB2312" w:eastAsia="仿宋_GB2312" w:hint="eastAsia"/>
          <w:kern w:val="0"/>
          <w:sz w:val="32"/>
          <w:szCs w:val="32"/>
        </w:rPr>
        <w:t>2023年6月底，省财政厅下达我县2023年新增地方政府债务限额4.43亿元，实际到位新增专项债券资金4.43亿元。主要用于西峡县城区工业大道等4条电力线路改造工程1.2亿元、西峡县白羽路等城区综合管网建设项目1.3亿元、西峡县食用菌智能装备制造中心项目1.7亿元、西峡县直幼儿园东环路分院新建项目0.26亿元。</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b/>
          <w:bCs/>
          <w:kern w:val="0"/>
          <w:sz w:val="32"/>
          <w:szCs w:val="32"/>
          <w:shd w:val="pct10" w:color="auto" w:fill="FFFFFF"/>
        </w:rPr>
      </w:pPr>
      <w:r>
        <w:rPr>
          <w:rFonts w:ascii="仿宋_GB2312" w:eastAsia="仿宋_GB2312" w:hint="eastAsia"/>
          <w:b/>
          <w:bCs/>
          <w:kern w:val="0"/>
          <w:sz w:val="32"/>
          <w:szCs w:val="32"/>
        </w:rPr>
        <w:t>3.到期政府债券资金还款计划。（1）还本情况。</w:t>
      </w:r>
      <w:r>
        <w:rPr>
          <w:rFonts w:ascii="仿宋_GB2312" w:eastAsia="仿宋_GB2312" w:hint="eastAsia"/>
          <w:kern w:val="0"/>
          <w:sz w:val="32"/>
          <w:szCs w:val="32"/>
        </w:rPr>
        <w:t>2023年我县地方政府债券到期还本61380万元。其中，一般债券还本21800万元，专项债券还本39580万元。本级需偿还8970万元，其余通过发行2023年再融资债券资金偿还。</w:t>
      </w:r>
      <w:r>
        <w:rPr>
          <w:rFonts w:ascii="仿宋_GB2312" w:eastAsia="仿宋_GB2312" w:hint="eastAsia"/>
          <w:b/>
          <w:bCs/>
          <w:kern w:val="0"/>
          <w:sz w:val="32"/>
          <w:szCs w:val="32"/>
        </w:rPr>
        <w:t>（2）付息情况。</w:t>
      </w:r>
      <w:r>
        <w:rPr>
          <w:rFonts w:ascii="仿宋_GB2312" w:eastAsia="仿宋_GB2312" w:hint="eastAsia"/>
          <w:kern w:val="0"/>
          <w:sz w:val="32"/>
          <w:szCs w:val="32"/>
        </w:rPr>
        <w:t>2023年我县地方政府债券到期付息18563万元。其中，一般债券付息5395万元，专项债券付息13168万元。已全部纳入2023年财政预算，由地方财力进行偿还。</w:t>
      </w:r>
    </w:p>
    <w:p w:rsidR="00BA1488" w:rsidRDefault="00155CF7">
      <w:pPr>
        <w:overflowPunct w:val="0"/>
        <w:autoSpaceDE w:val="0"/>
        <w:autoSpaceDN w:val="0"/>
        <w:adjustRightInd w:val="0"/>
        <w:snapToGrid w:val="0"/>
        <w:spacing w:line="560" w:lineRule="exact"/>
        <w:ind w:firstLineChars="200" w:firstLine="643"/>
        <w:outlineLvl w:val="1"/>
        <w:rPr>
          <w:rFonts w:ascii="仿宋_GB2312" w:eastAsia="仿宋_GB2312"/>
          <w:b/>
          <w:bCs/>
          <w:kern w:val="0"/>
          <w:sz w:val="32"/>
          <w:szCs w:val="32"/>
        </w:rPr>
      </w:pPr>
      <w:r>
        <w:rPr>
          <w:rFonts w:ascii="楷体_GB2312" w:eastAsia="楷体_GB2312" w:hint="eastAsia"/>
          <w:b/>
          <w:kern w:val="0"/>
          <w:sz w:val="32"/>
          <w:szCs w:val="32"/>
        </w:rPr>
        <w:t>（三）2023年上半年财政预算执行的主要特点</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1.强基础，财政收入稳步提高</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紧紧围绕县委县政府中心工作，贯彻落实稳住经济大盘一揽子措施，聚焦中小微和先进制造业市场主体，扩大减征“六税两费”政策范围等一系列政策。联合税务部门，紧紧围绕年初目标，</w:t>
      </w:r>
      <w:r>
        <w:rPr>
          <w:rFonts w:ascii="仿宋_GB2312" w:eastAsia="仿宋_GB2312" w:hint="eastAsia"/>
          <w:kern w:val="0"/>
          <w:sz w:val="32"/>
          <w:szCs w:val="32"/>
        </w:rPr>
        <w:lastRenderedPageBreak/>
        <w:t>做实做细税收征管工作，扎实开展深入挖掘潜在税源，确保税收收入及时均衡入库。强化非税票据电子化管理，掌握非税收入征管动态，协调解决征管难题，促进非税收入应收尽收。上半年，全县一般公共预算收入完成</w:t>
      </w:r>
      <w:r>
        <w:rPr>
          <w:rFonts w:ascii="仿宋_GB2312" w:eastAsia="仿宋_GB2312" w:hAnsi="仿宋_GB2312" w:cs="仿宋_GB2312" w:hint="eastAsia"/>
          <w:kern w:val="0"/>
          <w:sz w:val="32"/>
          <w:szCs w:val="32"/>
        </w:rPr>
        <w:t>139440万元，排全市第一位；税收总量94857万元，排全市第一位；税收比重为68％，排全市第三位。</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b/>
          <w:bCs/>
          <w:kern w:val="0"/>
          <w:sz w:val="32"/>
          <w:szCs w:val="32"/>
          <w:highlight w:val="yellow"/>
        </w:rPr>
      </w:pPr>
      <w:r>
        <w:rPr>
          <w:rFonts w:ascii="仿宋_GB2312" w:eastAsia="仿宋_GB2312" w:hint="eastAsia"/>
          <w:b/>
          <w:bCs/>
          <w:kern w:val="0"/>
          <w:sz w:val="32"/>
          <w:szCs w:val="32"/>
        </w:rPr>
        <w:t>2.保重点，财政支出持续优化</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上半年，</w:t>
      </w:r>
      <w:r>
        <w:rPr>
          <w:rFonts w:ascii="仿宋" w:eastAsia="仿宋" w:hAnsi="仿宋" w:cs="仿宋_GB2312" w:hint="eastAsia"/>
          <w:kern w:val="0"/>
          <w:sz w:val="32"/>
          <w:szCs w:val="32"/>
        </w:rPr>
        <w:t>全县一般公共预算支出累计支出</w:t>
      </w:r>
      <w:r>
        <w:rPr>
          <w:rFonts w:ascii="仿宋_GB2312" w:eastAsia="仿宋_GB2312" w:hint="eastAsia"/>
          <w:kern w:val="0"/>
          <w:sz w:val="32"/>
          <w:szCs w:val="32"/>
        </w:rPr>
        <w:t>32.55亿</w:t>
      </w:r>
      <w:r>
        <w:rPr>
          <w:rFonts w:ascii="仿宋" w:eastAsia="仿宋" w:hAnsi="仿宋" w:cs="仿宋_GB2312" w:hint="eastAsia"/>
          <w:kern w:val="0"/>
          <w:sz w:val="32"/>
          <w:szCs w:val="32"/>
        </w:rPr>
        <w:t>元，增长</w:t>
      </w:r>
      <w:r>
        <w:rPr>
          <w:rFonts w:ascii="仿宋_GB2312" w:eastAsia="仿宋_GB2312" w:hAnsi="仿宋_GB2312" w:cs="仿宋_GB2312" w:hint="eastAsia"/>
          <w:kern w:val="0"/>
          <w:sz w:val="32"/>
          <w:szCs w:val="32"/>
        </w:rPr>
        <w:t>10%</w:t>
      </w:r>
      <w:r>
        <w:rPr>
          <w:rFonts w:ascii="仿宋" w:eastAsia="仿宋" w:hAnsi="仿宋" w:cs="仿宋_GB2312" w:hint="eastAsia"/>
          <w:kern w:val="0"/>
          <w:sz w:val="32"/>
          <w:szCs w:val="32"/>
        </w:rPr>
        <w:t>。从支出结构看， “六稳”、“六保”等民生支出得到有效保障。</w:t>
      </w:r>
      <w:r>
        <w:rPr>
          <w:rFonts w:ascii="仿宋_GB2312" w:eastAsia="仿宋_GB2312" w:hint="eastAsia"/>
          <w:b/>
          <w:bCs/>
          <w:kern w:val="0"/>
          <w:sz w:val="32"/>
          <w:szCs w:val="32"/>
        </w:rPr>
        <w:t>一是筑实兜牢“三保”底线，落实“三保”优先。</w:t>
      </w:r>
      <w:r>
        <w:rPr>
          <w:rFonts w:ascii="仿宋_GB2312" w:eastAsia="仿宋_GB2312" w:hint="eastAsia"/>
          <w:kern w:val="0"/>
          <w:sz w:val="32"/>
          <w:szCs w:val="32"/>
        </w:rPr>
        <w:t>坚持“三保”支出在预算安排、预算执行和库款拨付等方面的优先顺序，上半年，累计安排“三保”支出29.94亿元，占总支出的92%。其中保工资10.22亿元(含2022年发放全国文明城市奖、目标考核奖、乡镇补贴等津贴补贴)，保民生17.92亿元，保运转1.8亿元，切实兜牢“三保”支出底线。</w:t>
      </w:r>
      <w:r>
        <w:rPr>
          <w:rFonts w:ascii="仿宋_GB2312" w:eastAsia="仿宋_GB2312" w:hint="eastAsia"/>
          <w:b/>
          <w:bCs/>
          <w:kern w:val="0"/>
          <w:sz w:val="32"/>
          <w:szCs w:val="32"/>
        </w:rPr>
        <w:t>二是强化重点领域保障，服务地方经济发展。</w:t>
      </w:r>
      <w:r>
        <w:rPr>
          <w:rFonts w:ascii="仿宋_GB2312" w:eastAsia="仿宋_GB2312" w:hint="eastAsia"/>
          <w:kern w:val="0"/>
          <w:sz w:val="32"/>
          <w:szCs w:val="32"/>
        </w:rPr>
        <w:t>根据轻重缓急的原则合理调度资金，坚持严管控、保重点，有力保障了重点民生领域和各项重大决策落地落实。上半年，财政统筹资金5996万元，服务保障鹳河文化生态园、石门湖水库建设、城市道路等PPP重点项目建设运营；统筹资金7524万元，持续推进乡村振兴；投入污染防治资金13851万元，深入打好污染防治攻坚战。</w:t>
      </w:r>
      <w:r>
        <w:rPr>
          <w:rFonts w:ascii="仿宋_GB2312" w:eastAsia="仿宋_GB2312" w:hint="eastAsia"/>
          <w:b/>
          <w:bCs/>
          <w:kern w:val="0"/>
          <w:sz w:val="32"/>
          <w:szCs w:val="32"/>
        </w:rPr>
        <w:t>三是清理盘活闲置资金，强化资源配置。</w:t>
      </w:r>
      <w:r>
        <w:rPr>
          <w:rFonts w:ascii="仿宋_GB2312" w:eastAsia="仿宋_GB2312" w:hint="eastAsia"/>
          <w:kern w:val="0"/>
          <w:sz w:val="32"/>
          <w:szCs w:val="32"/>
        </w:rPr>
        <w:t>全面实行闲置沉淀资金、低效无效资金、预算结余资金清理制度，累计收回资金3.02亿元，统筹用于县级重点刚性支出，提高资金使用效益。</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b/>
          <w:bCs/>
          <w:kern w:val="0"/>
          <w:sz w:val="32"/>
          <w:szCs w:val="32"/>
        </w:rPr>
      </w:pPr>
      <w:r>
        <w:rPr>
          <w:rFonts w:ascii="仿宋_GB2312" w:eastAsia="仿宋_GB2312" w:hint="eastAsia"/>
          <w:b/>
          <w:bCs/>
          <w:kern w:val="0"/>
          <w:sz w:val="32"/>
          <w:szCs w:val="32"/>
        </w:rPr>
        <w:t>3.严监管，财政风险总体可控</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上半年，已争取新增专项债券4.43亿元。为市政基础设施建设、学前教育、智能装备制造等重大项目建设提供了有力资金保障。严守债务底线，强化政府债务动态监测，加强债务风险评估和预警工作，全面落实债务管理和化解主体责任，严控增量，积极化解存量，</w:t>
      </w:r>
      <w:r>
        <w:rPr>
          <w:rFonts w:ascii="仿宋_GB2312" w:eastAsia="仿宋_GB2312" w:hAnsi="宋体" w:cs="仿宋_GB2312" w:hint="eastAsia"/>
          <w:kern w:val="0"/>
          <w:sz w:val="32"/>
          <w:szCs w:val="32"/>
        </w:rPr>
        <w:t>牢牢守住不发生系统性风险的底线。</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b/>
          <w:bCs/>
          <w:kern w:val="0"/>
          <w:sz w:val="32"/>
          <w:szCs w:val="32"/>
        </w:rPr>
      </w:pPr>
      <w:r>
        <w:rPr>
          <w:rFonts w:ascii="仿宋_GB2312" w:eastAsia="仿宋_GB2312" w:hint="eastAsia"/>
          <w:b/>
          <w:bCs/>
          <w:kern w:val="0"/>
          <w:sz w:val="32"/>
          <w:szCs w:val="32"/>
        </w:rPr>
        <w:t>4.惠民生，着力</w:t>
      </w:r>
      <w:r>
        <w:rPr>
          <w:rFonts w:ascii="仿宋_GB2312" w:eastAsia="仿宋_GB2312" w:hAnsi="宋体" w:cs="仿宋_GB2312"/>
          <w:b/>
          <w:bCs/>
          <w:kern w:val="0"/>
          <w:sz w:val="32"/>
          <w:szCs w:val="32"/>
        </w:rPr>
        <w:t>增进民生福祉</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bCs/>
          <w:kern w:val="0"/>
          <w:sz w:val="32"/>
          <w:szCs w:val="32"/>
        </w:rPr>
        <w:t>一是社会保障与就业能力不断提升。</w:t>
      </w:r>
      <w:r>
        <w:rPr>
          <w:rFonts w:ascii="仿宋_GB2312" w:eastAsia="仿宋_GB2312" w:hAnsi="宋体" w:cs="仿宋_GB2312" w:hint="eastAsia"/>
          <w:kern w:val="0"/>
          <w:sz w:val="32"/>
          <w:szCs w:val="32"/>
        </w:rPr>
        <w:t>财政补助城乡居民养老保险4007万元，补助机关事业单位养老保险收支缺口5100万元，统筹资金5078万元，确保城乡低保对象等困难群众及残疾人等特殊群体基本生活得到有效保障。实现城镇新增就业8608人、失业人员实现再就业586人，新增扶持自主创业贷款156人2928万元，带动就业343人。</w:t>
      </w:r>
      <w:r>
        <w:rPr>
          <w:rFonts w:ascii="仿宋_GB2312" w:eastAsia="仿宋_GB2312" w:hAnsi="宋体" w:cs="仿宋_GB2312" w:hint="eastAsia"/>
          <w:b/>
          <w:bCs/>
          <w:kern w:val="0"/>
          <w:sz w:val="32"/>
          <w:szCs w:val="32"/>
        </w:rPr>
        <w:t>二是教育事业持续发展。</w:t>
      </w:r>
      <w:r>
        <w:rPr>
          <w:rFonts w:ascii="仿宋_GB2312" w:eastAsia="仿宋_GB2312" w:hAnsi="宋体" w:cs="仿宋_GB2312" w:hint="eastAsia"/>
          <w:kern w:val="0"/>
          <w:sz w:val="32"/>
          <w:szCs w:val="32"/>
        </w:rPr>
        <w:t>财政投入107758万元，持续推动一高教学楼、宿舍楼改建、二高餐厅修缮、东湖路幼儿园改扩建等项目建设；严格落实义务教育阶段乡村教师生活补助政策、班主任津贴，在奖励性绩效工资中设立地方教龄津贴等，提高教师待遇；</w:t>
      </w:r>
      <w:r>
        <w:rPr>
          <w:rFonts w:ascii="仿宋_GB2312" w:eastAsia="仿宋_GB2312" w:hint="eastAsia"/>
          <w:kern w:val="0"/>
          <w:sz w:val="32"/>
          <w:szCs w:val="32"/>
        </w:rPr>
        <w:t>为学前教育阶段、义务教育阶段、高中阶段、职业教育阶段家庭经济困难学生提供了良好的学习环境。</w:t>
      </w:r>
      <w:r>
        <w:rPr>
          <w:rFonts w:ascii="仿宋_GB2312" w:eastAsia="仿宋_GB2312" w:hAnsi="宋体" w:cs="仿宋_GB2312" w:hint="eastAsia"/>
          <w:b/>
          <w:bCs/>
          <w:kern w:val="0"/>
          <w:sz w:val="32"/>
          <w:szCs w:val="32"/>
        </w:rPr>
        <w:t>三是推进卫生事业建设。</w:t>
      </w:r>
      <w:r>
        <w:rPr>
          <w:rFonts w:ascii="仿宋_GB2312" w:eastAsia="仿宋_GB2312" w:hAnsi="宋体" w:cs="仿宋_GB2312" w:hint="eastAsia"/>
          <w:kern w:val="0"/>
          <w:sz w:val="32"/>
          <w:szCs w:val="32"/>
        </w:rPr>
        <w:t>城乡居民医疗保险年人均财政补助标准从610元提高到640元；落实基本公共卫生服务资金人均经费标准从84元提高到89元；统筹资金0.4亿元，支持公立医院综合改革，提升了基层医疗服务能力。</w:t>
      </w:r>
    </w:p>
    <w:p w:rsidR="00BA1488" w:rsidRDefault="00155CF7">
      <w:pPr>
        <w:overflowPunct w:val="0"/>
        <w:autoSpaceDE w:val="0"/>
        <w:autoSpaceDN w:val="0"/>
        <w:adjustRightInd w:val="0"/>
        <w:snapToGrid w:val="0"/>
        <w:spacing w:line="560" w:lineRule="exact"/>
        <w:ind w:firstLineChars="200" w:firstLine="643"/>
        <w:outlineLvl w:val="0"/>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5.促改革，财政管理规范高效</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一是推进直达资金常态化。</w:t>
      </w:r>
      <w:r>
        <w:rPr>
          <w:rFonts w:ascii="仿宋_GB2312" w:eastAsia="仿宋_GB2312" w:hAnsi="仿宋_GB2312" w:cs="仿宋_GB2312" w:hint="eastAsia"/>
          <w:bCs/>
          <w:kern w:val="0"/>
          <w:sz w:val="32"/>
          <w:szCs w:val="32"/>
        </w:rPr>
        <w:t>全面贯彻直达资金管理要求，加强资金使用监管。上半年，全县共收到直达资金78788万元，累</w:t>
      </w:r>
      <w:r>
        <w:rPr>
          <w:rFonts w:ascii="仿宋_GB2312" w:eastAsia="仿宋_GB2312" w:hAnsi="仿宋_GB2312" w:cs="仿宋_GB2312" w:hint="eastAsia"/>
          <w:bCs/>
          <w:kern w:val="0"/>
          <w:sz w:val="32"/>
          <w:szCs w:val="32"/>
        </w:rPr>
        <w:lastRenderedPageBreak/>
        <w:t>计支付41572万元，支出进度达到56.9%，切实保障财政资金直达基层、惠企利民。</w:t>
      </w:r>
      <w:r>
        <w:rPr>
          <w:rFonts w:ascii="仿宋_GB2312" w:eastAsia="仿宋_GB2312" w:hAnsi="仿宋_GB2312" w:cs="仿宋_GB2312" w:hint="eastAsia"/>
          <w:b/>
          <w:kern w:val="0"/>
          <w:sz w:val="32"/>
          <w:szCs w:val="32"/>
        </w:rPr>
        <w:t>二是持续推进预算管理一体化改革。</w:t>
      </w:r>
      <w:r>
        <w:rPr>
          <w:rFonts w:ascii="仿宋_GB2312" w:eastAsia="仿宋_GB2312" w:hAnsi="仿宋_GB2312" w:cs="仿宋_GB2312" w:hint="eastAsia"/>
          <w:bCs/>
          <w:kern w:val="0"/>
          <w:sz w:val="32"/>
          <w:szCs w:val="32"/>
        </w:rPr>
        <w:t>推动零基预算改革深入实施,坚决打破基数概念和支出固化格局，探索建立能增能减、有保有压、能上能下的预算安排机制。坚持“先谋事再排钱”，“资金跟着项目走”，做深做实项目库，实施项目全生命周期管理。</w:t>
      </w:r>
      <w:r>
        <w:rPr>
          <w:rFonts w:ascii="仿宋_GB2312" w:eastAsia="仿宋_GB2312" w:hAnsi="仿宋_GB2312" w:cs="仿宋_GB2312" w:hint="eastAsia"/>
          <w:b/>
          <w:kern w:val="0"/>
          <w:sz w:val="32"/>
          <w:szCs w:val="32"/>
        </w:rPr>
        <w:t>三是推进采购评审规范化。</w:t>
      </w:r>
      <w:r>
        <w:rPr>
          <w:rFonts w:ascii="仿宋_GB2312" w:eastAsia="仿宋_GB2312" w:hAnsi="仿宋_GB2312" w:cs="仿宋_GB2312" w:hint="eastAsia"/>
          <w:bCs/>
          <w:kern w:val="0"/>
          <w:sz w:val="32"/>
          <w:szCs w:val="32"/>
        </w:rPr>
        <w:t>持续深化政府采购、投资评审制度改革，积极创建节约型机关。上半年，全县累计执行政府采购预算4.74亿元，中标金额4.2亿元，节约资金0.54亿元，节约率12.9%；累计评审项目216个，送审金额7.53亿元，审定金额6.62亿元，节约资金0.91亿元，综合审减率12%。</w:t>
      </w:r>
    </w:p>
    <w:p w:rsidR="00BA1488" w:rsidRDefault="00155CF7">
      <w:pPr>
        <w:overflowPunct w:val="0"/>
        <w:autoSpaceDE w:val="0"/>
        <w:autoSpaceDN w:val="0"/>
        <w:adjustRightInd w:val="0"/>
        <w:snapToGrid w:val="0"/>
        <w:spacing w:line="560" w:lineRule="exact"/>
        <w:ind w:firstLineChars="200" w:firstLine="640"/>
        <w:outlineLvl w:val="0"/>
        <w:rPr>
          <w:rFonts w:ascii="黑体" w:eastAsia="黑体" w:hAnsi="黑体"/>
          <w:bCs/>
          <w:kern w:val="0"/>
          <w:sz w:val="32"/>
          <w:szCs w:val="32"/>
        </w:rPr>
      </w:pPr>
      <w:r>
        <w:rPr>
          <w:rFonts w:ascii="黑体" w:eastAsia="黑体" w:hAnsi="黑体" w:hint="eastAsia"/>
          <w:bCs/>
          <w:kern w:val="0"/>
          <w:sz w:val="32"/>
          <w:szCs w:val="32"/>
        </w:rPr>
        <w:t>三、当前财政面临的问题</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2023年上半年，财政收支达到了预期“双过半”的阶段性目标任务，实现了良好开局。</w:t>
      </w:r>
      <w:r>
        <w:rPr>
          <w:rFonts w:ascii="仿宋" w:eastAsia="仿宋" w:hAnsi="仿宋" w:cs="仿宋" w:hint="eastAsia"/>
          <w:kern w:val="0"/>
          <w:sz w:val="32"/>
          <w:szCs w:val="32"/>
        </w:rPr>
        <w:t>在肯定成绩的同时，我们也清醒看到</w:t>
      </w:r>
      <w:r>
        <w:rPr>
          <w:rFonts w:ascii="仿宋_GB2312" w:eastAsia="仿宋_GB2312" w:hint="eastAsia"/>
          <w:kern w:val="0"/>
          <w:sz w:val="32"/>
          <w:szCs w:val="32"/>
        </w:rPr>
        <w:t>财政运行</w:t>
      </w:r>
      <w:r>
        <w:rPr>
          <w:rFonts w:ascii="仿宋" w:eastAsia="仿宋" w:hAnsi="仿宋" w:cs="仿宋" w:hint="eastAsia"/>
          <w:kern w:val="0"/>
          <w:sz w:val="32"/>
          <w:szCs w:val="32"/>
        </w:rPr>
        <w:t>面临的困难和挑战，</w:t>
      </w:r>
      <w:r>
        <w:rPr>
          <w:rFonts w:ascii="仿宋_GB2312" w:eastAsia="仿宋_GB2312" w:hint="eastAsia"/>
          <w:kern w:val="0"/>
          <w:sz w:val="32"/>
          <w:szCs w:val="32"/>
        </w:rPr>
        <w:t>主要是：</w:t>
      </w:r>
    </w:p>
    <w:p w:rsidR="00BA1488" w:rsidRDefault="00155CF7">
      <w:pPr>
        <w:pStyle w:val="a9"/>
        <w:widowControl w:val="0"/>
        <w:overflowPunct w:val="0"/>
        <w:autoSpaceDE w:val="0"/>
        <w:autoSpaceDN w:val="0"/>
        <w:adjustRightInd w:val="0"/>
        <w:snapToGrid w:val="0"/>
        <w:spacing w:before="0" w:beforeAutospacing="0" w:after="0" w:afterAutospacing="0" w:line="560" w:lineRule="exact"/>
        <w:ind w:firstLineChars="200" w:firstLine="563"/>
        <w:jc w:val="both"/>
        <w:outlineLvl w:val="1"/>
        <w:rPr>
          <w:rFonts w:ascii="仿宋_GB2312" w:eastAsia="楷体_GB2312" w:hAnsi="仿宋_GB2312" w:cs="仿宋_GB2312"/>
          <w:bCs/>
          <w:spacing w:val="-20"/>
          <w:sz w:val="32"/>
          <w:szCs w:val="32"/>
        </w:rPr>
      </w:pPr>
      <w:r>
        <w:rPr>
          <w:rFonts w:ascii="楷体_GB2312" w:eastAsia="楷体_GB2312" w:hAnsi="楷体_GB2312" w:cs="楷体_GB2312" w:hint="eastAsia"/>
          <w:b/>
          <w:spacing w:val="-20"/>
          <w:sz w:val="32"/>
          <w:szCs w:val="32"/>
        </w:rPr>
        <w:t>（一）经济下行压力依然存在，收入增长进入瓶颈期</w:t>
      </w:r>
    </w:p>
    <w:p w:rsidR="00BA1488" w:rsidRDefault="00155CF7">
      <w:pPr>
        <w:overflowPunct w:val="0"/>
        <w:autoSpaceDE w:val="0"/>
        <w:autoSpaceDN w:val="0"/>
        <w:adjustRightInd w:val="0"/>
        <w:snapToGrid w:val="0"/>
        <w:spacing w:line="560" w:lineRule="exact"/>
        <w:ind w:firstLineChars="200" w:firstLine="643"/>
        <w:outlineLvl w:val="1"/>
        <w:rPr>
          <w:rFonts w:ascii="楷体" w:eastAsia="楷体" w:hAnsi="楷体" w:cs="楷体"/>
          <w:b/>
          <w:kern w:val="0"/>
          <w:sz w:val="32"/>
          <w:szCs w:val="32"/>
        </w:rPr>
      </w:pPr>
      <w:r>
        <w:rPr>
          <w:rFonts w:ascii="仿宋_GB2312" w:eastAsia="仿宋_GB2312" w:hAnsi="仿宋_GB2312" w:cs="仿宋_GB2312" w:hint="eastAsia"/>
          <w:b/>
          <w:sz w:val="32"/>
          <w:szCs w:val="32"/>
        </w:rPr>
        <w:t>一是疫情冲击延续，经济处于复苏期。</w:t>
      </w:r>
      <w:r>
        <w:rPr>
          <w:rFonts w:ascii="仿宋_GB2312" w:eastAsia="仿宋_GB2312" w:hAnsi="仿宋_GB2312" w:cs="仿宋_GB2312" w:hint="eastAsia"/>
          <w:bCs/>
          <w:sz w:val="32"/>
          <w:szCs w:val="32"/>
        </w:rPr>
        <w:t>国内外宏观经济环境依然严峻复杂，不稳定不确定因素增多，对我县经济稳定恢复、长期向好形成巨大压力。</w:t>
      </w:r>
      <w:r>
        <w:rPr>
          <w:rFonts w:ascii="仿宋_GB2312" w:eastAsia="仿宋_GB2312" w:hAnsi="仿宋_GB2312" w:cs="仿宋_GB2312" w:hint="eastAsia"/>
          <w:b/>
          <w:sz w:val="32"/>
          <w:szCs w:val="32"/>
        </w:rPr>
        <w:t>二是财政收入增长面临挑战。</w:t>
      </w:r>
      <w:r>
        <w:rPr>
          <w:rFonts w:ascii="仿宋" w:eastAsia="仿宋" w:hAnsi="仿宋" w:cs="仿宋" w:hint="eastAsia"/>
          <w:sz w:val="32"/>
          <w:szCs w:val="32"/>
        </w:rPr>
        <w:t>一方面是减税降费造成的减收；另一方面是通过财政投入各类涉企资金2.2亿元，占</w:t>
      </w:r>
      <w:r w:rsidR="00041B19">
        <w:rPr>
          <w:rFonts w:ascii="仿宋" w:eastAsia="仿宋" w:hAnsi="仿宋" w:cs="仿宋" w:hint="eastAsia"/>
          <w:sz w:val="32"/>
          <w:szCs w:val="32"/>
        </w:rPr>
        <w:t>上半年</w:t>
      </w:r>
      <w:r>
        <w:rPr>
          <w:rFonts w:ascii="仿宋" w:eastAsia="仿宋" w:hAnsi="仿宋" w:cs="仿宋" w:hint="eastAsia"/>
          <w:sz w:val="32"/>
          <w:szCs w:val="32"/>
        </w:rPr>
        <w:t>财政支出的7%，以奖励政策涵养税源效果慢周期长；再一方面是非税收入随着省市优化营商环境政策的出台，处于逐渐萎缩状态。</w:t>
      </w:r>
      <w:r>
        <w:rPr>
          <w:rFonts w:ascii="仿宋" w:eastAsia="仿宋" w:hAnsi="仿宋" w:cs="仿宋" w:hint="eastAsia"/>
          <w:b/>
          <w:bCs/>
          <w:sz w:val="32"/>
          <w:szCs w:val="32"/>
        </w:rPr>
        <w:t>三是</w:t>
      </w:r>
      <w:r>
        <w:rPr>
          <w:rFonts w:ascii="仿宋" w:eastAsia="仿宋" w:hAnsi="仿宋" w:cs="仿宋" w:hint="eastAsia"/>
          <w:b/>
          <w:bCs/>
          <w:kern w:val="0"/>
          <w:sz w:val="32"/>
          <w:szCs w:val="32"/>
        </w:rPr>
        <w:t>绩效考评排名进位压力增大。</w:t>
      </w:r>
      <w:r>
        <w:rPr>
          <w:rFonts w:ascii="仿宋_GB2312" w:eastAsia="仿宋_GB2312" w:hAnsi="仿宋_GB2312" w:cs="仿宋_GB2312" w:hint="eastAsia"/>
          <w:bCs/>
          <w:sz w:val="32"/>
          <w:szCs w:val="32"/>
        </w:rPr>
        <w:t>元-6月为了绩效考评，</w:t>
      </w:r>
      <w:r>
        <w:rPr>
          <w:rFonts w:ascii="仿宋_GB2312" w:eastAsia="仿宋_GB2312" w:hAnsi="仿宋_GB2312" w:cs="仿宋_GB2312" w:hint="eastAsia"/>
          <w:bCs/>
          <w:kern w:val="0"/>
          <w:sz w:val="32"/>
          <w:szCs w:val="32"/>
        </w:rPr>
        <w:t>我县收入基数大，税收质量高，增长是短板，可市对县绩效考评以增速唯论定，我县税收总量和比重均排全市</w:t>
      </w:r>
      <w:r>
        <w:rPr>
          <w:rFonts w:ascii="仿宋_GB2312" w:eastAsia="仿宋_GB2312" w:hAnsi="仿宋_GB2312" w:cs="仿宋_GB2312" w:hint="eastAsia"/>
          <w:bCs/>
          <w:kern w:val="0"/>
          <w:sz w:val="32"/>
          <w:szCs w:val="32"/>
        </w:rPr>
        <w:lastRenderedPageBreak/>
        <w:t>前列，但增长不占优势一直落后于收入基数小增速高的县，排名一直靠后。</w:t>
      </w:r>
    </w:p>
    <w:p w:rsidR="00BA1488" w:rsidRDefault="00155CF7">
      <w:pPr>
        <w:overflowPunct w:val="0"/>
        <w:autoSpaceDE w:val="0"/>
        <w:autoSpaceDN w:val="0"/>
        <w:adjustRightInd w:val="0"/>
        <w:snapToGrid w:val="0"/>
        <w:spacing w:line="560" w:lineRule="exact"/>
        <w:ind w:firstLineChars="200" w:firstLine="643"/>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（二）工业经济整体发展不平衡，高质量税源处于提升期</w:t>
      </w:r>
    </w:p>
    <w:p w:rsidR="00BA1488" w:rsidRDefault="00155CF7">
      <w:pPr>
        <w:overflowPunct w:val="0"/>
        <w:autoSpaceDE w:val="0"/>
        <w:autoSpaceDN w:val="0"/>
        <w:adjustRightInd w:val="0"/>
        <w:snapToGrid w:val="0"/>
        <w:spacing w:line="560" w:lineRule="exact"/>
        <w:ind w:firstLineChars="200" w:firstLine="643"/>
        <w:outlineLvl w:val="1"/>
        <w:rPr>
          <w:rFonts w:ascii="楷体_GB2312" w:eastAsia="楷体_GB2312" w:hAnsi="楷体_GB2312" w:cs="楷体_GB2312"/>
          <w:b/>
          <w:kern w:val="0"/>
          <w:sz w:val="32"/>
          <w:szCs w:val="32"/>
        </w:rPr>
      </w:pPr>
      <w:r>
        <w:rPr>
          <w:rFonts w:ascii="仿宋_GB2312" w:eastAsia="仿宋_GB2312" w:hAnsi="仿宋_GB2312" w:cs="仿宋_GB2312" w:hint="eastAsia"/>
          <w:b/>
          <w:kern w:val="0"/>
          <w:sz w:val="32"/>
          <w:szCs w:val="32"/>
        </w:rPr>
        <w:t>一是国际形势不确定因素增多，对我县出口贸易经济影响加大。</w:t>
      </w:r>
      <w:r>
        <w:rPr>
          <w:rFonts w:ascii="仿宋_GB2312" w:eastAsia="仿宋_GB2312" w:hAnsi="仿宋_GB2312" w:cs="仿宋_GB2312" w:hint="eastAsia"/>
          <w:bCs/>
          <w:kern w:val="0"/>
          <w:sz w:val="32"/>
          <w:szCs w:val="32"/>
        </w:rPr>
        <w:t>受全球贸易保护主义和中美贸易摩擦以及俄乌冲突的直接影响，香菇、汽车零部件等产品被列入加征关税名单，因出口受阻和进口原材料成本上升等原因，净利润同比无较大增长。</w:t>
      </w:r>
      <w:r>
        <w:rPr>
          <w:rFonts w:ascii="仿宋_GB2312" w:eastAsia="仿宋_GB2312" w:hAnsi="仿宋_GB2312" w:cs="仿宋_GB2312" w:hint="eastAsia"/>
          <w:b/>
          <w:kern w:val="0"/>
          <w:sz w:val="32"/>
          <w:szCs w:val="32"/>
        </w:rPr>
        <w:t>二是受疫情后时代对我县特钢产业带来一定的冲击。</w:t>
      </w:r>
      <w:r>
        <w:rPr>
          <w:rFonts w:ascii="仿宋_GB2312" w:eastAsia="仿宋_GB2312" w:hAnsi="仿宋_GB2312" w:cs="仿宋_GB2312" w:hint="eastAsia"/>
          <w:bCs/>
          <w:kern w:val="0"/>
          <w:sz w:val="32"/>
          <w:szCs w:val="32"/>
        </w:rPr>
        <w:t>上半年，国内钢铁市场不景气，需求疲软，叠加汉冶公司三座高炉生产期间实有检修，致使特钢生产连续性不强，受钢材下行影响，产值营收同比下滑。</w:t>
      </w:r>
      <w:r>
        <w:rPr>
          <w:rFonts w:ascii="仿宋_GB2312" w:eastAsia="仿宋_GB2312" w:hAnsi="仿宋_GB2312" w:cs="仿宋_GB2312" w:hint="eastAsia"/>
          <w:b/>
          <w:kern w:val="0"/>
          <w:sz w:val="32"/>
          <w:szCs w:val="32"/>
        </w:rPr>
        <w:t>三是项目投资正在提升期，带来的税收红利未显现。</w:t>
      </w:r>
      <w:r>
        <w:rPr>
          <w:rFonts w:ascii="仿宋_GB2312" w:eastAsia="仿宋_GB2312" w:hAnsi="仿宋_GB2312" w:cs="仿宋_GB2312" w:hint="eastAsia"/>
          <w:bCs/>
          <w:kern w:val="0"/>
          <w:sz w:val="32"/>
          <w:szCs w:val="32"/>
        </w:rPr>
        <w:t>由于“三个一批”部分投资项目存在包装过大、招商线索质量不高、谋划项目不精准，且大多数项目进展缓慢，尚未形成有效税源等问题，因此由投资带动形成的税收收入暂无增收亮点。</w:t>
      </w:r>
    </w:p>
    <w:p w:rsidR="00BA1488" w:rsidRDefault="00155CF7">
      <w:pPr>
        <w:adjustRightInd w:val="0"/>
        <w:snapToGrid w:val="0"/>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kern w:val="0"/>
          <w:sz w:val="32"/>
          <w:szCs w:val="32"/>
        </w:rPr>
        <w:t>（三）年初预算和预算执行严重错位</w:t>
      </w:r>
    </w:p>
    <w:p w:rsidR="00BA1488" w:rsidRDefault="00155CF7">
      <w:pPr>
        <w:pStyle w:val="a9"/>
        <w:widowControl w:val="0"/>
        <w:overflowPunct w:val="0"/>
        <w:autoSpaceDE w:val="0"/>
        <w:autoSpaceDN w:val="0"/>
        <w:adjustRightInd w:val="0"/>
        <w:snapToGrid w:val="0"/>
        <w:spacing w:before="0" w:beforeAutospacing="0" w:after="0" w:afterAutospacing="0" w:line="560" w:lineRule="exact"/>
        <w:ind w:firstLineChars="200" w:firstLine="640"/>
        <w:jc w:val="both"/>
        <w:outlineLvl w:val="1"/>
        <w:rPr>
          <w:sz w:val="32"/>
          <w:szCs w:val="32"/>
        </w:rPr>
      </w:pPr>
      <w:r>
        <w:rPr>
          <w:rFonts w:ascii="仿宋_GB2312" w:eastAsia="仿宋_GB2312" w:hAnsi="仿宋_GB2312" w:cs="仿宋_GB2312" w:hint="eastAsia"/>
          <w:bCs/>
          <w:sz w:val="32"/>
          <w:szCs w:val="32"/>
        </w:rPr>
        <w:t>一是预算执行中市政、交通、公路工程款、疫情防控、河道治理等临时支出，造成现金调度非常困难。二是历年收缴的存量资金增加了当年的支出。近年来，我们对超过两年以上的上级专项资金进行了收缴，弥补了当年的赤字。随着项目的实施，大量的上级工程已经验收竣工需要支付，也加重了当年的支出压力。三是各项上级资金配套及超预算支出让财政苦不堪言。上级下达的水利、交通、教育等专项资金，一部分需要地方配套，一部分项目单位在实施时严重超预算，超预算部分需要地方财政拿钱，对财政造成不可忽视的压力。</w:t>
      </w:r>
    </w:p>
    <w:p w:rsidR="00BA1488" w:rsidRDefault="00155CF7">
      <w:pPr>
        <w:overflowPunct w:val="0"/>
        <w:autoSpaceDE w:val="0"/>
        <w:autoSpaceDN w:val="0"/>
        <w:adjustRightInd w:val="0"/>
        <w:snapToGrid w:val="0"/>
        <w:spacing w:line="560" w:lineRule="exact"/>
        <w:ind w:firstLineChars="200" w:firstLine="643"/>
        <w:outlineLvl w:val="1"/>
        <w:rPr>
          <w:rFonts w:ascii="楷体" w:eastAsia="楷体" w:hAnsi="楷体" w:cs="楷体"/>
          <w:b/>
          <w:kern w:val="0"/>
          <w:sz w:val="32"/>
          <w:szCs w:val="32"/>
        </w:rPr>
      </w:pPr>
      <w:r>
        <w:rPr>
          <w:rFonts w:ascii="楷体" w:eastAsia="楷体" w:hAnsi="楷体" w:cs="楷体" w:hint="eastAsia"/>
          <w:b/>
          <w:kern w:val="0"/>
          <w:sz w:val="32"/>
          <w:szCs w:val="32"/>
        </w:rPr>
        <w:lastRenderedPageBreak/>
        <w:t>（四）债务基数高，偿债压力大</w:t>
      </w:r>
    </w:p>
    <w:p w:rsidR="00BA1488" w:rsidRDefault="00155CF7">
      <w:pPr>
        <w:adjustRightInd w:val="0"/>
        <w:snapToGri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 w:hint="eastAsia"/>
          <w:kern w:val="0"/>
          <w:sz w:val="32"/>
          <w:szCs w:val="32"/>
        </w:rPr>
        <w:t>我县债务风险不容忽视，</w:t>
      </w:r>
      <w:r>
        <w:rPr>
          <w:rFonts w:ascii="仿宋_GB2312" w:eastAsia="仿宋_GB2312" w:hAnsi="仿宋" w:hint="eastAsia"/>
          <w:b/>
          <w:bCs/>
          <w:kern w:val="0"/>
          <w:sz w:val="32"/>
          <w:szCs w:val="32"/>
        </w:rPr>
        <w:t>一是化债刚性支出压力大。今</w:t>
      </w:r>
      <w:r>
        <w:rPr>
          <w:rFonts w:ascii="仿宋" w:eastAsia="仿宋" w:hAnsi="仿宋" w:cs="仿宋" w:hint="eastAsia"/>
          <w:sz w:val="32"/>
          <w:szCs w:val="32"/>
        </w:rPr>
        <w:t>年需偿债还本付息支出8亿元，其中：还本支出61380万元，需要现金偿还的本金8970万元，利息支出18563万元，合计27533万元。2024—2026年偿债支出分别为73843万元、39603万元、75284万元。随着上级政策的调整，地方财政承担用自有资金偿还本金的比例会逐步提高，更加剧了我县资金调度的困难性。</w:t>
      </w:r>
      <w:r>
        <w:rPr>
          <w:rFonts w:ascii="仿宋_GB2312" w:eastAsia="仿宋_GB2312" w:hAnsi="仿宋" w:hint="eastAsia"/>
          <w:b/>
          <w:bCs/>
          <w:kern w:val="0"/>
          <w:sz w:val="32"/>
          <w:szCs w:val="32"/>
        </w:rPr>
        <w:t>二是债务风险加大。</w:t>
      </w:r>
      <w:r>
        <w:rPr>
          <w:rFonts w:ascii="仿宋_GB2312" w:eastAsia="仿宋_GB2312" w:hAnsi="仿宋" w:hint="eastAsia"/>
          <w:kern w:val="0"/>
          <w:sz w:val="32"/>
          <w:szCs w:val="32"/>
        </w:rPr>
        <w:t>我县</w:t>
      </w:r>
      <w:r>
        <w:rPr>
          <w:rFonts w:ascii="仿宋" w:eastAsia="仿宋" w:hAnsi="仿宋" w:cs="仿宋" w:hint="eastAsia"/>
          <w:sz w:val="32"/>
          <w:szCs w:val="32"/>
        </w:rPr>
        <w:t>专项债券项目多数难以形成实物工作量，无法应对各级检查，存在一定风险隐患。</w:t>
      </w:r>
      <w:r>
        <w:rPr>
          <w:rFonts w:ascii="仿宋_GB2312" w:eastAsia="仿宋_GB2312" w:hAnsi="仿宋" w:hint="eastAsia"/>
          <w:kern w:val="0"/>
          <w:sz w:val="32"/>
          <w:szCs w:val="32"/>
        </w:rPr>
        <w:t>近年来上级监管部门对地方专项债券开展绩效评价，穿透式监测，项目收益情况和评价结果将直接影响后期的债券申报。</w:t>
      </w:r>
      <w:r>
        <w:rPr>
          <w:rFonts w:ascii="仿宋_GB2312" w:eastAsia="仿宋_GB2312" w:hAnsi="仿宋" w:hint="eastAsia"/>
          <w:b/>
          <w:bCs/>
          <w:kern w:val="0"/>
          <w:sz w:val="32"/>
          <w:szCs w:val="32"/>
        </w:rPr>
        <w:t>三是</w:t>
      </w:r>
      <w:r>
        <w:rPr>
          <w:rFonts w:ascii="仿宋_GB2312" w:eastAsia="仿宋_GB2312" w:hAnsi="仿宋_GB2312" w:cs="仿宋_GB2312" w:hint="eastAsia"/>
          <w:b/>
          <w:bCs/>
          <w:kern w:val="0"/>
          <w:sz w:val="32"/>
          <w:szCs w:val="32"/>
        </w:rPr>
        <w:t>债</w:t>
      </w:r>
      <w:r>
        <w:rPr>
          <w:rFonts w:ascii="仿宋_GB2312" w:eastAsia="仿宋_GB2312" w:hAnsi="仿宋_GB2312" w:cs="仿宋_GB2312" w:hint="eastAsia"/>
          <w:b/>
          <w:kern w:val="0"/>
          <w:sz w:val="32"/>
          <w:szCs w:val="32"/>
        </w:rPr>
        <w:t>券申报谋划没有建立长效机制。</w:t>
      </w:r>
      <w:r>
        <w:rPr>
          <w:rFonts w:ascii="仿宋_GB2312" w:eastAsia="仿宋_GB2312" w:hAnsi="仿宋_GB2312" w:cs="仿宋_GB2312" w:hint="eastAsia"/>
          <w:bCs/>
          <w:kern w:val="0"/>
          <w:sz w:val="32"/>
          <w:szCs w:val="32"/>
        </w:rPr>
        <w:t>单位在债券申报缺乏主动性，主要依靠财政部门，没有具体的机制，各部门协调不畅，工作进展缓慢，相互推诿扯皮。单位积极参与度不够，部分单位等靠思想严重，大局观不强，没有发挥主观能动性和担当意识。</w:t>
      </w:r>
    </w:p>
    <w:p w:rsidR="00BA1488" w:rsidRDefault="00155CF7">
      <w:pPr>
        <w:overflowPunct w:val="0"/>
        <w:autoSpaceDE w:val="0"/>
        <w:autoSpaceDN w:val="0"/>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（五）上级转移支付补助较少</w:t>
      </w:r>
    </w:p>
    <w:p w:rsidR="00BA1488" w:rsidRDefault="00155CF7">
      <w:pPr>
        <w:overflowPunct w:val="0"/>
        <w:autoSpaceDE w:val="0"/>
        <w:autoSpaceDN w:val="0"/>
        <w:adjustRightInd w:val="0"/>
        <w:snapToGrid w:val="0"/>
        <w:spacing w:line="560" w:lineRule="exact"/>
        <w:ind w:firstLineChars="200" w:firstLine="643"/>
        <w:rPr>
          <w:rFonts w:ascii="仿宋_GB2312" w:eastAsia="仿宋_GB2312"/>
          <w:b/>
          <w:bCs/>
          <w:sz w:val="32"/>
          <w:szCs w:val="32"/>
        </w:rPr>
      </w:pPr>
      <w:r>
        <w:rPr>
          <w:rFonts w:ascii="仿宋_GB2312" w:eastAsia="仿宋_GB2312" w:hAnsi="仿宋" w:hint="eastAsia"/>
          <w:b/>
          <w:bCs/>
          <w:kern w:val="0"/>
          <w:sz w:val="32"/>
          <w:szCs w:val="32"/>
        </w:rPr>
        <w:t>一是上级转移支付补助少。</w:t>
      </w:r>
      <w:r>
        <w:rPr>
          <w:rFonts w:ascii="仿宋_GB2312" w:eastAsia="仿宋_GB2312" w:hAnsi="仿宋" w:hint="eastAsia"/>
          <w:kern w:val="0"/>
          <w:sz w:val="32"/>
          <w:szCs w:val="32"/>
        </w:rPr>
        <w:t>2021年、2022年上级补助收入分别为22.61亿元、23.69亿元，增加1.08亿元。总量在全市12个县区中排名倒数第一。</w:t>
      </w:r>
      <w:r>
        <w:rPr>
          <w:rFonts w:ascii="仿宋_GB2312" w:eastAsia="仿宋_GB2312" w:hint="eastAsia"/>
          <w:b/>
          <w:bCs/>
          <w:sz w:val="32"/>
          <w:szCs w:val="32"/>
        </w:rPr>
        <w:t>二是转移支付增长与财政收入增长极不匹配。</w:t>
      </w:r>
      <w:r>
        <w:rPr>
          <w:rFonts w:ascii="仿宋_GB2312" w:eastAsia="仿宋_GB2312" w:hAnsi="仿宋" w:hint="eastAsia"/>
          <w:kern w:val="0"/>
          <w:sz w:val="32"/>
          <w:szCs w:val="32"/>
        </w:rPr>
        <w:t>2012年-2022年，我县财政收入由76639万元增长到222777万元，年均增长率达到11%，转移支付收入由128055万元增长到243623万元，年均增长率仅为9%，我县收入增长快，对上级的贡献率提高，但转移支付增长过低，导致我县有效财力实际程下降趋势。</w:t>
      </w:r>
      <w:r>
        <w:rPr>
          <w:rFonts w:ascii="仿宋_GB2312" w:eastAsia="仿宋_GB2312" w:hAnsi="仿宋" w:hint="eastAsia"/>
          <w:b/>
          <w:bCs/>
          <w:kern w:val="0"/>
          <w:sz w:val="32"/>
          <w:szCs w:val="32"/>
        </w:rPr>
        <w:t>三是省级共同事权负担比例较低。</w:t>
      </w:r>
      <w:r>
        <w:rPr>
          <w:rFonts w:ascii="仿宋_GB2312" w:eastAsia="仿宋_GB2312" w:hAnsi="仿宋" w:hint="eastAsia"/>
          <w:kern w:val="0"/>
          <w:sz w:val="32"/>
          <w:szCs w:val="32"/>
        </w:rPr>
        <w:t>省与市县的共同财政事</w:t>
      </w:r>
      <w:r>
        <w:rPr>
          <w:rFonts w:ascii="仿宋_GB2312" w:eastAsia="仿宋_GB2312" w:hAnsi="仿宋" w:hint="eastAsia"/>
          <w:kern w:val="0"/>
          <w:sz w:val="32"/>
          <w:szCs w:val="32"/>
        </w:rPr>
        <w:lastRenderedPageBreak/>
        <w:t>权支出责任中，省级对我县的分担比例为40%，居全市最低（其中：唐河、镇平、淅川、南召60%），2022年省级对我县共同事权转移支付92048元，在全市县区中排名靠后，最高唐河266445万元，方城185307万元，镇平175774万元。我县山区面积大，人口较少，交通占线长，教育校舍多等，造成教育、卫生、医疗、交通等各项事权支出较大，而省级共同事权转移支付项目比例偏低，造成财政保障能力较弱。</w:t>
      </w:r>
    </w:p>
    <w:p w:rsidR="00BA1488" w:rsidRDefault="00155CF7">
      <w:pPr>
        <w:overflowPunct w:val="0"/>
        <w:autoSpaceDE w:val="0"/>
        <w:autoSpaceDN w:val="0"/>
        <w:adjustRightInd w:val="0"/>
        <w:snapToGrid w:val="0"/>
        <w:spacing w:line="560" w:lineRule="exact"/>
        <w:ind w:firstLineChars="200" w:firstLine="643"/>
        <w:outlineLvl w:val="1"/>
        <w:rPr>
          <w:rFonts w:ascii="仿宋_GB2312" w:eastAsia="仿宋_GB2312"/>
          <w:kern w:val="0"/>
          <w:sz w:val="32"/>
          <w:szCs w:val="32"/>
        </w:rPr>
      </w:pPr>
      <w:r>
        <w:rPr>
          <w:rFonts w:ascii="楷体" w:eastAsia="楷体" w:hAnsi="楷体" w:cs="楷体" w:hint="eastAsia"/>
          <w:b/>
          <w:kern w:val="0"/>
          <w:sz w:val="32"/>
          <w:szCs w:val="32"/>
        </w:rPr>
        <w:t>（六）“三保”压力大，财政支出负担过重</w:t>
      </w:r>
    </w:p>
    <w:p w:rsidR="00BA1488" w:rsidRDefault="00155CF7">
      <w:pPr>
        <w:pStyle w:val="BodyTextFirstIndent1"/>
        <w:overflowPunct w:val="0"/>
        <w:autoSpaceDE w:val="0"/>
        <w:autoSpaceDN w:val="0"/>
        <w:adjustRightInd w:val="0"/>
        <w:snapToGrid w:val="0"/>
        <w:spacing w:line="560" w:lineRule="exact"/>
        <w:ind w:firstLineChars="200" w:firstLine="640"/>
        <w:rPr>
          <w:rFonts w:ascii="仿宋_GB2312"/>
          <w:kern w:val="0"/>
          <w:szCs w:val="32"/>
        </w:rPr>
      </w:pPr>
      <w:r>
        <w:rPr>
          <w:rFonts w:ascii="仿宋_GB2312" w:hint="eastAsia"/>
          <w:kern w:val="0"/>
          <w:szCs w:val="32"/>
        </w:rPr>
        <w:t>我县2023年一般公共预算收入计划24.9亿元，县本级财力仅为24.2亿元，而三保支出需要27.9亿元（保工资支出16.2亿元，保运转支出3.6亿元，保基本民生支出8.1亿元），只能通过调入基金和国有资本经营7亿元，合计31.2亿元，扣除债券还本付息3.3亿后，全部用于“三保”支出，足额保障了人员支出、社会保障和各类运行运转经费等必须的三保支出。除此以外，还有各种农业支出、旅游发展、城市维护、环境保护、交通运输、城市建设各种专项配套和各类重点工程等项目，财政都无力承担。</w:t>
      </w:r>
    </w:p>
    <w:p w:rsidR="00BA1488" w:rsidRDefault="00155CF7">
      <w:pPr>
        <w:overflowPunct w:val="0"/>
        <w:autoSpaceDE w:val="0"/>
        <w:autoSpaceDN w:val="0"/>
        <w:adjustRightInd w:val="0"/>
        <w:snapToGrid w:val="0"/>
        <w:spacing w:line="560" w:lineRule="exact"/>
        <w:ind w:firstLineChars="200" w:firstLine="643"/>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（七）暂付款占压财政资金，国库存款调度异常艰难</w:t>
      </w:r>
    </w:p>
    <w:p w:rsidR="00BA1488" w:rsidRDefault="00155CF7">
      <w:pPr>
        <w:overflowPunct w:val="0"/>
        <w:autoSpaceDE w:val="0"/>
        <w:autoSpaceDN w:val="0"/>
        <w:adjustRightInd w:val="0"/>
        <w:snapToGrid w:val="0"/>
        <w:spacing w:line="560" w:lineRule="exact"/>
        <w:ind w:firstLineChars="200" w:firstLine="640"/>
        <w:rPr>
          <w:rFonts w:ascii="黑体" w:eastAsia="黑体" w:hAnsi="宋体"/>
          <w:kern w:val="0"/>
          <w:sz w:val="32"/>
          <w:szCs w:val="32"/>
        </w:rPr>
      </w:pPr>
      <w:r>
        <w:rPr>
          <w:rFonts w:ascii="仿宋_GB2312" w:eastAsia="仿宋_GB2312" w:hAnsi="仿宋_GB2312" w:cs="仿宋_GB2312" w:hint="eastAsia"/>
          <w:kern w:val="0"/>
          <w:sz w:val="32"/>
          <w:szCs w:val="32"/>
        </w:rPr>
        <w:t>目前库款水平只能优先保障工资类和民生类支出，可用于防范政府债务风险和经济发展的支出捉襟见肘，区域性支付风险增大；随着进入偿债高峰期，到期应偿还债务本息数额较大，债务负担较重，资金筹措困难。目前我县暂付款账面科目余额39.7亿元。根据《河南省人民政府办公厅关于进一步严肃财经纪律分阶段做好财政暂付款清理消化工作的通知》（豫政办明电</w:t>
      </w:r>
      <w:r>
        <w:rPr>
          <w:rFonts w:ascii="方正大标宋简体" w:eastAsia="方正大标宋简体" w:hAnsi="方正大标宋简体" w:cs="方正大标宋简体" w:hint="eastAsia"/>
          <w:kern w:val="0"/>
          <w:sz w:val="32"/>
          <w:szCs w:val="32"/>
        </w:rPr>
        <w:t>〔</w:t>
      </w:r>
      <w:r>
        <w:rPr>
          <w:rFonts w:ascii="仿宋_GB2312" w:eastAsia="仿宋_GB2312" w:hAnsi="仿宋_GB2312" w:cs="仿宋_GB2312" w:hint="eastAsia"/>
          <w:kern w:val="0"/>
          <w:sz w:val="32"/>
          <w:szCs w:val="32"/>
        </w:rPr>
        <w:t>2022</w:t>
      </w:r>
      <w:r>
        <w:rPr>
          <w:rFonts w:ascii="方正大标宋简体" w:eastAsia="方正大标宋简体" w:hAnsi="方正大标宋简体" w:cs="方正大标宋简体" w:hint="eastAsia"/>
          <w:kern w:val="0"/>
          <w:sz w:val="32"/>
          <w:szCs w:val="32"/>
        </w:rPr>
        <w:t>〕</w:t>
      </w:r>
      <w:r>
        <w:rPr>
          <w:rFonts w:ascii="仿宋_GB2312" w:eastAsia="仿宋_GB2312" w:hAnsi="仿宋_GB2312" w:cs="仿宋_GB2312" w:hint="eastAsia"/>
          <w:kern w:val="0"/>
          <w:sz w:val="32"/>
          <w:szCs w:val="32"/>
        </w:rPr>
        <w:t>5号）文件要求对财政暂付款全面梳理，必须制定年度清理收回</w:t>
      </w:r>
      <w:r>
        <w:rPr>
          <w:rFonts w:ascii="仿宋_GB2312" w:eastAsia="仿宋_GB2312" w:hAnsi="仿宋_GB2312" w:cs="仿宋_GB2312" w:hint="eastAsia"/>
          <w:kern w:val="0"/>
          <w:sz w:val="32"/>
          <w:szCs w:val="32"/>
        </w:rPr>
        <w:lastRenderedPageBreak/>
        <w:t>和化解方案，分三个阶段即2022年前暂付款占比（暂付款当年累计占上年财政支出的比重）压减至15%以内、2023年前压减至10%以内、2023年以后压减至5%。由于暂付款是无预算超预算支出，基本无财力空间和资金来源消化，上级要求严控比重且高压必须化解更是加重了财政负担。</w:t>
      </w:r>
    </w:p>
    <w:p w:rsidR="00BA1488" w:rsidRDefault="00155CF7">
      <w:pPr>
        <w:overflowPunct w:val="0"/>
        <w:autoSpaceDE w:val="0"/>
        <w:autoSpaceDN w:val="0"/>
        <w:adjustRightInd w:val="0"/>
        <w:snapToGrid w:val="0"/>
        <w:spacing w:line="560" w:lineRule="exact"/>
        <w:ind w:firstLineChars="350" w:firstLine="1120"/>
        <w:outlineLvl w:val="0"/>
        <w:rPr>
          <w:rFonts w:ascii="黑体" w:eastAsia="黑体"/>
          <w:kern w:val="0"/>
          <w:sz w:val="32"/>
          <w:szCs w:val="32"/>
        </w:rPr>
      </w:pPr>
      <w:r>
        <w:rPr>
          <w:rFonts w:ascii="黑体" w:eastAsia="黑体" w:hAnsi="宋体" w:hint="eastAsia"/>
          <w:kern w:val="0"/>
          <w:sz w:val="32"/>
          <w:szCs w:val="32"/>
        </w:rPr>
        <w:t>四、2023年下半年</w:t>
      </w:r>
      <w:r>
        <w:rPr>
          <w:rFonts w:ascii="黑体" w:eastAsia="黑体" w:hint="eastAsia"/>
          <w:kern w:val="0"/>
          <w:sz w:val="32"/>
          <w:szCs w:val="32"/>
        </w:rPr>
        <w:t>工作重点</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仿宋" w:hint="eastAsia"/>
          <w:kern w:val="0"/>
          <w:sz w:val="32"/>
          <w:szCs w:val="32"/>
        </w:rPr>
        <w:t>2023年下半年，财政系统将继续认真贯彻落实好县委、县政府各项决策部署，</w:t>
      </w:r>
      <w:r>
        <w:rPr>
          <w:rFonts w:ascii="仿宋_GB2312" w:eastAsia="仿宋_GB2312" w:hint="eastAsia"/>
          <w:kern w:val="0"/>
          <w:sz w:val="32"/>
          <w:szCs w:val="32"/>
        </w:rPr>
        <w:t>落实积极的财政政策并提升效能，更加注重精准、可持续，着力推动经济高质量发展和民生进一步改善。</w:t>
      </w:r>
      <w:r>
        <w:rPr>
          <w:rFonts w:ascii="仿宋_GB2312" w:eastAsia="仿宋_GB2312" w:hAnsi="宋体" w:cs="宋体" w:hint="eastAsia"/>
          <w:kern w:val="0"/>
          <w:sz w:val="32"/>
          <w:szCs w:val="32"/>
        </w:rPr>
        <w:t>重点做好以下六个方面的工作：</w:t>
      </w:r>
    </w:p>
    <w:p w:rsidR="00BA1488" w:rsidRDefault="00155CF7">
      <w:pPr>
        <w:overflowPunct w:val="0"/>
        <w:autoSpaceDE w:val="0"/>
        <w:autoSpaceDN w:val="0"/>
        <w:adjustRightInd w:val="0"/>
        <w:snapToGrid w:val="0"/>
        <w:spacing w:line="560" w:lineRule="exact"/>
        <w:ind w:firstLineChars="200" w:firstLine="643"/>
        <w:rPr>
          <w:rFonts w:ascii="楷体_GB2312" w:eastAsia="楷体_GB2312" w:hAnsi="楷体" w:cs="楷体"/>
          <w:b/>
          <w:bCs/>
          <w:kern w:val="0"/>
          <w:sz w:val="32"/>
          <w:szCs w:val="32"/>
        </w:rPr>
      </w:pPr>
      <w:r>
        <w:rPr>
          <w:rFonts w:ascii="楷体_GB2312" w:eastAsia="楷体_GB2312" w:hAnsi="楷体" w:cs="楷体" w:hint="eastAsia"/>
          <w:b/>
          <w:bCs/>
          <w:kern w:val="0"/>
          <w:sz w:val="32"/>
          <w:szCs w:val="32"/>
        </w:rPr>
        <w:t>（一）支持构建现代产业体系</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发挥财政资金引领带动作用，推动产业</w:t>
      </w:r>
      <w:r>
        <w:rPr>
          <w:rFonts w:ascii="仿宋" w:eastAsia="仿宋" w:hAnsi="仿宋" w:cs="仿宋"/>
          <w:kern w:val="0"/>
          <w:sz w:val="32"/>
          <w:szCs w:val="32"/>
        </w:rPr>
        <w:t>发展</w:t>
      </w:r>
      <w:r>
        <w:rPr>
          <w:rFonts w:ascii="仿宋" w:eastAsia="仿宋" w:hAnsi="仿宋" w:cs="仿宋" w:hint="eastAsia"/>
          <w:kern w:val="0"/>
          <w:sz w:val="32"/>
          <w:szCs w:val="32"/>
        </w:rPr>
        <w:t>，</w:t>
      </w:r>
      <w:r>
        <w:rPr>
          <w:rFonts w:ascii="仿宋" w:eastAsia="仿宋" w:hAnsi="仿宋" w:cs="仿宋"/>
          <w:kern w:val="0"/>
          <w:sz w:val="32"/>
          <w:szCs w:val="32"/>
        </w:rPr>
        <w:t>壮大特色产业链，打造多元支撑的现代产业高地，推动先进制造业和现代服务业、数字经济和实体经济深度融合。</w:t>
      </w:r>
      <w:r>
        <w:rPr>
          <w:rFonts w:ascii="仿宋_GB2312" w:eastAsia="仿宋_GB2312" w:hint="eastAsia"/>
          <w:b/>
          <w:kern w:val="0"/>
          <w:sz w:val="32"/>
          <w:szCs w:val="32"/>
        </w:rPr>
        <w:t>一是支持实施制造业强县战略。</w:t>
      </w:r>
      <w:r>
        <w:rPr>
          <w:rFonts w:ascii="仿宋_GB2312" w:eastAsia="仿宋_GB2312" w:hint="eastAsia"/>
          <w:kern w:val="0"/>
          <w:sz w:val="32"/>
          <w:szCs w:val="32"/>
        </w:rPr>
        <w:t>统筹现有财政资金，发挥政府性基金作用，支持打造千亿级</w:t>
      </w:r>
      <w:r>
        <w:rPr>
          <w:rFonts w:ascii="仿宋_GB2312" w:eastAsia="仿宋_GB2312" w:hint="eastAsia"/>
          <w:color w:val="000000"/>
          <w:sz w:val="32"/>
          <w:szCs w:val="32"/>
        </w:rPr>
        <w:t>工业强县。</w:t>
      </w:r>
      <w:r>
        <w:rPr>
          <w:rFonts w:ascii="仿宋_GB2312" w:eastAsia="仿宋_GB2312" w:hint="eastAsia"/>
          <w:kern w:val="0"/>
          <w:sz w:val="32"/>
          <w:szCs w:val="32"/>
        </w:rPr>
        <w:t>支持推动特钢产业向高品质钢材和装配式钢结构发展；支持推动汽车零部件产业向新能源、汽车部件乃至整车生产发展；支持推动中药制药及绿色食品加工业向精深加工和大健康产业发展。</w:t>
      </w:r>
      <w:r>
        <w:rPr>
          <w:rFonts w:ascii="仿宋_GB2312" w:eastAsia="仿宋_GB2312" w:hint="eastAsia"/>
          <w:b/>
          <w:bCs/>
          <w:kern w:val="0"/>
          <w:sz w:val="32"/>
          <w:szCs w:val="32"/>
        </w:rPr>
        <w:t>二是支持发挥创新引领作用。</w:t>
      </w:r>
      <w:r>
        <w:rPr>
          <w:rFonts w:ascii="仿宋_GB2312" w:eastAsia="仿宋_GB2312" w:hint="eastAsia"/>
          <w:bCs/>
          <w:kern w:val="0"/>
          <w:sz w:val="32"/>
          <w:szCs w:val="32"/>
        </w:rPr>
        <w:t>充分发挥财政职能，用足用活科技创新贷款贴息和科技创新券，综合采用贴息、奖补等政策手段，</w:t>
      </w:r>
      <w:r>
        <w:rPr>
          <w:rFonts w:ascii="仿宋_GB2312" w:eastAsia="仿宋_GB2312" w:hint="eastAsia"/>
          <w:kern w:val="0"/>
          <w:sz w:val="32"/>
          <w:szCs w:val="32"/>
        </w:rPr>
        <w:t>构建多元投入机制，培育创新引领型企业，建设创新创业平台，实施创新项目，培育创新人才，优化创新生态。</w:t>
      </w:r>
      <w:r>
        <w:rPr>
          <w:rFonts w:ascii="仿宋_GB2312" w:eastAsia="仿宋_GB2312" w:hint="eastAsia"/>
          <w:b/>
          <w:bCs/>
          <w:kern w:val="0"/>
          <w:sz w:val="32"/>
          <w:szCs w:val="32"/>
        </w:rPr>
        <w:t>三是支持推进三产融合发展。</w:t>
      </w:r>
      <w:r>
        <w:rPr>
          <w:rFonts w:ascii="仿宋_GB2312" w:eastAsia="仿宋_GB2312" w:hint="eastAsia"/>
          <w:kern w:val="0"/>
          <w:sz w:val="32"/>
          <w:szCs w:val="32"/>
        </w:rPr>
        <w:t>支持</w:t>
      </w:r>
      <w:r>
        <w:rPr>
          <w:rFonts w:ascii="仿宋_GB2312" w:eastAsia="仿宋_GB2312" w:hint="eastAsia"/>
          <w:color w:val="000000"/>
          <w:sz w:val="32"/>
          <w:szCs w:val="32"/>
        </w:rPr>
        <w:t>争创国家全域旅游示范区和老界岭国家级旅游度假区，支持界领文旅集团做大做强。</w:t>
      </w:r>
      <w:r>
        <w:rPr>
          <w:rFonts w:ascii="仿宋_GB2312" w:eastAsia="仿宋_GB2312" w:hint="eastAsia"/>
          <w:b/>
          <w:bCs/>
          <w:kern w:val="0"/>
          <w:sz w:val="32"/>
          <w:szCs w:val="32"/>
        </w:rPr>
        <w:t>四是支持企业</w:t>
      </w:r>
      <w:r>
        <w:rPr>
          <w:rFonts w:ascii="仿宋_GB2312" w:eastAsia="仿宋_GB2312" w:hint="eastAsia"/>
          <w:b/>
          <w:bCs/>
          <w:kern w:val="0"/>
          <w:sz w:val="32"/>
          <w:szCs w:val="32"/>
        </w:rPr>
        <w:lastRenderedPageBreak/>
        <w:t>做大做强。</w:t>
      </w:r>
      <w:r>
        <w:rPr>
          <w:rFonts w:ascii="仿宋_GB2312" w:eastAsia="仿宋_GB2312" w:hint="eastAsia"/>
          <w:kern w:val="0"/>
          <w:sz w:val="32"/>
          <w:szCs w:val="32"/>
        </w:rPr>
        <w:t>落实财政惠企稳企各项政策，持续做好减税降费，用好中小微企业信贷周转金、出口退税等政策工具，持续深化</w:t>
      </w:r>
      <w:r>
        <w:rPr>
          <w:rFonts w:ascii="仿宋_GB2312" w:eastAsia="仿宋_GB2312" w:hint="eastAsia"/>
          <w:kern w:val="0"/>
          <w:sz w:val="32"/>
          <w:szCs w:val="32"/>
          <w:lang w:val="zh-CN"/>
        </w:rPr>
        <w:t>“万人</w:t>
      </w:r>
      <w:r>
        <w:rPr>
          <w:rFonts w:ascii="仿宋_GB2312" w:eastAsia="仿宋_GB2312" w:hint="eastAsia"/>
          <w:kern w:val="0"/>
          <w:sz w:val="32"/>
          <w:szCs w:val="32"/>
        </w:rPr>
        <w:t>助万企</w:t>
      </w:r>
      <w:r>
        <w:rPr>
          <w:rFonts w:ascii="仿宋_GB2312" w:eastAsia="仿宋_GB2312" w:hint="eastAsia"/>
          <w:kern w:val="0"/>
          <w:sz w:val="32"/>
          <w:szCs w:val="32"/>
          <w:lang w:val="zh-CN"/>
        </w:rPr>
        <w:t>”</w:t>
      </w:r>
      <w:r>
        <w:rPr>
          <w:rFonts w:ascii="仿宋_GB2312" w:eastAsia="仿宋_GB2312" w:hint="eastAsia"/>
          <w:kern w:val="0"/>
          <w:sz w:val="32"/>
          <w:szCs w:val="32"/>
        </w:rPr>
        <w:t>。</w:t>
      </w:r>
    </w:p>
    <w:p w:rsidR="00BA1488" w:rsidRDefault="00155CF7">
      <w:pPr>
        <w:overflowPunct w:val="0"/>
        <w:autoSpaceDE w:val="0"/>
        <w:autoSpaceDN w:val="0"/>
        <w:adjustRightInd w:val="0"/>
        <w:snapToGrid w:val="0"/>
        <w:spacing w:line="560" w:lineRule="exact"/>
        <w:ind w:firstLineChars="200" w:firstLine="643"/>
        <w:rPr>
          <w:rFonts w:ascii="楷体_GB2312" w:eastAsia="楷体_GB2312" w:hAnsi="楷体" w:cs="楷体"/>
          <w:b/>
          <w:bCs/>
          <w:kern w:val="0"/>
          <w:sz w:val="32"/>
          <w:szCs w:val="32"/>
        </w:rPr>
      </w:pPr>
      <w:r>
        <w:rPr>
          <w:rFonts w:ascii="楷体_GB2312" w:eastAsia="楷体_GB2312" w:hAnsi="楷体" w:cs="楷体" w:hint="eastAsia"/>
          <w:b/>
          <w:bCs/>
          <w:kern w:val="0"/>
          <w:sz w:val="32"/>
          <w:szCs w:val="32"/>
        </w:rPr>
        <w:t>（二）支持推进新型城镇化建设</w:t>
      </w:r>
    </w:p>
    <w:p w:rsidR="00BA1488" w:rsidRDefault="00155CF7">
      <w:pPr>
        <w:overflowPunct w:val="0"/>
        <w:autoSpaceDE w:val="0"/>
        <w:autoSpaceDN w:val="0"/>
        <w:adjustRightInd w:val="0"/>
        <w:snapToGrid w:val="0"/>
        <w:spacing w:line="560" w:lineRule="exact"/>
        <w:ind w:firstLineChars="200" w:firstLine="640"/>
        <w:rPr>
          <w:sz w:val="32"/>
          <w:szCs w:val="32"/>
        </w:rPr>
      </w:pPr>
      <w:r>
        <w:rPr>
          <w:rFonts w:ascii="仿宋_GB2312" w:eastAsia="仿宋_GB2312" w:hint="eastAsia"/>
          <w:bCs/>
          <w:kern w:val="0"/>
          <w:sz w:val="32"/>
          <w:szCs w:val="32"/>
        </w:rPr>
        <w:t>落实落细各项财政政策，统筹财政资源，全面提升城乡功能品位，加快撤县设市步伐，顺利通过“全国文明城市”届满复验。</w:t>
      </w:r>
      <w:r>
        <w:rPr>
          <w:rFonts w:ascii="仿宋_GB2312" w:eastAsia="仿宋_GB2312" w:hint="eastAsia"/>
          <w:b/>
          <w:kern w:val="0"/>
          <w:sz w:val="32"/>
          <w:szCs w:val="32"/>
        </w:rPr>
        <w:t>一是推动重大项目建设。</w:t>
      </w:r>
      <w:r>
        <w:rPr>
          <w:rFonts w:ascii="仿宋_GB2312" w:eastAsia="仿宋_GB2312" w:hint="eastAsia"/>
          <w:bCs/>
          <w:kern w:val="0"/>
          <w:sz w:val="32"/>
          <w:szCs w:val="32"/>
        </w:rPr>
        <w:t>及时了解上级政策导向和资金投向，加强项目策划储备，坚持谋项目、争项目、建项目一体运作。用足用好政府债券资金，高效规范推进PPP，切实发挥财政资金杠杆撬动作用，</w:t>
      </w:r>
      <w:r>
        <w:rPr>
          <w:rFonts w:ascii="仿宋_GB2312" w:eastAsia="仿宋_GB2312" w:hint="eastAsia"/>
          <w:kern w:val="0"/>
          <w:sz w:val="32"/>
          <w:szCs w:val="32"/>
        </w:rPr>
        <w:t>紧盯新型基础设施、城市更新、产业转型发展、生态环保和民生社会等重点领域，</w:t>
      </w:r>
      <w:r>
        <w:rPr>
          <w:rFonts w:ascii="仿宋_GB2312" w:eastAsia="仿宋_GB2312" w:hint="eastAsia"/>
          <w:bCs/>
          <w:kern w:val="0"/>
          <w:sz w:val="32"/>
          <w:szCs w:val="32"/>
        </w:rPr>
        <w:t>服务保障全年</w:t>
      </w:r>
      <w:r>
        <w:rPr>
          <w:rFonts w:ascii="仿宋_GB2312" w:eastAsia="仿宋_GB2312" w:hint="eastAsia"/>
          <w:color w:val="000000"/>
          <w:sz w:val="32"/>
          <w:szCs w:val="32"/>
        </w:rPr>
        <w:t>总投资</w:t>
      </w:r>
      <w:r>
        <w:rPr>
          <w:rFonts w:ascii="仿宋_GB2312" w:eastAsia="仿宋_GB2312"/>
          <w:color w:val="000000"/>
          <w:sz w:val="32"/>
          <w:szCs w:val="32"/>
        </w:rPr>
        <w:t>1335</w:t>
      </w:r>
      <w:r>
        <w:rPr>
          <w:rFonts w:ascii="仿宋_GB2312" w:eastAsia="仿宋_GB2312" w:hint="eastAsia"/>
          <w:color w:val="000000"/>
          <w:sz w:val="32"/>
          <w:szCs w:val="32"/>
        </w:rPr>
        <w:t>亿元的</w:t>
      </w:r>
      <w:r>
        <w:rPr>
          <w:rFonts w:ascii="仿宋_GB2312" w:eastAsia="仿宋_GB2312"/>
          <w:color w:val="000000"/>
          <w:sz w:val="32"/>
          <w:szCs w:val="32"/>
        </w:rPr>
        <w:t>296</w:t>
      </w:r>
      <w:r>
        <w:rPr>
          <w:rFonts w:ascii="仿宋_GB2312" w:eastAsia="仿宋_GB2312" w:hint="eastAsia"/>
          <w:color w:val="000000"/>
          <w:sz w:val="32"/>
          <w:szCs w:val="32"/>
        </w:rPr>
        <w:t>个重大项目</w:t>
      </w:r>
      <w:r>
        <w:rPr>
          <w:rFonts w:ascii="仿宋" w:eastAsia="仿宋" w:hAnsi="仿宋" w:cs="仿宋" w:hint="eastAsia"/>
          <w:kern w:val="0"/>
          <w:sz w:val="32"/>
          <w:szCs w:val="32"/>
        </w:rPr>
        <w:t>建设</w:t>
      </w:r>
      <w:r>
        <w:rPr>
          <w:rFonts w:ascii="仿宋_GB2312" w:eastAsia="仿宋_GB2312" w:hint="eastAsia"/>
          <w:bCs/>
          <w:kern w:val="0"/>
          <w:sz w:val="32"/>
          <w:szCs w:val="32"/>
        </w:rPr>
        <w:t>。</w:t>
      </w:r>
      <w:r>
        <w:rPr>
          <w:rFonts w:ascii="仿宋_GB2312" w:eastAsia="仿宋_GB2312" w:hint="eastAsia"/>
          <w:b/>
          <w:bCs/>
          <w:kern w:val="0"/>
          <w:sz w:val="32"/>
          <w:szCs w:val="32"/>
        </w:rPr>
        <w:t>二是推进实施城市更新。</w:t>
      </w:r>
      <w:r>
        <w:rPr>
          <w:rFonts w:ascii="仿宋_GB2312" w:eastAsia="仿宋_GB2312" w:hint="eastAsia"/>
          <w:kern w:val="0"/>
          <w:sz w:val="32"/>
          <w:szCs w:val="32"/>
        </w:rPr>
        <w:t>支持</w:t>
      </w:r>
      <w:r>
        <w:rPr>
          <w:rFonts w:ascii="仿宋_GB2312" w:eastAsia="仿宋_GB2312" w:hint="eastAsia"/>
          <w:color w:val="000000"/>
          <w:sz w:val="32"/>
          <w:szCs w:val="32"/>
        </w:rPr>
        <w:t>实施“九片区两棚改”改造，完成17个老旧小区改造提升任务；支持建设餐厨垃圾处理厂、中心城区建筑垃圾消纳场、第二水源地、县城防洪排涝一期、城区及六个集镇污水管网改扩建和城区水系互通等重点工程；支持启动鹳河东岸、城市绿化、主次干道交通岛和工业大道、张江路等</w:t>
      </w:r>
      <w:r>
        <w:rPr>
          <w:rFonts w:ascii="仿宋_GB2312" w:eastAsia="仿宋_GB2312"/>
          <w:color w:val="000000"/>
          <w:sz w:val="32"/>
          <w:szCs w:val="32"/>
        </w:rPr>
        <w:t>7</w:t>
      </w:r>
      <w:r>
        <w:rPr>
          <w:rFonts w:ascii="仿宋_GB2312" w:eastAsia="仿宋_GB2312" w:hint="eastAsia"/>
          <w:color w:val="000000"/>
          <w:sz w:val="32"/>
          <w:szCs w:val="32"/>
        </w:rPr>
        <w:t>条道路改造提升工程；支持新建扩建一批社区公园、口袋公园，绿化提升一批城市道路、生态廊道。</w:t>
      </w:r>
      <w:r>
        <w:rPr>
          <w:rFonts w:ascii="仿宋_GB2312" w:eastAsia="仿宋_GB2312" w:hint="eastAsia"/>
          <w:b/>
          <w:bCs/>
          <w:kern w:val="0"/>
          <w:sz w:val="32"/>
          <w:szCs w:val="32"/>
        </w:rPr>
        <w:t>三是完善城市精细化管理。</w:t>
      </w:r>
      <w:r>
        <w:rPr>
          <w:rFonts w:ascii="仿宋_GB2312" w:eastAsia="仿宋_GB2312" w:hint="eastAsia"/>
          <w:kern w:val="0"/>
          <w:sz w:val="32"/>
          <w:szCs w:val="32"/>
        </w:rPr>
        <w:t>支持</w:t>
      </w:r>
      <w:r>
        <w:rPr>
          <w:rFonts w:ascii="仿宋_GB2312" w:eastAsia="仿宋_GB2312" w:hint="eastAsia"/>
          <w:color w:val="000000"/>
          <w:sz w:val="32"/>
          <w:szCs w:val="32"/>
        </w:rPr>
        <w:t>建成政务大数据中心和智慧城市运营管理中心；支持实施“清洁城市美化家园”行动；支持推行“红色物业”管理，开展无物业管理小区“清零”攻坚行动。</w:t>
      </w:r>
    </w:p>
    <w:p w:rsidR="00BA1488" w:rsidRDefault="00155CF7">
      <w:pPr>
        <w:overflowPunct w:val="0"/>
        <w:autoSpaceDE w:val="0"/>
        <w:autoSpaceDN w:val="0"/>
        <w:adjustRightInd w:val="0"/>
        <w:snapToGrid w:val="0"/>
        <w:spacing w:line="560" w:lineRule="exact"/>
        <w:ind w:firstLineChars="200" w:firstLine="643"/>
        <w:rPr>
          <w:rFonts w:ascii="楷体_GB2312" w:eastAsia="楷体_GB2312" w:hAnsi="楷体" w:cs="楷体"/>
          <w:b/>
          <w:bCs/>
          <w:kern w:val="0"/>
          <w:sz w:val="32"/>
          <w:szCs w:val="32"/>
        </w:rPr>
      </w:pPr>
      <w:bookmarkStart w:id="0" w:name="bookmark18"/>
      <w:bookmarkEnd w:id="0"/>
      <w:r>
        <w:rPr>
          <w:rFonts w:ascii="楷体_GB2312" w:eastAsia="楷体_GB2312" w:hAnsi="楷体" w:cs="楷体" w:hint="eastAsia"/>
          <w:b/>
          <w:bCs/>
          <w:kern w:val="0"/>
          <w:sz w:val="32"/>
          <w:szCs w:val="32"/>
        </w:rPr>
        <w:t>（三）支持提升现代农业发展水平</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保持财政投入力度总体稳定，以建设全省乡村振兴示范引领县为抓手，加快推进乡村振兴，提升农业效益，促进农民增收。</w:t>
      </w:r>
      <w:r>
        <w:rPr>
          <w:rFonts w:ascii="仿宋_GB2312" w:eastAsia="仿宋_GB2312" w:hint="eastAsia"/>
          <w:b/>
          <w:bCs/>
          <w:kern w:val="0"/>
          <w:sz w:val="32"/>
          <w:szCs w:val="32"/>
        </w:rPr>
        <w:lastRenderedPageBreak/>
        <w:t>一是助力特色农业发展</w:t>
      </w:r>
      <w:r>
        <w:rPr>
          <w:rFonts w:ascii="仿宋_GB2312" w:eastAsia="仿宋_GB2312" w:hint="eastAsia"/>
          <w:b/>
          <w:kern w:val="0"/>
          <w:sz w:val="32"/>
          <w:szCs w:val="32"/>
        </w:rPr>
        <w:t>。</w:t>
      </w:r>
      <w:r>
        <w:rPr>
          <w:rFonts w:ascii="仿宋_GB2312" w:eastAsia="仿宋_GB2312" w:hint="eastAsia"/>
          <w:kern w:val="0"/>
          <w:sz w:val="32"/>
          <w:szCs w:val="32"/>
        </w:rPr>
        <w:t>落实各项惠农补贴政策，提高农业生产积极性；进一步提高农业保险保障作用，增强防范应对大灾风险的能力；坚持“稳菌、固果、壮药”，支持</w:t>
      </w:r>
      <w:r>
        <w:rPr>
          <w:rFonts w:ascii="仿宋" w:eastAsia="仿宋" w:hAnsi="仿宋" w:cs="仿宋"/>
          <w:kern w:val="0"/>
          <w:sz w:val="32"/>
          <w:szCs w:val="32"/>
        </w:rPr>
        <w:t>推进</w:t>
      </w:r>
      <w:r>
        <w:rPr>
          <w:rFonts w:ascii="仿宋_GB2312" w:eastAsia="仿宋_GB2312" w:hint="eastAsia"/>
          <w:color w:val="000000"/>
          <w:sz w:val="32"/>
          <w:szCs w:val="32"/>
        </w:rPr>
        <w:t>省部共建国家级（西峡）食用菌交易中心、西</w:t>
      </w:r>
      <w:r>
        <w:rPr>
          <w:rFonts w:ascii="仿宋_GB2312" w:eastAsia="仿宋_GB2312" w:hint="eastAsia"/>
          <w:kern w:val="0"/>
          <w:sz w:val="32"/>
          <w:szCs w:val="32"/>
        </w:rPr>
        <w:t>峡现代中药材特色产地交易中心和猕猴桃贮藏保鲜设施建设，支持创建省级中药材现代农业产业园和省级猕猴桃农业示范园。</w:t>
      </w:r>
      <w:r>
        <w:rPr>
          <w:rFonts w:ascii="仿宋" w:eastAsia="仿宋" w:hAnsi="仿宋" w:cs="仿宋" w:hint="eastAsia"/>
          <w:b/>
          <w:bCs/>
          <w:kern w:val="0"/>
          <w:sz w:val="32"/>
          <w:szCs w:val="32"/>
        </w:rPr>
        <w:t>二是</w:t>
      </w:r>
      <w:r>
        <w:rPr>
          <w:rFonts w:ascii="仿宋_GB2312" w:eastAsia="仿宋_GB2312" w:hint="eastAsia"/>
          <w:b/>
          <w:bCs/>
          <w:kern w:val="0"/>
          <w:sz w:val="32"/>
          <w:szCs w:val="32"/>
        </w:rPr>
        <w:t>持续巩固拓展脱贫攻坚成果。</w:t>
      </w:r>
      <w:r>
        <w:rPr>
          <w:rFonts w:ascii="仿宋_GB2312" w:eastAsia="仿宋_GB2312" w:hint="eastAsia"/>
          <w:kern w:val="0"/>
          <w:sz w:val="32"/>
          <w:szCs w:val="32"/>
        </w:rPr>
        <w:t>保障财政投入强度和整合资金规模，探索建立涉农资金统筹整合长效机制，不断提升整合质量效益，</w:t>
      </w:r>
      <w:r>
        <w:rPr>
          <w:rFonts w:ascii="仿宋_GB2312" w:eastAsia="仿宋_GB2312" w:hint="eastAsia"/>
          <w:color w:val="000000"/>
          <w:sz w:val="32"/>
          <w:szCs w:val="32"/>
        </w:rPr>
        <w:t>巩固“三保障”成果，提高“四集中”兜底管理，夯实产业基础衔接，坚决守牢不发生规模性返贫底线。</w:t>
      </w:r>
      <w:r>
        <w:rPr>
          <w:rFonts w:ascii="仿宋_GB2312" w:eastAsia="仿宋_GB2312" w:hint="eastAsia"/>
          <w:b/>
          <w:bCs/>
          <w:kern w:val="0"/>
          <w:sz w:val="32"/>
          <w:szCs w:val="32"/>
        </w:rPr>
        <w:t>三是大力支持乡村事业发展。</w:t>
      </w:r>
      <w:r>
        <w:rPr>
          <w:rFonts w:ascii="仿宋_GB2312" w:eastAsia="仿宋_GB2312" w:hint="eastAsia"/>
          <w:kern w:val="0"/>
          <w:sz w:val="32"/>
          <w:szCs w:val="32"/>
        </w:rPr>
        <w:t>围绕项目资金争取、资金优化管理和优势产业开发的多元化投入机制，更好发挥农村公益事业财政奖补作用，扶持壮大村级集体经济。支持推进农村人居环境综合整治；支持推进“四美乡村”“五美庭院”创建；支持G312线内西界至丁河段新建、G241线二郎坪李家庄至内西交界段新建、S328线米坪至桑坪玉皇岈段修复养护、G345改建、城乡联营客车站整体搬迁，推进农村公路改造提升，完善农村交通基础设施建设。</w:t>
      </w:r>
    </w:p>
    <w:p w:rsidR="00BA1488" w:rsidRDefault="00155CF7">
      <w:pPr>
        <w:overflowPunct w:val="0"/>
        <w:autoSpaceDE w:val="0"/>
        <w:autoSpaceDN w:val="0"/>
        <w:adjustRightInd w:val="0"/>
        <w:snapToGrid w:val="0"/>
        <w:spacing w:line="560" w:lineRule="exact"/>
        <w:ind w:firstLineChars="200" w:firstLine="643"/>
        <w:rPr>
          <w:rFonts w:ascii="楷体_GB2312" w:eastAsia="楷体_GB2312" w:hAnsi="楷体" w:cs="楷体"/>
          <w:b/>
          <w:bCs/>
          <w:kern w:val="0"/>
          <w:sz w:val="32"/>
          <w:szCs w:val="32"/>
        </w:rPr>
      </w:pPr>
      <w:r>
        <w:rPr>
          <w:rFonts w:ascii="楷体_GB2312" w:eastAsia="楷体_GB2312" w:hAnsi="楷体" w:cs="楷体" w:hint="eastAsia"/>
          <w:b/>
          <w:bCs/>
          <w:kern w:val="0"/>
          <w:sz w:val="32"/>
          <w:szCs w:val="32"/>
        </w:rPr>
        <w:t>（四）支持增进民生福祉</w:t>
      </w:r>
    </w:p>
    <w:p w:rsidR="00BA1488" w:rsidRDefault="00155CF7">
      <w:pPr>
        <w:topLinePunct/>
        <w:adjustRightInd w:val="0"/>
        <w:snapToGrid w:val="0"/>
        <w:spacing w:line="560" w:lineRule="exact"/>
        <w:ind w:firstLineChars="200" w:firstLine="640"/>
        <w:rPr>
          <w:rFonts w:ascii="仿宋_GB2312" w:eastAsia="仿宋_GB2312"/>
          <w:b/>
          <w:bCs/>
          <w:kern w:val="0"/>
          <w:sz w:val="32"/>
          <w:szCs w:val="32"/>
        </w:rPr>
      </w:pPr>
      <w:r>
        <w:rPr>
          <w:rFonts w:ascii="仿宋_GB2312" w:eastAsia="仿宋_GB2312" w:hint="eastAsia"/>
          <w:kern w:val="0"/>
          <w:sz w:val="32"/>
          <w:szCs w:val="32"/>
        </w:rPr>
        <w:t>坚持以人民为中心的发展思想，解决好群众“急难愁盼”问题，不断提升民生保障水平。</w:t>
      </w:r>
      <w:r>
        <w:rPr>
          <w:rFonts w:ascii="仿宋_GB2312" w:eastAsia="仿宋_GB2312" w:hint="eastAsia"/>
          <w:b/>
          <w:bCs/>
          <w:kern w:val="0"/>
          <w:sz w:val="32"/>
          <w:szCs w:val="32"/>
        </w:rPr>
        <w:t>一是支持就业和社会保障体系建设。</w:t>
      </w:r>
      <w:r>
        <w:rPr>
          <w:rFonts w:ascii="仿宋_GB2312" w:eastAsia="仿宋_GB2312" w:hint="eastAsia"/>
          <w:kern w:val="0"/>
          <w:sz w:val="32"/>
          <w:szCs w:val="32"/>
        </w:rPr>
        <w:t>统筹用好职业培训、公益性岗位、社会保险等各类补贴资金，支持推进“人人持证、技能河南”建设，支持高校毕业生、农民工、就业困难人员、退役士兵等重点群体多渠道就业创业。大力支持</w:t>
      </w:r>
      <w:r>
        <w:rPr>
          <w:rFonts w:ascii="仿宋_GB2312" w:eastAsia="仿宋_GB2312" w:hint="eastAsia"/>
          <w:color w:val="000000"/>
          <w:sz w:val="32"/>
          <w:szCs w:val="32"/>
        </w:rPr>
        <w:t>居家社区养老服务设施建设，支持完善分层分类社会救助体系，</w:t>
      </w:r>
      <w:r>
        <w:rPr>
          <w:rFonts w:ascii="仿宋_GB2312" w:eastAsia="仿宋_GB2312" w:hint="eastAsia"/>
          <w:color w:val="000000"/>
          <w:sz w:val="32"/>
          <w:szCs w:val="32"/>
        </w:rPr>
        <w:lastRenderedPageBreak/>
        <w:t>落实城乡低保、特困人员、孤儿养育保障及补助标准；支持开展青少年心理健康服务进村（社区）行动。</w:t>
      </w:r>
      <w:r>
        <w:rPr>
          <w:rFonts w:ascii="仿宋_GB2312" w:eastAsia="仿宋_GB2312" w:hint="eastAsia"/>
          <w:b/>
          <w:bCs/>
          <w:kern w:val="0"/>
          <w:sz w:val="32"/>
          <w:szCs w:val="32"/>
        </w:rPr>
        <w:t>二是支持教育事业高质量发展。</w:t>
      </w:r>
      <w:r>
        <w:rPr>
          <w:rFonts w:ascii="仿宋_GB2312" w:eastAsia="仿宋_GB2312" w:hint="eastAsia"/>
          <w:kern w:val="0"/>
          <w:sz w:val="32"/>
          <w:szCs w:val="32"/>
        </w:rPr>
        <w:t>支持</w:t>
      </w:r>
      <w:r>
        <w:rPr>
          <w:rFonts w:ascii="仿宋_GB2312" w:eastAsia="仿宋_GB2312" w:hint="eastAsia"/>
          <w:color w:val="000000"/>
          <w:sz w:val="32"/>
          <w:szCs w:val="32"/>
        </w:rPr>
        <w:t>推进一高教学楼宿舍楼、职专综合实训楼、三高迁建、五里桥北堂学校改扩建等重点项目；支持推进工业大道县直幼儿园分园建设；</w:t>
      </w:r>
      <w:r>
        <w:rPr>
          <w:rFonts w:ascii="仿宋_GB2312" w:eastAsia="仿宋_GB2312" w:hint="eastAsia"/>
          <w:kern w:val="0"/>
          <w:sz w:val="32"/>
          <w:szCs w:val="32"/>
        </w:rPr>
        <w:t>持续落实义务教育经费保障机制，</w:t>
      </w:r>
      <w:r>
        <w:rPr>
          <w:rFonts w:ascii="仿宋_GB2312" w:eastAsia="仿宋_GB2312" w:hint="eastAsia"/>
          <w:color w:val="000000"/>
          <w:sz w:val="32"/>
          <w:szCs w:val="32"/>
        </w:rPr>
        <w:t>支持实施“三名工程”“六一工程”、教学教研“</w:t>
      </w:r>
      <w:r>
        <w:rPr>
          <w:rFonts w:ascii="仿宋_GB2312" w:eastAsia="仿宋_GB2312"/>
          <w:color w:val="000000"/>
          <w:sz w:val="32"/>
          <w:szCs w:val="32"/>
        </w:rPr>
        <w:t>133</w:t>
      </w:r>
      <w:r>
        <w:rPr>
          <w:rFonts w:ascii="仿宋_GB2312" w:eastAsia="仿宋_GB2312" w:hint="eastAsia"/>
          <w:color w:val="000000"/>
          <w:sz w:val="32"/>
          <w:szCs w:val="32"/>
        </w:rPr>
        <w:t>”工程</w:t>
      </w:r>
      <w:r>
        <w:rPr>
          <w:rFonts w:ascii="仿宋_GB2312" w:eastAsia="仿宋_GB2312" w:hint="eastAsia"/>
          <w:kern w:val="0"/>
          <w:sz w:val="32"/>
          <w:szCs w:val="32"/>
        </w:rPr>
        <w:t>。</w:t>
      </w:r>
      <w:r>
        <w:rPr>
          <w:rFonts w:ascii="仿宋_GB2312" w:eastAsia="仿宋_GB2312" w:hint="eastAsia"/>
          <w:b/>
          <w:bCs/>
          <w:kern w:val="0"/>
          <w:sz w:val="32"/>
          <w:szCs w:val="32"/>
        </w:rPr>
        <w:t>三是支持提高公共卫生服务保障水平。</w:t>
      </w:r>
      <w:r>
        <w:rPr>
          <w:rFonts w:ascii="仿宋_GB2312" w:eastAsia="仿宋_GB2312" w:hint="eastAsia"/>
          <w:kern w:val="0"/>
          <w:sz w:val="32"/>
          <w:szCs w:val="32"/>
        </w:rPr>
        <w:t>保障紧密型县域医共体、惠民养老中心等重点项目建设；支持推动健康西峡16个专项行动，全面提升医疗服务能力；支持推动宛药公司发展中医药传承创新，提升中医药服务能力，发展中医药产业。</w:t>
      </w:r>
      <w:r>
        <w:rPr>
          <w:rFonts w:ascii="仿宋_GB2312" w:eastAsia="仿宋_GB2312" w:hint="eastAsia"/>
          <w:b/>
          <w:bCs/>
          <w:kern w:val="0"/>
          <w:sz w:val="32"/>
          <w:szCs w:val="32"/>
        </w:rPr>
        <w:t>四是支持社会事业发展。</w:t>
      </w:r>
      <w:r>
        <w:rPr>
          <w:rFonts w:ascii="仿宋_GB2312" w:eastAsia="仿宋_GB2312" w:hint="eastAsia"/>
          <w:kern w:val="0"/>
          <w:sz w:val="32"/>
          <w:szCs w:val="32"/>
        </w:rPr>
        <w:t>落实公共文化服务财政保障机制，依托乔典运文学馆、文体中心、城市书屋等阵地，支持推动文化体育事业和文化体育产业联动发展。支持深化“三不四零”平安村(社区) 、企事业单位创建，大力提升居民、职工安全感和平安建设的满意度，推动“平安西峡”建设。</w:t>
      </w:r>
      <w:r>
        <w:rPr>
          <w:rFonts w:ascii="仿宋_GB2312" w:eastAsia="仿宋_GB2312" w:hint="eastAsia"/>
          <w:b/>
          <w:bCs/>
          <w:kern w:val="0"/>
          <w:sz w:val="32"/>
          <w:szCs w:val="32"/>
        </w:rPr>
        <w:t>五是支持打好污染防治攻坚战。</w:t>
      </w:r>
      <w:r>
        <w:rPr>
          <w:rFonts w:ascii="仿宋_GB2312" w:eastAsia="仿宋_GB2312" w:hint="eastAsia"/>
          <w:kern w:val="0"/>
          <w:sz w:val="32"/>
          <w:szCs w:val="32"/>
        </w:rPr>
        <w:t>全力支持工业企业污染排放及散污企业治理、非道路移动机械污染治理等20个污染防治攻坚专项行动；支持推进大气污染防治，确保空气质量持续改善；支持推进鹳河城区段、八迭河、古庄河城区段等重点河段水环境综合治理，确保出境水质稳定达标。</w:t>
      </w:r>
    </w:p>
    <w:p w:rsidR="00BA1488" w:rsidRDefault="00155CF7">
      <w:pPr>
        <w:overflowPunct w:val="0"/>
        <w:autoSpaceDE w:val="0"/>
        <w:autoSpaceDN w:val="0"/>
        <w:adjustRightInd w:val="0"/>
        <w:snapToGrid w:val="0"/>
        <w:spacing w:line="560" w:lineRule="exact"/>
        <w:ind w:firstLineChars="200" w:firstLine="643"/>
        <w:rPr>
          <w:rFonts w:ascii="楷体_GB2312" w:eastAsia="楷体_GB2312" w:hAnsi="楷体" w:cs="楷体"/>
          <w:b/>
          <w:bCs/>
          <w:kern w:val="0"/>
          <w:sz w:val="32"/>
          <w:szCs w:val="32"/>
        </w:rPr>
      </w:pPr>
      <w:r>
        <w:rPr>
          <w:rFonts w:ascii="楷体_GB2312" w:eastAsia="楷体_GB2312" w:hAnsi="楷体" w:cs="楷体" w:hint="eastAsia"/>
          <w:b/>
          <w:bCs/>
          <w:kern w:val="0"/>
          <w:sz w:val="32"/>
          <w:szCs w:val="32"/>
        </w:rPr>
        <w:t>（五）大力提升财政管理精细化水平</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统筹使用有限的财政资源，让财政资金精准发挥效益。</w:t>
      </w:r>
      <w:r>
        <w:rPr>
          <w:rFonts w:ascii="仿宋_GB2312" w:eastAsia="仿宋_GB2312" w:hint="eastAsia"/>
          <w:b/>
          <w:bCs/>
          <w:kern w:val="0"/>
          <w:sz w:val="32"/>
          <w:szCs w:val="32"/>
        </w:rPr>
        <w:t>一是加强政府债券资金管理。</w:t>
      </w:r>
      <w:r>
        <w:rPr>
          <w:rFonts w:ascii="仿宋_GB2312" w:eastAsia="仿宋_GB2312" w:hint="eastAsia"/>
          <w:kern w:val="0"/>
          <w:sz w:val="32"/>
          <w:szCs w:val="32"/>
        </w:rPr>
        <w:t>抢抓国家扩大政府债券发行规模的政策机遇，研究债券投资重点，强化省市县联动，注重部门配合，做好项目储备，争取更多项目资金支持。同时，加强债券资金使用</w:t>
      </w:r>
      <w:r>
        <w:rPr>
          <w:rFonts w:ascii="仿宋_GB2312" w:eastAsia="仿宋_GB2312" w:hint="eastAsia"/>
          <w:kern w:val="0"/>
          <w:sz w:val="32"/>
          <w:szCs w:val="32"/>
        </w:rPr>
        <w:lastRenderedPageBreak/>
        <w:t>管理，加快资金支出进度，促进资金尽早发挥作用。</w:t>
      </w:r>
      <w:r>
        <w:rPr>
          <w:rFonts w:ascii="仿宋_GB2312" w:eastAsia="仿宋_GB2312" w:hint="eastAsia"/>
          <w:b/>
          <w:bCs/>
          <w:kern w:val="0"/>
          <w:sz w:val="32"/>
          <w:szCs w:val="32"/>
        </w:rPr>
        <w:t>二是充分发挥财政政策引导和财政资金撬动作用。</w:t>
      </w:r>
      <w:r>
        <w:rPr>
          <w:rFonts w:ascii="仿宋_GB2312" w:eastAsia="仿宋_GB2312" w:hint="eastAsia"/>
          <w:kern w:val="0"/>
          <w:sz w:val="32"/>
          <w:szCs w:val="32"/>
        </w:rPr>
        <w:t>用好现有政府性基金，吸引更多社会资本积极参与项目建设和产业发展。加大力度引导银行、保险、担保等金融资本支持市场主体发展,切实让好的政策发挥作用。</w:t>
      </w:r>
      <w:r>
        <w:rPr>
          <w:rFonts w:ascii="仿宋_GB2312" w:eastAsia="仿宋_GB2312" w:hint="eastAsia"/>
          <w:b/>
          <w:bCs/>
          <w:kern w:val="0"/>
          <w:sz w:val="32"/>
          <w:szCs w:val="32"/>
        </w:rPr>
        <w:t>三是持续落实减税降费政策。</w:t>
      </w:r>
      <w:r>
        <w:rPr>
          <w:rFonts w:ascii="仿宋_GB2312" w:eastAsia="仿宋_GB2312" w:hint="eastAsia"/>
          <w:kern w:val="0"/>
          <w:sz w:val="32"/>
          <w:szCs w:val="32"/>
        </w:rPr>
        <w:t>进一步加大宣传和政策解读力度，提高纳税人和缴费人政策知晓度，帮助企业用足用好政策，确保各项措施落实到位,让企业和群众有实实在在的获得感。</w:t>
      </w:r>
    </w:p>
    <w:p w:rsidR="00BA1488" w:rsidRDefault="00155CF7">
      <w:pPr>
        <w:overflowPunct w:val="0"/>
        <w:autoSpaceDE w:val="0"/>
        <w:autoSpaceDN w:val="0"/>
        <w:adjustRightInd w:val="0"/>
        <w:snapToGrid w:val="0"/>
        <w:spacing w:line="560" w:lineRule="exact"/>
        <w:ind w:firstLineChars="200" w:firstLine="643"/>
        <w:rPr>
          <w:rFonts w:ascii="楷体_GB2312" w:eastAsia="楷体_GB2312" w:hAnsi="楷体" w:cs="楷体"/>
          <w:b/>
          <w:bCs/>
          <w:kern w:val="0"/>
          <w:sz w:val="32"/>
          <w:szCs w:val="32"/>
        </w:rPr>
      </w:pPr>
      <w:r>
        <w:rPr>
          <w:rFonts w:ascii="楷体_GB2312" w:eastAsia="楷体_GB2312" w:hAnsi="楷体" w:cs="楷体" w:hint="eastAsia"/>
          <w:b/>
          <w:bCs/>
          <w:kern w:val="0"/>
          <w:sz w:val="32"/>
          <w:szCs w:val="32"/>
        </w:rPr>
        <w:t>（六）确保财政稳定可持续运行</w:t>
      </w:r>
    </w:p>
    <w:p w:rsidR="00BA1488" w:rsidRDefault="00155CF7">
      <w:pPr>
        <w:overflowPunct w:val="0"/>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深挖财政增收潜力，保持适当支出强度，确保财政安全持续运行。</w:t>
      </w:r>
      <w:r>
        <w:rPr>
          <w:rFonts w:ascii="仿宋_GB2312" w:eastAsia="仿宋_GB2312" w:hint="eastAsia"/>
          <w:b/>
          <w:bCs/>
          <w:kern w:val="0"/>
          <w:sz w:val="32"/>
          <w:szCs w:val="32"/>
        </w:rPr>
        <w:t>一是积极培育涵养财源。</w:t>
      </w:r>
      <w:r>
        <w:rPr>
          <w:rFonts w:ascii="仿宋_GB2312" w:eastAsia="仿宋_GB2312" w:hint="eastAsia"/>
          <w:kern w:val="0"/>
          <w:sz w:val="32"/>
          <w:szCs w:val="32"/>
        </w:rPr>
        <w:t>加大对产业转型升级、科技创新、服务企业发展的投入力度，带动纳税主体发展壮大和税源数量增多，夯实财政收入稳定增长更可持续的基础。</w:t>
      </w:r>
      <w:r>
        <w:rPr>
          <w:rFonts w:ascii="仿宋_GB2312" w:eastAsia="仿宋_GB2312" w:hint="eastAsia"/>
          <w:b/>
          <w:bCs/>
          <w:kern w:val="0"/>
          <w:sz w:val="32"/>
          <w:szCs w:val="32"/>
        </w:rPr>
        <w:t>二是继续做好依法治税。</w:t>
      </w:r>
      <w:r>
        <w:rPr>
          <w:rFonts w:ascii="仿宋_GB2312" w:eastAsia="仿宋_GB2312" w:hAnsi="宋体" w:cs="仿宋_GB2312" w:hint="eastAsia"/>
          <w:kern w:val="0"/>
          <w:sz w:val="32"/>
          <w:szCs w:val="32"/>
          <w:shd w:val="clear" w:color="auto" w:fill="FFFFFF"/>
        </w:rPr>
        <w:t>强化数据共享共用，</w:t>
      </w:r>
      <w:r>
        <w:rPr>
          <w:rFonts w:ascii="仿宋_GB2312" w:eastAsia="仿宋_GB2312" w:hint="eastAsia"/>
          <w:kern w:val="0"/>
          <w:sz w:val="32"/>
          <w:szCs w:val="32"/>
        </w:rPr>
        <w:t>注重部门协同配合，</w:t>
      </w:r>
      <w:r>
        <w:rPr>
          <w:rFonts w:ascii="仿宋_GB2312" w:eastAsia="仿宋_GB2312" w:hAnsi="宋体" w:cs="仿宋_GB2312" w:hint="eastAsia"/>
          <w:kern w:val="0"/>
          <w:sz w:val="32"/>
          <w:szCs w:val="32"/>
          <w:shd w:val="clear" w:color="auto" w:fill="FFFFFF"/>
        </w:rPr>
        <w:t>开展税费征管核查，形成综合治税合力，做好税收潜力的测算、评估，全面堵漏增收。围绕税源分布、产业结构调整、税收政策落实等情况，强化对县域重点税源企业的动态监控，科学研判，挖潜增收。</w:t>
      </w:r>
      <w:r>
        <w:rPr>
          <w:rFonts w:ascii="仿宋_GB2312" w:eastAsia="仿宋_GB2312" w:hAnsi="宋体" w:cs="仿宋_GB2312" w:hint="eastAsia"/>
          <w:b/>
          <w:bCs/>
          <w:kern w:val="0"/>
          <w:sz w:val="32"/>
          <w:szCs w:val="32"/>
          <w:shd w:val="clear" w:color="auto" w:fill="FFFFFF"/>
        </w:rPr>
        <w:t>三是</w:t>
      </w:r>
      <w:r>
        <w:rPr>
          <w:rFonts w:ascii="仿宋_GB2312" w:eastAsia="仿宋_GB2312" w:hint="eastAsia"/>
          <w:b/>
          <w:bCs/>
          <w:kern w:val="0"/>
          <w:sz w:val="32"/>
          <w:szCs w:val="32"/>
        </w:rPr>
        <w:t>守住</w:t>
      </w:r>
      <w:r>
        <w:rPr>
          <w:rFonts w:ascii="仿宋_GB2312" w:eastAsia="仿宋_GB2312" w:hint="eastAsia"/>
          <w:b/>
          <w:bCs/>
          <w:kern w:val="0"/>
          <w:sz w:val="32"/>
          <w:szCs w:val="32"/>
          <w:lang w:val="zh-CN"/>
        </w:rPr>
        <w:t>“三保”风险</w:t>
      </w:r>
      <w:r>
        <w:rPr>
          <w:rFonts w:ascii="仿宋_GB2312" w:eastAsia="仿宋_GB2312" w:hint="eastAsia"/>
          <w:b/>
          <w:bCs/>
          <w:kern w:val="0"/>
          <w:sz w:val="32"/>
          <w:szCs w:val="32"/>
        </w:rPr>
        <w:t>底线。</w:t>
      </w:r>
      <w:r>
        <w:rPr>
          <w:rFonts w:ascii="仿宋_GB2312" w:eastAsia="仿宋_GB2312" w:hint="eastAsia"/>
          <w:kern w:val="0"/>
          <w:sz w:val="32"/>
          <w:szCs w:val="32"/>
        </w:rPr>
        <w:t>坚持</w:t>
      </w:r>
      <w:r>
        <w:rPr>
          <w:rFonts w:ascii="仿宋_GB2312" w:eastAsia="仿宋_GB2312" w:hint="eastAsia"/>
          <w:kern w:val="0"/>
          <w:sz w:val="32"/>
          <w:szCs w:val="32"/>
          <w:lang w:val="zh-CN"/>
        </w:rPr>
        <w:t>“三保”支出</w:t>
      </w:r>
      <w:r>
        <w:rPr>
          <w:rFonts w:ascii="仿宋_GB2312" w:eastAsia="仿宋_GB2312" w:hint="eastAsia"/>
          <w:kern w:val="0"/>
          <w:sz w:val="32"/>
          <w:szCs w:val="32"/>
        </w:rPr>
        <w:t>在预算安排和库款拨付等方面的优先顺序，足额编列预算，确保</w:t>
      </w:r>
      <w:r>
        <w:rPr>
          <w:rFonts w:ascii="仿宋_GB2312" w:eastAsia="仿宋_GB2312" w:hint="eastAsia"/>
          <w:kern w:val="0"/>
          <w:sz w:val="32"/>
          <w:szCs w:val="32"/>
          <w:lang w:val="zh-CN"/>
        </w:rPr>
        <w:t>“三保”不</w:t>
      </w:r>
      <w:r>
        <w:rPr>
          <w:rFonts w:ascii="仿宋_GB2312" w:eastAsia="仿宋_GB2312" w:hint="eastAsia"/>
          <w:kern w:val="0"/>
          <w:sz w:val="32"/>
          <w:szCs w:val="32"/>
        </w:rPr>
        <w:t>出任何问题。全面评估各项支出政策对财政支出的中长期影响，及时调整完善标准过高的支出政策，切实提高预算安排与财力状况的匹配程度, 防范财政运行风险。</w:t>
      </w:r>
    </w:p>
    <w:p w:rsidR="00BA1488" w:rsidRDefault="00155CF7">
      <w:pPr>
        <w:pStyle w:val="Bodytext1"/>
        <w:overflowPunct w:val="0"/>
        <w:autoSpaceDE w:val="0"/>
        <w:autoSpaceDN w:val="0"/>
        <w:adjustRightInd w:val="0"/>
        <w:snapToGrid w:val="0"/>
        <w:spacing w:line="560" w:lineRule="exact"/>
        <w:ind w:firstLine="640"/>
        <w:rPr>
          <w:rFonts w:ascii="仿宋_GB2312" w:eastAsia="仿宋_GB2312" w:hAnsi="仿宋_GB2312" w:cs="仿宋_GB2312"/>
          <w:kern w:val="0"/>
          <w:sz w:val="32"/>
          <w:szCs w:val="32"/>
        </w:rPr>
      </w:pPr>
      <w:r>
        <w:rPr>
          <w:rFonts w:ascii="仿宋_GB2312" w:eastAsia="仿宋_GB2312" w:hAnsi="仿宋" w:hint="eastAsia"/>
          <w:kern w:val="0"/>
          <w:sz w:val="32"/>
          <w:szCs w:val="32"/>
          <w:lang w:val="en-US" w:eastAsia="zh-CN"/>
        </w:rPr>
        <w:t>各位领导，下半年财政工作任务异常艰巨，我们将在县人大及其常委会的依法监督下，</w:t>
      </w:r>
      <w:r>
        <w:rPr>
          <w:rFonts w:ascii="仿宋_GB2312" w:eastAsia="仿宋_GB2312" w:hAnsi="仿宋_GB2312" w:cs="仿宋_GB2312" w:hint="eastAsia"/>
          <w:kern w:val="0"/>
          <w:sz w:val="32"/>
          <w:szCs w:val="32"/>
        </w:rPr>
        <w:t>更好发挥财政职能作用，</w:t>
      </w:r>
      <w:r>
        <w:rPr>
          <w:rFonts w:ascii="仿宋_GB2312" w:eastAsia="仿宋_GB2312" w:hAnsi="仿宋_GB2312" w:cs="仿宋_GB2312" w:hint="eastAsia"/>
          <w:kern w:val="0"/>
          <w:sz w:val="32"/>
          <w:szCs w:val="32"/>
          <w:lang w:val="en-US" w:eastAsia="zh-CN"/>
        </w:rPr>
        <w:t>迎难而上，</w:t>
      </w:r>
      <w:r>
        <w:rPr>
          <w:rFonts w:ascii="仿宋_GB2312" w:eastAsia="仿宋_GB2312" w:hAnsi="仿宋_GB2312" w:cs="仿宋_GB2312" w:hint="eastAsia"/>
          <w:kern w:val="0"/>
          <w:sz w:val="32"/>
          <w:szCs w:val="32"/>
          <w:lang w:val="en-US" w:eastAsia="zh-CN"/>
        </w:rPr>
        <w:lastRenderedPageBreak/>
        <w:t>砥砺前行，以奋发有为的精神状态</w:t>
      </w:r>
      <w:r>
        <w:rPr>
          <w:rFonts w:ascii="仿宋_GB2312" w:eastAsia="仿宋_GB2312" w:hAnsi="仿宋_GB2312" w:cs="仿宋_GB2312" w:hint="eastAsia"/>
          <w:kern w:val="0"/>
          <w:sz w:val="32"/>
          <w:szCs w:val="32"/>
        </w:rPr>
        <w:t>扎实做好财政各项工作，</w:t>
      </w:r>
      <w:r>
        <w:rPr>
          <w:rFonts w:ascii="仿宋_GB2312" w:eastAsia="仿宋_GB2312" w:hAnsi="仿宋_GB2312" w:cs="仿宋_GB2312" w:hint="eastAsia"/>
          <w:kern w:val="0"/>
          <w:sz w:val="32"/>
          <w:szCs w:val="32"/>
          <w:lang w:val="en-US" w:eastAsia="zh-CN"/>
        </w:rPr>
        <w:t>为加快县域经济高质量高效率跨越发展</w:t>
      </w:r>
      <w:r>
        <w:rPr>
          <w:rFonts w:ascii="仿宋_GB2312" w:eastAsia="仿宋_GB2312" w:hAnsi="仿宋_GB2312" w:cs="仿宋_GB2312" w:hint="eastAsia"/>
          <w:kern w:val="0"/>
          <w:sz w:val="32"/>
          <w:szCs w:val="32"/>
        </w:rPr>
        <w:t>贡献财政力量！</w:t>
      </w:r>
    </w:p>
    <w:p w:rsidR="00BA1488" w:rsidRDefault="00BA1488">
      <w:pPr>
        <w:pStyle w:val="Bodytext1"/>
        <w:overflowPunct w:val="0"/>
        <w:autoSpaceDE w:val="0"/>
        <w:autoSpaceDN w:val="0"/>
        <w:adjustRightInd w:val="0"/>
        <w:snapToGrid w:val="0"/>
        <w:spacing w:line="560" w:lineRule="exact"/>
        <w:rPr>
          <w:rFonts w:ascii="仿宋_GB2312" w:eastAsia="仿宋_GB2312" w:hAnsi="仿宋_GB2312" w:cs="仿宋_GB2312"/>
          <w:kern w:val="0"/>
          <w:sz w:val="32"/>
          <w:szCs w:val="32"/>
        </w:rPr>
      </w:pPr>
    </w:p>
    <w:p w:rsidR="00BA1488" w:rsidRDefault="00155CF7">
      <w:pPr>
        <w:overflowPunct w:val="0"/>
        <w:autoSpaceDE w:val="0"/>
        <w:autoSpaceDN w:val="0"/>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附表：1.西峡县2022年财政一般预算收支决算总表</w:t>
      </w:r>
    </w:p>
    <w:p w:rsidR="00BA1488" w:rsidRDefault="00155CF7">
      <w:pPr>
        <w:overflowPunct w:val="0"/>
        <w:autoSpaceDE w:val="0"/>
        <w:autoSpaceDN w:val="0"/>
        <w:adjustRightInd w:val="0"/>
        <w:snapToGrid w:val="0"/>
        <w:spacing w:line="560" w:lineRule="exact"/>
        <w:ind w:firstLineChars="300" w:firstLine="960"/>
        <w:rPr>
          <w:rFonts w:ascii="仿宋_GB2312" w:eastAsia="仿宋_GB2312" w:hAnsi="仿宋"/>
          <w:sz w:val="32"/>
          <w:szCs w:val="32"/>
        </w:rPr>
      </w:pPr>
      <w:r>
        <w:rPr>
          <w:rFonts w:ascii="仿宋_GB2312" w:eastAsia="仿宋_GB2312" w:hAnsi="仿宋" w:hint="eastAsia"/>
          <w:sz w:val="32"/>
          <w:szCs w:val="32"/>
        </w:rPr>
        <w:t>2.西峡县2022年政府性基金收支决算总表</w:t>
      </w:r>
    </w:p>
    <w:p w:rsidR="00BA1488" w:rsidRDefault="00155CF7">
      <w:pPr>
        <w:overflowPunct w:val="0"/>
        <w:autoSpaceDE w:val="0"/>
        <w:autoSpaceDN w:val="0"/>
        <w:adjustRightInd w:val="0"/>
        <w:snapToGrid w:val="0"/>
        <w:spacing w:line="560" w:lineRule="exact"/>
        <w:ind w:firstLineChars="300" w:firstLine="96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3.西峡县2022年国有资本经营预算收支决算总表</w:t>
      </w:r>
    </w:p>
    <w:p w:rsidR="00BA1488" w:rsidRDefault="00155CF7">
      <w:pPr>
        <w:overflowPunct w:val="0"/>
        <w:autoSpaceDE w:val="0"/>
        <w:autoSpaceDN w:val="0"/>
        <w:adjustRightInd w:val="0"/>
        <w:snapToGrid w:val="0"/>
        <w:spacing w:line="560" w:lineRule="exact"/>
        <w:ind w:firstLineChars="300" w:firstLine="96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4.西峡县2023年上半年财政一般预算收支决算总表</w:t>
      </w:r>
    </w:p>
    <w:p w:rsidR="00BA1488" w:rsidRDefault="00155CF7">
      <w:pPr>
        <w:overflowPunct w:val="0"/>
        <w:autoSpaceDE w:val="0"/>
        <w:autoSpaceDN w:val="0"/>
        <w:adjustRightInd w:val="0"/>
        <w:snapToGrid w:val="0"/>
        <w:spacing w:line="560" w:lineRule="exact"/>
        <w:ind w:firstLineChars="300" w:firstLine="960"/>
        <w:rPr>
          <w:rFonts w:ascii="仿宋_GB2312" w:eastAsia="仿宋_GB2312" w:hAnsi="仿宋"/>
          <w:sz w:val="32"/>
          <w:szCs w:val="32"/>
        </w:rPr>
      </w:pPr>
      <w:r>
        <w:rPr>
          <w:rFonts w:ascii="仿宋_GB2312" w:eastAsia="仿宋_GB2312" w:hAnsi="仿宋" w:hint="eastAsia"/>
          <w:sz w:val="32"/>
          <w:szCs w:val="32"/>
        </w:rPr>
        <w:t>5.西峡县2023年上半年政府性基金收支决算总表</w:t>
      </w:r>
    </w:p>
    <w:p w:rsidR="00BA1488" w:rsidRDefault="00155CF7">
      <w:pPr>
        <w:overflowPunct w:val="0"/>
        <w:autoSpaceDE w:val="0"/>
        <w:autoSpaceDN w:val="0"/>
        <w:adjustRightInd w:val="0"/>
        <w:snapToGrid w:val="0"/>
        <w:spacing w:line="560" w:lineRule="exact"/>
        <w:ind w:firstLineChars="300" w:firstLine="960"/>
        <w:rPr>
          <w:rFonts w:ascii="仿宋_GB2312" w:eastAsia="仿宋_GB2312" w:hAnsi="仿宋" w:cs="仿宋"/>
          <w:sz w:val="32"/>
          <w:szCs w:val="32"/>
        </w:rPr>
      </w:pPr>
      <w:r>
        <w:rPr>
          <w:rFonts w:ascii="仿宋_GB2312" w:eastAsia="仿宋_GB2312" w:hAnsi="仿宋" w:hint="eastAsia"/>
          <w:sz w:val="32"/>
          <w:szCs w:val="32"/>
        </w:rPr>
        <w:t>6.西峡县2023年上半年上级专项追加支出情况表</w:t>
      </w:r>
    </w:p>
    <w:p w:rsidR="00BA1488" w:rsidRDefault="00BA1488">
      <w:pPr>
        <w:adjustRightInd w:val="0"/>
        <w:snapToGrid w:val="0"/>
        <w:spacing w:line="560" w:lineRule="exact"/>
        <w:outlineLvl w:val="0"/>
        <w:rPr>
          <w:rFonts w:ascii="仿宋_GB2312" w:eastAsia="仿宋_GB2312" w:hAnsi="仿宋" w:cs="仿宋"/>
          <w:sz w:val="32"/>
          <w:szCs w:val="32"/>
        </w:rPr>
      </w:pPr>
    </w:p>
    <w:p w:rsidR="00BA1488" w:rsidRDefault="00BA1488">
      <w:pPr>
        <w:pStyle w:val="a0"/>
        <w:adjustRightInd w:val="0"/>
        <w:snapToGrid w:val="0"/>
        <w:spacing w:line="560" w:lineRule="exact"/>
      </w:pPr>
    </w:p>
    <w:p w:rsidR="00BA1488" w:rsidRDefault="00BA1488">
      <w:pPr>
        <w:adjustRightInd w:val="0"/>
        <w:snapToGrid w:val="0"/>
        <w:spacing w:line="560" w:lineRule="exact"/>
        <w:rPr>
          <w:rFonts w:ascii="仿宋_GB2312" w:eastAsia="仿宋_GB2312" w:hAnsi="仿宋" w:cs="仿宋"/>
          <w:sz w:val="32"/>
          <w:szCs w:val="32"/>
        </w:rPr>
      </w:pPr>
    </w:p>
    <w:p w:rsidR="00BA1488" w:rsidRDefault="00BA1488">
      <w:pPr>
        <w:adjustRightInd w:val="0"/>
        <w:snapToGrid w:val="0"/>
        <w:spacing w:line="560" w:lineRule="exact"/>
        <w:rPr>
          <w:rFonts w:ascii="仿宋_GB2312" w:eastAsia="仿宋_GB2312" w:hAnsi="仿宋" w:cs="仿宋"/>
          <w:sz w:val="32"/>
          <w:szCs w:val="32"/>
        </w:rPr>
      </w:pPr>
    </w:p>
    <w:p w:rsidR="00BA1488" w:rsidRDefault="00BA1488">
      <w:pPr>
        <w:adjustRightInd w:val="0"/>
        <w:snapToGrid w:val="0"/>
        <w:spacing w:line="560" w:lineRule="exact"/>
        <w:rPr>
          <w:rFonts w:ascii="仿宋_GB2312" w:eastAsia="仿宋_GB2312" w:hAnsi="仿宋" w:cs="仿宋"/>
          <w:sz w:val="32"/>
          <w:szCs w:val="32"/>
        </w:rPr>
      </w:pPr>
    </w:p>
    <w:p w:rsidR="00BA1488" w:rsidRDefault="00BA1488">
      <w:pPr>
        <w:adjustRightInd w:val="0"/>
        <w:snapToGrid w:val="0"/>
        <w:spacing w:line="560" w:lineRule="exact"/>
        <w:rPr>
          <w:rFonts w:ascii="仿宋_GB2312" w:eastAsia="仿宋_GB2312" w:hAnsi="仿宋" w:cs="仿宋"/>
          <w:sz w:val="32"/>
          <w:szCs w:val="32"/>
        </w:rPr>
      </w:pPr>
    </w:p>
    <w:p w:rsidR="00BA1488" w:rsidRDefault="00BA1488">
      <w:pPr>
        <w:adjustRightInd w:val="0"/>
        <w:snapToGrid w:val="0"/>
        <w:spacing w:line="360" w:lineRule="auto"/>
        <w:rPr>
          <w:rFonts w:ascii="仿宋_GB2312" w:eastAsia="仿宋_GB2312" w:hAnsi="仿宋" w:cs="仿宋"/>
          <w:sz w:val="32"/>
          <w:szCs w:val="32"/>
        </w:rPr>
      </w:pPr>
    </w:p>
    <w:p w:rsidR="00BA1488" w:rsidRDefault="00BA1488">
      <w:pPr>
        <w:adjustRightInd w:val="0"/>
        <w:snapToGrid w:val="0"/>
        <w:spacing w:line="360" w:lineRule="auto"/>
        <w:rPr>
          <w:rFonts w:ascii="仿宋_GB2312" w:eastAsia="仿宋_GB2312" w:hAnsi="仿宋" w:cs="仿宋"/>
          <w:sz w:val="32"/>
          <w:szCs w:val="32"/>
        </w:rPr>
      </w:pPr>
    </w:p>
    <w:p w:rsidR="00BA1488" w:rsidRDefault="00BA1488">
      <w:pPr>
        <w:adjustRightInd w:val="0"/>
        <w:snapToGrid w:val="0"/>
        <w:spacing w:line="360" w:lineRule="auto"/>
        <w:rPr>
          <w:rFonts w:ascii="仿宋_GB2312" w:eastAsia="仿宋_GB2312" w:hAnsi="仿宋" w:cs="仿宋"/>
          <w:sz w:val="32"/>
          <w:szCs w:val="32"/>
        </w:rPr>
      </w:pPr>
    </w:p>
    <w:p w:rsidR="00BA1488" w:rsidRDefault="00BA1488">
      <w:pPr>
        <w:adjustRightInd w:val="0"/>
        <w:snapToGrid w:val="0"/>
        <w:spacing w:line="360" w:lineRule="auto"/>
        <w:rPr>
          <w:rFonts w:ascii="仿宋_GB2312" w:eastAsia="仿宋_GB2312" w:hAnsi="仿宋" w:cs="仿宋"/>
          <w:sz w:val="32"/>
          <w:szCs w:val="32"/>
        </w:rPr>
      </w:pPr>
    </w:p>
    <w:p w:rsidR="00BA1488" w:rsidRDefault="00BA1488">
      <w:pPr>
        <w:adjustRightInd w:val="0"/>
        <w:snapToGrid w:val="0"/>
        <w:spacing w:line="360" w:lineRule="auto"/>
        <w:rPr>
          <w:rFonts w:ascii="仿宋_GB2312" w:eastAsia="仿宋_GB2312" w:hAnsi="仿宋" w:cs="仿宋"/>
          <w:sz w:val="32"/>
          <w:szCs w:val="32"/>
        </w:rPr>
      </w:pPr>
    </w:p>
    <w:p w:rsidR="00BA1488" w:rsidRDefault="00BA1488">
      <w:pPr>
        <w:adjustRightInd w:val="0"/>
        <w:snapToGrid w:val="0"/>
        <w:spacing w:line="360" w:lineRule="auto"/>
        <w:rPr>
          <w:rFonts w:ascii="仿宋_GB2312" w:eastAsia="仿宋_GB2312" w:hAnsi="仿宋" w:cs="仿宋"/>
          <w:sz w:val="32"/>
          <w:szCs w:val="32"/>
        </w:rPr>
      </w:pPr>
    </w:p>
    <w:p w:rsidR="00BA1488" w:rsidRDefault="00BA1488">
      <w:pPr>
        <w:adjustRightInd w:val="0"/>
        <w:snapToGrid w:val="0"/>
        <w:spacing w:line="360" w:lineRule="auto"/>
        <w:rPr>
          <w:rFonts w:ascii="仿宋_GB2312" w:eastAsia="仿宋_GB2312" w:hAnsi="仿宋" w:cs="仿宋"/>
          <w:sz w:val="32"/>
          <w:szCs w:val="32"/>
        </w:rPr>
      </w:pPr>
    </w:p>
    <w:p w:rsidR="00BA1488" w:rsidRDefault="00BA1488">
      <w:pPr>
        <w:adjustRightInd w:val="0"/>
        <w:snapToGrid w:val="0"/>
        <w:spacing w:line="360" w:lineRule="auto"/>
        <w:rPr>
          <w:rFonts w:ascii="仿宋_GB2312" w:eastAsia="仿宋_GB2312" w:hAnsi="仿宋" w:cs="仿宋"/>
          <w:sz w:val="32"/>
          <w:szCs w:val="32"/>
        </w:rPr>
      </w:pPr>
    </w:p>
    <w:p w:rsidR="00BA1488" w:rsidRDefault="00155CF7">
      <w:pPr>
        <w:adjustRightInd w:val="0"/>
        <w:snapToGrid w:val="0"/>
        <w:spacing w:line="360" w:lineRule="auto"/>
        <w:rPr>
          <w:rFonts w:ascii="仿宋_GB2312" w:eastAsia="仿宋_GB2312" w:hAnsi="仿宋" w:cs="仿宋"/>
          <w:sz w:val="32"/>
          <w:szCs w:val="32"/>
        </w:rPr>
      </w:pPr>
      <w:r>
        <w:rPr>
          <w:rFonts w:ascii="仿宋_GB2312" w:eastAsia="仿宋_GB2312" w:hAnsi="仿宋" w:cs="仿宋" w:hint="eastAsia"/>
          <w:sz w:val="32"/>
          <w:szCs w:val="32"/>
        </w:rPr>
        <w:lastRenderedPageBreak/>
        <w:t>附表一</w:t>
      </w:r>
    </w:p>
    <w:p w:rsidR="00BA1488" w:rsidRDefault="00155CF7">
      <w:pPr>
        <w:pStyle w:val="a0"/>
        <w:adjustRightInd w:val="0"/>
        <w:snapToGrid w:val="0"/>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西峡县2022年一般公共预算收支决算总表</w:t>
      </w:r>
    </w:p>
    <w:p w:rsidR="00BA1488" w:rsidRDefault="00155CF7">
      <w:pPr>
        <w:pStyle w:val="a0"/>
        <w:adjustRightInd w:val="0"/>
        <w:snapToGrid w:val="0"/>
        <w:jc w:val="center"/>
        <w:rPr>
          <w:rFonts w:ascii="仿宋" w:eastAsia="仿宋" w:hAnsi="仿宋" w:cs="仿宋"/>
          <w:sz w:val="32"/>
          <w:szCs w:val="32"/>
        </w:rPr>
      </w:pPr>
      <w:r>
        <w:rPr>
          <w:rFonts w:ascii="仿宋_GB2312" w:eastAsia="仿宋_GB2312" w:hAnsi="仿宋" w:cs="仿宋" w:hint="eastAsia"/>
          <w:sz w:val="32"/>
          <w:szCs w:val="32"/>
        </w:rPr>
        <w:t xml:space="preserve">                                            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3220"/>
        <w:gridCol w:w="995"/>
        <w:gridCol w:w="2761"/>
        <w:gridCol w:w="1205"/>
      </w:tblGrid>
      <w:tr w:rsidR="00BA1488">
        <w:trPr>
          <w:trHeight w:val="90"/>
        </w:trPr>
        <w:tc>
          <w:tcPr>
            <w:tcW w:w="788" w:type="dxa"/>
            <w:vAlign w:val="center"/>
          </w:tcPr>
          <w:p w:rsidR="00BA1488" w:rsidRDefault="00155CF7">
            <w:pPr>
              <w:adjustRightInd w:val="0"/>
              <w:snapToGrid w:val="0"/>
              <w:jc w:val="center"/>
              <w:rPr>
                <w:rFonts w:ascii="黑体" w:eastAsia="黑体" w:hAnsi="仿宋" w:cs="仿宋"/>
                <w:b/>
                <w:sz w:val="24"/>
              </w:rPr>
            </w:pPr>
            <w:r>
              <w:rPr>
                <w:rFonts w:ascii="黑体" w:eastAsia="黑体" w:hAnsi="仿宋" w:cs="仿宋" w:hint="eastAsia"/>
                <w:b/>
                <w:sz w:val="24"/>
              </w:rPr>
              <w:t>序号</w:t>
            </w:r>
          </w:p>
        </w:tc>
        <w:tc>
          <w:tcPr>
            <w:tcW w:w="4215" w:type="dxa"/>
            <w:gridSpan w:val="2"/>
            <w:vAlign w:val="center"/>
          </w:tcPr>
          <w:p w:rsidR="00BA1488" w:rsidRDefault="00155CF7">
            <w:pPr>
              <w:adjustRightInd w:val="0"/>
              <w:snapToGrid w:val="0"/>
              <w:jc w:val="center"/>
              <w:rPr>
                <w:rFonts w:ascii="黑体" w:eastAsia="黑体" w:hAnsi="仿宋" w:cs="仿宋"/>
                <w:b/>
                <w:sz w:val="24"/>
              </w:rPr>
            </w:pPr>
            <w:r>
              <w:rPr>
                <w:rFonts w:ascii="黑体" w:eastAsia="黑体" w:hAnsi="仿宋" w:cs="仿宋" w:hint="eastAsia"/>
                <w:b/>
                <w:sz w:val="24"/>
              </w:rPr>
              <w:t xml:space="preserve">收入　</w:t>
            </w:r>
          </w:p>
        </w:tc>
        <w:tc>
          <w:tcPr>
            <w:tcW w:w="3966" w:type="dxa"/>
            <w:gridSpan w:val="2"/>
            <w:vAlign w:val="center"/>
          </w:tcPr>
          <w:p w:rsidR="00BA1488" w:rsidRDefault="00155CF7">
            <w:pPr>
              <w:adjustRightInd w:val="0"/>
              <w:snapToGrid w:val="0"/>
              <w:jc w:val="center"/>
              <w:rPr>
                <w:rFonts w:ascii="黑体" w:eastAsia="黑体" w:hAnsi="仿宋" w:cs="仿宋"/>
                <w:b/>
                <w:sz w:val="24"/>
              </w:rPr>
            </w:pPr>
            <w:r>
              <w:rPr>
                <w:rFonts w:ascii="黑体" w:eastAsia="黑体" w:hAnsi="仿宋" w:cs="仿宋" w:hint="eastAsia"/>
                <w:b/>
                <w:sz w:val="24"/>
              </w:rPr>
              <w:t>支出</w:t>
            </w:r>
          </w:p>
        </w:tc>
      </w:tr>
      <w:tr w:rsidR="00BA1488">
        <w:trPr>
          <w:trHeight w:val="90"/>
        </w:trPr>
        <w:tc>
          <w:tcPr>
            <w:tcW w:w="788" w:type="dxa"/>
          </w:tcPr>
          <w:p w:rsidR="00BA1488" w:rsidRDefault="00155CF7">
            <w:pPr>
              <w:pStyle w:val="a0"/>
              <w:adjustRightInd w:val="0"/>
              <w:snapToGrid w:val="0"/>
              <w:jc w:val="center"/>
              <w:rPr>
                <w:rFonts w:ascii="仿宋_GB2312" w:eastAsia="仿宋_GB2312" w:hAnsi="仿宋" w:cs="仿宋"/>
                <w:kern w:val="0"/>
              </w:rPr>
            </w:pPr>
            <w:r>
              <w:rPr>
                <w:rFonts w:ascii="仿宋_GB2312" w:eastAsia="仿宋_GB2312" w:hAnsi="仿宋" w:cs="仿宋" w:hint="eastAsia"/>
                <w:kern w:val="0"/>
              </w:rPr>
              <w:t>1</w:t>
            </w:r>
          </w:p>
        </w:tc>
        <w:tc>
          <w:tcPr>
            <w:tcW w:w="3220" w:type="dxa"/>
            <w:vAlign w:val="center"/>
          </w:tcPr>
          <w:p w:rsidR="00BA1488" w:rsidRDefault="00155CF7">
            <w:pPr>
              <w:adjustRightInd w:val="0"/>
              <w:snapToGrid w:val="0"/>
              <w:spacing w:line="300" w:lineRule="exact"/>
              <w:jc w:val="center"/>
              <w:rPr>
                <w:rFonts w:ascii="仿宋_GB2312" w:eastAsia="仿宋_GB2312" w:hAnsi="仿宋" w:cs="仿宋"/>
                <w:sz w:val="22"/>
                <w:szCs w:val="21"/>
              </w:rPr>
            </w:pPr>
            <w:r>
              <w:rPr>
                <w:rFonts w:ascii="仿宋_GB2312" w:eastAsia="仿宋_GB2312" w:hAnsi="仿宋" w:cs="仿宋" w:hint="eastAsia"/>
                <w:sz w:val="22"/>
                <w:szCs w:val="21"/>
              </w:rPr>
              <w:t xml:space="preserve">　</w:t>
            </w:r>
            <w:r>
              <w:rPr>
                <w:rFonts w:ascii="仿宋_GB2312" w:eastAsia="仿宋_GB2312" w:hAnsi="黑体" w:cs="黑体" w:hint="eastAsia"/>
                <w:b/>
                <w:sz w:val="22"/>
                <w:szCs w:val="21"/>
              </w:rPr>
              <w:t>一般预算收入</w:t>
            </w:r>
          </w:p>
        </w:tc>
        <w:tc>
          <w:tcPr>
            <w:tcW w:w="995" w:type="dxa"/>
            <w:vAlign w:val="center"/>
          </w:tcPr>
          <w:p w:rsidR="00BA1488" w:rsidRDefault="00155CF7">
            <w:pPr>
              <w:adjustRightInd w:val="0"/>
              <w:snapToGrid w:val="0"/>
              <w:spacing w:line="300" w:lineRule="exact"/>
              <w:jc w:val="center"/>
              <w:rPr>
                <w:rFonts w:ascii="仿宋_GB2312" w:eastAsia="仿宋_GB2312" w:hAnsi="仿宋" w:cs="仿宋"/>
                <w:b/>
                <w:bCs/>
                <w:sz w:val="22"/>
                <w:szCs w:val="21"/>
              </w:rPr>
            </w:pPr>
            <w:r>
              <w:rPr>
                <w:rFonts w:ascii="仿宋_GB2312" w:eastAsia="仿宋_GB2312" w:hAnsi="仿宋" w:cs="仿宋" w:hint="eastAsia"/>
                <w:b/>
                <w:bCs/>
                <w:sz w:val="22"/>
                <w:szCs w:val="21"/>
              </w:rPr>
              <w:t>决算数</w:t>
            </w:r>
          </w:p>
        </w:tc>
        <w:tc>
          <w:tcPr>
            <w:tcW w:w="2761" w:type="dxa"/>
            <w:vAlign w:val="center"/>
          </w:tcPr>
          <w:p w:rsidR="00BA1488" w:rsidRDefault="00155CF7">
            <w:pPr>
              <w:adjustRightInd w:val="0"/>
              <w:snapToGrid w:val="0"/>
              <w:spacing w:line="300" w:lineRule="exact"/>
              <w:jc w:val="center"/>
              <w:rPr>
                <w:rFonts w:ascii="仿宋_GB2312" w:eastAsia="仿宋_GB2312" w:hAnsi="仿宋" w:cs="仿宋"/>
                <w:b/>
                <w:bCs/>
                <w:sz w:val="22"/>
                <w:szCs w:val="21"/>
              </w:rPr>
            </w:pPr>
            <w:r>
              <w:rPr>
                <w:rFonts w:ascii="仿宋_GB2312" w:eastAsia="仿宋_GB2312" w:hAnsi="仿宋" w:cs="仿宋" w:hint="eastAsia"/>
                <w:b/>
                <w:bCs/>
                <w:sz w:val="22"/>
                <w:szCs w:val="21"/>
              </w:rPr>
              <w:t xml:space="preserve">　</w:t>
            </w:r>
            <w:r>
              <w:rPr>
                <w:rFonts w:ascii="仿宋_GB2312" w:eastAsia="仿宋_GB2312" w:hAnsi="黑体" w:cs="黑体" w:hint="eastAsia"/>
                <w:b/>
                <w:bCs/>
                <w:sz w:val="22"/>
                <w:szCs w:val="21"/>
              </w:rPr>
              <w:t xml:space="preserve">一般预算支出　</w:t>
            </w:r>
          </w:p>
        </w:tc>
        <w:tc>
          <w:tcPr>
            <w:tcW w:w="1205" w:type="dxa"/>
            <w:vAlign w:val="center"/>
          </w:tcPr>
          <w:p w:rsidR="00BA1488" w:rsidRDefault="00155CF7">
            <w:pPr>
              <w:adjustRightInd w:val="0"/>
              <w:snapToGrid w:val="0"/>
              <w:spacing w:line="300" w:lineRule="exact"/>
              <w:jc w:val="center"/>
              <w:rPr>
                <w:rFonts w:ascii="仿宋_GB2312" w:eastAsia="仿宋_GB2312" w:hAnsi="仿宋" w:cs="仿宋"/>
                <w:b/>
                <w:bCs/>
                <w:sz w:val="22"/>
                <w:szCs w:val="21"/>
              </w:rPr>
            </w:pPr>
            <w:r>
              <w:rPr>
                <w:rFonts w:ascii="仿宋_GB2312" w:eastAsia="仿宋_GB2312" w:hAnsi="仿宋" w:cs="仿宋" w:hint="eastAsia"/>
                <w:b/>
                <w:bCs/>
                <w:sz w:val="22"/>
                <w:szCs w:val="21"/>
              </w:rPr>
              <w:t>决算数</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w:t>
            </w:r>
          </w:p>
        </w:tc>
        <w:tc>
          <w:tcPr>
            <w:tcW w:w="3220"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
                <w:sz w:val="22"/>
                <w:szCs w:val="21"/>
              </w:rPr>
              <w:t>税收收入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b/>
                <w:bCs/>
                <w:sz w:val="24"/>
              </w:rPr>
              <w:t>166974</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一般公共服务支出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23339</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3</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增值税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83483</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国防支出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65</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4</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企业所得税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7231</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公共安全支出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10676</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5</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个人所得税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13799</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教育支出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141891</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6</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资源税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1249</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科学技术支出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17030</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7</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城市维护建设税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8942</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文化旅游体育与传媒支出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1398</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8</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房产税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3194</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社会保障和就业支出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64943</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9</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印花税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3565</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卫生健康支出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48496</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10</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城镇土地使用税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6252</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节能环保支出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40470</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11</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土地增值税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3959</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城乡社区支出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5374</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12</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环境保护税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503</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农林水支出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65183</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13</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耕地占用税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22928</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交通运输支出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27657</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14</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契税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9708</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资源勘探工业信息等支出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1614</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15</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烟叶税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388</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商业服务业等支出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2294</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16</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车船税</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1773</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金融支出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660</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17</w:t>
            </w:r>
          </w:p>
        </w:tc>
        <w:tc>
          <w:tcPr>
            <w:tcW w:w="3220"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
                <w:sz w:val="22"/>
                <w:szCs w:val="21"/>
              </w:rPr>
              <w:t>非税收入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55803</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自然资源海洋气象等事务</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1015</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18</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专项收入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7374</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住房保障支出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4367</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19</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行政事业性收费收入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5499</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粮油物资储备支出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278</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20</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罚没收入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1941</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灾害防治及应急管理支出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1847</w:t>
            </w:r>
          </w:p>
        </w:tc>
      </w:tr>
      <w:tr w:rsidR="00BA1488">
        <w:trPr>
          <w:trHeight w:val="281"/>
        </w:trPr>
        <w:tc>
          <w:tcPr>
            <w:tcW w:w="788" w:type="dxa"/>
            <w:vAlign w:val="center"/>
          </w:tcPr>
          <w:p w:rsidR="00BA1488" w:rsidRDefault="00ED658D">
            <w:pPr>
              <w:adjustRightInd w:val="0"/>
              <w:snapToGrid w:val="0"/>
              <w:spacing w:line="300" w:lineRule="exact"/>
              <w:jc w:val="center"/>
              <w:rPr>
                <w:rFonts w:ascii="仿宋_GB2312" w:eastAsia="仿宋_GB2312" w:hAnsi="仿宋" w:cs="仿宋"/>
                <w:sz w:val="24"/>
              </w:rPr>
            </w:pPr>
            <w:r w:rsidRPr="00ED658D">
              <w:pict>
                <v:shapetype id="_x0000_t202" coordsize="21600,21600" o:spt="202" path="m,l,21600r21600,l21600,xe">
                  <v:stroke joinstyle="miter"/>
                  <v:path gradientshapeok="t" o:connecttype="rect"/>
                </v:shapetype>
                <v:shape id="文本框 13" o:spid="_x0000_s1026" type="#_x0000_t202" style="position:absolute;left:0;text-align:left;margin-left:-96pt;margin-top:4.4pt;width:90pt;height:39pt;z-index:251659264;mso-position-horizontal-relative:text;mso-position-vertical-relative:text" stroked="f" strokecolor="white">
                  <v:textbox>
                    <w:txbxContent>
                      <w:p w:rsidR="00155CF7" w:rsidRDefault="00155CF7"/>
                    </w:txbxContent>
                  </v:textbox>
                </v:shape>
              </w:pict>
            </w:r>
            <w:r w:rsidR="00155CF7">
              <w:rPr>
                <w:rFonts w:ascii="仿宋_GB2312" w:eastAsia="仿宋_GB2312" w:hAnsi="仿宋" w:cs="仿宋" w:hint="eastAsia"/>
                <w:sz w:val="24"/>
              </w:rPr>
              <w:t>21</w:t>
            </w:r>
          </w:p>
        </w:tc>
        <w:tc>
          <w:tcPr>
            <w:tcW w:w="3220" w:type="dxa"/>
            <w:vAlign w:val="center"/>
          </w:tcPr>
          <w:p w:rsidR="00BA1488" w:rsidRDefault="00155CF7">
            <w:pPr>
              <w:adjustRightInd w:val="0"/>
              <w:snapToGrid w:val="0"/>
              <w:spacing w:line="300" w:lineRule="exact"/>
              <w:ind w:firstLineChars="100" w:firstLine="200"/>
              <w:jc w:val="left"/>
              <w:rPr>
                <w:rFonts w:ascii="仿宋_GB2312" w:eastAsia="仿宋_GB2312" w:hAnsi="仿宋" w:cs="仿宋"/>
                <w:bCs/>
                <w:sz w:val="22"/>
                <w:szCs w:val="21"/>
              </w:rPr>
            </w:pPr>
            <w:r>
              <w:rPr>
                <w:rFonts w:ascii="仿宋_GB2312" w:eastAsia="仿宋_GB2312" w:hAnsi="仿宋" w:cs="仿宋" w:hint="eastAsia"/>
                <w:bCs/>
                <w:sz w:val="20"/>
                <w:szCs w:val="20"/>
              </w:rPr>
              <w:t>国有资源（资产）有偿使用收入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35297</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债务付息支出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5179</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22</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捐赠收入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4906</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债务发行费用支出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1</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21</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政府住房基金收入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208</w:t>
            </w:r>
          </w:p>
        </w:tc>
        <w:tc>
          <w:tcPr>
            <w:tcW w:w="2761" w:type="dxa"/>
            <w:vAlign w:val="center"/>
          </w:tcPr>
          <w:p w:rsidR="00BA1488" w:rsidRDefault="00BA1488">
            <w:pPr>
              <w:adjustRightInd w:val="0"/>
              <w:snapToGrid w:val="0"/>
              <w:spacing w:line="300" w:lineRule="exact"/>
              <w:jc w:val="left"/>
              <w:rPr>
                <w:rFonts w:ascii="仿宋_GB2312" w:eastAsia="仿宋_GB2312" w:hAnsi="仿宋" w:cs="仿宋"/>
                <w:bCs/>
                <w:sz w:val="22"/>
                <w:szCs w:val="21"/>
              </w:rPr>
            </w:pPr>
          </w:p>
        </w:tc>
        <w:tc>
          <w:tcPr>
            <w:tcW w:w="1205" w:type="dxa"/>
            <w:vAlign w:val="center"/>
          </w:tcPr>
          <w:p w:rsidR="00BA1488" w:rsidRDefault="00BA1488">
            <w:pPr>
              <w:adjustRightInd w:val="0"/>
              <w:snapToGrid w:val="0"/>
              <w:spacing w:line="300" w:lineRule="exact"/>
              <w:jc w:val="left"/>
              <w:rPr>
                <w:rFonts w:ascii="仿宋_GB2312" w:eastAsia="仿宋_GB2312" w:hAnsi="仿宋" w:cs="仿宋"/>
                <w:bCs/>
                <w:sz w:val="24"/>
              </w:rPr>
            </w:pP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22</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sz w:val="22"/>
                <w:szCs w:val="21"/>
              </w:rPr>
            </w:pPr>
            <w:r>
              <w:rPr>
                <w:rFonts w:ascii="仿宋_GB2312" w:eastAsia="仿宋_GB2312" w:hAnsi="仿宋" w:cs="仿宋" w:hint="eastAsia"/>
                <w:sz w:val="22"/>
                <w:szCs w:val="21"/>
              </w:rPr>
              <w:t>其他收入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578</w:t>
            </w:r>
          </w:p>
        </w:tc>
        <w:tc>
          <w:tcPr>
            <w:tcW w:w="2761" w:type="dxa"/>
            <w:vAlign w:val="center"/>
          </w:tcPr>
          <w:p w:rsidR="00BA1488" w:rsidRDefault="00BA1488">
            <w:pPr>
              <w:adjustRightInd w:val="0"/>
              <w:snapToGrid w:val="0"/>
              <w:spacing w:line="300" w:lineRule="exact"/>
              <w:jc w:val="left"/>
              <w:rPr>
                <w:rFonts w:ascii="仿宋_GB2312" w:eastAsia="仿宋_GB2312" w:hAnsi="仿宋" w:cs="仿宋"/>
                <w:bCs/>
                <w:sz w:val="22"/>
                <w:szCs w:val="21"/>
              </w:rPr>
            </w:pPr>
          </w:p>
        </w:tc>
        <w:tc>
          <w:tcPr>
            <w:tcW w:w="1205" w:type="dxa"/>
            <w:vAlign w:val="center"/>
          </w:tcPr>
          <w:p w:rsidR="00BA1488" w:rsidRDefault="00BA1488">
            <w:pPr>
              <w:adjustRightInd w:val="0"/>
              <w:snapToGrid w:val="0"/>
              <w:spacing w:line="300" w:lineRule="exact"/>
              <w:jc w:val="left"/>
              <w:rPr>
                <w:rFonts w:ascii="仿宋_GB2312" w:eastAsia="仿宋_GB2312" w:hAnsi="仿宋" w:cs="仿宋"/>
                <w:bCs/>
                <w:sz w:val="24"/>
              </w:rPr>
            </w:pP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23</w:t>
            </w:r>
          </w:p>
        </w:tc>
        <w:tc>
          <w:tcPr>
            <w:tcW w:w="3220" w:type="dxa"/>
            <w:vAlign w:val="center"/>
          </w:tcPr>
          <w:p w:rsidR="00BA1488" w:rsidRDefault="00155CF7">
            <w:pPr>
              <w:adjustRightInd w:val="0"/>
              <w:snapToGrid w:val="0"/>
              <w:spacing w:line="300" w:lineRule="exact"/>
              <w:jc w:val="center"/>
              <w:rPr>
                <w:rFonts w:ascii="仿宋_GB2312" w:eastAsia="仿宋_GB2312" w:hAnsi="仿宋" w:cs="仿宋"/>
                <w:bCs/>
                <w:sz w:val="22"/>
                <w:szCs w:val="21"/>
              </w:rPr>
            </w:pPr>
            <w:r>
              <w:rPr>
                <w:rFonts w:ascii="仿宋_GB2312" w:eastAsia="仿宋_GB2312" w:hAnsi="仿宋" w:cs="仿宋" w:hint="eastAsia"/>
                <w:b/>
                <w:sz w:val="22"/>
                <w:szCs w:val="21"/>
              </w:rPr>
              <w:t>本年收入合计</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b/>
                <w:bCs/>
                <w:sz w:val="24"/>
              </w:rPr>
              <w:t>222777</w:t>
            </w:r>
          </w:p>
        </w:tc>
        <w:tc>
          <w:tcPr>
            <w:tcW w:w="2761" w:type="dxa"/>
            <w:vAlign w:val="center"/>
          </w:tcPr>
          <w:p w:rsidR="00BA1488" w:rsidRDefault="00155CF7">
            <w:pPr>
              <w:adjustRightInd w:val="0"/>
              <w:snapToGrid w:val="0"/>
              <w:spacing w:line="300" w:lineRule="exact"/>
              <w:jc w:val="center"/>
              <w:rPr>
                <w:rFonts w:ascii="仿宋_GB2312" w:eastAsia="仿宋_GB2312" w:hAnsi="仿宋" w:cs="仿宋"/>
                <w:bCs/>
                <w:sz w:val="22"/>
                <w:szCs w:val="21"/>
              </w:rPr>
            </w:pPr>
            <w:r>
              <w:rPr>
                <w:rFonts w:ascii="仿宋_GB2312" w:eastAsia="仿宋_GB2312" w:hAnsi="仿宋" w:cs="仿宋" w:hint="eastAsia"/>
                <w:b/>
                <w:sz w:val="22"/>
                <w:szCs w:val="21"/>
              </w:rPr>
              <w:t>本年支出合计</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
                <w:sz w:val="24"/>
              </w:rPr>
              <w:t>463777</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24</w:t>
            </w:r>
          </w:p>
        </w:tc>
        <w:tc>
          <w:tcPr>
            <w:tcW w:w="3220"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本年收入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222777</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本年支出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463777</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25</w:t>
            </w:r>
          </w:p>
        </w:tc>
        <w:tc>
          <w:tcPr>
            <w:tcW w:w="3220"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上级补助收入</w:t>
            </w:r>
          </w:p>
        </w:tc>
        <w:tc>
          <w:tcPr>
            <w:tcW w:w="995" w:type="dxa"/>
            <w:vAlign w:val="center"/>
          </w:tcPr>
          <w:p w:rsidR="00BA1488" w:rsidRDefault="0011062B">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243623</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上解上级支出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51086</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26</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1.返还性收入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1813</w:t>
            </w:r>
          </w:p>
        </w:tc>
        <w:tc>
          <w:tcPr>
            <w:tcW w:w="2761"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1.体制上解支出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2907</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27</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2.财力性转移支付收入</w:t>
            </w:r>
          </w:p>
        </w:tc>
        <w:tc>
          <w:tcPr>
            <w:tcW w:w="995" w:type="dxa"/>
            <w:vAlign w:val="center"/>
          </w:tcPr>
          <w:p w:rsidR="00BA1488" w:rsidRDefault="0011062B" w:rsidP="000A368E">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9444</w:t>
            </w:r>
            <w:r w:rsidR="000A368E">
              <w:rPr>
                <w:rFonts w:ascii="仿宋_GB2312" w:eastAsia="仿宋_GB2312" w:hAnsi="仿宋" w:cs="仿宋" w:hint="eastAsia"/>
                <w:sz w:val="24"/>
              </w:rPr>
              <w:t>8</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Cs w:val="21"/>
              </w:rPr>
              <w:t xml:space="preserve"> 2.专项上解支出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48179</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28</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3.一般及专项转移支付收入</w:t>
            </w:r>
          </w:p>
        </w:tc>
        <w:tc>
          <w:tcPr>
            <w:tcW w:w="995" w:type="dxa"/>
            <w:vAlign w:val="center"/>
          </w:tcPr>
          <w:p w:rsidR="00BA1488" w:rsidRDefault="000A368E" w:rsidP="000A368E">
            <w:pPr>
              <w:adjustRightInd w:val="0"/>
              <w:snapToGrid w:val="0"/>
              <w:spacing w:line="300" w:lineRule="exact"/>
              <w:jc w:val="left"/>
              <w:rPr>
                <w:rFonts w:ascii="仿宋_GB2312" w:eastAsia="仿宋_GB2312" w:hAnsi="仿宋" w:cs="仿宋"/>
                <w:sz w:val="24"/>
              </w:rPr>
            </w:pPr>
            <w:bookmarkStart w:id="1" w:name="_GoBack"/>
            <w:bookmarkEnd w:id="1"/>
            <w:r>
              <w:rPr>
                <w:rFonts w:ascii="仿宋_GB2312" w:eastAsia="仿宋_GB2312" w:hAnsi="仿宋" w:cs="仿宋" w:hint="eastAsia"/>
                <w:sz w:val="24"/>
              </w:rPr>
              <w:t>147362</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债务还本支出</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14120</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29</w:t>
            </w:r>
          </w:p>
        </w:tc>
        <w:tc>
          <w:tcPr>
            <w:tcW w:w="3220"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债务转贷收入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26231</w:t>
            </w: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安排预算稳定调节基金</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8648</w:t>
            </w:r>
          </w:p>
        </w:tc>
      </w:tr>
      <w:tr w:rsidR="00BA1488">
        <w:trPr>
          <w:trHeight w:val="90"/>
        </w:trPr>
        <w:tc>
          <w:tcPr>
            <w:tcW w:w="788" w:type="dxa"/>
            <w:vAlign w:val="center"/>
          </w:tcPr>
          <w:p w:rsidR="00BA1488" w:rsidRDefault="00155CF7">
            <w:pPr>
              <w:adjustRightInd w:val="0"/>
              <w:snapToGrid w:val="0"/>
              <w:spacing w:line="300" w:lineRule="exact"/>
              <w:ind w:firstLineChars="50" w:firstLine="120"/>
              <w:jc w:val="left"/>
              <w:rPr>
                <w:rFonts w:ascii="仿宋_GB2312" w:eastAsia="仿宋_GB2312" w:hAnsi="仿宋" w:cs="仿宋"/>
                <w:sz w:val="24"/>
              </w:rPr>
            </w:pPr>
            <w:r>
              <w:rPr>
                <w:rFonts w:ascii="仿宋_GB2312" w:eastAsia="仿宋_GB2312" w:hAnsi="仿宋" w:cs="仿宋" w:hint="eastAsia"/>
                <w:bCs/>
                <w:sz w:val="24"/>
              </w:rPr>
              <w:t>30</w:t>
            </w:r>
          </w:p>
        </w:tc>
        <w:tc>
          <w:tcPr>
            <w:tcW w:w="3220"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动用预算稳定基金</w:t>
            </w:r>
          </w:p>
        </w:tc>
        <w:tc>
          <w:tcPr>
            <w:tcW w:w="995" w:type="dxa"/>
            <w:vAlign w:val="center"/>
          </w:tcPr>
          <w:p w:rsidR="00BA1488" w:rsidRDefault="00BA1488">
            <w:pPr>
              <w:adjustRightInd w:val="0"/>
              <w:snapToGrid w:val="0"/>
              <w:spacing w:line="300" w:lineRule="exact"/>
              <w:jc w:val="left"/>
              <w:rPr>
                <w:rFonts w:ascii="仿宋_GB2312" w:eastAsia="仿宋_GB2312" w:hAnsi="仿宋" w:cs="仿宋"/>
                <w:sz w:val="24"/>
              </w:rPr>
            </w:pPr>
          </w:p>
        </w:tc>
        <w:tc>
          <w:tcPr>
            <w:tcW w:w="2761"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调出资金</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Cs/>
                <w:sz w:val="24"/>
              </w:rPr>
            </w:pPr>
            <w:r>
              <w:rPr>
                <w:rFonts w:ascii="仿宋_GB2312" w:eastAsia="仿宋_GB2312" w:hAnsi="仿宋" w:cs="仿宋" w:hint="eastAsia"/>
                <w:bCs/>
                <w:sz w:val="24"/>
              </w:rPr>
              <w:t>247</w:t>
            </w: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bCs/>
                <w:sz w:val="24"/>
              </w:rPr>
            </w:pPr>
            <w:r>
              <w:rPr>
                <w:rFonts w:ascii="仿宋_GB2312" w:eastAsia="仿宋_GB2312" w:hAnsi="仿宋" w:cs="仿宋" w:hint="eastAsia"/>
                <w:sz w:val="24"/>
              </w:rPr>
              <w:t>31</w:t>
            </w:r>
          </w:p>
        </w:tc>
        <w:tc>
          <w:tcPr>
            <w:tcW w:w="3220"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调入资金</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45247</w:t>
            </w:r>
          </w:p>
        </w:tc>
        <w:tc>
          <w:tcPr>
            <w:tcW w:w="2761" w:type="dxa"/>
            <w:vAlign w:val="center"/>
          </w:tcPr>
          <w:p w:rsidR="00BA1488" w:rsidRDefault="00BA1488">
            <w:pPr>
              <w:adjustRightInd w:val="0"/>
              <w:snapToGrid w:val="0"/>
              <w:spacing w:line="300" w:lineRule="exact"/>
              <w:jc w:val="left"/>
              <w:rPr>
                <w:rFonts w:ascii="仿宋_GB2312" w:eastAsia="仿宋_GB2312" w:hAnsi="仿宋" w:cs="仿宋"/>
                <w:bCs/>
                <w:sz w:val="22"/>
                <w:szCs w:val="21"/>
              </w:rPr>
            </w:pPr>
          </w:p>
        </w:tc>
        <w:tc>
          <w:tcPr>
            <w:tcW w:w="1205" w:type="dxa"/>
            <w:vAlign w:val="center"/>
          </w:tcPr>
          <w:p w:rsidR="00BA1488" w:rsidRDefault="00BA1488">
            <w:pPr>
              <w:adjustRightInd w:val="0"/>
              <w:snapToGrid w:val="0"/>
              <w:spacing w:line="300" w:lineRule="exact"/>
              <w:jc w:val="left"/>
              <w:rPr>
                <w:rFonts w:ascii="仿宋_GB2312" w:eastAsia="仿宋_GB2312" w:hAnsi="仿宋" w:cs="仿宋"/>
                <w:bCs/>
                <w:sz w:val="24"/>
              </w:rPr>
            </w:pP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32</w:t>
            </w:r>
          </w:p>
        </w:tc>
        <w:tc>
          <w:tcPr>
            <w:tcW w:w="3220" w:type="dxa"/>
            <w:vAlign w:val="center"/>
          </w:tcPr>
          <w:p w:rsidR="00BA1488" w:rsidRDefault="00155CF7">
            <w:pPr>
              <w:adjustRightInd w:val="0"/>
              <w:snapToGrid w:val="0"/>
              <w:spacing w:line="300" w:lineRule="exact"/>
              <w:ind w:firstLineChars="100" w:firstLine="220"/>
              <w:jc w:val="left"/>
              <w:rPr>
                <w:rFonts w:ascii="仿宋_GB2312" w:eastAsia="仿宋_GB2312" w:hAnsi="仿宋" w:cs="仿宋"/>
                <w:bCs/>
                <w:sz w:val="22"/>
                <w:szCs w:val="21"/>
              </w:rPr>
            </w:pPr>
            <w:r>
              <w:rPr>
                <w:rFonts w:ascii="仿宋_GB2312" w:eastAsia="仿宋_GB2312" w:hAnsi="仿宋" w:cs="仿宋" w:hint="eastAsia"/>
                <w:bCs/>
                <w:sz w:val="22"/>
                <w:szCs w:val="21"/>
              </w:rPr>
              <w:t>其中：从政府性基金预算调入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40247</w:t>
            </w:r>
          </w:p>
        </w:tc>
        <w:tc>
          <w:tcPr>
            <w:tcW w:w="2761" w:type="dxa"/>
            <w:vAlign w:val="center"/>
          </w:tcPr>
          <w:p w:rsidR="00BA1488" w:rsidRDefault="00BA1488">
            <w:pPr>
              <w:adjustRightInd w:val="0"/>
              <w:snapToGrid w:val="0"/>
              <w:spacing w:line="300" w:lineRule="exact"/>
              <w:jc w:val="left"/>
              <w:rPr>
                <w:rFonts w:ascii="仿宋_GB2312" w:eastAsia="仿宋_GB2312" w:hAnsi="仿宋" w:cs="仿宋"/>
                <w:bCs/>
                <w:sz w:val="22"/>
                <w:szCs w:val="21"/>
              </w:rPr>
            </w:pPr>
          </w:p>
        </w:tc>
        <w:tc>
          <w:tcPr>
            <w:tcW w:w="1205" w:type="dxa"/>
            <w:vAlign w:val="center"/>
          </w:tcPr>
          <w:p w:rsidR="00BA1488" w:rsidRDefault="00BA1488">
            <w:pPr>
              <w:adjustRightInd w:val="0"/>
              <w:snapToGrid w:val="0"/>
              <w:spacing w:line="300" w:lineRule="exact"/>
              <w:jc w:val="left"/>
              <w:rPr>
                <w:rFonts w:ascii="仿宋_GB2312" w:eastAsia="仿宋_GB2312" w:hAnsi="仿宋" w:cs="仿宋"/>
                <w:bCs/>
                <w:sz w:val="24"/>
              </w:rPr>
            </w:pP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33</w:t>
            </w:r>
          </w:p>
        </w:tc>
        <w:tc>
          <w:tcPr>
            <w:tcW w:w="3220" w:type="dxa"/>
            <w:vAlign w:val="center"/>
          </w:tcPr>
          <w:p w:rsidR="00BA1488" w:rsidRDefault="00155CF7">
            <w:pPr>
              <w:adjustRightInd w:val="0"/>
              <w:snapToGrid w:val="0"/>
              <w:spacing w:line="300" w:lineRule="exact"/>
              <w:jc w:val="left"/>
              <w:rPr>
                <w:rFonts w:ascii="仿宋_GB2312" w:eastAsia="仿宋_GB2312" w:hAnsi="仿宋" w:cs="仿宋"/>
                <w:bCs/>
                <w:sz w:val="22"/>
                <w:szCs w:val="21"/>
              </w:rPr>
            </w:pPr>
            <w:r>
              <w:rPr>
                <w:rFonts w:ascii="仿宋_GB2312" w:eastAsia="仿宋_GB2312" w:hAnsi="仿宋" w:cs="仿宋" w:hint="eastAsia"/>
                <w:bCs/>
                <w:sz w:val="22"/>
                <w:szCs w:val="21"/>
              </w:rPr>
              <w:t xml:space="preserve">  从国有资本经营预算中调入</w:t>
            </w:r>
          </w:p>
        </w:tc>
        <w:tc>
          <w:tcPr>
            <w:tcW w:w="995" w:type="dxa"/>
            <w:vAlign w:val="center"/>
          </w:tcPr>
          <w:p w:rsidR="00BA1488" w:rsidRDefault="00155CF7">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5000</w:t>
            </w:r>
          </w:p>
        </w:tc>
        <w:tc>
          <w:tcPr>
            <w:tcW w:w="2761" w:type="dxa"/>
            <w:vAlign w:val="center"/>
          </w:tcPr>
          <w:p w:rsidR="00BA1488" w:rsidRDefault="00BA1488">
            <w:pPr>
              <w:adjustRightInd w:val="0"/>
              <w:snapToGrid w:val="0"/>
              <w:spacing w:line="300" w:lineRule="exact"/>
              <w:jc w:val="left"/>
              <w:rPr>
                <w:rFonts w:ascii="仿宋_GB2312" w:eastAsia="仿宋_GB2312" w:hAnsi="仿宋" w:cs="仿宋"/>
                <w:bCs/>
                <w:sz w:val="22"/>
                <w:szCs w:val="21"/>
              </w:rPr>
            </w:pPr>
          </w:p>
        </w:tc>
        <w:tc>
          <w:tcPr>
            <w:tcW w:w="1205" w:type="dxa"/>
            <w:vAlign w:val="center"/>
          </w:tcPr>
          <w:p w:rsidR="00BA1488" w:rsidRDefault="00BA1488">
            <w:pPr>
              <w:adjustRightInd w:val="0"/>
              <w:snapToGrid w:val="0"/>
              <w:spacing w:line="300" w:lineRule="exact"/>
              <w:jc w:val="left"/>
              <w:rPr>
                <w:rFonts w:ascii="仿宋_GB2312" w:eastAsia="仿宋_GB2312" w:hAnsi="仿宋" w:cs="仿宋"/>
                <w:bCs/>
                <w:sz w:val="24"/>
              </w:rPr>
            </w:pPr>
          </w:p>
        </w:tc>
      </w:tr>
      <w:tr w:rsidR="00BA1488">
        <w:trPr>
          <w:trHeight w:val="90"/>
        </w:trPr>
        <w:tc>
          <w:tcPr>
            <w:tcW w:w="788" w:type="dxa"/>
            <w:vAlign w:val="center"/>
          </w:tcPr>
          <w:p w:rsidR="00BA1488" w:rsidRDefault="00155CF7">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33</w:t>
            </w:r>
          </w:p>
        </w:tc>
        <w:tc>
          <w:tcPr>
            <w:tcW w:w="3220" w:type="dxa"/>
            <w:vAlign w:val="center"/>
          </w:tcPr>
          <w:p w:rsidR="00BA1488" w:rsidRDefault="00155CF7">
            <w:pPr>
              <w:adjustRightInd w:val="0"/>
              <w:snapToGrid w:val="0"/>
              <w:spacing w:line="300" w:lineRule="exact"/>
              <w:jc w:val="center"/>
              <w:rPr>
                <w:rFonts w:ascii="仿宋_GB2312" w:eastAsia="仿宋_GB2312" w:hAnsi="仿宋" w:cs="仿宋"/>
                <w:b/>
                <w:sz w:val="22"/>
                <w:szCs w:val="21"/>
              </w:rPr>
            </w:pPr>
            <w:r>
              <w:rPr>
                <w:rFonts w:ascii="仿宋_GB2312" w:eastAsia="仿宋_GB2312" w:hAnsi="仿宋" w:cs="仿宋" w:hint="eastAsia"/>
                <w:b/>
                <w:sz w:val="22"/>
                <w:szCs w:val="21"/>
              </w:rPr>
              <w:t>收入总计</w:t>
            </w:r>
          </w:p>
        </w:tc>
        <w:tc>
          <w:tcPr>
            <w:tcW w:w="995" w:type="dxa"/>
            <w:vAlign w:val="center"/>
          </w:tcPr>
          <w:p w:rsidR="00BA1488" w:rsidRDefault="00155CF7">
            <w:pPr>
              <w:adjustRightInd w:val="0"/>
              <w:snapToGrid w:val="0"/>
              <w:spacing w:line="300" w:lineRule="exact"/>
              <w:jc w:val="left"/>
              <w:rPr>
                <w:rFonts w:ascii="仿宋_GB2312" w:eastAsia="仿宋_GB2312" w:hAnsi="仿宋" w:cs="仿宋"/>
                <w:b/>
                <w:sz w:val="24"/>
              </w:rPr>
            </w:pPr>
            <w:r>
              <w:rPr>
                <w:rFonts w:ascii="仿宋_GB2312" w:eastAsia="仿宋_GB2312" w:hAnsi="仿宋" w:cs="仿宋" w:hint="eastAsia"/>
                <w:b/>
                <w:sz w:val="24"/>
              </w:rPr>
              <w:t>537878</w:t>
            </w:r>
          </w:p>
        </w:tc>
        <w:tc>
          <w:tcPr>
            <w:tcW w:w="2761" w:type="dxa"/>
            <w:vAlign w:val="center"/>
          </w:tcPr>
          <w:p w:rsidR="00BA1488" w:rsidRDefault="00155CF7">
            <w:pPr>
              <w:adjustRightInd w:val="0"/>
              <w:snapToGrid w:val="0"/>
              <w:spacing w:line="300" w:lineRule="exact"/>
              <w:jc w:val="center"/>
              <w:rPr>
                <w:rFonts w:ascii="仿宋_GB2312" w:eastAsia="仿宋_GB2312" w:hAnsi="仿宋" w:cs="仿宋"/>
                <w:b/>
                <w:sz w:val="24"/>
              </w:rPr>
            </w:pPr>
            <w:r>
              <w:rPr>
                <w:rFonts w:ascii="仿宋_GB2312" w:eastAsia="仿宋_GB2312" w:hAnsi="仿宋" w:cs="仿宋" w:hint="eastAsia"/>
                <w:b/>
                <w:sz w:val="24"/>
              </w:rPr>
              <w:t>支出总计</w:t>
            </w:r>
          </w:p>
        </w:tc>
        <w:tc>
          <w:tcPr>
            <w:tcW w:w="1205" w:type="dxa"/>
            <w:vAlign w:val="center"/>
          </w:tcPr>
          <w:p w:rsidR="00BA1488" w:rsidRDefault="00155CF7">
            <w:pPr>
              <w:adjustRightInd w:val="0"/>
              <w:snapToGrid w:val="0"/>
              <w:spacing w:line="300" w:lineRule="exact"/>
              <w:jc w:val="left"/>
              <w:rPr>
                <w:rFonts w:ascii="仿宋_GB2312" w:eastAsia="仿宋_GB2312" w:hAnsi="仿宋" w:cs="仿宋"/>
                <w:b/>
                <w:sz w:val="24"/>
              </w:rPr>
            </w:pPr>
            <w:r>
              <w:rPr>
                <w:rFonts w:ascii="仿宋_GB2312" w:eastAsia="仿宋_GB2312" w:hAnsi="仿宋" w:cs="仿宋" w:hint="eastAsia"/>
                <w:b/>
                <w:sz w:val="24"/>
              </w:rPr>
              <w:t>537878</w:t>
            </w:r>
          </w:p>
        </w:tc>
      </w:tr>
    </w:tbl>
    <w:p w:rsidR="00BA1488" w:rsidRDefault="00BA1488">
      <w:pPr>
        <w:adjustRightInd w:val="0"/>
        <w:snapToGrid w:val="0"/>
        <w:spacing w:line="360" w:lineRule="auto"/>
        <w:rPr>
          <w:rFonts w:ascii="仿宋_GB2312" w:eastAsia="仿宋_GB2312" w:hAnsi="仿宋" w:cs="仿宋"/>
          <w:sz w:val="32"/>
          <w:szCs w:val="32"/>
        </w:rPr>
      </w:pPr>
    </w:p>
    <w:p w:rsidR="00BA1488" w:rsidRDefault="00155CF7">
      <w:pPr>
        <w:adjustRightInd w:val="0"/>
        <w:snapToGrid w:val="0"/>
        <w:spacing w:line="360" w:lineRule="auto"/>
        <w:rPr>
          <w:rFonts w:ascii="仿宋_GB2312" w:eastAsia="仿宋_GB2312" w:hAnsi="仿宋" w:cs="仿宋"/>
          <w:sz w:val="32"/>
          <w:szCs w:val="32"/>
        </w:rPr>
      </w:pPr>
      <w:r>
        <w:rPr>
          <w:rFonts w:ascii="仿宋_GB2312" w:eastAsia="仿宋_GB2312" w:hAnsi="仿宋" w:cs="仿宋" w:hint="eastAsia"/>
          <w:sz w:val="32"/>
          <w:szCs w:val="32"/>
        </w:rPr>
        <w:lastRenderedPageBreak/>
        <w:t>附表二</w:t>
      </w:r>
    </w:p>
    <w:p w:rsidR="00BA1488" w:rsidRDefault="00BA1488">
      <w:pPr>
        <w:pStyle w:val="a0"/>
        <w:spacing w:line="200" w:lineRule="exact"/>
      </w:pPr>
    </w:p>
    <w:p w:rsidR="00BA1488" w:rsidRDefault="00155CF7">
      <w:pPr>
        <w:pStyle w:val="a0"/>
        <w:adjustRightInd w:val="0"/>
        <w:snapToGrid w:val="0"/>
        <w:jc w:val="center"/>
        <w:rPr>
          <w:rFonts w:ascii="方正大标宋简体" w:eastAsia="方正大标宋简体" w:hAnsi="方正大标宋简体" w:cs="方正大标宋简体"/>
          <w:kern w:val="0"/>
          <w:sz w:val="44"/>
          <w:szCs w:val="44"/>
        </w:rPr>
      </w:pPr>
      <w:r>
        <w:rPr>
          <w:rFonts w:ascii="方正大标宋简体" w:eastAsia="方正大标宋简体" w:hAnsi="方正大标宋简体" w:cs="方正大标宋简体" w:hint="eastAsia"/>
          <w:bCs/>
          <w:sz w:val="44"/>
          <w:szCs w:val="44"/>
        </w:rPr>
        <w:t>西峡县2022年政府性基金收支决算总表</w:t>
      </w:r>
    </w:p>
    <w:p w:rsidR="00BA1488" w:rsidRDefault="00155CF7">
      <w:pPr>
        <w:pStyle w:val="a0"/>
        <w:adjustRightInd w:val="0"/>
        <w:snapToGrid w:val="0"/>
        <w:ind w:firstLineChars="2200" w:firstLine="7040"/>
        <w:rPr>
          <w:rFonts w:ascii="仿宋_GB2312" w:eastAsia="仿宋_GB2312" w:hAnsi="仿宋" w:cs="仿宋"/>
          <w:kern w:val="0"/>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6"/>
        <w:gridCol w:w="1025"/>
        <w:gridCol w:w="2913"/>
        <w:gridCol w:w="12"/>
        <w:gridCol w:w="937"/>
        <w:gridCol w:w="8"/>
      </w:tblGrid>
      <w:tr w:rsidR="00BA1488">
        <w:trPr>
          <w:gridAfter w:val="1"/>
          <w:wAfter w:w="8" w:type="dxa"/>
          <w:trHeight w:val="547"/>
        </w:trPr>
        <w:tc>
          <w:tcPr>
            <w:tcW w:w="3816" w:type="dxa"/>
            <w:vAlign w:val="center"/>
          </w:tcPr>
          <w:p w:rsidR="00BA1488" w:rsidRDefault="00155CF7">
            <w:pPr>
              <w:adjustRightInd w:val="0"/>
              <w:snapToGrid w:val="0"/>
              <w:jc w:val="center"/>
              <w:rPr>
                <w:rFonts w:ascii="黑体" w:eastAsia="黑体" w:hAnsi="仿宋" w:cs="仿宋"/>
                <w:b/>
                <w:sz w:val="24"/>
              </w:rPr>
            </w:pPr>
            <w:r>
              <w:rPr>
                <w:rFonts w:ascii="黑体" w:eastAsia="黑体" w:hAnsi="仿宋" w:cs="仿宋" w:hint="eastAsia"/>
                <w:b/>
                <w:sz w:val="24"/>
              </w:rPr>
              <w:t>预算科目</w:t>
            </w:r>
          </w:p>
        </w:tc>
        <w:tc>
          <w:tcPr>
            <w:tcW w:w="1025" w:type="dxa"/>
            <w:vAlign w:val="center"/>
          </w:tcPr>
          <w:p w:rsidR="00BA1488" w:rsidRDefault="00155CF7">
            <w:pPr>
              <w:adjustRightInd w:val="0"/>
              <w:snapToGrid w:val="0"/>
              <w:jc w:val="center"/>
              <w:rPr>
                <w:rFonts w:ascii="黑体" w:eastAsia="黑体" w:hAnsi="仿宋" w:cs="仿宋"/>
                <w:b/>
                <w:sz w:val="24"/>
              </w:rPr>
            </w:pPr>
            <w:r>
              <w:rPr>
                <w:rFonts w:ascii="黑体" w:eastAsia="黑体" w:hAnsi="仿宋" w:cs="仿宋" w:hint="eastAsia"/>
                <w:b/>
                <w:sz w:val="24"/>
              </w:rPr>
              <w:t>决算数</w:t>
            </w:r>
          </w:p>
        </w:tc>
        <w:tc>
          <w:tcPr>
            <w:tcW w:w="2913" w:type="dxa"/>
            <w:vAlign w:val="center"/>
          </w:tcPr>
          <w:p w:rsidR="00BA1488" w:rsidRDefault="00155CF7">
            <w:pPr>
              <w:adjustRightInd w:val="0"/>
              <w:snapToGrid w:val="0"/>
              <w:jc w:val="center"/>
              <w:rPr>
                <w:rFonts w:ascii="黑体" w:eastAsia="黑体" w:hAnsi="仿宋" w:cs="仿宋"/>
                <w:b/>
                <w:sz w:val="24"/>
              </w:rPr>
            </w:pPr>
            <w:r>
              <w:rPr>
                <w:rFonts w:ascii="黑体" w:eastAsia="黑体" w:hAnsi="仿宋" w:cs="仿宋" w:hint="eastAsia"/>
                <w:b/>
                <w:sz w:val="24"/>
              </w:rPr>
              <w:t>预算科目</w:t>
            </w:r>
          </w:p>
        </w:tc>
        <w:tc>
          <w:tcPr>
            <w:tcW w:w="949" w:type="dxa"/>
            <w:gridSpan w:val="2"/>
            <w:vAlign w:val="center"/>
          </w:tcPr>
          <w:p w:rsidR="00BA1488" w:rsidRDefault="00155CF7">
            <w:pPr>
              <w:adjustRightInd w:val="0"/>
              <w:snapToGrid w:val="0"/>
              <w:jc w:val="center"/>
              <w:rPr>
                <w:rFonts w:ascii="黑体" w:eastAsia="黑体" w:hAnsi="仿宋" w:cs="仿宋"/>
                <w:b/>
                <w:sz w:val="24"/>
              </w:rPr>
            </w:pPr>
            <w:r>
              <w:rPr>
                <w:rFonts w:ascii="黑体" w:eastAsia="黑体" w:hAnsi="仿宋" w:cs="仿宋" w:hint="eastAsia"/>
                <w:b/>
                <w:sz w:val="24"/>
              </w:rPr>
              <w:t>决算数</w:t>
            </w:r>
          </w:p>
        </w:tc>
      </w:tr>
      <w:tr w:rsidR="00BA1488">
        <w:trPr>
          <w:gridAfter w:val="1"/>
          <w:wAfter w:w="8" w:type="dxa"/>
          <w:trHeight w:val="812"/>
        </w:trPr>
        <w:tc>
          <w:tcPr>
            <w:tcW w:w="3816"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污水处理费收入</w:t>
            </w:r>
          </w:p>
        </w:tc>
        <w:tc>
          <w:tcPr>
            <w:tcW w:w="102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173</w:t>
            </w: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文化旅游体育与传媒支出</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61</w:t>
            </w:r>
          </w:p>
        </w:tc>
      </w:tr>
      <w:tr w:rsidR="00BA1488">
        <w:trPr>
          <w:gridAfter w:val="1"/>
          <w:wAfter w:w="8" w:type="dxa"/>
          <w:trHeight w:val="812"/>
        </w:trPr>
        <w:tc>
          <w:tcPr>
            <w:tcW w:w="3816"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国有土地使用权出让收入</w:t>
            </w:r>
          </w:p>
        </w:tc>
        <w:tc>
          <w:tcPr>
            <w:tcW w:w="102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95300</w:t>
            </w: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社会保障和就业支出</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838</w:t>
            </w:r>
          </w:p>
        </w:tc>
      </w:tr>
      <w:tr w:rsidR="00BA1488">
        <w:trPr>
          <w:gridAfter w:val="1"/>
          <w:wAfter w:w="8" w:type="dxa"/>
          <w:trHeight w:val="812"/>
        </w:trPr>
        <w:tc>
          <w:tcPr>
            <w:tcW w:w="3816"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国有土地收益基金收入</w:t>
            </w:r>
          </w:p>
        </w:tc>
        <w:tc>
          <w:tcPr>
            <w:tcW w:w="102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3337</w:t>
            </w: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城乡社区支出</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59532</w:t>
            </w:r>
          </w:p>
        </w:tc>
      </w:tr>
      <w:tr w:rsidR="00BA1488">
        <w:trPr>
          <w:gridAfter w:val="1"/>
          <w:wAfter w:w="8" w:type="dxa"/>
          <w:trHeight w:val="812"/>
        </w:trPr>
        <w:tc>
          <w:tcPr>
            <w:tcW w:w="3816"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农业土地开发资金收入</w:t>
            </w:r>
          </w:p>
        </w:tc>
        <w:tc>
          <w:tcPr>
            <w:tcW w:w="102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652</w:t>
            </w: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农林水支出</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14</w:t>
            </w:r>
          </w:p>
        </w:tc>
      </w:tr>
      <w:tr w:rsidR="00BA1488">
        <w:trPr>
          <w:gridAfter w:val="1"/>
          <w:wAfter w:w="8" w:type="dxa"/>
          <w:trHeight w:val="812"/>
        </w:trPr>
        <w:tc>
          <w:tcPr>
            <w:tcW w:w="3816"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城市基础设施配套费收入</w:t>
            </w:r>
          </w:p>
        </w:tc>
        <w:tc>
          <w:tcPr>
            <w:tcW w:w="102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4567</w:t>
            </w: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其他支出</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113905</w:t>
            </w:r>
          </w:p>
        </w:tc>
      </w:tr>
      <w:tr w:rsidR="00BA1488">
        <w:trPr>
          <w:gridAfter w:val="1"/>
          <w:wAfter w:w="8" w:type="dxa"/>
          <w:trHeight w:val="722"/>
        </w:trPr>
        <w:tc>
          <w:tcPr>
            <w:tcW w:w="3816" w:type="dxa"/>
            <w:vAlign w:val="center"/>
          </w:tcPr>
          <w:p w:rsidR="00BA1488" w:rsidRDefault="00BA1488">
            <w:pPr>
              <w:adjustRightInd w:val="0"/>
              <w:snapToGrid w:val="0"/>
              <w:jc w:val="left"/>
              <w:rPr>
                <w:rFonts w:ascii="仿宋_GB2312" w:eastAsia="仿宋_GB2312" w:hAnsi="仿宋" w:cs="仿宋"/>
                <w:bCs/>
                <w:sz w:val="24"/>
              </w:rPr>
            </w:pPr>
          </w:p>
        </w:tc>
        <w:tc>
          <w:tcPr>
            <w:tcW w:w="1025" w:type="dxa"/>
            <w:vAlign w:val="center"/>
          </w:tcPr>
          <w:p w:rsidR="00BA1488" w:rsidRDefault="00BA1488">
            <w:pPr>
              <w:adjustRightInd w:val="0"/>
              <w:snapToGrid w:val="0"/>
              <w:jc w:val="left"/>
              <w:rPr>
                <w:rFonts w:ascii="仿宋_GB2312" w:eastAsia="仿宋_GB2312" w:hAnsi="仿宋" w:cs="仿宋"/>
                <w:bCs/>
                <w:sz w:val="24"/>
              </w:rPr>
            </w:pP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债务付息支出</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10951</w:t>
            </w:r>
          </w:p>
        </w:tc>
      </w:tr>
      <w:tr w:rsidR="00BA1488">
        <w:trPr>
          <w:gridAfter w:val="1"/>
          <w:wAfter w:w="8" w:type="dxa"/>
          <w:trHeight w:val="847"/>
        </w:trPr>
        <w:tc>
          <w:tcPr>
            <w:tcW w:w="3816" w:type="dxa"/>
            <w:vAlign w:val="center"/>
          </w:tcPr>
          <w:p w:rsidR="00BA1488" w:rsidRDefault="00BA1488">
            <w:pPr>
              <w:adjustRightInd w:val="0"/>
              <w:snapToGrid w:val="0"/>
              <w:jc w:val="left"/>
              <w:rPr>
                <w:rFonts w:ascii="仿宋_GB2312" w:eastAsia="仿宋_GB2312" w:hAnsi="仿宋" w:cs="仿宋"/>
                <w:bCs/>
                <w:sz w:val="24"/>
              </w:rPr>
            </w:pPr>
          </w:p>
        </w:tc>
        <w:tc>
          <w:tcPr>
            <w:tcW w:w="1025" w:type="dxa"/>
            <w:vAlign w:val="center"/>
          </w:tcPr>
          <w:p w:rsidR="00BA1488" w:rsidRDefault="00BA1488">
            <w:pPr>
              <w:adjustRightInd w:val="0"/>
              <w:snapToGrid w:val="0"/>
              <w:jc w:val="left"/>
              <w:rPr>
                <w:rFonts w:ascii="仿宋_GB2312" w:eastAsia="仿宋_GB2312" w:hAnsi="仿宋" w:cs="仿宋"/>
                <w:bCs/>
                <w:sz w:val="24"/>
              </w:rPr>
            </w:pP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债务发行费用支出</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1</w:t>
            </w:r>
          </w:p>
        </w:tc>
      </w:tr>
      <w:tr w:rsidR="00BA1488">
        <w:trPr>
          <w:gridAfter w:val="1"/>
          <w:wAfter w:w="8" w:type="dxa"/>
          <w:trHeight w:val="812"/>
        </w:trPr>
        <w:tc>
          <w:tcPr>
            <w:tcW w:w="3816" w:type="dxa"/>
            <w:vAlign w:val="center"/>
          </w:tcPr>
          <w:p w:rsidR="00BA1488" w:rsidRDefault="00155CF7">
            <w:pPr>
              <w:adjustRightInd w:val="0"/>
              <w:snapToGrid w:val="0"/>
              <w:jc w:val="center"/>
              <w:rPr>
                <w:rFonts w:ascii="仿宋_GB2312" w:eastAsia="仿宋_GB2312" w:hAnsi="仿宋" w:cs="仿宋"/>
                <w:b/>
                <w:sz w:val="24"/>
              </w:rPr>
            </w:pPr>
            <w:r>
              <w:rPr>
                <w:rFonts w:ascii="仿宋_GB2312" w:eastAsia="仿宋_GB2312" w:hAnsi="仿宋" w:cs="仿宋" w:hint="eastAsia"/>
                <w:b/>
                <w:sz w:val="24"/>
              </w:rPr>
              <w:t>本年收入合计</w:t>
            </w:r>
          </w:p>
        </w:tc>
        <w:tc>
          <w:tcPr>
            <w:tcW w:w="1025" w:type="dxa"/>
            <w:vAlign w:val="center"/>
          </w:tcPr>
          <w:p w:rsidR="00BA1488" w:rsidRDefault="00155CF7">
            <w:pPr>
              <w:adjustRightInd w:val="0"/>
              <w:snapToGrid w:val="0"/>
              <w:jc w:val="left"/>
              <w:rPr>
                <w:rFonts w:ascii="仿宋_GB2312" w:eastAsia="仿宋_GB2312" w:hAnsi="仿宋" w:cs="仿宋"/>
                <w:b/>
                <w:sz w:val="24"/>
              </w:rPr>
            </w:pPr>
            <w:r>
              <w:rPr>
                <w:rFonts w:ascii="仿宋_GB2312" w:eastAsia="仿宋_GB2312" w:hAnsi="仿宋" w:cs="仿宋" w:hint="eastAsia"/>
                <w:b/>
                <w:sz w:val="24"/>
              </w:rPr>
              <w:t>104029</w:t>
            </w:r>
          </w:p>
        </w:tc>
        <w:tc>
          <w:tcPr>
            <w:tcW w:w="2913" w:type="dxa"/>
            <w:vAlign w:val="center"/>
          </w:tcPr>
          <w:p w:rsidR="00BA1488" w:rsidRDefault="00155CF7">
            <w:pPr>
              <w:adjustRightInd w:val="0"/>
              <w:snapToGrid w:val="0"/>
              <w:jc w:val="center"/>
              <w:rPr>
                <w:rFonts w:ascii="仿宋_GB2312" w:eastAsia="仿宋_GB2312" w:hAnsi="仿宋" w:cs="仿宋"/>
                <w:b/>
                <w:sz w:val="24"/>
              </w:rPr>
            </w:pPr>
            <w:r>
              <w:rPr>
                <w:rFonts w:ascii="仿宋_GB2312" w:eastAsia="仿宋_GB2312" w:hAnsi="仿宋" w:cs="仿宋" w:hint="eastAsia"/>
                <w:b/>
                <w:sz w:val="24"/>
              </w:rPr>
              <w:t>本年支出合计</w:t>
            </w:r>
          </w:p>
        </w:tc>
        <w:tc>
          <w:tcPr>
            <w:tcW w:w="949" w:type="dxa"/>
            <w:gridSpan w:val="2"/>
            <w:vAlign w:val="center"/>
          </w:tcPr>
          <w:p w:rsidR="00BA1488" w:rsidRDefault="00155CF7">
            <w:pPr>
              <w:adjustRightInd w:val="0"/>
              <w:snapToGrid w:val="0"/>
              <w:jc w:val="left"/>
              <w:rPr>
                <w:rFonts w:ascii="仿宋_GB2312" w:eastAsia="仿宋_GB2312" w:hAnsi="仿宋" w:cs="仿宋"/>
                <w:b/>
                <w:sz w:val="24"/>
              </w:rPr>
            </w:pPr>
            <w:r>
              <w:rPr>
                <w:rFonts w:ascii="仿宋_GB2312" w:eastAsia="仿宋_GB2312" w:hAnsi="仿宋" w:cs="仿宋" w:hint="eastAsia"/>
                <w:b/>
                <w:sz w:val="24"/>
              </w:rPr>
              <w:t>185302</w:t>
            </w:r>
          </w:p>
        </w:tc>
      </w:tr>
      <w:tr w:rsidR="00BA1488">
        <w:trPr>
          <w:gridAfter w:val="1"/>
          <w:wAfter w:w="8" w:type="dxa"/>
          <w:trHeight w:val="812"/>
        </w:trPr>
        <w:tc>
          <w:tcPr>
            <w:tcW w:w="3816"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上级补助收入</w:t>
            </w:r>
          </w:p>
        </w:tc>
        <w:tc>
          <w:tcPr>
            <w:tcW w:w="102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8468</w:t>
            </w: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上解上级支出</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95</w:t>
            </w:r>
          </w:p>
        </w:tc>
      </w:tr>
      <w:tr w:rsidR="00BA1488">
        <w:trPr>
          <w:gridAfter w:val="1"/>
          <w:wAfter w:w="8" w:type="dxa"/>
          <w:trHeight w:val="812"/>
        </w:trPr>
        <w:tc>
          <w:tcPr>
            <w:tcW w:w="3816"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调入资金</w:t>
            </w:r>
          </w:p>
        </w:tc>
        <w:tc>
          <w:tcPr>
            <w:tcW w:w="102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247</w:t>
            </w: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调出资金</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40247</w:t>
            </w:r>
          </w:p>
        </w:tc>
      </w:tr>
      <w:tr w:rsidR="00BA1488">
        <w:trPr>
          <w:gridAfter w:val="1"/>
          <w:wAfter w:w="8" w:type="dxa"/>
          <w:trHeight w:val="727"/>
        </w:trPr>
        <w:tc>
          <w:tcPr>
            <w:tcW w:w="3816" w:type="dxa"/>
            <w:vAlign w:val="center"/>
          </w:tcPr>
          <w:p w:rsidR="00BA1488" w:rsidRDefault="00155CF7">
            <w:pPr>
              <w:adjustRightInd w:val="0"/>
              <w:snapToGrid w:val="0"/>
              <w:ind w:firstLineChars="100" w:firstLine="240"/>
              <w:jc w:val="left"/>
              <w:rPr>
                <w:rFonts w:ascii="仿宋_GB2312" w:eastAsia="仿宋_GB2312" w:hAnsi="仿宋" w:cs="仿宋"/>
                <w:bCs/>
                <w:sz w:val="24"/>
              </w:rPr>
            </w:pPr>
            <w:r>
              <w:rPr>
                <w:rFonts w:ascii="仿宋_GB2312" w:eastAsia="仿宋_GB2312" w:hAnsi="仿宋" w:cs="仿宋" w:hint="eastAsia"/>
                <w:bCs/>
                <w:sz w:val="24"/>
              </w:rPr>
              <w:t>一般公共预算调入</w:t>
            </w:r>
          </w:p>
        </w:tc>
        <w:tc>
          <w:tcPr>
            <w:tcW w:w="102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247</w:t>
            </w:r>
          </w:p>
        </w:tc>
        <w:tc>
          <w:tcPr>
            <w:tcW w:w="2913"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债务还本支出</w:t>
            </w:r>
          </w:p>
        </w:tc>
        <w:tc>
          <w:tcPr>
            <w:tcW w:w="949" w:type="dxa"/>
            <w:gridSpan w:val="2"/>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1500</w:t>
            </w:r>
          </w:p>
        </w:tc>
      </w:tr>
      <w:tr w:rsidR="00BA1488">
        <w:trPr>
          <w:gridAfter w:val="1"/>
          <w:wAfter w:w="8" w:type="dxa"/>
          <w:trHeight w:val="652"/>
        </w:trPr>
        <w:tc>
          <w:tcPr>
            <w:tcW w:w="3816"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地方政府专项债务收入</w:t>
            </w:r>
          </w:p>
        </w:tc>
        <w:tc>
          <w:tcPr>
            <w:tcW w:w="102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114400</w:t>
            </w:r>
          </w:p>
        </w:tc>
        <w:tc>
          <w:tcPr>
            <w:tcW w:w="2913" w:type="dxa"/>
            <w:vAlign w:val="center"/>
          </w:tcPr>
          <w:p w:rsidR="00BA1488" w:rsidRDefault="00BA1488">
            <w:pPr>
              <w:adjustRightInd w:val="0"/>
              <w:snapToGrid w:val="0"/>
              <w:jc w:val="left"/>
              <w:rPr>
                <w:rFonts w:ascii="仿宋_GB2312" w:eastAsia="仿宋_GB2312" w:hAnsi="仿宋" w:cs="仿宋"/>
                <w:bCs/>
                <w:sz w:val="24"/>
              </w:rPr>
            </w:pPr>
          </w:p>
        </w:tc>
        <w:tc>
          <w:tcPr>
            <w:tcW w:w="949" w:type="dxa"/>
            <w:gridSpan w:val="2"/>
            <w:vAlign w:val="center"/>
          </w:tcPr>
          <w:p w:rsidR="00BA1488" w:rsidRDefault="00BA1488">
            <w:pPr>
              <w:adjustRightInd w:val="0"/>
              <w:snapToGrid w:val="0"/>
              <w:jc w:val="left"/>
              <w:rPr>
                <w:rFonts w:ascii="仿宋_GB2312" w:eastAsia="仿宋_GB2312" w:hAnsi="仿宋" w:cs="仿宋"/>
                <w:bCs/>
                <w:sz w:val="24"/>
              </w:rPr>
            </w:pPr>
          </w:p>
        </w:tc>
      </w:tr>
      <w:tr w:rsidR="00BA1488">
        <w:trPr>
          <w:trHeight w:val="660"/>
        </w:trPr>
        <w:tc>
          <w:tcPr>
            <w:tcW w:w="3816" w:type="dxa"/>
          </w:tcPr>
          <w:p w:rsidR="00BA1488" w:rsidRDefault="00BA1488">
            <w:pPr>
              <w:adjustRightInd w:val="0"/>
              <w:snapToGrid w:val="0"/>
              <w:jc w:val="center"/>
              <w:rPr>
                <w:rFonts w:ascii="仿宋_GB2312" w:eastAsia="仿宋_GB2312" w:hAnsi="仿宋" w:cs="仿宋"/>
                <w:b/>
                <w:sz w:val="24"/>
              </w:rPr>
            </w:pPr>
          </w:p>
          <w:p w:rsidR="00BA1488" w:rsidRDefault="00155CF7">
            <w:pPr>
              <w:adjustRightInd w:val="0"/>
              <w:snapToGrid w:val="0"/>
              <w:jc w:val="center"/>
              <w:rPr>
                <w:rFonts w:ascii="仿宋_GB2312" w:eastAsia="仿宋_GB2312" w:hAnsi="仿宋" w:cs="仿宋"/>
                <w:b/>
                <w:sz w:val="24"/>
              </w:rPr>
            </w:pPr>
            <w:r>
              <w:rPr>
                <w:rFonts w:ascii="仿宋_GB2312" w:eastAsia="仿宋_GB2312" w:hAnsi="仿宋" w:cs="仿宋" w:hint="eastAsia"/>
                <w:b/>
                <w:sz w:val="24"/>
              </w:rPr>
              <w:t>收入总计</w:t>
            </w:r>
          </w:p>
        </w:tc>
        <w:tc>
          <w:tcPr>
            <w:tcW w:w="1025" w:type="dxa"/>
          </w:tcPr>
          <w:p w:rsidR="00BA1488" w:rsidRDefault="00BA1488">
            <w:pPr>
              <w:widowControl/>
              <w:jc w:val="center"/>
              <w:rPr>
                <w:rFonts w:ascii="仿宋_GB2312" w:eastAsia="仿宋_GB2312" w:hAnsi="仿宋" w:cs="仿宋"/>
                <w:b/>
                <w:sz w:val="24"/>
              </w:rPr>
            </w:pPr>
          </w:p>
          <w:p w:rsidR="00BA1488" w:rsidRDefault="00155CF7">
            <w:pPr>
              <w:widowControl/>
              <w:jc w:val="center"/>
              <w:rPr>
                <w:rFonts w:ascii="仿宋_GB2312" w:eastAsia="仿宋_GB2312" w:hAnsi="仿宋" w:cs="仿宋"/>
                <w:b/>
                <w:sz w:val="24"/>
              </w:rPr>
            </w:pPr>
            <w:r>
              <w:rPr>
                <w:rFonts w:ascii="仿宋_GB2312" w:eastAsia="仿宋_GB2312" w:hAnsi="仿宋" w:cs="仿宋" w:hint="eastAsia"/>
                <w:b/>
                <w:sz w:val="24"/>
              </w:rPr>
              <w:t>227144</w:t>
            </w:r>
          </w:p>
        </w:tc>
        <w:tc>
          <w:tcPr>
            <w:tcW w:w="2925" w:type="dxa"/>
            <w:gridSpan w:val="2"/>
          </w:tcPr>
          <w:p w:rsidR="00BA1488" w:rsidRDefault="00BA1488">
            <w:pPr>
              <w:widowControl/>
              <w:jc w:val="center"/>
              <w:rPr>
                <w:rFonts w:ascii="仿宋_GB2312" w:eastAsia="仿宋_GB2312" w:hAnsi="仿宋" w:cs="仿宋"/>
                <w:b/>
                <w:sz w:val="24"/>
              </w:rPr>
            </w:pPr>
          </w:p>
          <w:p w:rsidR="00BA1488" w:rsidRDefault="00155CF7">
            <w:pPr>
              <w:pStyle w:val="a0"/>
              <w:ind w:firstLineChars="200" w:firstLine="482"/>
              <w:jc w:val="center"/>
              <w:rPr>
                <w:rFonts w:ascii="仿宋_GB2312" w:eastAsia="仿宋_GB2312" w:hAnsi="仿宋" w:cs="仿宋"/>
                <w:b/>
              </w:rPr>
            </w:pPr>
            <w:r>
              <w:rPr>
                <w:rFonts w:ascii="仿宋_GB2312" w:eastAsia="仿宋_GB2312" w:hAnsi="仿宋" w:cs="仿宋" w:hint="eastAsia"/>
                <w:b/>
              </w:rPr>
              <w:t>支出总计</w:t>
            </w:r>
          </w:p>
        </w:tc>
        <w:tc>
          <w:tcPr>
            <w:tcW w:w="945" w:type="dxa"/>
            <w:gridSpan w:val="2"/>
          </w:tcPr>
          <w:p w:rsidR="00BA1488" w:rsidRDefault="00BA1488">
            <w:pPr>
              <w:widowControl/>
              <w:jc w:val="center"/>
              <w:rPr>
                <w:rFonts w:ascii="仿宋_GB2312" w:eastAsia="仿宋_GB2312" w:hAnsi="仿宋" w:cs="仿宋"/>
                <w:b/>
                <w:sz w:val="24"/>
              </w:rPr>
            </w:pPr>
          </w:p>
          <w:p w:rsidR="00BA1488" w:rsidRDefault="00155CF7">
            <w:pPr>
              <w:pStyle w:val="a0"/>
              <w:jc w:val="center"/>
              <w:rPr>
                <w:rFonts w:ascii="仿宋_GB2312" w:eastAsia="仿宋_GB2312" w:hAnsi="仿宋" w:cs="仿宋"/>
                <w:b/>
              </w:rPr>
            </w:pPr>
            <w:r>
              <w:rPr>
                <w:rFonts w:ascii="仿宋_GB2312" w:eastAsia="仿宋_GB2312" w:hAnsi="仿宋" w:cs="仿宋" w:hint="eastAsia"/>
                <w:b/>
              </w:rPr>
              <w:t>227144</w:t>
            </w:r>
          </w:p>
        </w:tc>
      </w:tr>
    </w:tbl>
    <w:p w:rsidR="00BA1488" w:rsidRDefault="00BA1488">
      <w:pPr>
        <w:adjustRightInd w:val="0"/>
        <w:snapToGrid w:val="0"/>
        <w:spacing w:line="360" w:lineRule="auto"/>
        <w:rPr>
          <w:rFonts w:ascii="仿宋_GB2312" w:eastAsia="仿宋_GB2312" w:hAnsi="仿宋" w:cs="仿宋"/>
          <w:sz w:val="32"/>
          <w:szCs w:val="32"/>
        </w:rPr>
      </w:pPr>
    </w:p>
    <w:p w:rsidR="00BA1488" w:rsidRDefault="00BA1488">
      <w:pPr>
        <w:adjustRightInd w:val="0"/>
        <w:snapToGrid w:val="0"/>
        <w:spacing w:line="360" w:lineRule="auto"/>
        <w:rPr>
          <w:rFonts w:ascii="仿宋_GB2312" w:eastAsia="仿宋_GB2312" w:hAnsi="仿宋" w:cs="仿宋"/>
          <w:sz w:val="32"/>
          <w:szCs w:val="32"/>
        </w:rPr>
      </w:pPr>
    </w:p>
    <w:p w:rsidR="00BA1488" w:rsidRDefault="00155CF7">
      <w:pPr>
        <w:adjustRightInd w:val="0"/>
        <w:snapToGrid w:val="0"/>
        <w:spacing w:line="360" w:lineRule="auto"/>
        <w:rPr>
          <w:rFonts w:ascii="仿宋_GB2312" w:eastAsia="仿宋_GB2312" w:hAnsi="仿宋" w:cs="仿宋"/>
          <w:sz w:val="32"/>
          <w:szCs w:val="32"/>
        </w:rPr>
      </w:pPr>
      <w:r>
        <w:rPr>
          <w:rFonts w:ascii="仿宋_GB2312" w:eastAsia="仿宋_GB2312" w:hAnsi="仿宋" w:cs="仿宋" w:hint="eastAsia"/>
          <w:sz w:val="32"/>
          <w:szCs w:val="32"/>
        </w:rPr>
        <w:lastRenderedPageBreak/>
        <w:t>附表三</w:t>
      </w:r>
    </w:p>
    <w:p w:rsidR="00BA1488" w:rsidRDefault="00BA1488">
      <w:pPr>
        <w:pStyle w:val="a0"/>
      </w:pPr>
    </w:p>
    <w:p w:rsidR="00BA1488" w:rsidRDefault="00155CF7">
      <w:pPr>
        <w:adjustRightInd w:val="0"/>
        <w:snapToGrid w:val="0"/>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bCs/>
          <w:sz w:val="44"/>
          <w:szCs w:val="44"/>
        </w:rPr>
        <w:t>西峡县2022年国有资本经营收支决算总表</w:t>
      </w:r>
    </w:p>
    <w:p w:rsidR="00BA1488" w:rsidRDefault="00155CF7">
      <w:pPr>
        <w:adjustRightInd w:val="0"/>
        <w:snapToGrid w:val="0"/>
        <w:spacing w:line="360" w:lineRule="auto"/>
        <w:ind w:firstLineChars="2200" w:firstLine="7040"/>
        <w:rPr>
          <w:rFonts w:ascii="仿宋_GB2312" w:eastAsia="仿宋_GB2312" w:hAnsi="仿宋" w:cs="仿宋"/>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8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0"/>
        <w:gridCol w:w="1217"/>
        <w:gridCol w:w="3106"/>
        <w:gridCol w:w="1495"/>
      </w:tblGrid>
      <w:tr w:rsidR="00BA1488">
        <w:trPr>
          <w:trHeight w:val="773"/>
        </w:trPr>
        <w:tc>
          <w:tcPr>
            <w:tcW w:w="2960" w:type="dxa"/>
            <w:vAlign w:val="center"/>
          </w:tcPr>
          <w:p w:rsidR="00BA1488" w:rsidRDefault="00155CF7">
            <w:pPr>
              <w:adjustRightInd w:val="0"/>
              <w:snapToGrid w:val="0"/>
              <w:jc w:val="center"/>
              <w:rPr>
                <w:rFonts w:ascii="黑体" w:eastAsia="黑体" w:hAnsi="仿宋" w:cs="仿宋"/>
                <w:bCs/>
                <w:sz w:val="24"/>
              </w:rPr>
            </w:pPr>
            <w:r>
              <w:rPr>
                <w:rFonts w:ascii="黑体" w:eastAsia="黑体" w:hAnsi="仿宋" w:cs="仿宋" w:hint="eastAsia"/>
                <w:bCs/>
                <w:sz w:val="24"/>
              </w:rPr>
              <w:t>预算科目</w:t>
            </w:r>
          </w:p>
        </w:tc>
        <w:tc>
          <w:tcPr>
            <w:tcW w:w="1217" w:type="dxa"/>
            <w:vAlign w:val="center"/>
          </w:tcPr>
          <w:p w:rsidR="00BA1488" w:rsidRDefault="00155CF7">
            <w:pPr>
              <w:adjustRightInd w:val="0"/>
              <w:snapToGrid w:val="0"/>
              <w:jc w:val="center"/>
              <w:rPr>
                <w:rFonts w:ascii="黑体" w:eastAsia="黑体" w:hAnsi="仿宋" w:cs="仿宋"/>
                <w:bCs/>
                <w:sz w:val="24"/>
              </w:rPr>
            </w:pPr>
            <w:r>
              <w:rPr>
                <w:rFonts w:ascii="黑体" w:eastAsia="黑体" w:hAnsi="仿宋" w:cs="仿宋" w:hint="eastAsia"/>
                <w:bCs/>
                <w:sz w:val="24"/>
              </w:rPr>
              <w:t>决算数</w:t>
            </w:r>
          </w:p>
        </w:tc>
        <w:tc>
          <w:tcPr>
            <w:tcW w:w="3106" w:type="dxa"/>
            <w:vAlign w:val="center"/>
          </w:tcPr>
          <w:p w:rsidR="00BA1488" w:rsidRDefault="00155CF7">
            <w:pPr>
              <w:adjustRightInd w:val="0"/>
              <w:snapToGrid w:val="0"/>
              <w:jc w:val="center"/>
              <w:rPr>
                <w:rFonts w:ascii="黑体" w:eastAsia="黑体" w:hAnsi="仿宋" w:cs="仿宋"/>
                <w:bCs/>
                <w:sz w:val="24"/>
              </w:rPr>
            </w:pPr>
            <w:r>
              <w:rPr>
                <w:rFonts w:ascii="黑体" w:eastAsia="黑体" w:hAnsi="仿宋" w:cs="仿宋" w:hint="eastAsia"/>
                <w:bCs/>
                <w:sz w:val="24"/>
              </w:rPr>
              <w:t>预算科目</w:t>
            </w:r>
          </w:p>
        </w:tc>
        <w:tc>
          <w:tcPr>
            <w:tcW w:w="1495" w:type="dxa"/>
            <w:vAlign w:val="center"/>
          </w:tcPr>
          <w:p w:rsidR="00BA1488" w:rsidRDefault="00155CF7">
            <w:pPr>
              <w:adjustRightInd w:val="0"/>
              <w:snapToGrid w:val="0"/>
              <w:jc w:val="center"/>
              <w:rPr>
                <w:rFonts w:ascii="黑体" w:eastAsia="黑体" w:hAnsi="仿宋" w:cs="仿宋"/>
                <w:bCs/>
                <w:sz w:val="24"/>
              </w:rPr>
            </w:pPr>
            <w:r>
              <w:rPr>
                <w:rFonts w:ascii="黑体" w:eastAsia="黑体" w:hAnsi="仿宋" w:cs="仿宋" w:hint="eastAsia"/>
                <w:bCs/>
                <w:sz w:val="24"/>
              </w:rPr>
              <w:t>决算数</w:t>
            </w:r>
          </w:p>
        </w:tc>
      </w:tr>
      <w:tr w:rsidR="00BA1488">
        <w:trPr>
          <w:trHeight w:val="1449"/>
        </w:trPr>
        <w:tc>
          <w:tcPr>
            <w:tcW w:w="2960" w:type="dxa"/>
            <w:vAlign w:val="center"/>
          </w:tcPr>
          <w:p w:rsidR="00BA1488" w:rsidRDefault="00155CF7">
            <w:pPr>
              <w:adjustRightInd w:val="0"/>
              <w:snapToGrid w:val="0"/>
              <w:jc w:val="center"/>
              <w:rPr>
                <w:rFonts w:ascii="仿宋_GB2312" w:eastAsia="仿宋_GB2312" w:hAnsi="仿宋" w:cs="仿宋"/>
                <w:bCs/>
                <w:sz w:val="24"/>
              </w:rPr>
            </w:pPr>
            <w:r>
              <w:rPr>
                <w:rFonts w:ascii="仿宋_GB2312" w:eastAsia="仿宋_GB2312" w:hAnsi="仿宋" w:cs="仿宋" w:hint="eastAsia"/>
                <w:bCs/>
                <w:sz w:val="24"/>
              </w:rPr>
              <w:t>国有资本经营收入</w:t>
            </w:r>
          </w:p>
        </w:tc>
        <w:tc>
          <w:tcPr>
            <w:tcW w:w="1217"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5000</w:t>
            </w:r>
          </w:p>
        </w:tc>
        <w:tc>
          <w:tcPr>
            <w:tcW w:w="3106" w:type="dxa"/>
            <w:vAlign w:val="center"/>
          </w:tcPr>
          <w:p w:rsidR="00BA1488" w:rsidRDefault="00155CF7">
            <w:pPr>
              <w:adjustRightInd w:val="0"/>
              <w:snapToGrid w:val="0"/>
              <w:jc w:val="center"/>
              <w:rPr>
                <w:rFonts w:ascii="仿宋_GB2312" w:eastAsia="仿宋_GB2312" w:hAnsi="仿宋" w:cs="仿宋"/>
                <w:sz w:val="24"/>
              </w:rPr>
            </w:pPr>
            <w:r>
              <w:rPr>
                <w:rFonts w:ascii="仿宋_GB2312" w:eastAsia="仿宋_GB2312" w:hAnsi="仿宋" w:cs="仿宋" w:hint="eastAsia"/>
                <w:sz w:val="24"/>
              </w:rPr>
              <w:t>国有资本经营预算支出</w:t>
            </w:r>
          </w:p>
        </w:tc>
        <w:tc>
          <w:tcPr>
            <w:tcW w:w="1495" w:type="dxa"/>
            <w:vAlign w:val="center"/>
          </w:tcPr>
          <w:p w:rsidR="00BA1488" w:rsidRDefault="00BA1488">
            <w:pPr>
              <w:adjustRightInd w:val="0"/>
              <w:snapToGrid w:val="0"/>
              <w:jc w:val="left"/>
              <w:rPr>
                <w:rFonts w:ascii="仿宋_GB2312" w:eastAsia="仿宋_GB2312" w:hAnsi="仿宋" w:cs="仿宋"/>
                <w:bCs/>
                <w:sz w:val="24"/>
              </w:rPr>
            </w:pPr>
          </w:p>
        </w:tc>
      </w:tr>
      <w:tr w:rsidR="00BA1488">
        <w:trPr>
          <w:trHeight w:val="1205"/>
        </w:trPr>
        <w:tc>
          <w:tcPr>
            <w:tcW w:w="2960" w:type="dxa"/>
            <w:vAlign w:val="center"/>
          </w:tcPr>
          <w:p w:rsidR="00BA1488" w:rsidRDefault="00155CF7">
            <w:pPr>
              <w:adjustRightInd w:val="0"/>
              <w:snapToGrid w:val="0"/>
              <w:jc w:val="center"/>
              <w:rPr>
                <w:rFonts w:ascii="仿宋_GB2312" w:eastAsia="仿宋_GB2312" w:hAnsi="仿宋" w:cs="仿宋"/>
                <w:bCs/>
                <w:sz w:val="24"/>
              </w:rPr>
            </w:pPr>
            <w:r>
              <w:rPr>
                <w:rFonts w:ascii="仿宋_GB2312" w:eastAsia="仿宋_GB2312" w:hAnsi="仿宋" w:cs="仿宋" w:hint="eastAsia"/>
                <w:bCs/>
                <w:sz w:val="24"/>
              </w:rPr>
              <w:t>利润收入</w:t>
            </w:r>
          </w:p>
        </w:tc>
        <w:tc>
          <w:tcPr>
            <w:tcW w:w="1217"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5000</w:t>
            </w:r>
          </w:p>
        </w:tc>
        <w:tc>
          <w:tcPr>
            <w:tcW w:w="3106" w:type="dxa"/>
            <w:vAlign w:val="center"/>
          </w:tcPr>
          <w:p w:rsidR="00BA1488" w:rsidRDefault="00155CF7">
            <w:pPr>
              <w:adjustRightInd w:val="0"/>
              <w:snapToGrid w:val="0"/>
              <w:ind w:firstLineChars="100" w:firstLine="240"/>
              <w:jc w:val="center"/>
              <w:rPr>
                <w:rFonts w:ascii="仿宋_GB2312" w:eastAsia="仿宋_GB2312" w:hAnsi="仿宋" w:cs="仿宋"/>
                <w:sz w:val="24"/>
              </w:rPr>
            </w:pPr>
            <w:r>
              <w:rPr>
                <w:rFonts w:ascii="仿宋_GB2312" w:eastAsia="仿宋_GB2312" w:hAnsi="仿宋" w:cs="仿宋" w:hint="eastAsia"/>
                <w:sz w:val="24"/>
              </w:rPr>
              <w:t>国有企业退休人员社会化管理补助支出</w:t>
            </w:r>
          </w:p>
        </w:tc>
        <w:tc>
          <w:tcPr>
            <w:tcW w:w="1495" w:type="dxa"/>
            <w:vAlign w:val="center"/>
          </w:tcPr>
          <w:p w:rsidR="00BA1488" w:rsidRDefault="00BA1488">
            <w:pPr>
              <w:adjustRightInd w:val="0"/>
              <w:snapToGrid w:val="0"/>
              <w:jc w:val="left"/>
              <w:rPr>
                <w:rFonts w:ascii="仿宋_GB2312" w:eastAsia="仿宋_GB2312" w:hAnsi="仿宋" w:cs="仿宋"/>
                <w:bCs/>
                <w:sz w:val="24"/>
              </w:rPr>
            </w:pPr>
          </w:p>
        </w:tc>
      </w:tr>
      <w:tr w:rsidR="00BA1488">
        <w:trPr>
          <w:trHeight w:val="1453"/>
        </w:trPr>
        <w:tc>
          <w:tcPr>
            <w:tcW w:w="2960" w:type="dxa"/>
            <w:vAlign w:val="center"/>
          </w:tcPr>
          <w:p w:rsidR="00BA1488" w:rsidRDefault="00155CF7">
            <w:pPr>
              <w:adjustRightInd w:val="0"/>
              <w:snapToGrid w:val="0"/>
              <w:jc w:val="center"/>
              <w:rPr>
                <w:rFonts w:ascii="仿宋_GB2312" w:eastAsia="仿宋_GB2312" w:hAnsi="仿宋" w:cs="仿宋"/>
                <w:b/>
                <w:bCs/>
                <w:sz w:val="24"/>
              </w:rPr>
            </w:pPr>
            <w:r>
              <w:rPr>
                <w:rFonts w:ascii="仿宋_GB2312" w:eastAsia="仿宋_GB2312" w:hAnsi="仿宋" w:cs="仿宋" w:hint="eastAsia"/>
                <w:b/>
                <w:bCs/>
                <w:sz w:val="24"/>
              </w:rPr>
              <w:t>本年收入合计</w:t>
            </w:r>
          </w:p>
        </w:tc>
        <w:tc>
          <w:tcPr>
            <w:tcW w:w="1217" w:type="dxa"/>
            <w:vAlign w:val="center"/>
          </w:tcPr>
          <w:p w:rsidR="00BA1488" w:rsidRDefault="00155CF7">
            <w:pPr>
              <w:adjustRightInd w:val="0"/>
              <w:snapToGrid w:val="0"/>
              <w:jc w:val="left"/>
              <w:rPr>
                <w:rFonts w:ascii="仿宋_GB2312" w:eastAsia="仿宋_GB2312" w:hAnsi="仿宋" w:cs="仿宋"/>
                <w:b/>
                <w:bCs/>
                <w:sz w:val="24"/>
              </w:rPr>
            </w:pPr>
            <w:r>
              <w:rPr>
                <w:rFonts w:ascii="仿宋_GB2312" w:eastAsia="仿宋_GB2312" w:hAnsi="仿宋" w:cs="仿宋" w:hint="eastAsia"/>
                <w:b/>
                <w:bCs/>
                <w:sz w:val="24"/>
              </w:rPr>
              <w:t>5000</w:t>
            </w:r>
          </w:p>
        </w:tc>
        <w:tc>
          <w:tcPr>
            <w:tcW w:w="3106" w:type="dxa"/>
            <w:vAlign w:val="center"/>
          </w:tcPr>
          <w:p w:rsidR="00BA1488" w:rsidRDefault="00155CF7">
            <w:pPr>
              <w:adjustRightInd w:val="0"/>
              <w:snapToGrid w:val="0"/>
              <w:jc w:val="center"/>
              <w:rPr>
                <w:rFonts w:ascii="仿宋_GB2312" w:eastAsia="仿宋_GB2312" w:hAnsi="仿宋" w:cs="仿宋"/>
                <w:b/>
                <w:sz w:val="24"/>
              </w:rPr>
            </w:pPr>
            <w:r>
              <w:rPr>
                <w:rFonts w:ascii="仿宋_GB2312" w:eastAsia="仿宋_GB2312" w:hAnsi="仿宋" w:cs="仿宋" w:hint="eastAsia"/>
                <w:b/>
                <w:sz w:val="24"/>
              </w:rPr>
              <w:t>本年支出合计</w:t>
            </w:r>
          </w:p>
        </w:tc>
        <w:tc>
          <w:tcPr>
            <w:tcW w:w="1495" w:type="dxa"/>
            <w:vAlign w:val="center"/>
          </w:tcPr>
          <w:p w:rsidR="00BA1488" w:rsidRDefault="00155CF7">
            <w:pPr>
              <w:adjustRightInd w:val="0"/>
              <w:snapToGrid w:val="0"/>
              <w:jc w:val="left"/>
              <w:rPr>
                <w:rFonts w:ascii="仿宋_GB2312" w:eastAsia="仿宋_GB2312" w:hAnsi="仿宋" w:cs="仿宋"/>
                <w:b/>
                <w:bCs/>
                <w:sz w:val="24"/>
              </w:rPr>
            </w:pPr>
            <w:r>
              <w:rPr>
                <w:rFonts w:ascii="仿宋_GB2312" w:eastAsia="仿宋_GB2312" w:hAnsi="仿宋" w:cs="仿宋" w:hint="eastAsia"/>
                <w:b/>
                <w:bCs/>
                <w:sz w:val="24"/>
              </w:rPr>
              <w:t>0</w:t>
            </w:r>
          </w:p>
        </w:tc>
      </w:tr>
      <w:tr w:rsidR="00BA1488">
        <w:trPr>
          <w:trHeight w:val="1561"/>
        </w:trPr>
        <w:tc>
          <w:tcPr>
            <w:tcW w:w="2960" w:type="dxa"/>
            <w:vAlign w:val="center"/>
          </w:tcPr>
          <w:p w:rsidR="00BA1488" w:rsidRDefault="00155CF7">
            <w:pPr>
              <w:adjustRightInd w:val="0"/>
              <w:snapToGrid w:val="0"/>
              <w:jc w:val="center"/>
              <w:rPr>
                <w:rFonts w:ascii="仿宋_GB2312" w:eastAsia="仿宋_GB2312" w:hAnsi="仿宋" w:cs="仿宋"/>
                <w:bCs/>
                <w:sz w:val="24"/>
              </w:rPr>
            </w:pPr>
            <w:r>
              <w:rPr>
                <w:rFonts w:ascii="仿宋_GB2312" w:eastAsia="仿宋_GB2312" w:hAnsi="仿宋" w:cs="仿宋" w:hint="eastAsia"/>
                <w:bCs/>
                <w:sz w:val="24"/>
              </w:rPr>
              <w:t>上级补助收入</w:t>
            </w:r>
          </w:p>
        </w:tc>
        <w:tc>
          <w:tcPr>
            <w:tcW w:w="1217"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49</w:t>
            </w:r>
          </w:p>
        </w:tc>
        <w:tc>
          <w:tcPr>
            <w:tcW w:w="3106" w:type="dxa"/>
            <w:vAlign w:val="center"/>
          </w:tcPr>
          <w:p w:rsidR="00BA1488" w:rsidRDefault="00155CF7">
            <w:pPr>
              <w:tabs>
                <w:tab w:val="left" w:pos="755"/>
              </w:tabs>
              <w:adjustRightInd w:val="0"/>
              <w:snapToGrid w:val="0"/>
              <w:jc w:val="left"/>
              <w:rPr>
                <w:rFonts w:ascii="仿宋_GB2312" w:eastAsia="仿宋_GB2312" w:hAnsi="仿宋" w:cs="仿宋"/>
                <w:bCs/>
                <w:sz w:val="24"/>
              </w:rPr>
            </w:pPr>
            <w:r>
              <w:rPr>
                <w:rFonts w:ascii="仿宋_GB2312" w:eastAsia="仿宋_GB2312" w:hAnsi="仿宋" w:cs="仿宋" w:hint="eastAsia"/>
                <w:bCs/>
                <w:sz w:val="24"/>
              </w:rPr>
              <w:t>国有资本年终结余</w:t>
            </w:r>
          </w:p>
        </w:tc>
        <w:tc>
          <w:tcPr>
            <w:tcW w:w="149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49</w:t>
            </w:r>
          </w:p>
        </w:tc>
      </w:tr>
      <w:tr w:rsidR="00BA1488">
        <w:trPr>
          <w:trHeight w:val="1561"/>
        </w:trPr>
        <w:tc>
          <w:tcPr>
            <w:tcW w:w="2960" w:type="dxa"/>
            <w:vAlign w:val="center"/>
          </w:tcPr>
          <w:p w:rsidR="00BA1488" w:rsidRDefault="00BA1488">
            <w:pPr>
              <w:tabs>
                <w:tab w:val="left" w:pos="755"/>
              </w:tabs>
              <w:adjustRightInd w:val="0"/>
              <w:snapToGrid w:val="0"/>
              <w:jc w:val="left"/>
              <w:rPr>
                <w:rFonts w:ascii="仿宋_GB2312" w:eastAsia="仿宋_GB2312" w:hAnsi="仿宋" w:cs="仿宋"/>
                <w:bCs/>
                <w:sz w:val="24"/>
              </w:rPr>
            </w:pPr>
          </w:p>
        </w:tc>
        <w:tc>
          <w:tcPr>
            <w:tcW w:w="1217" w:type="dxa"/>
            <w:vAlign w:val="center"/>
          </w:tcPr>
          <w:p w:rsidR="00BA1488" w:rsidRDefault="00BA1488">
            <w:pPr>
              <w:adjustRightInd w:val="0"/>
              <w:snapToGrid w:val="0"/>
              <w:jc w:val="left"/>
              <w:rPr>
                <w:rFonts w:ascii="仿宋_GB2312" w:eastAsia="仿宋_GB2312" w:hAnsi="仿宋" w:cs="仿宋"/>
                <w:bCs/>
                <w:sz w:val="24"/>
              </w:rPr>
            </w:pPr>
          </w:p>
        </w:tc>
        <w:tc>
          <w:tcPr>
            <w:tcW w:w="3106" w:type="dxa"/>
            <w:vAlign w:val="center"/>
          </w:tcPr>
          <w:p w:rsidR="00BA1488" w:rsidRDefault="00155CF7">
            <w:pPr>
              <w:adjustRightInd w:val="0"/>
              <w:snapToGrid w:val="0"/>
              <w:ind w:firstLineChars="100" w:firstLine="240"/>
              <w:jc w:val="left"/>
              <w:rPr>
                <w:rFonts w:ascii="仿宋_GB2312" w:eastAsia="仿宋_GB2312" w:hAnsi="仿宋" w:cs="仿宋"/>
                <w:sz w:val="24"/>
              </w:rPr>
            </w:pPr>
            <w:r>
              <w:rPr>
                <w:rFonts w:ascii="仿宋_GB2312" w:eastAsia="仿宋_GB2312" w:hAnsi="仿宋" w:cs="仿宋" w:hint="eastAsia"/>
                <w:sz w:val="24"/>
              </w:rPr>
              <w:t>调出资金</w:t>
            </w:r>
          </w:p>
        </w:tc>
        <w:tc>
          <w:tcPr>
            <w:tcW w:w="1495" w:type="dxa"/>
            <w:vAlign w:val="center"/>
          </w:tcPr>
          <w:p w:rsidR="00BA1488" w:rsidRDefault="00155CF7">
            <w:pPr>
              <w:adjustRightInd w:val="0"/>
              <w:snapToGrid w:val="0"/>
              <w:jc w:val="left"/>
              <w:rPr>
                <w:rFonts w:ascii="仿宋_GB2312" w:eastAsia="仿宋_GB2312" w:hAnsi="仿宋" w:cs="仿宋"/>
                <w:bCs/>
                <w:sz w:val="24"/>
              </w:rPr>
            </w:pPr>
            <w:r>
              <w:rPr>
                <w:rFonts w:ascii="仿宋_GB2312" w:eastAsia="仿宋_GB2312" w:hAnsi="仿宋" w:cs="仿宋" w:hint="eastAsia"/>
                <w:bCs/>
                <w:sz w:val="24"/>
              </w:rPr>
              <w:t>5000</w:t>
            </w:r>
          </w:p>
        </w:tc>
      </w:tr>
      <w:tr w:rsidR="00BA1488">
        <w:trPr>
          <w:trHeight w:val="1602"/>
        </w:trPr>
        <w:tc>
          <w:tcPr>
            <w:tcW w:w="2960" w:type="dxa"/>
            <w:vAlign w:val="center"/>
          </w:tcPr>
          <w:p w:rsidR="00BA1488" w:rsidRDefault="00155CF7">
            <w:pPr>
              <w:adjustRightInd w:val="0"/>
              <w:snapToGrid w:val="0"/>
              <w:jc w:val="center"/>
              <w:rPr>
                <w:rFonts w:ascii="仿宋_GB2312" w:eastAsia="仿宋_GB2312" w:hAnsi="仿宋" w:cs="仿宋"/>
                <w:b/>
                <w:sz w:val="24"/>
              </w:rPr>
            </w:pPr>
            <w:r>
              <w:rPr>
                <w:rFonts w:ascii="仿宋_GB2312" w:eastAsia="仿宋_GB2312" w:hAnsi="仿宋" w:cs="仿宋" w:hint="eastAsia"/>
                <w:b/>
                <w:sz w:val="24"/>
              </w:rPr>
              <w:t>收入总计</w:t>
            </w:r>
          </w:p>
        </w:tc>
        <w:tc>
          <w:tcPr>
            <w:tcW w:w="1217" w:type="dxa"/>
            <w:vAlign w:val="center"/>
          </w:tcPr>
          <w:p w:rsidR="00BA1488" w:rsidRDefault="00155CF7">
            <w:pPr>
              <w:adjustRightInd w:val="0"/>
              <w:snapToGrid w:val="0"/>
              <w:jc w:val="left"/>
              <w:rPr>
                <w:rFonts w:ascii="仿宋_GB2312" w:eastAsia="仿宋_GB2312" w:hAnsi="仿宋" w:cs="仿宋"/>
                <w:b/>
                <w:sz w:val="24"/>
              </w:rPr>
            </w:pPr>
            <w:r>
              <w:rPr>
                <w:rFonts w:ascii="仿宋_GB2312" w:eastAsia="仿宋_GB2312" w:hAnsi="仿宋" w:cs="仿宋" w:hint="eastAsia"/>
                <w:b/>
                <w:sz w:val="24"/>
              </w:rPr>
              <w:t>5049</w:t>
            </w:r>
          </w:p>
        </w:tc>
        <w:tc>
          <w:tcPr>
            <w:tcW w:w="3106" w:type="dxa"/>
            <w:vAlign w:val="center"/>
          </w:tcPr>
          <w:p w:rsidR="00BA1488" w:rsidRDefault="00155CF7">
            <w:pPr>
              <w:adjustRightInd w:val="0"/>
              <w:snapToGrid w:val="0"/>
              <w:jc w:val="center"/>
              <w:rPr>
                <w:rFonts w:ascii="仿宋_GB2312" w:eastAsia="仿宋_GB2312" w:hAnsi="仿宋" w:cs="仿宋"/>
                <w:b/>
                <w:sz w:val="24"/>
              </w:rPr>
            </w:pPr>
            <w:r>
              <w:rPr>
                <w:rFonts w:ascii="仿宋_GB2312" w:eastAsia="仿宋_GB2312" w:hAnsi="仿宋" w:cs="仿宋" w:hint="eastAsia"/>
                <w:b/>
                <w:sz w:val="24"/>
              </w:rPr>
              <w:t>支出总计</w:t>
            </w:r>
          </w:p>
        </w:tc>
        <w:tc>
          <w:tcPr>
            <w:tcW w:w="1495" w:type="dxa"/>
            <w:vAlign w:val="center"/>
          </w:tcPr>
          <w:p w:rsidR="00BA1488" w:rsidRDefault="00155CF7">
            <w:pPr>
              <w:adjustRightInd w:val="0"/>
              <w:snapToGrid w:val="0"/>
              <w:jc w:val="left"/>
              <w:rPr>
                <w:rFonts w:ascii="仿宋_GB2312" w:eastAsia="仿宋_GB2312" w:hAnsi="仿宋" w:cs="仿宋"/>
                <w:b/>
                <w:sz w:val="24"/>
              </w:rPr>
            </w:pPr>
            <w:r>
              <w:rPr>
                <w:rFonts w:ascii="仿宋_GB2312" w:eastAsia="仿宋_GB2312" w:hAnsi="仿宋" w:cs="仿宋" w:hint="eastAsia"/>
                <w:b/>
                <w:sz w:val="24"/>
              </w:rPr>
              <w:t>5049</w:t>
            </w:r>
          </w:p>
        </w:tc>
      </w:tr>
    </w:tbl>
    <w:p w:rsidR="00BA1488" w:rsidRDefault="00BA1488">
      <w:pPr>
        <w:pStyle w:val="a0"/>
      </w:pPr>
    </w:p>
    <w:p w:rsidR="00BA1488" w:rsidRDefault="00BA1488"/>
    <w:p w:rsidR="00BA1488" w:rsidRDefault="00BA1488">
      <w:pPr>
        <w:pStyle w:val="a0"/>
      </w:pPr>
    </w:p>
    <w:p w:rsidR="00BA1488" w:rsidRDefault="00BA1488"/>
    <w:p w:rsidR="00BA1488" w:rsidRDefault="00BA1488">
      <w:pPr>
        <w:adjustRightInd w:val="0"/>
        <w:snapToGrid w:val="0"/>
        <w:spacing w:line="600" w:lineRule="exact"/>
        <w:outlineLvl w:val="0"/>
        <w:rPr>
          <w:rFonts w:ascii="仿宋_GB2312" w:eastAsia="仿宋_GB2312" w:hAnsi="仿宋" w:cs="仿宋"/>
          <w:sz w:val="32"/>
          <w:szCs w:val="32"/>
        </w:rPr>
      </w:pPr>
    </w:p>
    <w:p w:rsidR="00BA1488" w:rsidRDefault="00155CF7">
      <w:pPr>
        <w:adjustRightInd w:val="0"/>
        <w:snapToGrid w:val="0"/>
        <w:spacing w:line="600" w:lineRule="exact"/>
        <w:outlineLvl w:val="0"/>
        <w:rPr>
          <w:rFonts w:ascii="仿宋_GB2312" w:eastAsia="仿宋_GB2312" w:hAnsi="仿宋" w:cs="仿宋"/>
          <w:sz w:val="32"/>
          <w:szCs w:val="32"/>
        </w:rPr>
      </w:pPr>
      <w:r>
        <w:rPr>
          <w:rFonts w:ascii="仿宋_GB2312" w:eastAsia="仿宋_GB2312" w:hAnsi="仿宋" w:cs="仿宋" w:hint="eastAsia"/>
          <w:sz w:val="32"/>
          <w:szCs w:val="32"/>
        </w:rPr>
        <w:lastRenderedPageBreak/>
        <w:t>附表四</w:t>
      </w:r>
    </w:p>
    <w:p w:rsidR="00BA1488" w:rsidRDefault="00BA1488">
      <w:pPr>
        <w:pStyle w:val="a0"/>
      </w:pPr>
    </w:p>
    <w:p w:rsidR="00BA1488" w:rsidRDefault="00155CF7">
      <w:pPr>
        <w:adjustRightInd w:val="0"/>
        <w:snapToGrid w:val="0"/>
        <w:jc w:val="center"/>
        <w:rPr>
          <w:rFonts w:ascii="方正大标宋简体" w:eastAsia="方正大标宋简体" w:hAnsi="方正大标宋简体" w:cs="方正大标宋简体"/>
          <w:bCs/>
          <w:spacing w:val="-6"/>
          <w:w w:val="90"/>
          <w:sz w:val="44"/>
          <w:szCs w:val="44"/>
        </w:rPr>
      </w:pPr>
      <w:r>
        <w:rPr>
          <w:rFonts w:ascii="方正大标宋简体" w:eastAsia="方正大标宋简体" w:hAnsi="方正大标宋简体" w:cs="方正大标宋简体" w:hint="eastAsia"/>
          <w:bCs/>
          <w:spacing w:val="-6"/>
          <w:w w:val="90"/>
          <w:sz w:val="44"/>
          <w:szCs w:val="44"/>
        </w:rPr>
        <w:t>西峡县2023年上半年财政一般预算收支完成数总表</w:t>
      </w:r>
    </w:p>
    <w:p w:rsidR="00BA1488" w:rsidRDefault="00155CF7">
      <w:pPr>
        <w:adjustRightInd w:val="0"/>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91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3389"/>
        <w:gridCol w:w="1237"/>
        <w:gridCol w:w="2636"/>
        <w:gridCol w:w="1280"/>
      </w:tblGrid>
      <w:tr w:rsidR="00BA1488">
        <w:trPr>
          <w:trHeight w:val="401"/>
        </w:trPr>
        <w:tc>
          <w:tcPr>
            <w:tcW w:w="616" w:type="dxa"/>
            <w:vAlign w:val="center"/>
          </w:tcPr>
          <w:p w:rsidR="00BA1488" w:rsidRDefault="00155CF7">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行</w:t>
            </w:r>
          </w:p>
        </w:tc>
        <w:tc>
          <w:tcPr>
            <w:tcW w:w="4626" w:type="dxa"/>
            <w:gridSpan w:val="2"/>
            <w:vAlign w:val="center"/>
          </w:tcPr>
          <w:p w:rsidR="00BA1488" w:rsidRDefault="00155CF7">
            <w:pPr>
              <w:adjustRightInd w:val="0"/>
              <w:snapToGrid w:val="0"/>
              <w:spacing w:line="300" w:lineRule="exact"/>
              <w:jc w:val="center"/>
              <w:rPr>
                <w:rFonts w:ascii="仿宋" w:eastAsia="仿宋" w:hAnsi="仿宋" w:cs="仿宋"/>
                <w:b/>
                <w:bCs/>
                <w:szCs w:val="21"/>
              </w:rPr>
            </w:pPr>
            <w:r>
              <w:rPr>
                <w:rFonts w:ascii="黑体" w:eastAsia="黑体" w:hAnsi="黑体" w:cs="黑体" w:hint="eastAsia"/>
                <w:b/>
                <w:bCs/>
                <w:szCs w:val="21"/>
              </w:rPr>
              <w:t>收入</w:t>
            </w:r>
          </w:p>
        </w:tc>
        <w:tc>
          <w:tcPr>
            <w:tcW w:w="3916" w:type="dxa"/>
            <w:gridSpan w:val="2"/>
            <w:vAlign w:val="center"/>
          </w:tcPr>
          <w:p w:rsidR="00BA1488" w:rsidRDefault="00155CF7">
            <w:pPr>
              <w:pStyle w:val="a0"/>
              <w:adjustRightInd w:val="0"/>
              <w:snapToGrid w:val="0"/>
              <w:jc w:val="center"/>
              <w:rPr>
                <w:rFonts w:ascii="仿宋" w:eastAsia="仿宋" w:hAnsi="仿宋" w:cs="仿宋"/>
                <w:b/>
                <w:bCs/>
                <w:kern w:val="0"/>
                <w:szCs w:val="21"/>
              </w:rPr>
            </w:pPr>
            <w:r>
              <w:rPr>
                <w:rFonts w:ascii="黑体" w:eastAsia="黑体" w:hAnsi="黑体" w:cs="黑体" w:hint="eastAsia"/>
                <w:b/>
                <w:bCs/>
                <w:szCs w:val="21"/>
              </w:rPr>
              <w:t>支出</w:t>
            </w:r>
          </w:p>
        </w:tc>
      </w:tr>
      <w:tr w:rsidR="00BA1488">
        <w:trPr>
          <w:trHeight w:val="401"/>
        </w:trPr>
        <w:tc>
          <w:tcPr>
            <w:tcW w:w="616" w:type="dxa"/>
            <w:vAlign w:val="center"/>
          </w:tcPr>
          <w:p w:rsidR="00BA1488" w:rsidRDefault="00BA1488">
            <w:pPr>
              <w:adjustRightInd w:val="0"/>
              <w:snapToGrid w:val="0"/>
              <w:spacing w:line="300" w:lineRule="exact"/>
              <w:jc w:val="center"/>
              <w:rPr>
                <w:rFonts w:ascii="仿宋" w:eastAsia="仿宋" w:hAnsi="仿宋" w:cs="仿宋"/>
                <w:b/>
                <w:bCs/>
                <w:szCs w:val="21"/>
              </w:rPr>
            </w:pPr>
          </w:p>
        </w:tc>
        <w:tc>
          <w:tcPr>
            <w:tcW w:w="3389" w:type="dxa"/>
            <w:vAlign w:val="center"/>
          </w:tcPr>
          <w:p w:rsidR="00BA1488" w:rsidRDefault="00155CF7">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预    算    科    目</w:t>
            </w:r>
          </w:p>
        </w:tc>
        <w:tc>
          <w:tcPr>
            <w:tcW w:w="1237" w:type="dxa"/>
            <w:vAlign w:val="center"/>
          </w:tcPr>
          <w:p w:rsidR="00BA1488" w:rsidRDefault="00155CF7">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完成数</w:t>
            </w:r>
          </w:p>
        </w:tc>
        <w:tc>
          <w:tcPr>
            <w:tcW w:w="2636" w:type="dxa"/>
            <w:vAlign w:val="center"/>
          </w:tcPr>
          <w:p w:rsidR="00BA1488" w:rsidRDefault="00155CF7">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预   算   科    目</w:t>
            </w:r>
          </w:p>
        </w:tc>
        <w:tc>
          <w:tcPr>
            <w:tcW w:w="1280" w:type="dxa"/>
            <w:vAlign w:val="center"/>
          </w:tcPr>
          <w:p w:rsidR="00BA1488" w:rsidRDefault="00155CF7">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完成数</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w:t>
            </w:r>
          </w:p>
        </w:tc>
        <w:tc>
          <w:tcPr>
            <w:tcW w:w="3389"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b/>
                <w:bCs/>
                <w:szCs w:val="21"/>
              </w:rPr>
              <w:t>公共财政收入</w:t>
            </w:r>
          </w:p>
        </w:tc>
        <w:tc>
          <w:tcPr>
            <w:tcW w:w="1237"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b/>
                <w:bCs/>
                <w:szCs w:val="21"/>
              </w:rPr>
              <w:t>139440</w:t>
            </w:r>
          </w:p>
        </w:tc>
        <w:tc>
          <w:tcPr>
            <w:tcW w:w="2636"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b/>
                <w:bCs/>
                <w:szCs w:val="21"/>
              </w:rPr>
              <w:t>公共财政支出</w:t>
            </w:r>
          </w:p>
        </w:tc>
        <w:tc>
          <w:tcPr>
            <w:tcW w:w="1280"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b/>
                <w:bCs/>
                <w:szCs w:val="21"/>
              </w:rPr>
              <w:t>325520</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w:t>
            </w:r>
          </w:p>
        </w:tc>
        <w:tc>
          <w:tcPr>
            <w:tcW w:w="3389"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szCs w:val="21"/>
              </w:rPr>
              <w:t>税收收入</w:t>
            </w:r>
          </w:p>
        </w:tc>
        <w:tc>
          <w:tcPr>
            <w:tcW w:w="1237"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szCs w:val="21"/>
              </w:rPr>
              <w:t>94858</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一般公共服务支出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26889</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3</w:t>
            </w:r>
          </w:p>
        </w:tc>
        <w:tc>
          <w:tcPr>
            <w:tcW w:w="3389"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szCs w:val="21"/>
              </w:rPr>
              <w:t>增值税</w:t>
            </w:r>
          </w:p>
        </w:tc>
        <w:tc>
          <w:tcPr>
            <w:tcW w:w="1237"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szCs w:val="21"/>
              </w:rPr>
              <w:t>48319</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国防支出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72</w:t>
            </w:r>
          </w:p>
        </w:tc>
      </w:tr>
      <w:tr w:rsidR="00BA1488">
        <w:trPr>
          <w:trHeight w:val="90"/>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4</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企业所得税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6353</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公共安全支出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8501</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5</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个人所得税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503</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教育支出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107758</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6</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资源税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640</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科学技术支出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15037</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7</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城市维护建设税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4750</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文化旅游体育与传媒支出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2002</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8</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房产税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1622</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社会保障和就业支出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60821</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9</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印花税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1743</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卫生健康支出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37861</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10</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城镇土地使用税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2923</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节能环保支出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13851</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11</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土地增值税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2598</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城乡社区支出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10670</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12</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车船税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986</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农林水支出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29770</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13</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耕地占用税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22525</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交通运输支出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4484</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14</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契税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1754</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资源勘探信息等支出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1153</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15</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环境保护税</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142</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商业服务业等支出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1201</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16</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b/>
                <w:bCs/>
                <w:szCs w:val="21"/>
              </w:rPr>
              <w:t>非税收入</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b/>
                <w:bCs/>
                <w:szCs w:val="21"/>
              </w:rPr>
              <w:t>44582</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自然资源海洋气象等支出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1862</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17</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专项收入</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3734</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金融支出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320</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18</w:t>
            </w:r>
          </w:p>
        </w:tc>
        <w:tc>
          <w:tcPr>
            <w:tcW w:w="3389"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szCs w:val="21"/>
              </w:rPr>
              <w:t>行政事业性收费收入</w:t>
            </w:r>
          </w:p>
        </w:tc>
        <w:tc>
          <w:tcPr>
            <w:tcW w:w="1237"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szCs w:val="21"/>
              </w:rPr>
              <w:t>3771</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住房保障支出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1279</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19</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罚没收入</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2165</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粮油物资储备支出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133</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20</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国有资源（资产）有偿使用收入</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33792</w:t>
            </w:r>
          </w:p>
        </w:tc>
        <w:tc>
          <w:tcPr>
            <w:tcW w:w="263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灾害防治及应急管理支出</w:t>
            </w:r>
          </w:p>
        </w:tc>
        <w:tc>
          <w:tcPr>
            <w:tcW w:w="1280"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1856</w:t>
            </w: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21</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其他收入</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6</w:t>
            </w:r>
          </w:p>
        </w:tc>
        <w:tc>
          <w:tcPr>
            <w:tcW w:w="2636" w:type="dxa"/>
            <w:vAlign w:val="center"/>
          </w:tcPr>
          <w:p w:rsidR="00BA1488" w:rsidRDefault="00BA1488">
            <w:pPr>
              <w:adjustRightInd w:val="0"/>
              <w:snapToGrid w:val="0"/>
              <w:spacing w:line="300" w:lineRule="exact"/>
              <w:rPr>
                <w:rFonts w:ascii="仿宋" w:eastAsia="仿宋" w:hAnsi="仿宋" w:cs="仿宋"/>
                <w:szCs w:val="21"/>
              </w:rPr>
            </w:pPr>
          </w:p>
        </w:tc>
        <w:tc>
          <w:tcPr>
            <w:tcW w:w="1280" w:type="dxa"/>
            <w:vAlign w:val="center"/>
          </w:tcPr>
          <w:p w:rsidR="00BA1488" w:rsidRDefault="00BA1488">
            <w:pPr>
              <w:adjustRightInd w:val="0"/>
              <w:snapToGrid w:val="0"/>
              <w:spacing w:line="300" w:lineRule="exact"/>
              <w:rPr>
                <w:rFonts w:ascii="仿宋" w:eastAsia="仿宋" w:hAnsi="仿宋" w:cs="仿宋"/>
                <w:szCs w:val="21"/>
              </w:rPr>
            </w:pPr>
          </w:p>
        </w:tc>
      </w:tr>
      <w:tr w:rsidR="00BA1488">
        <w:trPr>
          <w:trHeight w:val="401"/>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22</w:t>
            </w:r>
          </w:p>
        </w:tc>
        <w:tc>
          <w:tcPr>
            <w:tcW w:w="3389"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捐赠收入</w:t>
            </w:r>
          </w:p>
        </w:tc>
        <w:tc>
          <w:tcPr>
            <w:tcW w:w="1237"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1114</w:t>
            </w:r>
          </w:p>
        </w:tc>
        <w:tc>
          <w:tcPr>
            <w:tcW w:w="2636" w:type="dxa"/>
            <w:vAlign w:val="center"/>
          </w:tcPr>
          <w:p w:rsidR="00BA1488" w:rsidRDefault="00BA1488">
            <w:pPr>
              <w:adjustRightInd w:val="0"/>
              <w:snapToGrid w:val="0"/>
              <w:spacing w:line="300" w:lineRule="exact"/>
              <w:rPr>
                <w:rFonts w:ascii="仿宋" w:eastAsia="仿宋" w:hAnsi="仿宋" w:cs="仿宋"/>
                <w:szCs w:val="21"/>
              </w:rPr>
            </w:pPr>
          </w:p>
        </w:tc>
        <w:tc>
          <w:tcPr>
            <w:tcW w:w="1280" w:type="dxa"/>
            <w:vAlign w:val="center"/>
          </w:tcPr>
          <w:p w:rsidR="00BA1488" w:rsidRDefault="00BA1488">
            <w:pPr>
              <w:adjustRightInd w:val="0"/>
              <w:snapToGrid w:val="0"/>
              <w:spacing w:line="300" w:lineRule="exact"/>
              <w:rPr>
                <w:rFonts w:ascii="仿宋" w:eastAsia="仿宋" w:hAnsi="仿宋" w:cs="仿宋"/>
                <w:szCs w:val="21"/>
              </w:rPr>
            </w:pPr>
          </w:p>
        </w:tc>
      </w:tr>
      <w:tr w:rsidR="00BA1488">
        <w:trPr>
          <w:trHeight w:val="424"/>
        </w:trPr>
        <w:tc>
          <w:tcPr>
            <w:tcW w:w="616" w:type="dxa"/>
            <w:vAlign w:val="center"/>
          </w:tcPr>
          <w:p w:rsidR="00BA1488" w:rsidRDefault="00155CF7">
            <w:pPr>
              <w:adjustRightInd w:val="0"/>
              <w:snapToGrid w:val="0"/>
              <w:spacing w:line="300" w:lineRule="exact"/>
              <w:rPr>
                <w:rFonts w:ascii="仿宋" w:eastAsia="仿宋" w:hAnsi="仿宋" w:cs="仿宋"/>
                <w:szCs w:val="21"/>
              </w:rPr>
            </w:pPr>
            <w:r>
              <w:rPr>
                <w:rFonts w:ascii="仿宋" w:eastAsia="仿宋" w:hAnsi="仿宋" w:cs="仿宋" w:hint="eastAsia"/>
                <w:szCs w:val="21"/>
              </w:rPr>
              <w:t>23</w:t>
            </w:r>
          </w:p>
        </w:tc>
        <w:tc>
          <w:tcPr>
            <w:tcW w:w="3389" w:type="dxa"/>
            <w:vAlign w:val="center"/>
          </w:tcPr>
          <w:p w:rsidR="00BA1488" w:rsidRDefault="00155CF7">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本  年  收  入  合  计</w:t>
            </w:r>
          </w:p>
        </w:tc>
        <w:tc>
          <w:tcPr>
            <w:tcW w:w="1237"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b/>
                <w:bCs/>
                <w:szCs w:val="21"/>
              </w:rPr>
              <w:t>139440</w:t>
            </w:r>
          </w:p>
        </w:tc>
        <w:tc>
          <w:tcPr>
            <w:tcW w:w="2636" w:type="dxa"/>
            <w:vAlign w:val="center"/>
          </w:tcPr>
          <w:p w:rsidR="00BA1488" w:rsidRDefault="00155CF7">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本 年 支 出 合 计</w:t>
            </w:r>
          </w:p>
        </w:tc>
        <w:tc>
          <w:tcPr>
            <w:tcW w:w="1280" w:type="dxa"/>
            <w:vAlign w:val="center"/>
          </w:tcPr>
          <w:p w:rsidR="00BA1488" w:rsidRDefault="00155CF7">
            <w:pPr>
              <w:adjustRightInd w:val="0"/>
              <w:snapToGrid w:val="0"/>
              <w:spacing w:line="300" w:lineRule="exact"/>
              <w:rPr>
                <w:rFonts w:ascii="仿宋" w:eastAsia="仿宋" w:hAnsi="仿宋" w:cs="仿宋"/>
                <w:b/>
                <w:bCs/>
                <w:szCs w:val="21"/>
              </w:rPr>
            </w:pPr>
            <w:r>
              <w:rPr>
                <w:rFonts w:ascii="仿宋" w:eastAsia="仿宋" w:hAnsi="仿宋" w:cs="仿宋" w:hint="eastAsia"/>
                <w:b/>
                <w:bCs/>
                <w:szCs w:val="21"/>
              </w:rPr>
              <w:t>325520</w:t>
            </w:r>
          </w:p>
        </w:tc>
      </w:tr>
    </w:tbl>
    <w:p w:rsidR="00BA1488" w:rsidRDefault="00BA1488">
      <w:pPr>
        <w:adjustRightInd w:val="0"/>
        <w:snapToGrid w:val="0"/>
        <w:spacing w:line="600" w:lineRule="exact"/>
        <w:outlineLvl w:val="0"/>
        <w:rPr>
          <w:rFonts w:ascii="仿宋_GB2312" w:eastAsia="仿宋_GB2312" w:hAnsi="仿宋" w:cs="仿宋"/>
          <w:sz w:val="32"/>
          <w:szCs w:val="32"/>
        </w:rPr>
      </w:pPr>
    </w:p>
    <w:p w:rsidR="00BA1488" w:rsidRDefault="00BA1488">
      <w:pPr>
        <w:adjustRightInd w:val="0"/>
        <w:snapToGrid w:val="0"/>
        <w:spacing w:line="600" w:lineRule="exact"/>
        <w:outlineLvl w:val="0"/>
        <w:rPr>
          <w:rFonts w:ascii="仿宋_GB2312" w:eastAsia="仿宋_GB2312" w:hAnsi="仿宋" w:cs="仿宋"/>
          <w:sz w:val="32"/>
          <w:szCs w:val="32"/>
        </w:rPr>
      </w:pPr>
    </w:p>
    <w:p w:rsidR="00BA1488" w:rsidRDefault="00155CF7">
      <w:pPr>
        <w:adjustRightInd w:val="0"/>
        <w:snapToGrid w:val="0"/>
        <w:spacing w:line="600" w:lineRule="exact"/>
        <w:outlineLvl w:val="0"/>
        <w:rPr>
          <w:rFonts w:ascii="仿宋_GB2312" w:eastAsia="仿宋_GB2312" w:hAnsi="仿宋" w:cs="仿宋"/>
          <w:sz w:val="32"/>
          <w:szCs w:val="32"/>
        </w:rPr>
      </w:pPr>
      <w:r>
        <w:rPr>
          <w:rFonts w:ascii="仿宋_GB2312" w:eastAsia="仿宋_GB2312" w:hAnsi="仿宋" w:cs="仿宋" w:hint="eastAsia"/>
          <w:sz w:val="32"/>
          <w:szCs w:val="32"/>
        </w:rPr>
        <w:lastRenderedPageBreak/>
        <w:t>附表五</w:t>
      </w:r>
    </w:p>
    <w:p w:rsidR="00BA1488" w:rsidRDefault="00BA1488">
      <w:pPr>
        <w:pStyle w:val="a0"/>
      </w:pPr>
    </w:p>
    <w:p w:rsidR="00BA1488" w:rsidRDefault="00155CF7">
      <w:pPr>
        <w:adjustRightInd w:val="0"/>
        <w:snapToGrid w:val="0"/>
        <w:jc w:val="center"/>
        <w:rPr>
          <w:rFonts w:ascii="方正大标宋简体" w:eastAsia="方正大标宋简体" w:hAnsi="方正大标宋简体" w:cs="方正大标宋简体"/>
          <w:bCs/>
          <w:w w:val="90"/>
          <w:sz w:val="44"/>
          <w:szCs w:val="44"/>
        </w:rPr>
      </w:pPr>
      <w:r>
        <w:rPr>
          <w:rFonts w:ascii="方正大标宋简体" w:eastAsia="方正大标宋简体" w:hAnsi="方正大标宋简体" w:cs="方正大标宋简体" w:hint="eastAsia"/>
          <w:bCs/>
          <w:w w:val="90"/>
          <w:sz w:val="44"/>
          <w:szCs w:val="44"/>
        </w:rPr>
        <w:t>西峡县2023年上半年政府性基金收支完成数总表</w:t>
      </w:r>
    </w:p>
    <w:p w:rsidR="00BA1488" w:rsidRDefault="00155CF7">
      <w:pPr>
        <w:pStyle w:val="a0"/>
        <w:adjustRightInd w:val="0"/>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 xml:space="preserve">                                            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1"/>
        <w:gridCol w:w="1374"/>
        <w:gridCol w:w="3450"/>
        <w:gridCol w:w="1083"/>
      </w:tblGrid>
      <w:tr w:rsidR="00BA1488">
        <w:trPr>
          <w:trHeight w:val="832"/>
        </w:trPr>
        <w:tc>
          <w:tcPr>
            <w:tcW w:w="3451" w:type="dxa"/>
            <w:vAlign w:val="center"/>
          </w:tcPr>
          <w:p w:rsidR="00BA1488" w:rsidRDefault="00155CF7">
            <w:pPr>
              <w:adjustRightInd w:val="0"/>
              <w:snapToGrid w:val="0"/>
              <w:jc w:val="center"/>
              <w:rPr>
                <w:rFonts w:ascii="仿宋" w:eastAsia="仿宋" w:hAnsi="仿宋" w:cs="仿宋"/>
                <w:b/>
                <w:bCs/>
                <w:sz w:val="28"/>
                <w:szCs w:val="28"/>
              </w:rPr>
            </w:pPr>
            <w:r>
              <w:rPr>
                <w:rFonts w:ascii="仿宋" w:eastAsia="仿宋" w:hAnsi="仿宋" w:cs="仿宋" w:hint="eastAsia"/>
                <w:b/>
                <w:bCs/>
                <w:sz w:val="28"/>
                <w:szCs w:val="28"/>
              </w:rPr>
              <w:t>预算科目</w:t>
            </w:r>
          </w:p>
        </w:tc>
        <w:tc>
          <w:tcPr>
            <w:tcW w:w="1374" w:type="dxa"/>
            <w:vAlign w:val="center"/>
          </w:tcPr>
          <w:p w:rsidR="00BA1488" w:rsidRDefault="00155CF7">
            <w:pPr>
              <w:adjustRightInd w:val="0"/>
              <w:snapToGrid w:val="0"/>
              <w:jc w:val="center"/>
              <w:rPr>
                <w:rFonts w:ascii="仿宋" w:eastAsia="仿宋" w:hAnsi="仿宋" w:cs="仿宋"/>
                <w:b/>
                <w:bCs/>
                <w:sz w:val="28"/>
                <w:szCs w:val="28"/>
              </w:rPr>
            </w:pPr>
            <w:r>
              <w:rPr>
                <w:rFonts w:ascii="仿宋" w:eastAsia="仿宋" w:hAnsi="仿宋" w:cs="仿宋" w:hint="eastAsia"/>
                <w:b/>
                <w:bCs/>
                <w:sz w:val="28"/>
                <w:szCs w:val="28"/>
              </w:rPr>
              <w:t>完成数</w:t>
            </w:r>
          </w:p>
        </w:tc>
        <w:tc>
          <w:tcPr>
            <w:tcW w:w="3450" w:type="dxa"/>
            <w:vAlign w:val="center"/>
          </w:tcPr>
          <w:p w:rsidR="00BA1488" w:rsidRDefault="00155CF7">
            <w:pPr>
              <w:adjustRightInd w:val="0"/>
              <w:snapToGrid w:val="0"/>
              <w:jc w:val="center"/>
              <w:rPr>
                <w:rFonts w:ascii="仿宋" w:eastAsia="仿宋" w:hAnsi="仿宋" w:cs="仿宋"/>
                <w:b/>
                <w:bCs/>
                <w:sz w:val="28"/>
                <w:szCs w:val="28"/>
              </w:rPr>
            </w:pPr>
            <w:r>
              <w:rPr>
                <w:rFonts w:ascii="仿宋" w:eastAsia="仿宋" w:hAnsi="仿宋" w:cs="仿宋" w:hint="eastAsia"/>
                <w:b/>
                <w:bCs/>
                <w:sz w:val="28"/>
                <w:szCs w:val="28"/>
              </w:rPr>
              <w:t>预算科目</w:t>
            </w:r>
          </w:p>
        </w:tc>
        <w:tc>
          <w:tcPr>
            <w:tcW w:w="1083" w:type="dxa"/>
            <w:vAlign w:val="center"/>
          </w:tcPr>
          <w:p w:rsidR="00BA1488" w:rsidRDefault="00155CF7">
            <w:pPr>
              <w:adjustRightInd w:val="0"/>
              <w:snapToGrid w:val="0"/>
              <w:jc w:val="center"/>
              <w:rPr>
                <w:rFonts w:ascii="仿宋" w:eastAsia="仿宋" w:hAnsi="仿宋" w:cs="仿宋"/>
                <w:b/>
                <w:bCs/>
                <w:sz w:val="28"/>
                <w:szCs w:val="28"/>
              </w:rPr>
            </w:pPr>
            <w:r>
              <w:rPr>
                <w:rFonts w:ascii="仿宋" w:eastAsia="仿宋" w:hAnsi="仿宋" w:cs="仿宋" w:hint="eastAsia"/>
                <w:b/>
                <w:bCs/>
                <w:sz w:val="28"/>
                <w:szCs w:val="28"/>
              </w:rPr>
              <w:t>完成数</w:t>
            </w:r>
          </w:p>
        </w:tc>
      </w:tr>
      <w:tr w:rsidR="00BA1488">
        <w:trPr>
          <w:trHeight w:val="1547"/>
        </w:trPr>
        <w:tc>
          <w:tcPr>
            <w:tcW w:w="3451" w:type="dxa"/>
            <w:vAlign w:val="center"/>
          </w:tcPr>
          <w:p w:rsidR="00BA1488" w:rsidRDefault="00155CF7">
            <w:pPr>
              <w:adjustRightInd w:val="0"/>
              <w:snapToGrid w:val="0"/>
              <w:rPr>
                <w:rFonts w:ascii="仿宋" w:eastAsia="仿宋" w:hAnsi="仿宋" w:cs="仿宋"/>
                <w:b/>
                <w:bCs/>
                <w:sz w:val="28"/>
                <w:szCs w:val="28"/>
              </w:rPr>
            </w:pPr>
            <w:r>
              <w:rPr>
                <w:rFonts w:ascii="仿宋" w:eastAsia="仿宋" w:hAnsi="仿宋" w:cs="仿宋" w:hint="eastAsia"/>
                <w:sz w:val="28"/>
                <w:szCs w:val="28"/>
              </w:rPr>
              <w:t>国有土地使用权出让收入</w:t>
            </w:r>
          </w:p>
        </w:tc>
        <w:tc>
          <w:tcPr>
            <w:tcW w:w="1374" w:type="dxa"/>
            <w:vAlign w:val="center"/>
          </w:tcPr>
          <w:p w:rsidR="00BA1488" w:rsidRDefault="00155CF7">
            <w:pPr>
              <w:adjustRightInd w:val="0"/>
              <w:snapToGrid w:val="0"/>
              <w:rPr>
                <w:rFonts w:ascii="仿宋" w:eastAsia="仿宋" w:hAnsi="仿宋" w:cs="仿宋"/>
                <w:b/>
                <w:bCs/>
                <w:sz w:val="28"/>
                <w:szCs w:val="28"/>
              </w:rPr>
            </w:pPr>
            <w:r>
              <w:rPr>
                <w:rFonts w:ascii="仿宋" w:eastAsia="仿宋" w:hAnsi="仿宋" w:cs="仿宋" w:hint="eastAsia"/>
                <w:sz w:val="28"/>
                <w:szCs w:val="28"/>
              </w:rPr>
              <w:t>2963</w:t>
            </w:r>
          </w:p>
        </w:tc>
        <w:tc>
          <w:tcPr>
            <w:tcW w:w="3450" w:type="dxa"/>
            <w:vAlign w:val="center"/>
          </w:tcPr>
          <w:p w:rsidR="00BA1488" w:rsidRDefault="00155CF7">
            <w:pPr>
              <w:adjustRightInd w:val="0"/>
              <w:snapToGrid w:val="0"/>
              <w:rPr>
                <w:rFonts w:ascii="仿宋" w:eastAsia="仿宋" w:hAnsi="仿宋" w:cs="仿宋"/>
                <w:b/>
                <w:bCs/>
                <w:sz w:val="28"/>
                <w:szCs w:val="28"/>
              </w:rPr>
            </w:pPr>
            <w:r>
              <w:rPr>
                <w:rFonts w:ascii="仿宋" w:eastAsia="仿宋" w:hAnsi="仿宋" w:cs="仿宋" w:hint="eastAsia"/>
                <w:sz w:val="28"/>
                <w:szCs w:val="28"/>
              </w:rPr>
              <w:t>文化旅游体育与传媒支出</w:t>
            </w:r>
          </w:p>
        </w:tc>
        <w:tc>
          <w:tcPr>
            <w:tcW w:w="1083" w:type="dxa"/>
            <w:vAlign w:val="center"/>
          </w:tcPr>
          <w:p w:rsidR="00BA1488" w:rsidRDefault="00155CF7">
            <w:pPr>
              <w:adjustRightInd w:val="0"/>
              <w:snapToGrid w:val="0"/>
              <w:jc w:val="center"/>
              <w:rPr>
                <w:rFonts w:ascii="仿宋" w:eastAsia="仿宋" w:hAnsi="仿宋" w:cs="仿宋"/>
                <w:b/>
                <w:bCs/>
                <w:sz w:val="28"/>
                <w:szCs w:val="28"/>
              </w:rPr>
            </w:pPr>
            <w:r>
              <w:rPr>
                <w:rFonts w:ascii="仿宋" w:eastAsia="仿宋" w:hAnsi="仿宋" w:cs="仿宋" w:hint="eastAsia"/>
                <w:sz w:val="28"/>
                <w:szCs w:val="28"/>
              </w:rPr>
              <w:t>5640</w:t>
            </w:r>
          </w:p>
        </w:tc>
      </w:tr>
      <w:tr w:rsidR="00BA1488">
        <w:trPr>
          <w:trHeight w:val="1430"/>
        </w:trPr>
        <w:tc>
          <w:tcPr>
            <w:tcW w:w="3451"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国有土地收益基金收入</w:t>
            </w:r>
          </w:p>
        </w:tc>
        <w:tc>
          <w:tcPr>
            <w:tcW w:w="1374"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68</w:t>
            </w:r>
          </w:p>
        </w:tc>
        <w:tc>
          <w:tcPr>
            <w:tcW w:w="3450"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社会保障和就业支出</w:t>
            </w:r>
          </w:p>
        </w:tc>
        <w:tc>
          <w:tcPr>
            <w:tcW w:w="1083"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193</w:t>
            </w:r>
          </w:p>
        </w:tc>
      </w:tr>
      <w:tr w:rsidR="00BA1488">
        <w:trPr>
          <w:trHeight w:val="1165"/>
        </w:trPr>
        <w:tc>
          <w:tcPr>
            <w:tcW w:w="3451"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农业土地开发资金收入</w:t>
            </w:r>
          </w:p>
        </w:tc>
        <w:tc>
          <w:tcPr>
            <w:tcW w:w="1374"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41</w:t>
            </w:r>
          </w:p>
        </w:tc>
        <w:tc>
          <w:tcPr>
            <w:tcW w:w="3450"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城乡社区支出</w:t>
            </w:r>
          </w:p>
        </w:tc>
        <w:tc>
          <w:tcPr>
            <w:tcW w:w="1083"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22721</w:t>
            </w:r>
          </w:p>
        </w:tc>
      </w:tr>
      <w:tr w:rsidR="00BA1488">
        <w:trPr>
          <w:trHeight w:val="1443"/>
        </w:trPr>
        <w:tc>
          <w:tcPr>
            <w:tcW w:w="3451" w:type="dxa"/>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污水处理费</w:t>
            </w:r>
          </w:p>
        </w:tc>
        <w:tc>
          <w:tcPr>
            <w:tcW w:w="1374"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308</w:t>
            </w:r>
          </w:p>
        </w:tc>
        <w:tc>
          <w:tcPr>
            <w:tcW w:w="3450"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其他支出</w:t>
            </w:r>
          </w:p>
        </w:tc>
        <w:tc>
          <w:tcPr>
            <w:tcW w:w="1083"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44506</w:t>
            </w:r>
          </w:p>
        </w:tc>
      </w:tr>
      <w:tr w:rsidR="00BA1488">
        <w:trPr>
          <w:trHeight w:val="1443"/>
        </w:trPr>
        <w:tc>
          <w:tcPr>
            <w:tcW w:w="3451" w:type="dxa"/>
          </w:tcPr>
          <w:p w:rsidR="00BA1488" w:rsidRDefault="00BA1488">
            <w:pPr>
              <w:adjustRightInd w:val="0"/>
              <w:snapToGrid w:val="0"/>
              <w:rPr>
                <w:rFonts w:ascii="仿宋" w:eastAsia="仿宋" w:hAnsi="仿宋" w:cs="仿宋"/>
                <w:sz w:val="28"/>
                <w:szCs w:val="28"/>
              </w:rPr>
            </w:pPr>
          </w:p>
        </w:tc>
        <w:tc>
          <w:tcPr>
            <w:tcW w:w="1374" w:type="dxa"/>
            <w:vAlign w:val="center"/>
          </w:tcPr>
          <w:p w:rsidR="00BA1488" w:rsidRDefault="00BA1488">
            <w:pPr>
              <w:adjustRightInd w:val="0"/>
              <w:snapToGrid w:val="0"/>
              <w:rPr>
                <w:rFonts w:ascii="仿宋" w:eastAsia="仿宋" w:hAnsi="仿宋" w:cs="仿宋"/>
                <w:sz w:val="28"/>
                <w:szCs w:val="28"/>
              </w:rPr>
            </w:pPr>
          </w:p>
        </w:tc>
        <w:tc>
          <w:tcPr>
            <w:tcW w:w="3450"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抗疫特别国债安排的支出</w:t>
            </w:r>
          </w:p>
        </w:tc>
        <w:tc>
          <w:tcPr>
            <w:tcW w:w="1083"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sz w:val="28"/>
                <w:szCs w:val="28"/>
              </w:rPr>
              <w:t>217</w:t>
            </w:r>
          </w:p>
        </w:tc>
      </w:tr>
      <w:tr w:rsidR="00BA1488">
        <w:trPr>
          <w:trHeight w:val="1673"/>
        </w:trPr>
        <w:tc>
          <w:tcPr>
            <w:tcW w:w="3451" w:type="dxa"/>
          </w:tcPr>
          <w:p w:rsidR="00BA1488" w:rsidRDefault="00BA1488">
            <w:pPr>
              <w:adjustRightInd w:val="0"/>
              <w:snapToGrid w:val="0"/>
              <w:rPr>
                <w:rFonts w:ascii="仿宋" w:eastAsia="仿宋" w:hAnsi="仿宋" w:cs="仿宋"/>
                <w:b/>
                <w:bCs/>
                <w:sz w:val="28"/>
                <w:szCs w:val="28"/>
              </w:rPr>
            </w:pPr>
          </w:p>
          <w:p w:rsidR="00BA1488" w:rsidRDefault="00BA1488">
            <w:pPr>
              <w:adjustRightInd w:val="0"/>
              <w:snapToGrid w:val="0"/>
              <w:rPr>
                <w:rFonts w:ascii="仿宋" w:eastAsia="仿宋" w:hAnsi="仿宋" w:cs="仿宋"/>
                <w:b/>
                <w:bCs/>
                <w:sz w:val="28"/>
                <w:szCs w:val="28"/>
              </w:rPr>
            </w:pPr>
          </w:p>
          <w:p w:rsidR="00BA1488" w:rsidRDefault="00155CF7">
            <w:pPr>
              <w:adjustRightInd w:val="0"/>
              <w:snapToGrid w:val="0"/>
              <w:rPr>
                <w:rFonts w:ascii="仿宋" w:eastAsia="仿宋" w:hAnsi="仿宋" w:cs="仿宋"/>
                <w:sz w:val="28"/>
                <w:szCs w:val="28"/>
              </w:rPr>
            </w:pPr>
            <w:r>
              <w:rPr>
                <w:rFonts w:ascii="仿宋" w:eastAsia="仿宋" w:hAnsi="仿宋" w:cs="仿宋" w:hint="eastAsia"/>
                <w:b/>
                <w:bCs/>
                <w:sz w:val="28"/>
                <w:szCs w:val="28"/>
              </w:rPr>
              <w:t>本年收入合计</w:t>
            </w:r>
          </w:p>
        </w:tc>
        <w:tc>
          <w:tcPr>
            <w:tcW w:w="1374" w:type="dxa"/>
          </w:tcPr>
          <w:p w:rsidR="00BA1488" w:rsidRDefault="00BA1488">
            <w:pPr>
              <w:widowControl/>
              <w:rPr>
                <w:rFonts w:ascii="仿宋" w:eastAsia="仿宋" w:hAnsi="仿宋" w:cs="仿宋"/>
                <w:b/>
                <w:bCs/>
                <w:sz w:val="28"/>
                <w:szCs w:val="28"/>
              </w:rPr>
            </w:pPr>
          </w:p>
          <w:p w:rsidR="00BA1488" w:rsidRDefault="00155CF7">
            <w:pPr>
              <w:widowControl/>
              <w:rPr>
                <w:rFonts w:ascii="仿宋" w:eastAsia="仿宋" w:hAnsi="仿宋" w:cs="仿宋"/>
                <w:sz w:val="28"/>
                <w:szCs w:val="28"/>
              </w:rPr>
            </w:pPr>
            <w:r>
              <w:rPr>
                <w:rFonts w:ascii="仿宋" w:eastAsia="仿宋" w:hAnsi="仿宋" w:cs="仿宋" w:hint="eastAsia"/>
                <w:b/>
                <w:bCs/>
                <w:sz w:val="28"/>
                <w:szCs w:val="28"/>
              </w:rPr>
              <w:t>3380</w:t>
            </w:r>
          </w:p>
        </w:tc>
        <w:tc>
          <w:tcPr>
            <w:tcW w:w="3450" w:type="dxa"/>
          </w:tcPr>
          <w:p w:rsidR="00BA1488" w:rsidRDefault="00BA1488">
            <w:pPr>
              <w:widowControl/>
              <w:rPr>
                <w:rFonts w:ascii="仿宋" w:eastAsia="仿宋" w:hAnsi="仿宋" w:cs="仿宋"/>
                <w:b/>
                <w:bCs/>
                <w:sz w:val="28"/>
                <w:szCs w:val="28"/>
              </w:rPr>
            </w:pPr>
          </w:p>
          <w:p w:rsidR="00BA1488" w:rsidRDefault="00155CF7">
            <w:pPr>
              <w:widowControl/>
              <w:rPr>
                <w:rFonts w:ascii="仿宋" w:eastAsia="仿宋" w:hAnsi="仿宋" w:cs="仿宋"/>
                <w:sz w:val="28"/>
                <w:szCs w:val="28"/>
              </w:rPr>
            </w:pPr>
            <w:r>
              <w:rPr>
                <w:rFonts w:ascii="仿宋" w:eastAsia="仿宋" w:hAnsi="仿宋" w:cs="仿宋" w:hint="eastAsia"/>
                <w:b/>
                <w:bCs/>
                <w:sz w:val="28"/>
                <w:szCs w:val="28"/>
              </w:rPr>
              <w:t>本年支出合计</w:t>
            </w:r>
          </w:p>
        </w:tc>
        <w:tc>
          <w:tcPr>
            <w:tcW w:w="1083" w:type="dxa"/>
            <w:vAlign w:val="center"/>
          </w:tcPr>
          <w:p w:rsidR="00BA1488" w:rsidRDefault="00155CF7">
            <w:pPr>
              <w:adjustRightInd w:val="0"/>
              <w:snapToGrid w:val="0"/>
              <w:rPr>
                <w:rFonts w:ascii="仿宋" w:eastAsia="仿宋" w:hAnsi="仿宋" w:cs="仿宋"/>
                <w:sz w:val="28"/>
                <w:szCs w:val="28"/>
              </w:rPr>
            </w:pPr>
            <w:r>
              <w:rPr>
                <w:rFonts w:ascii="仿宋" w:eastAsia="仿宋" w:hAnsi="仿宋" w:cs="仿宋" w:hint="eastAsia"/>
                <w:b/>
                <w:bCs/>
                <w:sz w:val="28"/>
                <w:szCs w:val="28"/>
              </w:rPr>
              <w:t>73277</w:t>
            </w:r>
          </w:p>
        </w:tc>
      </w:tr>
    </w:tbl>
    <w:p w:rsidR="00BA1488" w:rsidRDefault="00BA1488">
      <w:pPr>
        <w:adjustRightInd w:val="0"/>
        <w:snapToGrid w:val="0"/>
        <w:spacing w:line="600" w:lineRule="exact"/>
        <w:outlineLvl w:val="0"/>
        <w:rPr>
          <w:rFonts w:ascii="仿宋_GB2312" w:eastAsia="仿宋_GB2312" w:hAnsi="仿宋" w:cs="仿宋"/>
          <w:sz w:val="32"/>
          <w:szCs w:val="32"/>
        </w:rPr>
      </w:pPr>
    </w:p>
    <w:p w:rsidR="00BA1488" w:rsidRDefault="00BA1488">
      <w:pPr>
        <w:adjustRightInd w:val="0"/>
        <w:snapToGrid w:val="0"/>
        <w:spacing w:line="600" w:lineRule="exact"/>
        <w:outlineLvl w:val="0"/>
        <w:rPr>
          <w:rFonts w:ascii="仿宋_GB2312" w:eastAsia="仿宋_GB2312" w:hAnsi="仿宋" w:cs="仿宋"/>
          <w:sz w:val="32"/>
          <w:szCs w:val="32"/>
        </w:rPr>
      </w:pPr>
    </w:p>
    <w:p w:rsidR="00BA1488" w:rsidRDefault="00BA1488">
      <w:pPr>
        <w:adjustRightInd w:val="0"/>
        <w:snapToGrid w:val="0"/>
        <w:spacing w:line="600" w:lineRule="exact"/>
        <w:outlineLvl w:val="0"/>
        <w:rPr>
          <w:rFonts w:ascii="仿宋_GB2312" w:eastAsia="仿宋_GB2312" w:hAnsi="仿宋" w:cs="仿宋"/>
          <w:sz w:val="32"/>
          <w:szCs w:val="32"/>
        </w:rPr>
      </w:pPr>
    </w:p>
    <w:p w:rsidR="00BA1488" w:rsidRDefault="00155CF7">
      <w:pPr>
        <w:adjustRightInd w:val="0"/>
        <w:snapToGrid w:val="0"/>
        <w:spacing w:line="600" w:lineRule="exact"/>
        <w:outlineLvl w:val="0"/>
      </w:pPr>
      <w:r>
        <w:rPr>
          <w:rFonts w:ascii="仿宋_GB2312" w:eastAsia="仿宋_GB2312" w:hAnsi="仿宋" w:cs="仿宋" w:hint="eastAsia"/>
          <w:sz w:val="32"/>
          <w:szCs w:val="32"/>
        </w:rPr>
        <w:lastRenderedPageBreak/>
        <w:t>附表六</w:t>
      </w:r>
    </w:p>
    <w:p w:rsidR="00BA1488" w:rsidRDefault="00155CF7">
      <w:pPr>
        <w:pStyle w:val="a0"/>
        <w:adjustRightInd w:val="0"/>
        <w:snapToGrid w:val="0"/>
        <w:spacing w:line="60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西峡县2023年上半年上级专项追加完成情况</w:t>
      </w:r>
    </w:p>
    <w:p w:rsidR="00BA1488" w:rsidRDefault="00155CF7">
      <w:pPr>
        <w:pStyle w:val="a0"/>
        <w:adjustRightInd w:val="0"/>
        <w:snapToGrid w:val="0"/>
        <w:spacing w:line="400" w:lineRule="exact"/>
        <w:ind w:firstLineChars="2150" w:firstLine="6880"/>
        <w:rPr>
          <w:rFonts w:ascii="黑体" w:eastAsia="黑体" w:hAnsi="宋体" w:cs="宋体"/>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r>
        <w:rPr>
          <w:rFonts w:ascii="黑体" w:eastAsia="黑体" w:hAnsi="黑体" w:cs="黑体" w:hint="eastAsia"/>
          <w:bCs/>
          <w:sz w:val="32"/>
          <w:szCs w:val="32"/>
        </w:rPr>
        <w:tab/>
      </w:r>
    </w:p>
    <w:tbl>
      <w:tblPr>
        <w:tblpPr w:leftFromText="180" w:rightFromText="180" w:vertAnchor="text" w:horzAnchor="page" w:tblpX="1680" w:tblpY="251"/>
        <w:tblOverlap w:val="neve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3460"/>
        <w:gridCol w:w="2369"/>
      </w:tblGrid>
      <w:tr w:rsidR="00BA1488">
        <w:trPr>
          <w:trHeight w:val="399"/>
        </w:trPr>
        <w:tc>
          <w:tcPr>
            <w:tcW w:w="2910" w:type="dxa"/>
            <w:vAlign w:val="center"/>
          </w:tcPr>
          <w:p w:rsidR="00BA1488" w:rsidRDefault="00155CF7">
            <w:pPr>
              <w:adjustRightInd w:val="0"/>
              <w:snapToGrid w:val="0"/>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科目编码</w:t>
            </w:r>
          </w:p>
        </w:tc>
        <w:tc>
          <w:tcPr>
            <w:tcW w:w="3460" w:type="dxa"/>
            <w:vAlign w:val="center"/>
          </w:tcPr>
          <w:p w:rsidR="00BA1488" w:rsidRDefault="00155CF7">
            <w:pPr>
              <w:adjustRightInd w:val="0"/>
              <w:snapToGrid w:val="0"/>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科目名称</w:t>
            </w:r>
          </w:p>
        </w:tc>
        <w:tc>
          <w:tcPr>
            <w:tcW w:w="2369" w:type="dxa"/>
            <w:vAlign w:val="center"/>
          </w:tcPr>
          <w:p w:rsidR="00BA1488" w:rsidRDefault="00155CF7">
            <w:pPr>
              <w:adjustRightInd w:val="0"/>
              <w:snapToGrid w:val="0"/>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完成数</w:t>
            </w:r>
          </w:p>
        </w:tc>
      </w:tr>
      <w:tr w:rsidR="00BA1488">
        <w:trPr>
          <w:trHeight w:val="399"/>
        </w:trPr>
        <w:tc>
          <w:tcPr>
            <w:tcW w:w="2910" w:type="dxa"/>
            <w:vAlign w:val="center"/>
          </w:tcPr>
          <w:p w:rsidR="00BA1488" w:rsidRDefault="00BA1488">
            <w:pPr>
              <w:spacing w:line="400" w:lineRule="exact"/>
              <w:jc w:val="center"/>
              <w:rPr>
                <w:rFonts w:ascii="仿宋_GB2312" w:eastAsia="仿宋_GB2312" w:hAnsi="仿宋_GB2312" w:cs="仿宋_GB2312"/>
                <w:bCs/>
                <w:sz w:val="28"/>
                <w:szCs w:val="28"/>
              </w:rPr>
            </w:pPr>
          </w:p>
        </w:tc>
        <w:tc>
          <w:tcPr>
            <w:tcW w:w="3460" w:type="dxa"/>
            <w:vAlign w:val="center"/>
          </w:tcPr>
          <w:p w:rsidR="00BA1488" w:rsidRDefault="00155CF7">
            <w:pPr>
              <w:spacing w:line="40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合      计</w:t>
            </w:r>
          </w:p>
        </w:tc>
        <w:tc>
          <w:tcPr>
            <w:tcW w:w="2369" w:type="dxa"/>
            <w:vAlign w:val="center"/>
          </w:tcPr>
          <w:p w:rsidR="00BA1488" w:rsidRDefault="00155CF7">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110087</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201</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一般公共服务支出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45</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203</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国防安全支出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48</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204</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公共安全支出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1407</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205</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教育支出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17848</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206</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科学技术支出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1764</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207</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文化旅游体育与传媒支出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873</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208</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社会保障和就业支出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11616</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210</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卫生健康支出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6223</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211</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节能环保支出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7318</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213</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农林水支出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18074</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214</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交通运输支出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32074</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216</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商业服务业等支出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874</w:t>
            </w:r>
          </w:p>
        </w:tc>
      </w:tr>
      <w:tr w:rsidR="00BA1488">
        <w:trPr>
          <w:trHeight w:val="617"/>
        </w:trPr>
        <w:tc>
          <w:tcPr>
            <w:tcW w:w="2910" w:type="dxa"/>
            <w:vAlign w:val="center"/>
          </w:tcPr>
          <w:p w:rsidR="00BA1488" w:rsidRDefault="00155CF7">
            <w:pPr>
              <w:jc w:val="center"/>
              <w:rPr>
                <w:rFonts w:ascii="仿宋_GB2312" w:eastAsia="仿宋_GB2312" w:hAnsi="仿宋_GB2312" w:cs="仿宋_GB2312"/>
                <w:kern w:val="0"/>
                <w:sz w:val="28"/>
                <w:szCs w:val="28"/>
              </w:rPr>
            </w:pPr>
            <w:r>
              <w:rPr>
                <w:rFonts w:ascii="仿宋_GB2312" w:eastAsia="仿宋_GB2312" w:hAnsi="仿宋_GB2312" w:cs="仿宋_GB2312" w:hint="eastAsia"/>
                <w:bCs/>
                <w:sz w:val="28"/>
                <w:szCs w:val="28"/>
              </w:rPr>
              <w:t>221</w:t>
            </w:r>
          </w:p>
        </w:tc>
        <w:tc>
          <w:tcPr>
            <w:tcW w:w="3460" w:type="dxa"/>
            <w:vAlign w:val="center"/>
          </w:tcPr>
          <w:p w:rsidR="00BA1488" w:rsidRDefault="00155CF7">
            <w:pPr>
              <w:jc w:val="left"/>
              <w:rPr>
                <w:rFonts w:ascii="仿宋_GB2312" w:eastAsia="仿宋_GB2312" w:hAnsi="仿宋_GB2312" w:cs="仿宋_GB2312"/>
                <w:kern w:val="0"/>
                <w:sz w:val="28"/>
                <w:szCs w:val="28"/>
              </w:rPr>
            </w:pPr>
            <w:r>
              <w:rPr>
                <w:rFonts w:ascii="仿宋_GB2312" w:eastAsia="仿宋_GB2312" w:hAnsi="仿宋_GB2312" w:cs="仿宋_GB2312" w:hint="eastAsia"/>
                <w:bCs/>
                <w:sz w:val="28"/>
                <w:szCs w:val="28"/>
              </w:rPr>
              <w:t>住房保障支出</w:t>
            </w:r>
          </w:p>
        </w:tc>
        <w:tc>
          <w:tcPr>
            <w:tcW w:w="2369" w:type="dxa"/>
            <w:vAlign w:val="center"/>
          </w:tcPr>
          <w:p w:rsidR="00BA1488" w:rsidRDefault="00155CF7">
            <w:pPr>
              <w:jc w:val="left"/>
              <w:rPr>
                <w:rFonts w:ascii="仿宋_GB2312" w:eastAsia="仿宋_GB2312" w:hAnsi="仿宋_GB2312" w:cs="仿宋_GB2312"/>
                <w:kern w:val="0"/>
                <w:sz w:val="28"/>
                <w:szCs w:val="28"/>
              </w:rPr>
            </w:pPr>
            <w:r>
              <w:rPr>
                <w:rFonts w:ascii="仿宋_GB2312" w:eastAsia="仿宋_GB2312" w:hAnsi="仿宋_GB2312" w:cs="仿宋_GB2312" w:hint="eastAsia"/>
                <w:bCs/>
                <w:sz w:val="28"/>
                <w:szCs w:val="28"/>
              </w:rPr>
              <w:t>796</w:t>
            </w:r>
          </w:p>
        </w:tc>
      </w:tr>
      <w:tr w:rsidR="00BA1488">
        <w:trPr>
          <w:trHeight w:val="617"/>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222</w:t>
            </w:r>
          </w:p>
        </w:tc>
        <w:tc>
          <w:tcPr>
            <w:tcW w:w="3460"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粮油物资储备支出</w:t>
            </w:r>
          </w:p>
        </w:tc>
        <w:tc>
          <w:tcPr>
            <w:tcW w:w="2369" w:type="dxa"/>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5000</w:t>
            </w:r>
          </w:p>
        </w:tc>
      </w:tr>
      <w:tr w:rsidR="00BA1488">
        <w:trPr>
          <w:trHeight w:val="617"/>
        </w:trPr>
        <w:tc>
          <w:tcPr>
            <w:tcW w:w="2910" w:type="dxa"/>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224</w:t>
            </w:r>
          </w:p>
        </w:tc>
        <w:tc>
          <w:tcPr>
            <w:tcW w:w="3460" w:type="dxa"/>
            <w:shd w:val="clear" w:color="auto" w:fill="auto"/>
          </w:tcPr>
          <w:p w:rsidR="00BA1488" w:rsidRDefault="00155CF7">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灾害防治及应急管理支出</w:t>
            </w:r>
          </w:p>
        </w:tc>
        <w:tc>
          <w:tcPr>
            <w:tcW w:w="2369" w:type="dxa"/>
            <w:shd w:val="clear" w:color="auto" w:fill="auto"/>
          </w:tcPr>
          <w:p w:rsidR="00BA1488" w:rsidRDefault="00155CF7">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w:t>
            </w:r>
          </w:p>
        </w:tc>
      </w:tr>
      <w:tr w:rsidR="00BA1488">
        <w:trPr>
          <w:trHeight w:val="636"/>
        </w:trPr>
        <w:tc>
          <w:tcPr>
            <w:tcW w:w="2910" w:type="dxa"/>
            <w:vAlign w:val="center"/>
          </w:tcPr>
          <w:p w:rsidR="00BA1488" w:rsidRDefault="00155CF7">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229</w:t>
            </w:r>
          </w:p>
        </w:tc>
        <w:tc>
          <w:tcPr>
            <w:tcW w:w="3460" w:type="dxa"/>
            <w:shd w:val="clear" w:color="auto" w:fill="auto"/>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其他支出</w:t>
            </w:r>
          </w:p>
        </w:tc>
        <w:tc>
          <w:tcPr>
            <w:tcW w:w="2369" w:type="dxa"/>
            <w:shd w:val="clear" w:color="auto" w:fill="auto"/>
            <w:vAlign w:val="center"/>
          </w:tcPr>
          <w:p w:rsidR="00BA1488" w:rsidRDefault="00155CF7">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3619</w:t>
            </w:r>
          </w:p>
        </w:tc>
      </w:tr>
    </w:tbl>
    <w:p w:rsidR="00BA1488" w:rsidRDefault="00BA1488">
      <w:pPr>
        <w:adjustRightInd w:val="0"/>
        <w:snapToGrid w:val="0"/>
        <w:spacing w:line="560" w:lineRule="exact"/>
        <w:rPr>
          <w:rFonts w:ascii="仿宋_GB2312" w:eastAsia="仿宋_GB2312" w:hAnsi="仿宋" w:cs="仿宋"/>
          <w:sz w:val="32"/>
          <w:szCs w:val="32"/>
        </w:rPr>
      </w:pPr>
    </w:p>
    <w:p w:rsidR="00BA1488" w:rsidRDefault="00BA1488"/>
    <w:sectPr w:rsidR="00BA1488" w:rsidSect="00BA1488">
      <w:footerReference w:type="even" r:id="rId8"/>
      <w:footerReference w:type="default" r:id="rId9"/>
      <w:pgSz w:w="11907" w:h="16840" w:orient="landscape"/>
      <w:pgMar w:top="1588" w:right="1644" w:bottom="1474" w:left="1304"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914" w:rsidRDefault="00B11914" w:rsidP="00BA1488">
      <w:r>
        <w:separator/>
      </w:r>
    </w:p>
  </w:endnote>
  <w:endnote w:type="continuationSeparator" w:id="1">
    <w:p w:rsidR="00B11914" w:rsidRDefault="00B11914" w:rsidP="00BA1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CAC552E7-CF07-4EE5-9728-21B52B01F138}"/>
  </w:font>
  <w:font w:name="仿宋_GB2312">
    <w:panose1 w:val="02010609030101010101"/>
    <w:charset w:val="86"/>
    <w:family w:val="modern"/>
    <w:pitch w:val="fixed"/>
    <w:sig w:usb0="00000001" w:usb1="080E0000" w:usb2="00000010" w:usb3="00000000" w:csb0="00040000" w:csb1="00000000"/>
    <w:embedRegular r:id="rId2" w:subsetted="1" w:fontKey="{F8D4E27A-6935-4A74-8A0A-263C0C70ABEE}"/>
    <w:embedBold r:id="rId3" w:subsetted="1" w:fontKey="{4D865728-B88E-4226-A6BD-CB862619AC6C}"/>
  </w:font>
  <w:font w:name="黑体">
    <w:altName w:val="SimHei"/>
    <w:panose1 w:val="02010609060101010101"/>
    <w:charset w:val="86"/>
    <w:family w:val="modern"/>
    <w:pitch w:val="fixed"/>
    <w:sig w:usb0="800002BF" w:usb1="38CF7CFA" w:usb2="00000016" w:usb3="00000000" w:csb0="00040001" w:csb1="00000000"/>
    <w:embedRegular r:id="rId4" w:subsetted="1" w:fontKey="{6731A1E3-A1D5-43BD-A7FC-9901AD4A786B}"/>
    <w:embedBold r:id="rId5" w:subsetted="1" w:fontKey="{11E9FD8F-158E-465D-8CF4-F6983B94AF93}"/>
  </w:font>
  <w:font w:name="楷体_GB2312">
    <w:panose1 w:val="02010609030101010101"/>
    <w:charset w:val="86"/>
    <w:family w:val="modern"/>
    <w:pitch w:val="fixed"/>
    <w:sig w:usb0="00000001" w:usb1="080E0000" w:usb2="00000010" w:usb3="00000000" w:csb0="00040000" w:csb1="00000000"/>
    <w:embedBold r:id="rId6" w:subsetted="1" w:fontKey="{0730D0BD-1BDE-46BA-A216-FCEAB7D5A1B2}"/>
  </w:font>
  <w:font w:name="方正大标宋简体">
    <w:altName w:val="Arial Unicode MS"/>
    <w:charset w:val="86"/>
    <w:family w:val="auto"/>
    <w:pitch w:val="default"/>
    <w:sig w:usb0="00000000" w:usb1="080E0000" w:usb2="00000000" w:usb3="00000000" w:csb0="00040000" w:csb1="00000000"/>
    <w:embedRegular r:id="rId7" w:subsetted="1" w:fontKey="{DA5360B3-85C2-4B52-AF55-2396EF8F2F22}"/>
  </w:font>
  <w:font w:name="仿宋">
    <w:panose1 w:val="02010609060101010101"/>
    <w:charset w:val="86"/>
    <w:family w:val="modern"/>
    <w:pitch w:val="fixed"/>
    <w:sig w:usb0="800002BF" w:usb1="38CF7CFA" w:usb2="00000016" w:usb3="00000000" w:csb0="00040001" w:csb1="00000000"/>
    <w:embedRegular r:id="rId8" w:subsetted="1" w:fontKey="{C699B421-2748-44B6-A783-56D4EE2F5FF0}"/>
    <w:embedBold r:id="rId9" w:subsetted="1" w:fontKey="{B38AA09D-683E-45E0-98FE-6AA364C6540B}"/>
  </w:font>
  <w:font w:name="等线">
    <w:charset w:val="86"/>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embedBold r:id="rId10" w:subsetted="1" w:fontKey="{D44BE77C-B710-4D55-B03F-EA75A70AA2A3}"/>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F7" w:rsidRDefault="00ED658D">
    <w:pPr>
      <w:pStyle w:val="a7"/>
      <w:framePr w:wrap="around" w:vAnchor="text" w:hAnchor="margin" w:xAlign="center" w:y="1"/>
      <w:rPr>
        <w:rStyle w:val="aa"/>
      </w:rPr>
    </w:pPr>
    <w:r>
      <w:rPr>
        <w:rStyle w:val="aa"/>
      </w:rPr>
      <w:fldChar w:fldCharType="begin"/>
    </w:r>
    <w:r w:rsidR="00155CF7">
      <w:rPr>
        <w:rStyle w:val="aa"/>
      </w:rPr>
      <w:instrText xml:space="preserve">PAGE  </w:instrText>
    </w:r>
    <w:r>
      <w:rPr>
        <w:rStyle w:val="aa"/>
      </w:rPr>
      <w:fldChar w:fldCharType="end"/>
    </w:r>
  </w:p>
  <w:p w:rsidR="00155CF7" w:rsidRDefault="00155CF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F7" w:rsidRDefault="00ED658D">
    <w:pPr>
      <w:pStyle w:val="a7"/>
      <w:framePr w:wrap="around" w:vAnchor="text" w:hAnchor="margin" w:xAlign="center" w:y="1"/>
      <w:rPr>
        <w:rStyle w:val="aa"/>
        <w:sz w:val="24"/>
      </w:rPr>
    </w:pPr>
    <w:r>
      <w:rPr>
        <w:rStyle w:val="aa"/>
        <w:sz w:val="24"/>
      </w:rPr>
      <w:fldChar w:fldCharType="begin"/>
    </w:r>
    <w:r w:rsidR="00155CF7">
      <w:rPr>
        <w:rStyle w:val="aa"/>
        <w:sz w:val="24"/>
      </w:rPr>
      <w:instrText xml:space="preserve">PAGE  </w:instrText>
    </w:r>
    <w:r>
      <w:rPr>
        <w:rStyle w:val="aa"/>
        <w:sz w:val="24"/>
      </w:rPr>
      <w:fldChar w:fldCharType="separate"/>
    </w:r>
    <w:r w:rsidR="00041B19">
      <w:rPr>
        <w:rStyle w:val="aa"/>
        <w:noProof/>
        <w:sz w:val="24"/>
      </w:rPr>
      <w:t>- 14 -</w:t>
    </w:r>
    <w:r>
      <w:rPr>
        <w:rStyle w:val="aa"/>
        <w:sz w:val="24"/>
      </w:rPr>
      <w:fldChar w:fldCharType="end"/>
    </w:r>
  </w:p>
  <w:p w:rsidR="00155CF7" w:rsidRDefault="00155CF7">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914" w:rsidRDefault="00B11914" w:rsidP="00BA1488">
      <w:r>
        <w:separator/>
      </w:r>
    </w:p>
  </w:footnote>
  <w:footnote w:type="continuationSeparator" w:id="1">
    <w:p w:rsidR="00B11914" w:rsidRDefault="00B11914" w:rsidP="00BA1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cs="Times New Roman" w:hint="eastAsia"/>
        <w:sz w:val="32"/>
      </w:rPr>
    </w:lvl>
    <w:lvl w:ilvl="1">
      <w:start w:val="1"/>
      <w:numFmt w:val="lowerRoman"/>
      <w:lvlText w:val="(%2)"/>
      <w:lvlJc w:val="left"/>
      <w:pPr>
        <w:tabs>
          <w:tab w:val="left" w:pos="861"/>
        </w:tabs>
        <w:ind w:left="861" w:hanging="720"/>
      </w:pPr>
      <w:rPr>
        <w:rFonts w:cs="Times New Roman" w:hint="eastAsia"/>
      </w:rPr>
    </w:lvl>
    <w:lvl w:ilvl="2">
      <w:start w:val="1"/>
      <w:numFmt w:val="lowerLetter"/>
      <w:lvlText w:val="(%3)"/>
      <w:lvlJc w:val="left"/>
      <w:pPr>
        <w:tabs>
          <w:tab w:val="left" w:pos="1335"/>
        </w:tabs>
        <w:ind w:left="1335" w:hanging="495"/>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bookFoldPrinting/>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hkOWM3ZTBlOTdiNDVkZDkxN2Q3OWY0NjkxNzZmYjcifQ=="/>
  </w:docVars>
  <w:rsids>
    <w:rsidRoot w:val="0E3A70E0"/>
    <w:rsid w:val="00041B19"/>
    <w:rsid w:val="000433C9"/>
    <w:rsid w:val="00067A8E"/>
    <w:rsid w:val="000A368E"/>
    <w:rsid w:val="0011062B"/>
    <w:rsid w:val="00155CF7"/>
    <w:rsid w:val="00186B80"/>
    <w:rsid w:val="0020311E"/>
    <w:rsid w:val="00227B61"/>
    <w:rsid w:val="00270415"/>
    <w:rsid w:val="002A4055"/>
    <w:rsid w:val="00326BF2"/>
    <w:rsid w:val="00332612"/>
    <w:rsid w:val="00364B76"/>
    <w:rsid w:val="00416BAA"/>
    <w:rsid w:val="00424FBE"/>
    <w:rsid w:val="004405BC"/>
    <w:rsid w:val="004E3990"/>
    <w:rsid w:val="0050221C"/>
    <w:rsid w:val="00536BEC"/>
    <w:rsid w:val="00545571"/>
    <w:rsid w:val="00737244"/>
    <w:rsid w:val="007E18D3"/>
    <w:rsid w:val="008E33C2"/>
    <w:rsid w:val="00980ACB"/>
    <w:rsid w:val="00A97982"/>
    <w:rsid w:val="00B11914"/>
    <w:rsid w:val="00BA1488"/>
    <w:rsid w:val="00C12CD1"/>
    <w:rsid w:val="00C62B6D"/>
    <w:rsid w:val="00C66248"/>
    <w:rsid w:val="00CC18E6"/>
    <w:rsid w:val="00D6394A"/>
    <w:rsid w:val="00DC072A"/>
    <w:rsid w:val="00E8103C"/>
    <w:rsid w:val="00E8129D"/>
    <w:rsid w:val="00E81AA5"/>
    <w:rsid w:val="00E9266A"/>
    <w:rsid w:val="00EA4CEA"/>
    <w:rsid w:val="00ED658D"/>
    <w:rsid w:val="00F64639"/>
    <w:rsid w:val="01F4113D"/>
    <w:rsid w:val="02AD6895"/>
    <w:rsid w:val="032327D5"/>
    <w:rsid w:val="053D3ACE"/>
    <w:rsid w:val="064212CE"/>
    <w:rsid w:val="06B4209C"/>
    <w:rsid w:val="07257578"/>
    <w:rsid w:val="076C493E"/>
    <w:rsid w:val="07B35E35"/>
    <w:rsid w:val="07BF0C4F"/>
    <w:rsid w:val="07FA4F3D"/>
    <w:rsid w:val="08146909"/>
    <w:rsid w:val="08187484"/>
    <w:rsid w:val="086973A8"/>
    <w:rsid w:val="08710AC4"/>
    <w:rsid w:val="089D3DB5"/>
    <w:rsid w:val="08A8743B"/>
    <w:rsid w:val="08B14423"/>
    <w:rsid w:val="0A1E0D4C"/>
    <w:rsid w:val="0A3D5E1A"/>
    <w:rsid w:val="0A943B69"/>
    <w:rsid w:val="0A9F6E8B"/>
    <w:rsid w:val="0B7904E7"/>
    <w:rsid w:val="0B834976"/>
    <w:rsid w:val="0B9B4E02"/>
    <w:rsid w:val="0BEE0644"/>
    <w:rsid w:val="0C5B5F64"/>
    <w:rsid w:val="0CA74B4E"/>
    <w:rsid w:val="0CFF6603"/>
    <w:rsid w:val="0E076218"/>
    <w:rsid w:val="0E122655"/>
    <w:rsid w:val="0E3A70E0"/>
    <w:rsid w:val="0EA62F2B"/>
    <w:rsid w:val="0F041218"/>
    <w:rsid w:val="0FFD1313"/>
    <w:rsid w:val="105F3558"/>
    <w:rsid w:val="108156CE"/>
    <w:rsid w:val="13046FC1"/>
    <w:rsid w:val="13A07F4C"/>
    <w:rsid w:val="13BB3494"/>
    <w:rsid w:val="143B66EE"/>
    <w:rsid w:val="144348C5"/>
    <w:rsid w:val="14DC58E9"/>
    <w:rsid w:val="14FD3A1A"/>
    <w:rsid w:val="15F47936"/>
    <w:rsid w:val="16615871"/>
    <w:rsid w:val="16F47DBB"/>
    <w:rsid w:val="172D084D"/>
    <w:rsid w:val="178A2545"/>
    <w:rsid w:val="17D46473"/>
    <w:rsid w:val="180F4FB2"/>
    <w:rsid w:val="182E31E7"/>
    <w:rsid w:val="19377C29"/>
    <w:rsid w:val="1ABA17D8"/>
    <w:rsid w:val="1B8B73FB"/>
    <w:rsid w:val="1BE159EB"/>
    <w:rsid w:val="1D767879"/>
    <w:rsid w:val="1DC441F6"/>
    <w:rsid w:val="1E086A1C"/>
    <w:rsid w:val="1F4E3AC2"/>
    <w:rsid w:val="1F93668C"/>
    <w:rsid w:val="20A4028E"/>
    <w:rsid w:val="210F161E"/>
    <w:rsid w:val="21C74C34"/>
    <w:rsid w:val="21E22DF2"/>
    <w:rsid w:val="22037998"/>
    <w:rsid w:val="221E6230"/>
    <w:rsid w:val="227429EE"/>
    <w:rsid w:val="2323290A"/>
    <w:rsid w:val="23447FE3"/>
    <w:rsid w:val="23825D59"/>
    <w:rsid w:val="24FB7CDD"/>
    <w:rsid w:val="25866997"/>
    <w:rsid w:val="258A7F88"/>
    <w:rsid w:val="259F458C"/>
    <w:rsid w:val="264A593D"/>
    <w:rsid w:val="275036C0"/>
    <w:rsid w:val="275F18AB"/>
    <w:rsid w:val="281F1499"/>
    <w:rsid w:val="2C5F2536"/>
    <w:rsid w:val="2C64555A"/>
    <w:rsid w:val="2CF41CFF"/>
    <w:rsid w:val="2D490EAE"/>
    <w:rsid w:val="2D52659D"/>
    <w:rsid w:val="2D781E05"/>
    <w:rsid w:val="2D97443B"/>
    <w:rsid w:val="2DCD71F9"/>
    <w:rsid w:val="2E555F8E"/>
    <w:rsid w:val="2F4D3415"/>
    <w:rsid w:val="2F952245"/>
    <w:rsid w:val="30D34433"/>
    <w:rsid w:val="31014DCC"/>
    <w:rsid w:val="3126001A"/>
    <w:rsid w:val="317E591C"/>
    <w:rsid w:val="32DE4422"/>
    <w:rsid w:val="33B66EE8"/>
    <w:rsid w:val="33DB262F"/>
    <w:rsid w:val="33F7717D"/>
    <w:rsid w:val="34050699"/>
    <w:rsid w:val="35E636FA"/>
    <w:rsid w:val="35FE1F8E"/>
    <w:rsid w:val="369334C9"/>
    <w:rsid w:val="37002498"/>
    <w:rsid w:val="371A3D59"/>
    <w:rsid w:val="379C2928"/>
    <w:rsid w:val="37DF765D"/>
    <w:rsid w:val="382620AC"/>
    <w:rsid w:val="38576DD7"/>
    <w:rsid w:val="38A57442"/>
    <w:rsid w:val="38AE7AA4"/>
    <w:rsid w:val="38BC4853"/>
    <w:rsid w:val="39190580"/>
    <w:rsid w:val="39445A9D"/>
    <w:rsid w:val="394A4A4C"/>
    <w:rsid w:val="3998185D"/>
    <w:rsid w:val="3A5E0D68"/>
    <w:rsid w:val="3A7B0B07"/>
    <w:rsid w:val="3AB930D6"/>
    <w:rsid w:val="3AE069DE"/>
    <w:rsid w:val="3B0A2517"/>
    <w:rsid w:val="3BAA5655"/>
    <w:rsid w:val="3BE20966"/>
    <w:rsid w:val="3CEE7922"/>
    <w:rsid w:val="3EBE19D3"/>
    <w:rsid w:val="3F104889"/>
    <w:rsid w:val="3F7162E2"/>
    <w:rsid w:val="40011501"/>
    <w:rsid w:val="403442BA"/>
    <w:rsid w:val="404A3BF9"/>
    <w:rsid w:val="40BB0B7E"/>
    <w:rsid w:val="40BD797A"/>
    <w:rsid w:val="4189318E"/>
    <w:rsid w:val="419271BE"/>
    <w:rsid w:val="424D7C24"/>
    <w:rsid w:val="42EB6512"/>
    <w:rsid w:val="42EF0559"/>
    <w:rsid w:val="432930F6"/>
    <w:rsid w:val="44580F6B"/>
    <w:rsid w:val="44D21B53"/>
    <w:rsid w:val="459060E7"/>
    <w:rsid w:val="45B914EB"/>
    <w:rsid w:val="45CD6369"/>
    <w:rsid w:val="472734B4"/>
    <w:rsid w:val="47411CA2"/>
    <w:rsid w:val="47B745A2"/>
    <w:rsid w:val="48257DCB"/>
    <w:rsid w:val="484650A6"/>
    <w:rsid w:val="4935062F"/>
    <w:rsid w:val="493C0AFC"/>
    <w:rsid w:val="49946E48"/>
    <w:rsid w:val="4A9E3EF0"/>
    <w:rsid w:val="4B0E4E77"/>
    <w:rsid w:val="4B291D4E"/>
    <w:rsid w:val="4BA13606"/>
    <w:rsid w:val="4BE5039B"/>
    <w:rsid w:val="4C04138C"/>
    <w:rsid w:val="4C1229A4"/>
    <w:rsid w:val="4C915965"/>
    <w:rsid w:val="4D384FD7"/>
    <w:rsid w:val="4D65665C"/>
    <w:rsid w:val="4DA92C17"/>
    <w:rsid w:val="4E364627"/>
    <w:rsid w:val="4E447EC6"/>
    <w:rsid w:val="4EC64F67"/>
    <w:rsid w:val="4F5966E4"/>
    <w:rsid w:val="4FBD44F5"/>
    <w:rsid w:val="50B4554E"/>
    <w:rsid w:val="51217643"/>
    <w:rsid w:val="5127574D"/>
    <w:rsid w:val="514D53F6"/>
    <w:rsid w:val="520E42A7"/>
    <w:rsid w:val="530A5D55"/>
    <w:rsid w:val="53314752"/>
    <w:rsid w:val="53BF40D0"/>
    <w:rsid w:val="54593CF4"/>
    <w:rsid w:val="547E49C5"/>
    <w:rsid w:val="55005337"/>
    <w:rsid w:val="553A7E28"/>
    <w:rsid w:val="55533CA2"/>
    <w:rsid w:val="556836C2"/>
    <w:rsid w:val="556C35AE"/>
    <w:rsid w:val="56185797"/>
    <w:rsid w:val="56244891"/>
    <w:rsid w:val="565E5FE9"/>
    <w:rsid w:val="56DF216A"/>
    <w:rsid w:val="57671DCA"/>
    <w:rsid w:val="57CB7F5D"/>
    <w:rsid w:val="57CF4D16"/>
    <w:rsid w:val="58087A06"/>
    <w:rsid w:val="58171D9D"/>
    <w:rsid w:val="583477A5"/>
    <w:rsid w:val="59082DE7"/>
    <w:rsid w:val="591A6A4C"/>
    <w:rsid w:val="5A8247DF"/>
    <w:rsid w:val="5AF40DDA"/>
    <w:rsid w:val="5BD36CC1"/>
    <w:rsid w:val="5BE51AD4"/>
    <w:rsid w:val="5BEA0709"/>
    <w:rsid w:val="5C170FD9"/>
    <w:rsid w:val="5C51050D"/>
    <w:rsid w:val="5CD13482"/>
    <w:rsid w:val="5CF60B7C"/>
    <w:rsid w:val="5D387236"/>
    <w:rsid w:val="5D732714"/>
    <w:rsid w:val="5E3374C4"/>
    <w:rsid w:val="5E46236D"/>
    <w:rsid w:val="5F525791"/>
    <w:rsid w:val="5FF57620"/>
    <w:rsid w:val="5FFB7742"/>
    <w:rsid w:val="609E5F30"/>
    <w:rsid w:val="612B54B2"/>
    <w:rsid w:val="61494284"/>
    <w:rsid w:val="61D74361"/>
    <w:rsid w:val="622B0FFA"/>
    <w:rsid w:val="624D1A5A"/>
    <w:rsid w:val="63CA72E7"/>
    <w:rsid w:val="63E27B3B"/>
    <w:rsid w:val="65310338"/>
    <w:rsid w:val="65E05502"/>
    <w:rsid w:val="65FD1A4C"/>
    <w:rsid w:val="66822DD9"/>
    <w:rsid w:val="66DC6FCC"/>
    <w:rsid w:val="67323242"/>
    <w:rsid w:val="679A0437"/>
    <w:rsid w:val="6A084EE7"/>
    <w:rsid w:val="6A3C56F8"/>
    <w:rsid w:val="6C7D4DB9"/>
    <w:rsid w:val="6C800DE3"/>
    <w:rsid w:val="6E752FF8"/>
    <w:rsid w:val="6E9477F4"/>
    <w:rsid w:val="6EAC76D4"/>
    <w:rsid w:val="6F124E47"/>
    <w:rsid w:val="6F6E30D8"/>
    <w:rsid w:val="70E21854"/>
    <w:rsid w:val="70FC5E78"/>
    <w:rsid w:val="71437F65"/>
    <w:rsid w:val="74297863"/>
    <w:rsid w:val="74615903"/>
    <w:rsid w:val="74D815AA"/>
    <w:rsid w:val="751B3C3C"/>
    <w:rsid w:val="76BD3D3E"/>
    <w:rsid w:val="774F7326"/>
    <w:rsid w:val="778E2E2B"/>
    <w:rsid w:val="77A6342A"/>
    <w:rsid w:val="77D70146"/>
    <w:rsid w:val="77F65C27"/>
    <w:rsid w:val="78006A88"/>
    <w:rsid w:val="79511777"/>
    <w:rsid w:val="796A023C"/>
    <w:rsid w:val="79A40278"/>
    <w:rsid w:val="7A5B6CFC"/>
    <w:rsid w:val="7A850A0D"/>
    <w:rsid w:val="7AA85621"/>
    <w:rsid w:val="7B954AC1"/>
    <w:rsid w:val="7BC56F06"/>
    <w:rsid w:val="7C0F649E"/>
    <w:rsid w:val="7CC56518"/>
    <w:rsid w:val="7CE03D34"/>
    <w:rsid w:val="7D69289F"/>
    <w:rsid w:val="7D6A2273"/>
    <w:rsid w:val="7E251078"/>
    <w:rsid w:val="7E56415D"/>
    <w:rsid w:val="7E573B0A"/>
    <w:rsid w:val="7E5E1D34"/>
    <w:rsid w:val="7E606245"/>
    <w:rsid w:val="7E716EB3"/>
    <w:rsid w:val="7E7C76FC"/>
    <w:rsid w:val="7EA3436D"/>
    <w:rsid w:val="7F4668A3"/>
    <w:rsid w:val="7FB95DB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locked="1" w:semiHidden="0" w:uiPriority="0" w:unhideWhenUsed="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1488"/>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BA1488"/>
    <w:rPr>
      <w:sz w:val="24"/>
    </w:rPr>
  </w:style>
  <w:style w:type="paragraph" w:styleId="a4">
    <w:name w:val="Body Text First Indent"/>
    <w:basedOn w:val="a0"/>
    <w:next w:val="20"/>
    <w:qFormat/>
    <w:rsid w:val="00BA1488"/>
    <w:pPr>
      <w:ind w:firstLineChars="100" w:firstLine="420"/>
    </w:pPr>
  </w:style>
  <w:style w:type="paragraph" w:styleId="20">
    <w:name w:val="Body Text First Indent 2"/>
    <w:basedOn w:val="a5"/>
    <w:qFormat/>
    <w:rsid w:val="00BA1488"/>
    <w:pPr>
      <w:ind w:firstLine="420"/>
    </w:pPr>
  </w:style>
  <w:style w:type="paragraph" w:styleId="a5">
    <w:name w:val="Body Text Indent"/>
    <w:basedOn w:val="a"/>
    <w:qFormat/>
    <w:rsid w:val="00BA1488"/>
    <w:pPr>
      <w:spacing w:line="560" w:lineRule="exact"/>
      <w:ind w:firstLineChars="200" w:firstLine="600"/>
    </w:pPr>
    <w:rPr>
      <w:rFonts w:ascii="仿宋_GB2312" w:eastAsia="仿宋_GB2312" w:hAnsi="Times New Roman"/>
      <w:sz w:val="30"/>
      <w:szCs w:val="30"/>
    </w:rPr>
  </w:style>
  <w:style w:type="paragraph" w:styleId="a6">
    <w:name w:val="Normal Indent"/>
    <w:basedOn w:val="a"/>
    <w:qFormat/>
    <w:rsid w:val="00BA1488"/>
    <w:pPr>
      <w:ind w:firstLineChars="200" w:firstLine="420"/>
    </w:pPr>
  </w:style>
  <w:style w:type="paragraph" w:styleId="a7">
    <w:name w:val="footer"/>
    <w:basedOn w:val="a"/>
    <w:link w:val="Char0"/>
    <w:uiPriority w:val="99"/>
    <w:qFormat/>
    <w:rsid w:val="00BA1488"/>
    <w:pPr>
      <w:tabs>
        <w:tab w:val="center" w:pos="4153"/>
        <w:tab w:val="right" w:pos="8306"/>
      </w:tabs>
      <w:snapToGrid w:val="0"/>
      <w:jc w:val="left"/>
    </w:pPr>
    <w:rPr>
      <w:sz w:val="18"/>
    </w:rPr>
  </w:style>
  <w:style w:type="paragraph" w:styleId="a8">
    <w:name w:val="header"/>
    <w:basedOn w:val="a"/>
    <w:link w:val="Char1"/>
    <w:uiPriority w:val="99"/>
    <w:qFormat/>
    <w:rsid w:val="00BA14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rsid w:val="00BA1488"/>
    <w:pPr>
      <w:widowControl/>
      <w:numPr>
        <w:numId w:val="1"/>
      </w:numPr>
      <w:tabs>
        <w:tab w:val="clear" w:pos="1440"/>
      </w:tabs>
      <w:spacing w:beforeLines="50" w:line="336" w:lineRule="auto"/>
      <w:ind w:left="0" w:firstLine="0"/>
    </w:pPr>
    <w:rPr>
      <w:rFonts w:ascii="Times New Roman" w:eastAsia="黑体" w:hAnsi="Times New Roman"/>
      <w:szCs w:val="20"/>
      <w:lang w:val="en-GB"/>
    </w:rPr>
  </w:style>
  <w:style w:type="paragraph" w:styleId="a9">
    <w:name w:val="Normal (Web)"/>
    <w:basedOn w:val="a"/>
    <w:next w:val="a"/>
    <w:qFormat/>
    <w:rsid w:val="00BA1488"/>
    <w:pPr>
      <w:widowControl/>
      <w:spacing w:before="100" w:beforeAutospacing="1" w:after="100" w:afterAutospacing="1"/>
      <w:jc w:val="left"/>
    </w:pPr>
    <w:rPr>
      <w:rFonts w:ascii="宋体" w:hAnsi="宋体" w:cs="宋体"/>
      <w:kern w:val="0"/>
      <w:sz w:val="24"/>
    </w:rPr>
  </w:style>
  <w:style w:type="character" w:styleId="aa">
    <w:name w:val="page number"/>
    <w:basedOn w:val="a1"/>
    <w:uiPriority w:val="99"/>
    <w:qFormat/>
    <w:rsid w:val="00BA1488"/>
    <w:rPr>
      <w:rFonts w:cs="Times New Roman"/>
    </w:rPr>
  </w:style>
  <w:style w:type="character" w:customStyle="1" w:styleId="Char">
    <w:name w:val="正文文本 Char"/>
    <w:basedOn w:val="a1"/>
    <w:link w:val="a0"/>
    <w:uiPriority w:val="99"/>
    <w:semiHidden/>
    <w:qFormat/>
    <w:rsid w:val="00BA1488"/>
    <w:rPr>
      <w:rFonts w:ascii="Calibri" w:hAnsi="Calibri"/>
      <w:szCs w:val="24"/>
    </w:rPr>
  </w:style>
  <w:style w:type="character" w:customStyle="1" w:styleId="Char0">
    <w:name w:val="页脚 Char"/>
    <w:basedOn w:val="a1"/>
    <w:link w:val="a7"/>
    <w:uiPriority w:val="99"/>
    <w:semiHidden/>
    <w:qFormat/>
    <w:rsid w:val="00BA1488"/>
    <w:rPr>
      <w:rFonts w:ascii="Calibri" w:hAnsi="Calibri"/>
      <w:sz w:val="18"/>
      <w:szCs w:val="18"/>
    </w:rPr>
  </w:style>
  <w:style w:type="character" w:customStyle="1" w:styleId="Char1">
    <w:name w:val="页眉 Char"/>
    <w:basedOn w:val="a1"/>
    <w:link w:val="a8"/>
    <w:uiPriority w:val="99"/>
    <w:semiHidden/>
    <w:qFormat/>
    <w:rsid w:val="00BA1488"/>
    <w:rPr>
      <w:rFonts w:ascii="Calibri" w:hAnsi="Calibri"/>
      <w:sz w:val="18"/>
      <w:szCs w:val="18"/>
    </w:rPr>
  </w:style>
  <w:style w:type="paragraph" w:customStyle="1" w:styleId="Bodytext1">
    <w:name w:val="Body text|1"/>
    <w:basedOn w:val="a"/>
    <w:uiPriority w:val="99"/>
    <w:qFormat/>
    <w:rsid w:val="00BA1488"/>
    <w:pPr>
      <w:spacing w:line="408" w:lineRule="auto"/>
      <w:ind w:firstLine="400"/>
    </w:pPr>
    <w:rPr>
      <w:rFonts w:ascii="宋体" w:hAnsi="宋体" w:cs="宋体"/>
      <w:sz w:val="30"/>
      <w:szCs w:val="30"/>
      <w:lang w:val="zh-TW" w:eastAsia="zh-TW"/>
    </w:rPr>
  </w:style>
  <w:style w:type="paragraph" w:customStyle="1" w:styleId="p0">
    <w:name w:val="p0"/>
    <w:basedOn w:val="a"/>
    <w:qFormat/>
    <w:rsid w:val="00BA1488"/>
    <w:pPr>
      <w:widowControl/>
    </w:pPr>
    <w:rPr>
      <w:kern w:val="0"/>
      <w:szCs w:val="21"/>
    </w:rPr>
  </w:style>
  <w:style w:type="character" w:customStyle="1" w:styleId="font81">
    <w:name w:val="font81"/>
    <w:basedOn w:val="a1"/>
    <w:qFormat/>
    <w:rsid w:val="00BA1488"/>
    <w:rPr>
      <w:rFonts w:ascii="宋体" w:eastAsia="宋体" w:hAnsi="宋体" w:cs="宋体" w:hint="eastAsia"/>
      <w:b/>
      <w:bCs/>
      <w:color w:val="000000"/>
      <w:sz w:val="24"/>
      <w:szCs w:val="24"/>
      <w:u w:val="none"/>
    </w:rPr>
  </w:style>
  <w:style w:type="paragraph" w:customStyle="1" w:styleId="Heading1">
    <w:name w:val="Heading1"/>
    <w:basedOn w:val="a"/>
    <w:next w:val="a"/>
    <w:uiPriority w:val="99"/>
    <w:qFormat/>
    <w:rsid w:val="00BA1488"/>
    <w:pPr>
      <w:keepNext/>
      <w:keepLines/>
      <w:spacing w:before="340" w:after="330"/>
      <w:jc w:val="center"/>
      <w:textAlignment w:val="baseline"/>
    </w:pPr>
    <w:rPr>
      <w:b/>
      <w:kern w:val="44"/>
      <w:sz w:val="44"/>
    </w:rPr>
  </w:style>
  <w:style w:type="character" w:customStyle="1" w:styleId="NormalCharacter">
    <w:name w:val="NormalCharacter"/>
    <w:uiPriority w:val="99"/>
    <w:semiHidden/>
    <w:qFormat/>
    <w:rsid w:val="00BA1488"/>
  </w:style>
  <w:style w:type="paragraph" w:customStyle="1" w:styleId="BodyTextFirstIndent1">
    <w:name w:val="Body Text First Indent1"/>
    <w:basedOn w:val="a0"/>
    <w:next w:val="a"/>
    <w:qFormat/>
    <w:rsid w:val="00BA1488"/>
    <w:pPr>
      <w:spacing w:line="600" w:lineRule="exact"/>
      <w:ind w:firstLineChars="100" w:firstLine="100"/>
    </w:pPr>
    <w:rPr>
      <w:rFonts w:eastAsia="仿宋_GB231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2636</Words>
  <Characters>15028</Characters>
  <Application>Microsoft Office Word</Application>
  <DocSecurity>0</DocSecurity>
  <Lines>125</Lines>
  <Paragraphs>35</Paragraphs>
  <ScaleCrop>false</ScaleCrop>
  <Company>Microsoft</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2020年度党建工作责任制述职报告</dc:title>
  <dc:creator>wang</dc:creator>
  <cp:lastModifiedBy>Administrator</cp:lastModifiedBy>
  <cp:revision>5</cp:revision>
  <cp:lastPrinted>2021-09-06T03:19:00Z</cp:lastPrinted>
  <dcterms:created xsi:type="dcterms:W3CDTF">2021-02-01T09:13:00Z</dcterms:created>
  <dcterms:modified xsi:type="dcterms:W3CDTF">2023-09-11T10:04:00Z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9132D9CCF3FE4ADE84144601B9B03CDD</vt:lpwstr>
  </property>
</Properties>
</file>