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napToGrid w:val="0"/>
        <w:spacing w:line="360" w:lineRule="auto"/>
        <w:rPr>
          <w:rFonts w:ascii="Times New Roman" w:hAnsi="宋体" w:eastAsia="宋体" w:cs="Times New Roman"/>
          <w:sz w:val="28"/>
          <w:szCs w:val="28"/>
        </w:rPr>
      </w:pPr>
    </w:p>
    <w:p>
      <w:pPr>
        <w:pageBreakBefore w:val="0"/>
        <w:kinsoku/>
        <w:wordWrap/>
        <w:overflowPunct/>
        <w:topLinePunct w:val="0"/>
        <w:bidi w:val="0"/>
        <w:snapToGrid w:val="0"/>
        <w:spacing w:line="360" w:lineRule="auto"/>
        <w:rPr>
          <w:rFonts w:ascii="Times New Roman" w:hAnsi="宋体" w:eastAsia="宋体" w:cs="Times New Roman"/>
          <w:sz w:val="28"/>
          <w:szCs w:val="28"/>
        </w:rPr>
      </w:pPr>
    </w:p>
    <w:p>
      <w:pPr>
        <w:pStyle w:val="8"/>
      </w:pPr>
    </w:p>
    <w:p>
      <w:pPr>
        <w:pageBreakBefore w:val="0"/>
        <w:kinsoku/>
        <w:wordWrap/>
        <w:overflowPunct/>
        <w:topLinePunct w:val="0"/>
        <w:bidi w:val="0"/>
        <w:snapToGrid w:val="0"/>
        <w:spacing w:line="360" w:lineRule="auto"/>
        <w:rPr>
          <w:rFonts w:ascii="Times New Roman" w:hAnsi="宋体" w:eastAsia="宋体" w:cs="Times New Roman"/>
          <w:sz w:val="28"/>
          <w:szCs w:val="28"/>
        </w:rPr>
      </w:pPr>
    </w:p>
    <w:p>
      <w:pPr>
        <w:pageBreakBefore w:val="0"/>
        <w:kinsoku/>
        <w:wordWrap/>
        <w:overflowPunct/>
        <w:topLinePunct w:val="0"/>
        <w:bidi w:val="0"/>
        <w:snapToGrid w:val="0"/>
        <w:spacing w:line="360" w:lineRule="auto"/>
        <w:jc w:val="center"/>
        <w:outlineLvl w:val="9"/>
        <w:rPr>
          <w:rFonts w:hint="eastAsia" w:ascii="宋体" w:hAnsi="宋体" w:eastAsia="宋体" w:cs="宋体"/>
          <w:b/>
          <w:bCs/>
          <w:sz w:val="40"/>
          <w:szCs w:val="48"/>
          <w:lang w:eastAsia="zh-CN"/>
        </w:rPr>
      </w:pPr>
      <w:bookmarkStart w:id="0" w:name="_Toc69972929"/>
      <w:bookmarkStart w:id="1" w:name="_Toc57648250"/>
      <w:bookmarkStart w:id="2" w:name="_Toc57648188"/>
      <w:bookmarkStart w:id="3" w:name="_Toc55208722"/>
      <w:r>
        <w:rPr>
          <w:rFonts w:hint="eastAsia" w:ascii="宋体" w:hAnsi="宋体" w:eastAsia="宋体" w:cs="宋体"/>
          <w:b/>
          <w:bCs/>
          <w:sz w:val="40"/>
          <w:szCs w:val="48"/>
          <w:lang w:eastAsia="zh-CN"/>
        </w:rPr>
        <w:t>西峡县</w:t>
      </w:r>
      <w:r>
        <w:rPr>
          <w:rFonts w:hint="eastAsia" w:ascii="宋体" w:hAnsi="宋体" w:eastAsia="宋体" w:cs="宋体"/>
          <w:b/>
          <w:bCs/>
          <w:sz w:val="40"/>
          <w:szCs w:val="48"/>
        </w:rPr>
        <w:t>矿产资源</w:t>
      </w:r>
      <w:r>
        <w:rPr>
          <w:rFonts w:hint="eastAsia" w:ascii="宋体" w:hAnsi="宋体" w:eastAsia="宋体" w:cs="宋体"/>
          <w:b/>
          <w:bCs/>
          <w:sz w:val="40"/>
          <w:szCs w:val="48"/>
          <w:lang w:eastAsia="zh-CN"/>
        </w:rPr>
        <w:t>总体</w:t>
      </w:r>
      <w:r>
        <w:rPr>
          <w:rFonts w:hint="eastAsia" w:ascii="宋体" w:hAnsi="宋体" w:eastAsia="宋体" w:cs="宋体"/>
          <w:b/>
          <w:bCs/>
          <w:sz w:val="40"/>
          <w:szCs w:val="48"/>
        </w:rPr>
        <w:t>规划</w:t>
      </w:r>
      <w:bookmarkEnd w:id="0"/>
      <w:bookmarkEnd w:id="1"/>
      <w:bookmarkEnd w:id="2"/>
      <w:bookmarkEnd w:id="3"/>
      <w:r>
        <w:rPr>
          <w:rFonts w:hint="eastAsia" w:ascii="宋体" w:hAnsi="宋体" w:eastAsia="宋体" w:cs="宋体"/>
          <w:b/>
          <w:bCs/>
          <w:sz w:val="40"/>
          <w:szCs w:val="48"/>
          <w:lang w:eastAsia="zh-CN"/>
        </w:rPr>
        <w:t>（2021-2025年）</w:t>
      </w:r>
    </w:p>
    <w:p>
      <w:pPr>
        <w:pageBreakBefore w:val="0"/>
        <w:kinsoku/>
        <w:wordWrap/>
        <w:overflowPunct/>
        <w:topLinePunct w:val="0"/>
        <w:bidi w:val="0"/>
        <w:snapToGrid w:val="0"/>
        <w:spacing w:line="360" w:lineRule="auto"/>
        <w:rPr>
          <w:rFonts w:ascii="Times New Roman" w:hAnsi="Times New Roman" w:eastAsia="宋体" w:cs="Times New Roman"/>
          <w:sz w:val="28"/>
          <w:szCs w:val="28"/>
        </w:rPr>
      </w:pPr>
      <w:r>
        <w:rPr>
          <w:rFonts w:hint="eastAsia" w:ascii="宋体" w:hAnsi="宋体" w:eastAsia="宋体" w:cs="宋体"/>
          <w:b/>
          <w:bCs/>
          <w:sz w:val="40"/>
          <w:szCs w:val="48"/>
          <w:lang w:val="en-US" w:eastAsia="zh-CN"/>
        </w:rPr>
        <w:t xml:space="preserve"> </w:t>
      </w:r>
    </w:p>
    <w:p>
      <w:pPr>
        <w:pageBreakBefore w:val="0"/>
        <w:kinsoku/>
        <w:wordWrap/>
        <w:overflowPunct/>
        <w:topLinePunct w:val="0"/>
        <w:bidi w:val="0"/>
        <w:snapToGrid w:val="0"/>
        <w:spacing w:line="360" w:lineRule="auto"/>
        <w:rPr>
          <w:rFonts w:ascii="Times New Roman" w:hAnsi="Times New Roman" w:eastAsia="宋体" w:cs="Times New Roman"/>
          <w:sz w:val="28"/>
          <w:szCs w:val="28"/>
        </w:rPr>
      </w:pPr>
    </w:p>
    <w:p>
      <w:pPr>
        <w:pageBreakBefore w:val="0"/>
        <w:kinsoku/>
        <w:wordWrap/>
        <w:overflowPunct/>
        <w:topLinePunct w:val="0"/>
        <w:bidi w:val="0"/>
        <w:snapToGrid w:val="0"/>
        <w:spacing w:line="360" w:lineRule="auto"/>
        <w:rPr>
          <w:rFonts w:ascii="Times New Roman" w:hAnsi="Times New Roman" w:eastAsia="宋体" w:cs="Times New Roman"/>
          <w:sz w:val="28"/>
          <w:szCs w:val="28"/>
        </w:rPr>
      </w:pPr>
    </w:p>
    <w:p>
      <w:pPr>
        <w:pageBreakBefore w:val="0"/>
        <w:kinsoku/>
        <w:wordWrap/>
        <w:overflowPunct/>
        <w:topLinePunct w:val="0"/>
        <w:bidi w:val="0"/>
        <w:snapToGrid w:val="0"/>
        <w:spacing w:line="360" w:lineRule="auto"/>
        <w:rPr>
          <w:rFonts w:ascii="Times New Roman" w:hAnsi="Times New Roman" w:eastAsia="宋体" w:cs="Times New Roman"/>
          <w:sz w:val="28"/>
          <w:szCs w:val="28"/>
        </w:rPr>
      </w:pPr>
    </w:p>
    <w:p>
      <w:pPr>
        <w:pageBreakBefore w:val="0"/>
        <w:kinsoku/>
        <w:wordWrap/>
        <w:overflowPunct/>
        <w:topLinePunct w:val="0"/>
        <w:bidi w:val="0"/>
        <w:snapToGrid w:val="0"/>
        <w:spacing w:line="360" w:lineRule="auto"/>
        <w:rPr>
          <w:sz w:val="28"/>
          <w:szCs w:val="28"/>
        </w:rPr>
      </w:pPr>
    </w:p>
    <w:p>
      <w:pPr>
        <w:pageBreakBefore w:val="0"/>
        <w:kinsoku/>
        <w:wordWrap/>
        <w:overflowPunct/>
        <w:topLinePunct w:val="0"/>
        <w:bidi w:val="0"/>
        <w:snapToGrid w:val="0"/>
        <w:spacing w:line="360" w:lineRule="auto"/>
        <w:rPr>
          <w:sz w:val="28"/>
          <w:szCs w:val="28"/>
        </w:rPr>
      </w:pPr>
    </w:p>
    <w:p>
      <w:pPr>
        <w:pageBreakBefore w:val="0"/>
        <w:kinsoku/>
        <w:wordWrap/>
        <w:overflowPunct/>
        <w:topLinePunct w:val="0"/>
        <w:bidi w:val="0"/>
        <w:snapToGrid w:val="0"/>
        <w:spacing w:line="360" w:lineRule="auto"/>
        <w:rPr>
          <w:sz w:val="28"/>
          <w:szCs w:val="28"/>
        </w:rPr>
      </w:pPr>
    </w:p>
    <w:p>
      <w:pPr>
        <w:pStyle w:val="8"/>
        <w:pageBreakBefore w:val="0"/>
        <w:kinsoku/>
        <w:wordWrap/>
        <w:overflowPunct/>
        <w:topLinePunct w:val="0"/>
        <w:bidi w:val="0"/>
        <w:snapToGrid w:val="0"/>
        <w:spacing w:line="360" w:lineRule="auto"/>
      </w:pPr>
    </w:p>
    <w:p>
      <w:pPr>
        <w:pageBreakBefore w:val="0"/>
        <w:kinsoku/>
        <w:wordWrap/>
        <w:overflowPunct/>
        <w:topLinePunct w:val="0"/>
        <w:bidi w:val="0"/>
        <w:snapToGrid w:val="0"/>
        <w:spacing w:line="360" w:lineRule="auto"/>
        <w:rPr>
          <w:sz w:val="28"/>
          <w:szCs w:val="28"/>
        </w:rPr>
      </w:pPr>
    </w:p>
    <w:p>
      <w:pPr>
        <w:pageBreakBefore w:val="0"/>
        <w:kinsoku/>
        <w:wordWrap/>
        <w:overflowPunct/>
        <w:topLinePunct w:val="0"/>
        <w:bidi w:val="0"/>
        <w:snapToGrid w:val="0"/>
        <w:spacing w:line="360" w:lineRule="auto"/>
        <w:rPr>
          <w:sz w:val="28"/>
          <w:szCs w:val="28"/>
        </w:rPr>
      </w:pPr>
    </w:p>
    <w:p>
      <w:pPr>
        <w:pStyle w:val="8"/>
        <w:rPr>
          <w:sz w:val="28"/>
          <w:szCs w:val="28"/>
        </w:rPr>
      </w:pPr>
    </w:p>
    <w:p>
      <w:pPr>
        <w:pStyle w:val="8"/>
        <w:rPr>
          <w:sz w:val="28"/>
          <w:szCs w:val="28"/>
        </w:rPr>
      </w:pPr>
    </w:p>
    <w:p>
      <w:pPr>
        <w:pStyle w:val="8"/>
        <w:rPr>
          <w:sz w:val="28"/>
          <w:szCs w:val="28"/>
        </w:rPr>
      </w:pPr>
    </w:p>
    <w:p>
      <w:pPr>
        <w:pageBreakBefore w:val="0"/>
        <w:kinsoku/>
        <w:wordWrap/>
        <w:overflowPunct/>
        <w:topLinePunct w:val="0"/>
        <w:bidi w:val="0"/>
        <w:snapToGrid w:val="0"/>
        <w:spacing w:line="360" w:lineRule="auto"/>
        <w:rPr>
          <w:sz w:val="28"/>
          <w:szCs w:val="28"/>
        </w:rPr>
      </w:pPr>
    </w:p>
    <w:p>
      <w:pPr>
        <w:pageBreakBefore w:val="0"/>
        <w:kinsoku/>
        <w:wordWrap/>
        <w:overflowPunct/>
        <w:topLinePunct w:val="0"/>
        <w:bidi w:val="0"/>
        <w:snapToGrid w:val="0"/>
        <w:spacing w:line="360" w:lineRule="auto"/>
        <w:jc w:val="center"/>
        <w:rPr>
          <w:rFonts w:hint="eastAsia"/>
          <w:b/>
          <w:bCs/>
          <w:sz w:val="32"/>
          <w:szCs w:val="32"/>
          <w:lang w:eastAsia="zh-CN"/>
        </w:rPr>
      </w:pPr>
      <w:r>
        <w:rPr>
          <w:rFonts w:hint="eastAsia"/>
          <w:b/>
          <w:bCs/>
          <w:sz w:val="32"/>
          <w:szCs w:val="32"/>
          <w:lang w:eastAsia="zh-CN"/>
        </w:rPr>
        <w:t>西峡县</w:t>
      </w:r>
      <w:r>
        <w:rPr>
          <w:rFonts w:hint="eastAsia"/>
          <w:b/>
          <w:bCs/>
          <w:sz w:val="32"/>
          <w:szCs w:val="32"/>
          <w:lang w:val="en-US" w:eastAsia="zh-CN"/>
        </w:rPr>
        <w:t>人民政府</w:t>
      </w:r>
    </w:p>
    <w:p>
      <w:pPr>
        <w:pageBreakBefore w:val="0"/>
        <w:kinsoku/>
        <w:wordWrap/>
        <w:overflowPunct/>
        <w:topLinePunct w:val="0"/>
        <w:bidi w:val="0"/>
        <w:snapToGrid w:val="0"/>
        <w:spacing w:line="360" w:lineRule="auto"/>
        <w:jc w:val="center"/>
        <w:sectPr>
          <w:pgSz w:w="11906" w:h="16838"/>
          <w:pgMar w:top="1440" w:right="1800" w:bottom="1440" w:left="1800" w:header="851" w:footer="992" w:gutter="0"/>
          <w:pgNumType w:start="1"/>
          <w:cols w:space="425" w:num="1"/>
          <w:docGrid w:type="lines" w:linePitch="312" w:charSpace="0"/>
        </w:sectPr>
      </w:pPr>
      <w:r>
        <w:rPr>
          <w:rFonts w:hint="eastAsia"/>
          <w:b/>
          <w:bCs/>
          <w:sz w:val="32"/>
          <w:szCs w:val="32"/>
        </w:rPr>
        <w:t>二〇二</w:t>
      </w:r>
      <w:r>
        <w:rPr>
          <w:rFonts w:hint="eastAsia"/>
          <w:b/>
          <w:bCs/>
          <w:sz w:val="32"/>
          <w:szCs w:val="32"/>
          <w:lang w:val="en-US" w:eastAsia="zh-CN"/>
        </w:rPr>
        <w:t>三</w:t>
      </w:r>
      <w:r>
        <w:rPr>
          <w:rFonts w:hint="eastAsia"/>
          <w:b/>
          <w:bCs/>
          <w:sz w:val="32"/>
          <w:szCs w:val="32"/>
        </w:rPr>
        <w:t>年</w:t>
      </w:r>
      <w:r>
        <w:rPr>
          <w:rFonts w:hint="eastAsia"/>
          <w:b/>
          <w:bCs/>
          <w:sz w:val="32"/>
          <w:szCs w:val="32"/>
          <w:lang w:val="en-US" w:eastAsia="zh-CN"/>
        </w:rPr>
        <w:t>三</w:t>
      </w:r>
      <w:r>
        <w:rPr>
          <w:rFonts w:hint="eastAsia"/>
          <w:b/>
          <w:bCs/>
          <w:sz w:val="32"/>
          <w:szCs w:val="32"/>
        </w:rPr>
        <w:t>月</w:t>
      </w:r>
    </w:p>
    <w:sdt>
      <w:sdtPr>
        <w:rPr>
          <w:rFonts w:ascii="宋体" w:hAnsi="宋体" w:eastAsia="宋体" w:cstheme="minorBidi"/>
          <w:kern w:val="2"/>
          <w:sz w:val="30"/>
          <w:szCs w:val="30"/>
          <w:lang w:val="en-US" w:eastAsia="zh-CN" w:bidi="ar-SA"/>
        </w:rPr>
        <w:id w:val="147469712"/>
        <w15:color w:val="DBDBDB"/>
        <w:docPartObj>
          <w:docPartGallery w:val="Table of Contents"/>
          <w:docPartUnique/>
        </w:docPartObj>
      </w:sdtPr>
      <w:sdtEndPr>
        <w:rPr>
          <w:rFonts w:hint="eastAsia" w:ascii="宋体" w:hAnsi="宋体" w:eastAsia="宋体" w:cs="宋体"/>
          <w:b/>
          <w:kern w:val="2"/>
          <w:sz w:val="21"/>
          <w:szCs w:val="24"/>
          <w:lang w:val="en-US" w:eastAsia="zh-CN" w:bidi="ar-SA"/>
        </w:rPr>
      </w:sdtEndPr>
      <w:sdtContent>
        <w:p>
          <w:pPr>
            <w:keepNext w:val="0"/>
            <w:keepLines w:val="0"/>
            <w:pageBreakBefore w:val="0"/>
            <w:widowControl w:val="0"/>
            <w:kinsoku/>
            <w:wordWrap/>
            <w:overflowPunct/>
            <w:topLinePunct w:val="0"/>
            <w:autoSpaceDE/>
            <w:autoSpaceDN/>
            <w:bidi w:val="0"/>
            <w:adjustRightInd/>
            <w:snapToGrid w:val="0"/>
            <w:spacing w:before="0" w:beforeLines="0" w:after="0" w:afterLines="0" w:line="360" w:lineRule="auto"/>
            <w:ind w:left="0" w:leftChars="0" w:right="0" w:rightChars="0" w:firstLine="0" w:firstLineChars="0"/>
            <w:jc w:val="center"/>
            <w:textAlignment w:val="auto"/>
            <w:rPr>
              <w:rFonts w:ascii="宋体" w:hAnsi="宋体" w:eastAsia="宋体"/>
              <w:b/>
              <w:bCs/>
              <w:sz w:val="30"/>
              <w:szCs w:val="30"/>
            </w:rPr>
          </w:pPr>
          <w:r>
            <w:rPr>
              <w:rFonts w:ascii="宋体" w:hAnsi="宋体" w:eastAsia="宋体"/>
              <w:b/>
              <w:bCs/>
              <w:sz w:val="30"/>
              <w:szCs w:val="30"/>
            </w:rPr>
            <w:t>目</w:t>
          </w:r>
          <w:r>
            <w:rPr>
              <w:rFonts w:hint="eastAsia" w:ascii="宋体" w:hAnsi="宋体" w:eastAsia="宋体"/>
              <w:b/>
              <w:bCs/>
              <w:sz w:val="30"/>
              <w:szCs w:val="30"/>
              <w:lang w:val="en-US" w:eastAsia="zh-CN"/>
            </w:rPr>
            <w:t xml:space="preserve"> </w:t>
          </w:r>
          <w:r>
            <w:rPr>
              <w:rFonts w:ascii="宋体" w:hAnsi="宋体" w:eastAsia="宋体"/>
              <w:b/>
              <w:bCs/>
              <w:sz w:val="30"/>
              <w:szCs w:val="30"/>
            </w:rPr>
            <w:t>录</w:t>
          </w:r>
        </w:p>
        <w:p>
          <w:pPr>
            <w:pStyle w:val="14"/>
            <w:keepNext w:val="0"/>
            <w:keepLines w:val="0"/>
            <w:pageBreakBefore w:val="0"/>
            <w:widowControl w:val="0"/>
            <w:kinsoku/>
            <w:wordWrap/>
            <w:overflowPunct/>
            <w:topLinePunct w:val="0"/>
            <w:autoSpaceDE/>
            <w:autoSpaceDN/>
            <w:bidi w:val="0"/>
            <w:adjustRightInd/>
            <w:snapToGrid w:val="0"/>
            <w:spacing w:line="360" w:lineRule="auto"/>
            <w:textAlignment w:val="auto"/>
          </w:pPr>
        </w:p>
        <w:p>
          <w:pPr>
            <w:pStyle w:val="11"/>
            <w:tabs>
              <w:tab w:val="right" w:leader="dot" w:pos="8306"/>
            </w:tabs>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"1-2" \h \u </w:instrText>
          </w:r>
          <w:r>
            <w:rPr>
              <w:rFonts w:hint="eastAsia" w:ascii="宋体" w:hAnsi="宋体" w:eastAsia="宋体" w:cs="宋体"/>
              <w:sz w:val="24"/>
              <w:szCs w:val="24"/>
            </w:rPr>
            <w:fldChar w:fldCharType="separate"/>
          </w:r>
          <w:r>
            <w:rPr>
              <w:rFonts w:hint="eastAsia" w:ascii="宋体" w:hAnsi="宋体" w:eastAsia="宋体" w:cs="宋体"/>
              <w:szCs w:val="24"/>
            </w:rPr>
            <w:fldChar w:fldCharType="begin"/>
          </w:r>
          <w:r>
            <w:rPr>
              <w:rFonts w:hint="eastAsia" w:ascii="宋体" w:hAnsi="宋体" w:eastAsia="宋体" w:cs="宋体"/>
              <w:szCs w:val="24"/>
            </w:rPr>
            <w:instrText xml:space="preserve"> HYPERLINK \l _Toc16468 </w:instrText>
          </w:r>
          <w:r>
            <w:rPr>
              <w:rFonts w:hint="eastAsia" w:ascii="宋体" w:hAnsi="宋体" w:eastAsia="宋体" w:cs="宋体"/>
              <w:szCs w:val="24"/>
            </w:rPr>
            <w:fldChar w:fldCharType="separate"/>
          </w:r>
          <w:r>
            <w:rPr>
              <w:rFonts w:hint="eastAsia" w:ascii="宋体" w:hAnsi="宋体" w:eastAsia="宋体"/>
              <w:highlight w:val="none"/>
              <w:lang w:eastAsia="zh-CN"/>
            </w:rPr>
            <w:t>第一章</w:t>
          </w:r>
          <w:r>
            <w:rPr>
              <w:rFonts w:hint="eastAsia" w:ascii="宋体" w:hAnsi="宋体" w:eastAsia="宋体"/>
              <w:highlight w:val="none"/>
              <w:lang w:val="en-US" w:eastAsia="zh-CN"/>
            </w:rPr>
            <w:t xml:space="preserve"> </w:t>
          </w:r>
          <w:r>
            <w:rPr>
              <w:rFonts w:hint="eastAsia" w:ascii="宋体" w:hAnsi="宋体" w:eastAsia="宋体"/>
              <w:highlight w:val="none"/>
              <w:lang w:eastAsia="zh-CN"/>
            </w:rPr>
            <w:t>现状与形势</w:t>
          </w:r>
          <w:r>
            <w:tab/>
          </w:r>
          <w:r>
            <w:fldChar w:fldCharType="begin"/>
          </w:r>
          <w:r>
            <w:instrText xml:space="preserve"> PAGEREF _Toc16468 \h </w:instrText>
          </w:r>
          <w:r>
            <w:fldChar w:fldCharType="separate"/>
          </w:r>
          <w:r>
            <w:t>1</w:t>
          </w:r>
          <w:r>
            <w:fldChar w:fldCharType="end"/>
          </w:r>
          <w:r>
            <w:rPr>
              <w:rFonts w:hint="eastAsia" w:ascii="宋体" w:hAnsi="宋体" w:eastAsia="宋体" w:cs="宋体"/>
              <w:szCs w:val="24"/>
            </w:rPr>
            <w:fldChar w:fldCharType="end"/>
          </w:r>
        </w:p>
        <w:p>
          <w:pPr>
            <w:pStyle w:val="13"/>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_Toc24953 </w:instrText>
          </w:r>
          <w:r>
            <w:rPr>
              <w:rFonts w:hint="eastAsia" w:ascii="宋体" w:hAnsi="宋体" w:eastAsia="宋体" w:cs="宋体"/>
              <w:szCs w:val="24"/>
            </w:rPr>
            <w:fldChar w:fldCharType="separate"/>
          </w:r>
          <w:r>
            <w:rPr>
              <w:rFonts w:hint="eastAsia" w:ascii="黑体" w:hAnsi="黑体" w:eastAsia="黑体" w:cs="黑体"/>
              <w:highlight w:val="none"/>
              <w:lang w:eastAsia="zh-CN"/>
            </w:rPr>
            <w:t>第一节</w:t>
          </w:r>
          <w:r>
            <w:rPr>
              <w:rFonts w:hint="eastAsia" w:ascii="黑体" w:hAnsi="黑体" w:eastAsia="黑体" w:cs="黑体"/>
              <w:highlight w:val="none"/>
              <w:lang w:val="en-US" w:eastAsia="zh-CN"/>
            </w:rPr>
            <w:t xml:space="preserve"> 发展基础</w:t>
          </w:r>
          <w:r>
            <w:tab/>
          </w:r>
          <w:r>
            <w:fldChar w:fldCharType="begin"/>
          </w:r>
          <w:r>
            <w:instrText xml:space="preserve"> PAGEREF _Toc24953 \h </w:instrText>
          </w:r>
          <w:r>
            <w:fldChar w:fldCharType="separate"/>
          </w:r>
          <w:r>
            <w:t>1</w:t>
          </w:r>
          <w:r>
            <w:fldChar w:fldCharType="end"/>
          </w:r>
          <w:r>
            <w:rPr>
              <w:rFonts w:hint="eastAsia" w:ascii="宋体" w:hAnsi="宋体" w:eastAsia="宋体" w:cs="宋体"/>
              <w:szCs w:val="24"/>
            </w:rPr>
            <w:fldChar w:fldCharType="end"/>
          </w:r>
        </w:p>
        <w:p>
          <w:pPr>
            <w:pStyle w:val="13"/>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_Toc9937 </w:instrText>
          </w:r>
          <w:r>
            <w:rPr>
              <w:rFonts w:hint="eastAsia" w:ascii="宋体" w:hAnsi="宋体" w:eastAsia="宋体" w:cs="宋体"/>
              <w:szCs w:val="24"/>
            </w:rPr>
            <w:fldChar w:fldCharType="separate"/>
          </w:r>
          <w:r>
            <w:rPr>
              <w:rFonts w:hint="eastAsia" w:ascii="黑体" w:hAnsi="黑体" w:eastAsia="黑体" w:cs="黑体"/>
              <w:highlight w:val="none"/>
              <w:lang w:eastAsia="zh-CN"/>
            </w:rPr>
            <w:t>第二节</w:t>
          </w:r>
          <w:r>
            <w:rPr>
              <w:rFonts w:hint="eastAsia" w:ascii="黑体" w:hAnsi="黑体" w:eastAsia="黑体" w:cs="黑体"/>
              <w:highlight w:val="none"/>
              <w:lang w:val="en-US" w:eastAsia="zh-CN"/>
            </w:rPr>
            <w:t xml:space="preserve"> 存在问题</w:t>
          </w:r>
          <w:r>
            <w:tab/>
          </w:r>
          <w:r>
            <w:fldChar w:fldCharType="begin"/>
          </w:r>
          <w:r>
            <w:instrText xml:space="preserve"> PAGEREF _Toc9937 \h </w:instrText>
          </w:r>
          <w:r>
            <w:fldChar w:fldCharType="separate"/>
          </w:r>
          <w:r>
            <w:t>4</w:t>
          </w:r>
          <w:r>
            <w:fldChar w:fldCharType="end"/>
          </w:r>
          <w:r>
            <w:rPr>
              <w:rFonts w:hint="eastAsia" w:ascii="宋体" w:hAnsi="宋体" w:eastAsia="宋体" w:cs="宋体"/>
              <w:szCs w:val="24"/>
            </w:rPr>
            <w:fldChar w:fldCharType="end"/>
          </w:r>
        </w:p>
        <w:p>
          <w:pPr>
            <w:pStyle w:val="13"/>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_Toc14437 </w:instrText>
          </w:r>
          <w:r>
            <w:rPr>
              <w:rFonts w:hint="eastAsia" w:ascii="宋体" w:hAnsi="宋体" w:eastAsia="宋体" w:cs="宋体"/>
              <w:szCs w:val="24"/>
            </w:rPr>
            <w:fldChar w:fldCharType="separate"/>
          </w:r>
          <w:r>
            <w:rPr>
              <w:rFonts w:hint="eastAsia" w:ascii="黑体" w:hAnsi="黑体" w:eastAsia="黑体" w:cs="黑体"/>
              <w:highlight w:val="none"/>
              <w:lang w:eastAsia="zh-CN"/>
            </w:rPr>
            <w:t>第三节</w:t>
          </w:r>
          <w:r>
            <w:rPr>
              <w:rFonts w:hint="eastAsia" w:ascii="黑体" w:hAnsi="黑体" w:eastAsia="黑体" w:cs="黑体"/>
              <w:highlight w:val="none"/>
              <w:lang w:val="en-US" w:eastAsia="zh-CN"/>
            </w:rPr>
            <w:t xml:space="preserve"> </w:t>
          </w:r>
          <w:r>
            <w:rPr>
              <w:rFonts w:hint="eastAsia" w:ascii="黑体" w:hAnsi="黑体" w:eastAsia="黑体" w:cs="黑体"/>
              <w:highlight w:val="none"/>
              <w:lang w:eastAsia="zh-CN"/>
            </w:rPr>
            <w:t>形势及要求</w:t>
          </w:r>
          <w:r>
            <w:tab/>
          </w:r>
          <w:r>
            <w:fldChar w:fldCharType="begin"/>
          </w:r>
          <w:r>
            <w:instrText xml:space="preserve"> PAGEREF _Toc14437 \h </w:instrText>
          </w:r>
          <w:r>
            <w:fldChar w:fldCharType="separate"/>
          </w:r>
          <w:r>
            <w:t>4</w:t>
          </w:r>
          <w:r>
            <w:fldChar w:fldCharType="end"/>
          </w:r>
          <w:r>
            <w:rPr>
              <w:rFonts w:hint="eastAsia" w:ascii="宋体" w:hAnsi="宋体" w:eastAsia="宋体" w:cs="宋体"/>
              <w:szCs w:val="24"/>
            </w:rPr>
            <w:fldChar w:fldCharType="end"/>
          </w:r>
        </w:p>
        <w:p>
          <w:pPr>
            <w:pStyle w:val="11"/>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_Toc2816 </w:instrText>
          </w:r>
          <w:r>
            <w:rPr>
              <w:rFonts w:hint="eastAsia" w:ascii="宋体" w:hAnsi="宋体" w:eastAsia="宋体" w:cs="宋体"/>
              <w:szCs w:val="24"/>
            </w:rPr>
            <w:fldChar w:fldCharType="separate"/>
          </w:r>
          <w:r>
            <w:rPr>
              <w:rFonts w:hint="eastAsia" w:ascii="宋体" w:hAnsi="宋体" w:eastAsia="宋体"/>
              <w:highlight w:val="none"/>
              <w:lang w:eastAsia="zh-CN"/>
            </w:rPr>
            <w:t>第二章</w:t>
          </w:r>
          <w:r>
            <w:rPr>
              <w:rFonts w:hint="eastAsia" w:ascii="宋体" w:hAnsi="宋体" w:eastAsia="宋体"/>
              <w:highlight w:val="none"/>
              <w:lang w:val="en-US" w:eastAsia="zh-CN"/>
            </w:rPr>
            <w:t xml:space="preserve"> </w:t>
          </w:r>
          <w:r>
            <w:rPr>
              <w:rFonts w:hint="eastAsia" w:ascii="宋体" w:hAnsi="宋体" w:eastAsia="宋体"/>
              <w:highlight w:val="none"/>
              <w:lang w:eastAsia="zh-CN"/>
            </w:rPr>
            <w:t>指导思想与目标</w:t>
          </w:r>
          <w:r>
            <w:tab/>
          </w:r>
          <w:r>
            <w:fldChar w:fldCharType="begin"/>
          </w:r>
          <w:r>
            <w:instrText xml:space="preserve"> PAGEREF _Toc2816 \h </w:instrText>
          </w:r>
          <w:r>
            <w:fldChar w:fldCharType="separate"/>
          </w:r>
          <w:r>
            <w:t>6</w:t>
          </w:r>
          <w:r>
            <w:fldChar w:fldCharType="end"/>
          </w:r>
          <w:r>
            <w:rPr>
              <w:rFonts w:hint="eastAsia" w:ascii="宋体" w:hAnsi="宋体" w:eastAsia="宋体" w:cs="宋体"/>
              <w:szCs w:val="24"/>
            </w:rPr>
            <w:fldChar w:fldCharType="end"/>
          </w:r>
        </w:p>
        <w:p>
          <w:pPr>
            <w:pStyle w:val="13"/>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_Toc14487 </w:instrText>
          </w:r>
          <w:r>
            <w:rPr>
              <w:rFonts w:hint="eastAsia" w:ascii="宋体" w:hAnsi="宋体" w:eastAsia="宋体" w:cs="宋体"/>
              <w:szCs w:val="24"/>
            </w:rPr>
            <w:fldChar w:fldCharType="separate"/>
          </w:r>
          <w:r>
            <w:rPr>
              <w:rFonts w:hint="eastAsia" w:ascii="黑体" w:hAnsi="黑体" w:eastAsia="黑体" w:cs="黑体"/>
              <w:highlight w:val="none"/>
              <w:lang w:eastAsia="zh-CN"/>
            </w:rPr>
            <w:t>第一节</w:t>
          </w:r>
          <w:r>
            <w:rPr>
              <w:rFonts w:hint="eastAsia" w:ascii="黑体" w:hAnsi="黑体" w:eastAsia="黑体" w:cs="黑体"/>
              <w:highlight w:val="none"/>
              <w:lang w:val="en-US" w:eastAsia="zh-CN"/>
            </w:rPr>
            <w:t xml:space="preserve"> </w:t>
          </w:r>
          <w:r>
            <w:rPr>
              <w:rFonts w:hint="eastAsia" w:ascii="黑体" w:hAnsi="黑体" w:eastAsia="黑体" w:cs="黑体"/>
              <w:highlight w:val="none"/>
              <w:lang w:eastAsia="zh-CN"/>
            </w:rPr>
            <w:t>指导思想</w:t>
          </w:r>
          <w:r>
            <w:tab/>
          </w:r>
          <w:r>
            <w:fldChar w:fldCharType="begin"/>
          </w:r>
          <w:r>
            <w:instrText xml:space="preserve"> PAGEREF _Toc14487 \h </w:instrText>
          </w:r>
          <w:r>
            <w:fldChar w:fldCharType="separate"/>
          </w:r>
          <w:r>
            <w:t>6</w:t>
          </w:r>
          <w:r>
            <w:fldChar w:fldCharType="end"/>
          </w:r>
          <w:r>
            <w:rPr>
              <w:rFonts w:hint="eastAsia" w:ascii="宋体" w:hAnsi="宋体" w:eastAsia="宋体" w:cs="宋体"/>
              <w:szCs w:val="24"/>
            </w:rPr>
            <w:fldChar w:fldCharType="end"/>
          </w:r>
        </w:p>
        <w:p>
          <w:pPr>
            <w:pStyle w:val="13"/>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_Toc19788 </w:instrText>
          </w:r>
          <w:r>
            <w:rPr>
              <w:rFonts w:hint="eastAsia" w:ascii="宋体" w:hAnsi="宋体" w:eastAsia="宋体" w:cs="宋体"/>
              <w:szCs w:val="24"/>
            </w:rPr>
            <w:fldChar w:fldCharType="separate"/>
          </w:r>
          <w:r>
            <w:rPr>
              <w:rFonts w:hint="eastAsia" w:ascii="黑体" w:hAnsi="黑体" w:eastAsia="黑体" w:cs="黑体"/>
              <w:highlight w:val="none"/>
              <w:lang w:eastAsia="zh-CN"/>
            </w:rPr>
            <w:t>第二节</w:t>
          </w:r>
          <w:r>
            <w:rPr>
              <w:rFonts w:hint="eastAsia" w:ascii="黑体" w:hAnsi="黑体" w:eastAsia="黑体" w:cs="黑体"/>
              <w:highlight w:val="none"/>
              <w:lang w:val="en-US" w:eastAsia="zh-CN"/>
            </w:rPr>
            <w:t xml:space="preserve"> 基本</w:t>
          </w:r>
          <w:r>
            <w:rPr>
              <w:rFonts w:hint="eastAsia" w:ascii="黑体" w:hAnsi="黑体" w:eastAsia="黑体" w:cs="黑体"/>
              <w:highlight w:val="none"/>
              <w:lang w:eastAsia="zh-CN"/>
            </w:rPr>
            <w:t>原则</w:t>
          </w:r>
          <w:r>
            <w:tab/>
          </w:r>
          <w:r>
            <w:fldChar w:fldCharType="begin"/>
          </w:r>
          <w:r>
            <w:instrText xml:space="preserve"> PAGEREF _Toc19788 \h </w:instrText>
          </w:r>
          <w:r>
            <w:fldChar w:fldCharType="separate"/>
          </w:r>
          <w:r>
            <w:t>6</w:t>
          </w:r>
          <w:r>
            <w:fldChar w:fldCharType="end"/>
          </w:r>
          <w:r>
            <w:rPr>
              <w:rFonts w:hint="eastAsia" w:ascii="宋体" w:hAnsi="宋体" w:eastAsia="宋体" w:cs="宋体"/>
              <w:szCs w:val="24"/>
            </w:rPr>
            <w:fldChar w:fldCharType="end"/>
          </w:r>
        </w:p>
        <w:p>
          <w:pPr>
            <w:pStyle w:val="13"/>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_Toc19890 </w:instrText>
          </w:r>
          <w:r>
            <w:rPr>
              <w:rFonts w:hint="eastAsia" w:ascii="宋体" w:hAnsi="宋体" w:eastAsia="宋体" w:cs="宋体"/>
              <w:szCs w:val="24"/>
            </w:rPr>
            <w:fldChar w:fldCharType="separate"/>
          </w:r>
          <w:r>
            <w:rPr>
              <w:rFonts w:hint="eastAsia" w:ascii="黑体" w:hAnsi="黑体" w:eastAsia="黑体" w:cs="黑体"/>
              <w:highlight w:val="none"/>
              <w:lang w:eastAsia="zh-CN"/>
            </w:rPr>
            <w:t>第三节</w:t>
          </w:r>
          <w:r>
            <w:rPr>
              <w:rFonts w:hint="eastAsia" w:ascii="黑体" w:hAnsi="黑体" w:eastAsia="黑体" w:cs="黑体"/>
              <w:highlight w:val="none"/>
              <w:lang w:val="en-US" w:eastAsia="zh-CN"/>
            </w:rPr>
            <w:t xml:space="preserve"> </w:t>
          </w:r>
          <w:r>
            <w:rPr>
              <w:rFonts w:hint="eastAsia" w:ascii="黑体" w:hAnsi="黑体" w:eastAsia="黑体" w:cs="黑体"/>
              <w:highlight w:val="none"/>
              <w:lang w:eastAsia="zh-CN"/>
            </w:rPr>
            <w:t>规划目标</w:t>
          </w:r>
          <w:r>
            <w:tab/>
          </w:r>
          <w:r>
            <w:fldChar w:fldCharType="begin"/>
          </w:r>
          <w:r>
            <w:instrText xml:space="preserve"> PAGEREF _Toc19890 \h </w:instrText>
          </w:r>
          <w:r>
            <w:fldChar w:fldCharType="separate"/>
          </w:r>
          <w:r>
            <w:t>7</w:t>
          </w:r>
          <w:r>
            <w:fldChar w:fldCharType="end"/>
          </w:r>
          <w:r>
            <w:rPr>
              <w:rFonts w:hint="eastAsia" w:ascii="宋体" w:hAnsi="宋体" w:eastAsia="宋体" w:cs="宋体"/>
              <w:szCs w:val="24"/>
            </w:rPr>
            <w:fldChar w:fldCharType="end"/>
          </w:r>
        </w:p>
        <w:p>
          <w:pPr>
            <w:pStyle w:val="11"/>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_Toc3104 </w:instrText>
          </w:r>
          <w:r>
            <w:rPr>
              <w:rFonts w:hint="eastAsia" w:ascii="宋体" w:hAnsi="宋体" w:eastAsia="宋体" w:cs="宋体"/>
              <w:szCs w:val="24"/>
            </w:rPr>
            <w:fldChar w:fldCharType="separate"/>
          </w:r>
          <w:r>
            <w:rPr>
              <w:rFonts w:hint="eastAsia" w:ascii="宋体" w:hAnsi="宋体" w:eastAsia="宋体"/>
              <w:highlight w:val="none"/>
              <w:lang w:eastAsia="zh-CN"/>
            </w:rPr>
            <w:t>第三章</w:t>
          </w:r>
          <w:r>
            <w:rPr>
              <w:rFonts w:hint="eastAsia" w:ascii="宋体" w:hAnsi="宋体" w:eastAsia="宋体"/>
              <w:highlight w:val="none"/>
              <w:lang w:val="en-US" w:eastAsia="zh-CN"/>
            </w:rPr>
            <w:t xml:space="preserve"> </w:t>
          </w:r>
          <w:r>
            <w:rPr>
              <w:rFonts w:hint="eastAsia" w:ascii="宋体" w:hAnsi="宋体" w:eastAsia="宋体"/>
              <w:highlight w:val="none"/>
              <w:lang w:eastAsia="zh-CN"/>
            </w:rPr>
            <w:t>矿产勘查开发与保护布局</w:t>
          </w:r>
          <w:r>
            <w:tab/>
          </w:r>
          <w:r>
            <w:fldChar w:fldCharType="begin"/>
          </w:r>
          <w:r>
            <w:instrText xml:space="preserve"> PAGEREF _Toc3104 \h </w:instrText>
          </w:r>
          <w:r>
            <w:fldChar w:fldCharType="separate"/>
          </w:r>
          <w:r>
            <w:t>8</w:t>
          </w:r>
          <w:r>
            <w:fldChar w:fldCharType="end"/>
          </w:r>
          <w:r>
            <w:rPr>
              <w:rFonts w:hint="eastAsia" w:ascii="宋体" w:hAnsi="宋体" w:eastAsia="宋体" w:cs="宋体"/>
              <w:szCs w:val="24"/>
            </w:rPr>
            <w:fldChar w:fldCharType="end"/>
          </w:r>
        </w:p>
        <w:p>
          <w:pPr>
            <w:pStyle w:val="13"/>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_Toc24676 </w:instrText>
          </w:r>
          <w:r>
            <w:rPr>
              <w:rFonts w:hint="eastAsia" w:ascii="宋体" w:hAnsi="宋体" w:eastAsia="宋体" w:cs="宋体"/>
              <w:szCs w:val="24"/>
            </w:rPr>
            <w:fldChar w:fldCharType="separate"/>
          </w:r>
          <w:r>
            <w:rPr>
              <w:rFonts w:hint="eastAsia" w:ascii="黑体" w:hAnsi="黑体" w:eastAsia="黑体" w:cs="黑体"/>
              <w:highlight w:val="none"/>
              <w:lang w:eastAsia="zh-CN"/>
            </w:rPr>
            <w:t>第一节</w:t>
          </w:r>
          <w:r>
            <w:rPr>
              <w:rFonts w:hint="eastAsia" w:ascii="黑体" w:hAnsi="黑体" w:eastAsia="黑体" w:cs="黑体"/>
              <w:highlight w:val="none"/>
              <w:lang w:val="en-US" w:eastAsia="zh-CN"/>
            </w:rPr>
            <w:t xml:space="preserve"> </w:t>
          </w:r>
          <w:r>
            <w:rPr>
              <w:rFonts w:hint="eastAsia" w:ascii="黑体" w:hAnsi="黑体" w:eastAsia="黑体" w:cs="黑体"/>
              <w:highlight w:val="none"/>
              <w:lang w:eastAsia="zh-CN"/>
            </w:rPr>
            <w:t>矿产资源勘查开采调控方向</w:t>
          </w:r>
          <w:r>
            <w:tab/>
          </w:r>
          <w:r>
            <w:fldChar w:fldCharType="begin"/>
          </w:r>
          <w:r>
            <w:instrText xml:space="preserve"> PAGEREF _Toc24676 \h </w:instrText>
          </w:r>
          <w:r>
            <w:fldChar w:fldCharType="separate"/>
          </w:r>
          <w:r>
            <w:t>8</w:t>
          </w:r>
          <w:r>
            <w:fldChar w:fldCharType="end"/>
          </w:r>
          <w:r>
            <w:rPr>
              <w:rFonts w:hint="eastAsia" w:ascii="宋体" w:hAnsi="宋体" w:eastAsia="宋体" w:cs="宋体"/>
              <w:szCs w:val="24"/>
            </w:rPr>
            <w:fldChar w:fldCharType="end"/>
          </w:r>
        </w:p>
        <w:p>
          <w:pPr>
            <w:pStyle w:val="13"/>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_Toc2464 </w:instrText>
          </w:r>
          <w:r>
            <w:rPr>
              <w:rFonts w:hint="eastAsia" w:ascii="宋体" w:hAnsi="宋体" w:eastAsia="宋体" w:cs="宋体"/>
              <w:szCs w:val="24"/>
            </w:rPr>
            <w:fldChar w:fldCharType="separate"/>
          </w:r>
          <w:r>
            <w:rPr>
              <w:rFonts w:hint="eastAsia" w:ascii="黑体" w:hAnsi="黑体" w:eastAsia="黑体" w:cs="黑体"/>
              <w:highlight w:val="none"/>
              <w:lang w:eastAsia="zh-CN"/>
            </w:rPr>
            <w:t>第二节</w:t>
          </w:r>
          <w:r>
            <w:rPr>
              <w:rFonts w:hint="eastAsia" w:ascii="黑体" w:hAnsi="黑体" w:eastAsia="黑体" w:cs="黑体"/>
              <w:highlight w:val="none"/>
              <w:lang w:val="en-US" w:eastAsia="zh-CN"/>
            </w:rPr>
            <w:t xml:space="preserve"> </w:t>
          </w:r>
          <w:r>
            <w:rPr>
              <w:rFonts w:hint="eastAsia" w:ascii="黑体" w:hAnsi="黑体" w:eastAsia="黑体" w:cs="黑体"/>
              <w:highlight w:val="none"/>
              <w:lang w:eastAsia="zh-CN"/>
            </w:rPr>
            <w:t>矿产资源产业重点发展区域</w:t>
          </w:r>
          <w:r>
            <w:tab/>
          </w:r>
          <w:r>
            <w:fldChar w:fldCharType="begin"/>
          </w:r>
          <w:r>
            <w:instrText xml:space="preserve"> PAGEREF _Toc2464 \h </w:instrText>
          </w:r>
          <w:r>
            <w:fldChar w:fldCharType="separate"/>
          </w:r>
          <w:r>
            <w:t>8</w:t>
          </w:r>
          <w:r>
            <w:fldChar w:fldCharType="end"/>
          </w:r>
          <w:r>
            <w:rPr>
              <w:rFonts w:hint="eastAsia" w:ascii="宋体" w:hAnsi="宋体" w:eastAsia="宋体" w:cs="宋体"/>
              <w:szCs w:val="24"/>
            </w:rPr>
            <w:fldChar w:fldCharType="end"/>
          </w:r>
        </w:p>
        <w:p>
          <w:pPr>
            <w:pStyle w:val="13"/>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_Toc24005 </w:instrText>
          </w:r>
          <w:r>
            <w:rPr>
              <w:rFonts w:hint="eastAsia" w:ascii="宋体" w:hAnsi="宋体" w:eastAsia="宋体" w:cs="宋体"/>
              <w:szCs w:val="24"/>
            </w:rPr>
            <w:fldChar w:fldCharType="separate"/>
          </w:r>
          <w:r>
            <w:rPr>
              <w:rFonts w:hint="eastAsia" w:ascii="黑体" w:hAnsi="黑体" w:eastAsia="黑体" w:cs="黑体"/>
              <w:highlight w:val="none"/>
              <w:lang w:eastAsia="zh-CN"/>
            </w:rPr>
            <w:t>第三节</w:t>
          </w:r>
          <w:r>
            <w:rPr>
              <w:rFonts w:hint="eastAsia" w:ascii="黑体" w:hAnsi="黑体" w:eastAsia="黑体" w:cs="黑体"/>
              <w:highlight w:val="none"/>
              <w:lang w:val="en-US" w:eastAsia="zh-CN"/>
            </w:rPr>
            <w:t xml:space="preserve"> </w:t>
          </w:r>
          <w:r>
            <w:rPr>
              <w:rFonts w:hint="eastAsia" w:ascii="黑体" w:hAnsi="黑体" w:eastAsia="黑体" w:cs="黑体"/>
              <w:highlight w:val="none"/>
              <w:lang w:eastAsia="zh-CN"/>
            </w:rPr>
            <w:t>加强战略性矿产资源保护区保护和储备</w:t>
          </w:r>
          <w:r>
            <w:tab/>
          </w:r>
          <w:r>
            <w:fldChar w:fldCharType="begin"/>
          </w:r>
          <w:r>
            <w:instrText xml:space="preserve"> PAGEREF _Toc24005 \h </w:instrText>
          </w:r>
          <w:r>
            <w:fldChar w:fldCharType="separate"/>
          </w:r>
          <w:r>
            <w:t>9</w:t>
          </w:r>
          <w:r>
            <w:fldChar w:fldCharType="end"/>
          </w:r>
          <w:r>
            <w:rPr>
              <w:rFonts w:hint="eastAsia" w:ascii="宋体" w:hAnsi="宋体" w:eastAsia="宋体" w:cs="宋体"/>
              <w:szCs w:val="24"/>
            </w:rPr>
            <w:fldChar w:fldCharType="end"/>
          </w:r>
        </w:p>
        <w:p>
          <w:pPr>
            <w:pStyle w:val="11"/>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_Toc27642 </w:instrText>
          </w:r>
          <w:r>
            <w:rPr>
              <w:rFonts w:hint="eastAsia" w:ascii="宋体" w:hAnsi="宋体" w:eastAsia="宋体" w:cs="宋体"/>
              <w:szCs w:val="24"/>
            </w:rPr>
            <w:fldChar w:fldCharType="separate"/>
          </w:r>
          <w:r>
            <w:rPr>
              <w:rFonts w:hint="eastAsia" w:ascii="宋体" w:hAnsi="宋体" w:eastAsia="宋体"/>
              <w:highlight w:val="none"/>
              <w:lang w:eastAsia="zh-CN"/>
            </w:rPr>
            <w:t>第四章</w:t>
          </w:r>
          <w:r>
            <w:rPr>
              <w:rFonts w:hint="eastAsia" w:ascii="宋体" w:hAnsi="宋体" w:eastAsia="宋体"/>
              <w:highlight w:val="none"/>
              <w:lang w:val="en-US" w:eastAsia="zh-CN"/>
            </w:rPr>
            <w:t xml:space="preserve"> </w:t>
          </w:r>
          <w:r>
            <w:rPr>
              <w:rFonts w:hint="eastAsia" w:ascii="宋体" w:hAnsi="宋体" w:eastAsia="宋体"/>
              <w:highlight w:val="none"/>
              <w:lang w:eastAsia="zh-CN"/>
            </w:rPr>
            <w:t>矿产资源调查评价与勘查</w:t>
          </w:r>
          <w:r>
            <w:tab/>
          </w:r>
          <w:r>
            <w:fldChar w:fldCharType="begin"/>
          </w:r>
          <w:r>
            <w:instrText xml:space="preserve"> PAGEREF _Toc27642 \h </w:instrText>
          </w:r>
          <w:r>
            <w:fldChar w:fldCharType="separate"/>
          </w:r>
          <w:r>
            <w:t>10</w:t>
          </w:r>
          <w:r>
            <w:fldChar w:fldCharType="end"/>
          </w:r>
          <w:r>
            <w:rPr>
              <w:rFonts w:hint="eastAsia" w:ascii="宋体" w:hAnsi="宋体" w:eastAsia="宋体" w:cs="宋体"/>
              <w:szCs w:val="24"/>
            </w:rPr>
            <w:fldChar w:fldCharType="end"/>
          </w:r>
        </w:p>
        <w:p>
          <w:pPr>
            <w:pStyle w:val="13"/>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_Toc29404 </w:instrText>
          </w:r>
          <w:r>
            <w:rPr>
              <w:rFonts w:hint="eastAsia" w:ascii="宋体" w:hAnsi="宋体" w:eastAsia="宋体" w:cs="宋体"/>
              <w:szCs w:val="24"/>
            </w:rPr>
            <w:fldChar w:fldCharType="separate"/>
          </w:r>
          <w:r>
            <w:rPr>
              <w:rFonts w:hint="eastAsia" w:ascii="黑体" w:hAnsi="黑体" w:eastAsia="黑体" w:cs="黑体"/>
              <w:highlight w:val="none"/>
              <w:lang w:eastAsia="zh-CN"/>
            </w:rPr>
            <w:t>第</w:t>
          </w:r>
          <w:r>
            <w:rPr>
              <w:rFonts w:hint="eastAsia" w:ascii="黑体" w:hAnsi="黑体" w:eastAsia="黑体" w:cs="黑体"/>
              <w:highlight w:val="none"/>
              <w:lang w:val="en-US" w:eastAsia="zh-CN"/>
            </w:rPr>
            <w:t>一</w:t>
          </w:r>
          <w:r>
            <w:rPr>
              <w:rFonts w:hint="eastAsia" w:ascii="黑体" w:hAnsi="黑体" w:eastAsia="黑体" w:cs="黑体"/>
              <w:highlight w:val="none"/>
              <w:lang w:eastAsia="zh-CN"/>
            </w:rPr>
            <w:t>节</w:t>
          </w:r>
          <w:r>
            <w:rPr>
              <w:rFonts w:hint="eastAsia" w:ascii="黑体" w:hAnsi="黑体" w:eastAsia="黑体" w:cs="黑体"/>
              <w:highlight w:val="none"/>
              <w:lang w:val="en-US" w:eastAsia="zh-CN"/>
            </w:rPr>
            <w:t xml:space="preserve"> </w:t>
          </w:r>
          <w:r>
            <w:rPr>
              <w:rFonts w:hint="eastAsia" w:ascii="黑体" w:hAnsi="黑体" w:eastAsia="黑体" w:cs="黑体"/>
              <w:highlight w:val="none"/>
              <w:lang w:eastAsia="zh-CN"/>
            </w:rPr>
            <w:t>矿产资源</w:t>
          </w:r>
          <w:r>
            <w:rPr>
              <w:rFonts w:hint="eastAsia" w:ascii="黑体" w:hAnsi="黑体" w:eastAsia="黑体" w:cs="黑体"/>
              <w:highlight w:val="none"/>
              <w:lang w:val="en-US" w:eastAsia="zh-CN"/>
            </w:rPr>
            <w:t>调查评价</w:t>
          </w:r>
          <w:r>
            <w:tab/>
          </w:r>
          <w:r>
            <w:fldChar w:fldCharType="begin"/>
          </w:r>
          <w:r>
            <w:instrText xml:space="preserve"> PAGEREF _Toc29404 \h </w:instrText>
          </w:r>
          <w:r>
            <w:fldChar w:fldCharType="separate"/>
          </w:r>
          <w:r>
            <w:t>10</w:t>
          </w:r>
          <w:r>
            <w:fldChar w:fldCharType="end"/>
          </w:r>
          <w:r>
            <w:rPr>
              <w:rFonts w:hint="eastAsia" w:ascii="宋体" w:hAnsi="宋体" w:eastAsia="宋体" w:cs="宋体"/>
              <w:szCs w:val="24"/>
            </w:rPr>
            <w:fldChar w:fldCharType="end"/>
          </w:r>
        </w:p>
        <w:p>
          <w:pPr>
            <w:pStyle w:val="13"/>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_Toc5478 </w:instrText>
          </w:r>
          <w:r>
            <w:rPr>
              <w:rFonts w:hint="eastAsia" w:ascii="宋体" w:hAnsi="宋体" w:eastAsia="宋体" w:cs="宋体"/>
              <w:szCs w:val="24"/>
            </w:rPr>
            <w:fldChar w:fldCharType="separate"/>
          </w:r>
          <w:r>
            <w:rPr>
              <w:rFonts w:hint="eastAsia" w:ascii="黑体" w:hAnsi="黑体" w:eastAsia="黑体" w:cs="黑体"/>
              <w:highlight w:val="none"/>
              <w:lang w:eastAsia="zh-CN"/>
            </w:rPr>
            <w:t>第</w:t>
          </w:r>
          <w:r>
            <w:rPr>
              <w:rFonts w:hint="eastAsia" w:ascii="黑体" w:hAnsi="黑体" w:eastAsia="黑体" w:cs="黑体"/>
              <w:highlight w:val="none"/>
              <w:lang w:val="en-US" w:eastAsia="zh-CN"/>
            </w:rPr>
            <w:t>二</w:t>
          </w:r>
          <w:r>
            <w:rPr>
              <w:rFonts w:hint="eastAsia" w:ascii="黑体" w:hAnsi="黑体" w:eastAsia="黑体" w:cs="黑体"/>
              <w:highlight w:val="none"/>
              <w:lang w:eastAsia="zh-CN"/>
            </w:rPr>
            <w:t>节</w:t>
          </w:r>
          <w:r>
            <w:rPr>
              <w:rFonts w:hint="eastAsia" w:ascii="黑体" w:hAnsi="黑体" w:eastAsia="黑体" w:cs="黑体"/>
              <w:highlight w:val="none"/>
              <w:lang w:val="en-US" w:eastAsia="zh-CN"/>
            </w:rPr>
            <w:t xml:space="preserve"> </w:t>
          </w:r>
          <w:r>
            <w:rPr>
              <w:rFonts w:hint="eastAsia" w:ascii="黑体" w:hAnsi="黑体" w:eastAsia="黑体" w:cs="黑体"/>
              <w:highlight w:val="none"/>
              <w:lang w:eastAsia="zh-CN"/>
            </w:rPr>
            <w:t>矿产资源勘查</w:t>
          </w:r>
          <w:r>
            <w:tab/>
          </w:r>
          <w:r>
            <w:fldChar w:fldCharType="begin"/>
          </w:r>
          <w:r>
            <w:instrText xml:space="preserve"> PAGEREF _Toc5478 \h </w:instrText>
          </w:r>
          <w:r>
            <w:fldChar w:fldCharType="separate"/>
          </w:r>
          <w:r>
            <w:t>10</w:t>
          </w:r>
          <w:r>
            <w:fldChar w:fldCharType="end"/>
          </w:r>
          <w:r>
            <w:rPr>
              <w:rFonts w:hint="eastAsia" w:ascii="宋体" w:hAnsi="宋体" w:eastAsia="宋体" w:cs="宋体"/>
              <w:szCs w:val="24"/>
            </w:rPr>
            <w:fldChar w:fldCharType="end"/>
          </w:r>
        </w:p>
        <w:p>
          <w:pPr>
            <w:pStyle w:val="13"/>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_Toc25889 </w:instrText>
          </w:r>
          <w:r>
            <w:rPr>
              <w:rFonts w:hint="eastAsia" w:ascii="宋体" w:hAnsi="宋体" w:eastAsia="宋体" w:cs="宋体"/>
              <w:szCs w:val="24"/>
            </w:rPr>
            <w:fldChar w:fldCharType="separate"/>
          </w:r>
          <w:r>
            <w:rPr>
              <w:rFonts w:hint="eastAsia" w:ascii="黑体" w:hAnsi="黑体" w:eastAsia="黑体" w:cs="黑体"/>
              <w:highlight w:val="none"/>
              <w:lang w:eastAsia="zh-CN"/>
            </w:rPr>
            <w:t>第</w:t>
          </w:r>
          <w:r>
            <w:rPr>
              <w:rFonts w:hint="eastAsia" w:ascii="黑体" w:hAnsi="黑体" w:eastAsia="黑体" w:cs="黑体"/>
              <w:highlight w:val="none"/>
              <w:lang w:val="en-US" w:eastAsia="zh-CN"/>
            </w:rPr>
            <w:t>三</w:t>
          </w:r>
          <w:r>
            <w:rPr>
              <w:rFonts w:hint="eastAsia" w:ascii="黑体" w:hAnsi="黑体" w:eastAsia="黑体" w:cs="黑体"/>
              <w:highlight w:val="none"/>
              <w:lang w:eastAsia="zh-CN"/>
            </w:rPr>
            <w:t>节</w:t>
          </w:r>
          <w:r>
            <w:rPr>
              <w:rFonts w:hint="eastAsia" w:ascii="黑体" w:hAnsi="黑体" w:eastAsia="黑体" w:cs="黑体"/>
              <w:highlight w:val="none"/>
              <w:lang w:val="en-US" w:eastAsia="zh-CN"/>
            </w:rPr>
            <w:t xml:space="preserve"> </w:t>
          </w:r>
          <w:r>
            <w:rPr>
              <w:rFonts w:hint="eastAsia" w:ascii="黑体" w:hAnsi="黑体" w:eastAsia="黑体" w:cs="黑体"/>
              <w:highlight w:val="none"/>
              <w:lang w:eastAsia="zh-CN"/>
            </w:rPr>
            <w:t>矿产资源勘查管理</w:t>
          </w:r>
          <w:r>
            <w:tab/>
          </w:r>
          <w:r>
            <w:fldChar w:fldCharType="begin"/>
          </w:r>
          <w:r>
            <w:instrText xml:space="preserve"> PAGEREF _Toc25889 \h </w:instrText>
          </w:r>
          <w:r>
            <w:fldChar w:fldCharType="separate"/>
          </w:r>
          <w:r>
            <w:t>11</w:t>
          </w:r>
          <w:r>
            <w:fldChar w:fldCharType="end"/>
          </w:r>
          <w:r>
            <w:rPr>
              <w:rFonts w:hint="eastAsia" w:ascii="宋体" w:hAnsi="宋体" w:eastAsia="宋体" w:cs="宋体"/>
              <w:szCs w:val="24"/>
            </w:rPr>
            <w:fldChar w:fldCharType="end"/>
          </w:r>
        </w:p>
        <w:p>
          <w:pPr>
            <w:pStyle w:val="11"/>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_Toc31000 </w:instrText>
          </w:r>
          <w:r>
            <w:rPr>
              <w:rFonts w:hint="eastAsia" w:ascii="宋体" w:hAnsi="宋体" w:eastAsia="宋体" w:cs="宋体"/>
              <w:szCs w:val="24"/>
            </w:rPr>
            <w:fldChar w:fldCharType="separate"/>
          </w:r>
          <w:r>
            <w:rPr>
              <w:rFonts w:hint="eastAsia" w:ascii="宋体" w:hAnsi="宋体" w:eastAsia="宋体"/>
              <w:highlight w:val="none"/>
              <w:lang w:eastAsia="zh-CN"/>
            </w:rPr>
            <w:t>第五章</w:t>
          </w:r>
          <w:r>
            <w:rPr>
              <w:rFonts w:hint="eastAsia" w:ascii="宋体" w:hAnsi="宋体" w:eastAsia="宋体"/>
              <w:highlight w:val="none"/>
              <w:lang w:val="en-US" w:eastAsia="zh-CN"/>
            </w:rPr>
            <w:t xml:space="preserve"> </w:t>
          </w:r>
          <w:r>
            <w:rPr>
              <w:rFonts w:hint="eastAsia" w:ascii="宋体" w:hAnsi="宋体" w:eastAsia="宋体"/>
              <w:highlight w:val="none"/>
              <w:lang w:eastAsia="zh-CN"/>
            </w:rPr>
            <w:t>矿产资源开发利用和保护</w:t>
          </w:r>
          <w:r>
            <w:tab/>
          </w:r>
          <w:r>
            <w:fldChar w:fldCharType="begin"/>
          </w:r>
          <w:r>
            <w:instrText xml:space="preserve"> PAGEREF _Toc31000 \h </w:instrText>
          </w:r>
          <w:r>
            <w:fldChar w:fldCharType="separate"/>
          </w:r>
          <w:r>
            <w:t>13</w:t>
          </w:r>
          <w:r>
            <w:fldChar w:fldCharType="end"/>
          </w:r>
          <w:r>
            <w:rPr>
              <w:rFonts w:hint="eastAsia" w:ascii="宋体" w:hAnsi="宋体" w:eastAsia="宋体" w:cs="宋体"/>
              <w:szCs w:val="24"/>
            </w:rPr>
            <w:fldChar w:fldCharType="end"/>
          </w:r>
        </w:p>
        <w:p>
          <w:pPr>
            <w:pStyle w:val="13"/>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_Toc30768 </w:instrText>
          </w:r>
          <w:r>
            <w:rPr>
              <w:rFonts w:hint="eastAsia" w:ascii="宋体" w:hAnsi="宋体" w:eastAsia="宋体" w:cs="宋体"/>
              <w:szCs w:val="24"/>
            </w:rPr>
            <w:fldChar w:fldCharType="separate"/>
          </w:r>
          <w:r>
            <w:rPr>
              <w:rFonts w:hint="eastAsia" w:ascii="黑体" w:hAnsi="黑体" w:eastAsia="黑体" w:cs="黑体"/>
              <w:highlight w:val="none"/>
              <w:lang w:eastAsia="zh-CN"/>
            </w:rPr>
            <w:t>第一节</w:t>
          </w:r>
          <w:r>
            <w:rPr>
              <w:rFonts w:hint="eastAsia" w:ascii="黑体" w:hAnsi="黑体" w:eastAsia="黑体" w:cs="黑体"/>
              <w:highlight w:val="none"/>
              <w:lang w:val="en-US" w:eastAsia="zh-CN"/>
            </w:rPr>
            <w:t xml:space="preserve"> </w:t>
          </w:r>
          <w:r>
            <w:rPr>
              <w:rFonts w:hint="eastAsia" w:ascii="黑体" w:hAnsi="黑体" w:eastAsia="黑体" w:cs="黑体"/>
              <w:highlight w:val="none"/>
              <w:lang w:eastAsia="zh-CN"/>
            </w:rPr>
            <w:t>开发利用调控</w:t>
          </w:r>
          <w:r>
            <w:tab/>
          </w:r>
          <w:r>
            <w:fldChar w:fldCharType="begin"/>
          </w:r>
          <w:r>
            <w:instrText xml:space="preserve"> PAGEREF _Toc30768 \h </w:instrText>
          </w:r>
          <w:r>
            <w:fldChar w:fldCharType="separate"/>
          </w:r>
          <w:r>
            <w:t>13</w:t>
          </w:r>
          <w:r>
            <w:fldChar w:fldCharType="end"/>
          </w:r>
          <w:r>
            <w:rPr>
              <w:rFonts w:hint="eastAsia" w:ascii="宋体" w:hAnsi="宋体" w:eastAsia="宋体" w:cs="宋体"/>
              <w:szCs w:val="24"/>
            </w:rPr>
            <w:fldChar w:fldCharType="end"/>
          </w:r>
        </w:p>
        <w:p>
          <w:pPr>
            <w:pStyle w:val="13"/>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_Toc15521 </w:instrText>
          </w:r>
          <w:r>
            <w:rPr>
              <w:rFonts w:hint="eastAsia" w:ascii="宋体" w:hAnsi="宋体" w:eastAsia="宋体" w:cs="宋体"/>
              <w:szCs w:val="24"/>
            </w:rPr>
            <w:fldChar w:fldCharType="separate"/>
          </w:r>
          <w:r>
            <w:rPr>
              <w:rFonts w:hint="eastAsia" w:ascii="黑体" w:hAnsi="黑体" w:eastAsia="黑体" w:cs="黑体"/>
              <w:highlight w:val="none"/>
              <w:lang w:eastAsia="zh-CN"/>
            </w:rPr>
            <w:t>第二节</w:t>
          </w:r>
          <w:r>
            <w:rPr>
              <w:rFonts w:hint="eastAsia" w:ascii="黑体" w:hAnsi="黑体" w:eastAsia="黑体" w:cs="黑体"/>
              <w:highlight w:val="none"/>
              <w:lang w:val="en-US" w:eastAsia="zh-CN"/>
            </w:rPr>
            <w:t xml:space="preserve"> </w:t>
          </w:r>
          <w:r>
            <w:rPr>
              <w:rFonts w:hint="eastAsia" w:ascii="黑体" w:hAnsi="黑体" w:eastAsia="黑体" w:cs="黑体"/>
              <w:highlight w:val="none"/>
              <w:lang w:eastAsia="zh-CN"/>
            </w:rPr>
            <w:t>矿产资源开发</w:t>
          </w:r>
          <w:r>
            <w:rPr>
              <w:rFonts w:hint="eastAsia" w:ascii="黑体" w:hAnsi="黑体" w:eastAsia="黑体" w:cs="黑体"/>
              <w:highlight w:val="none"/>
              <w:lang w:val="en-US" w:eastAsia="zh-CN"/>
            </w:rPr>
            <w:t>利用</w:t>
          </w:r>
          <w:r>
            <w:tab/>
          </w:r>
          <w:r>
            <w:fldChar w:fldCharType="begin"/>
          </w:r>
          <w:r>
            <w:instrText xml:space="preserve"> PAGEREF _Toc15521 \h </w:instrText>
          </w:r>
          <w:r>
            <w:fldChar w:fldCharType="separate"/>
          </w:r>
          <w:r>
            <w:t>13</w:t>
          </w:r>
          <w:r>
            <w:fldChar w:fldCharType="end"/>
          </w:r>
          <w:r>
            <w:rPr>
              <w:rFonts w:hint="eastAsia" w:ascii="宋体" w:hAnsi="宋体" w:eastAsia="宋体" w:cs="宋体"/>
              <w:szCs w:val="24"/>
            </w:rPr>
            <w:fldChar w:fldCharType="end"/>
          </w:r>
        </w:p>
        <w:p>
          <w:pPr>
            <w:pStyle w:val="13"/>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_Toc4628 </w:instrText>
          </w:r>
          <w:r>
            <w:rPr>
              <w:rFonts w:hint="eastAsia" w:ascii="宋体" w:hAnsi="宋体" w:eastAsia="宋体" w:cs="宋体"/>
              <w:szCs w:val="24"/>
            </w:rPr>
            <w:fldChar w:fldCharType="separate"/>
          </w:r>
          <w:r>
            <w:rPr>
              <w:rFonts w:hint="eastAsia" w:ascii="黑体" w:hAnsi="黑体" w:eastAsia="黑体" w:cs="黑体"/>
              <w:highlight w:val="none"/>
              <w:lang w:eastAsia="zh-CN"/>
            </w:rPr>
            <w:t>第</w:t>
          </w:r>
          <w:r>
            <w:rPr>
              <w:rFonts w:hint="eastAsia" w:ascii="黑体" w:hAnsi="黑体" w:eastAsia="黑体" w:cs="黑体"/>
              <w:highlight w:val="none"/>
              <w:lang w:val="en-US" w:eastAsia="zh-CN"/>
            </w:rPr>
            <w:t>三</w:t>
          </w:r>
          <w:r>
            <w:rPr>
              <w:rFonts w:hint="eastAsia" w:ascii="黑体" w:hAnsi="黑体" w:eastAsia="黑体" w:cs="黑体"/>
              <w:highlight w:val="none"/>
              <w:lang w:eastAsia="zh-CN"/>
            </w:rPr>
            <w:t>节</w:t>
          </w:r>
          <w:r>
            <w:rPr>
              <w:rFonts w:hint="eastAsia" w:ascii="黑体" w:hAnsi="黑体" w:eastAsia="黑体" w:cs="黑体"/>
              <w:highlight w:val="none"/>
              <w:lang w:val="en-US" w:eastAsia="zh-CN"/>
            </w:rPr>
            <w:t xml:space="preserve"> </w:t>
          </w:r>
          <w:r>
            <w:rPr>
              <w:rFonts w:hint="eastAsia" w:ascii="黑体" w:hAnsi="黑体" w:eastAsia="黑体" w:cs="黑体"/>
              <w:highlight w:val="none"/>
              <w:lang w:eastAsia="zh-CN"/>
            </w:rPr>
            <w:t>提高资源节约集约与综合利用水平</w:t>
          </w:r>
          <w:r>
            <w:tab/>
          </w:r>
          <w:r>
            <w:fldChar w:fldCharType="begin"/>
          </w:r>
          <w:r>
            <w:instrText xml:space="preserve"> PAGEREF _Toc4628 \h </w:instrText>
          </w:r>
          <w:r>
            <w:fldChar w:fldCharType="separate"/>
          </w:r>
          <w:r>
            <w:t>15</w:t>
          </w:r>
          <w:r>
            <w:fldChar w:fldCharType="end"/>
          </w:r>
          <w:r>
            <w:rPr>
              <w:rFonts w:hint="eastAsia" w:ascii="宋体" w:hAnsi="宋体" w:eastAsia="宋体" w:cs="宋体"/>
              <w:szCs w:val="24"/>
            </w:rPr>
            <w:fldChar w:fldCharType="end"/>
          </w:r>
        </w:p>
        <w:p>
          <w:pPr>
            <w:pStyle w:val="13"/>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_Toc12702 </w:instrText>
          </w:r>
          <w:r>
            <w:rPr>
              <w:rFonts w:hint="eastAsia" w:ascii="宋体" w:hAnsi="宋体" w:eastAsia="宋体" w:cs="宋体"/>
              <w:szCs w:val="24"/>
            </w:rPr>
            <w:fldChar w:fldCharType="separate"/>
          </w:r>
          <w:r>
            <w:rPr>
              <w:rFonts w:hint="eastAsia" w:ascii="黑体" w:hAnsi="黑体" w:eastAsia="黑体" w:cs="黑体"/>
              <w:highlight w:val="none"/>
              <w:lang w:eastAsia="zh-CN"/>
            </w:rPr>
            <w:t>第</w:t>
          </w:r>
          <w:r>
            <w:rPr>
              <w:rFonts w:hint="eastAsia" w:ascii="黑体" w:hAnsi="黑体" w:eastAsia="黑体" w:cs="黑体"/>
              <w:highlight w:val="none"/>
              <w:lang w:val="en-US" w:eastAsia="zh-CN"/>
            </w:rPr>
            <w:t>四</w:t>
          </w:r>
          <w:r>
            <w:rPr>
              <w:rFonts w:hint="eastAsia" w:ascii="黑体" w:hAnsi="黑体" w:eastAsia="黑体" w:cs="黑体"/>
              <w:highlight w:val="none"/>
              <w:lang w:eastAsia="zh-CN"/>
            </w:rPr>
            <w:t>节</w:t>
          </w:r>
          <w:r>
            <w:rPr>
              <w:rFonts w:hint="eastAsia" w:ascii="黑体" w:hAnsi="黑体" w:eastAsia="黑体" w:cs="黑体"/>
              <w:highlight w:val="none"/>
              <w:lang w:val="en-US" w:eastAsia="zh-CN"/>
            </w:rPr>
            <w:t xml:space="preserve"> </w:t>
          </w:r>
          <w:r>
            <w:rPr>
              <w:rFonts w:hint="eastAsia" w:ascii="黑体" w:hAnsi="黑体" w:eastAsia="黑体" w:cs="黑体"/>
              <w:highlight w:val="none"/>
              <w:lang w:eastAsia="zh-CN"/>
            </w:rPr>
            <w:t>矿产资源</w:t>
          </w:r>
          <w:r>
            <w:rPr>
              <w:rFonts w:hint="eastAsia" w:ascii="黑体" w:hAnsi="黑体" w:eastAsia="黑体" w:cs="黑体"/>
              <w:highlight w:val="none"/>
              <w:lang w:val="en-US" w:eastAsia="zh-CN"/>
            </w:rPr>
            <w:t>开发</w:t>
          </w:r>
          <w:r>
            <w:rPr>
              <w:rFonts w:hint="eastAsia" w:ascii="黑体" w:hAnsi="黑体" w:eastAsia="黑体" w:cs="黑体"/>
              <w:highlight w:val="none"/>
              <w:lang w:eastAsia="zh-CN"/>
            </w:rPr>
            <w:t>管理</w:t>
          </w:r>
          <w:r>
            <w:tab/>
          </w:r>
          <w:r>
            <w:fldChar w:fldCharType="begin"/>
          </w:r>
          <w:r>
            <w:instrText xml:space="preserve"> PAGEREF _Toc12702 \h </w:instrText>
          </w:r>
          <w:r>
            <w:fldChar w:fldCharType="separate"/>
          </w:r>
          <w:r>
            <w:t>15</w:t>
          </w:r>
          <w:r>
            <w:fldChar w:fldCharType="end"/>
          </w:r>
          <w:r>
            <w:rPr>
              <w:rFonts w:hint="eastAsia" w:ascii="宋体" w:hAnsi="宋体" w:eastAsia="宋体" w:cs="宋体"/>
              <w:szCs w:val="24"/>
            </w:rPr>
            <w:fldChar w:fldCharType="end"/>
          </w:r>
        </w:p>
        <w:p>
          <w:pPr>
            <w:pStyle w:val="11"/>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_Toc6854 </w:instrText>
          </w:r>
          <w:r>
            <w:rPr>
              <w:rFonts w:hint="eastAsia" w:ascii="宋体" w:hAnsi="宋体" w:eastAsia="宋体" w:cs="宋体"/>
              <w:szCs w:val="24"/>
            </w:rPr>
            <w:fldChar w:fldCharType="separate"/>
          </w:r>
          <w:r>
            <w:rPr>
              <w:rFonts w:hint="eastAsia" w:ascii="宋体" w:hAnsi="宋体" w:eastAsia="宋体"/>
              <w:highlight w:val="none"/>
              <w:lang w:eastAsia="zh-CN"/>
            </w:rPr>
            <w:t>第六章</w:t>
          </w:r>
          <w:r>
            <w:rPr>
              <w:rFonts w:hint="eastAsia" w:ascii="宋体" w:hAnsi="宋体" w:eastAsia="宋体"/>
              <w:highlight w:val="none"/>
              <w:lang w:val="en-US" w:eastAsia="zh-CN"/>
            </w:rPr>
            <w:t xml:space="preserve"> </w:t>
          </w:r>
          <w:r>
            <w:rPr>
              <w:rFonts w:hint="eastAsia" w:ascii="宋体" w:hAnsi="宋体" w:eastAsia="宋体"/>
              <w:highlight w:val="none"/>
              <w:lang w:eastAsia="zh-CN"/>
            </w:rPr>
            <w:t>砂石土类矿产资源开发</w:t>
          </w:r>
          <w:r>
            <w:tab/>
          </w:r>
          <w:r>
            <w:fldChar w:fldCharType="begin"/>
          </w:r>
          <w:r>
            <w:instrText xml:space="preserve"> PAGEREF _Toc6854 \h </w:instrText>
          </w:r>
          <w:r>
            <w:fldChar w:fldCharType="separate"/>
          </w:r>
          <w:r>
            <w:t>18</w:t>
          </w:r>
          <w:r>
            <w:fldChar w:fldCharType="end"/>
          </w:r>
          <w:r>
            <w:rPr>
              <w:rFonts w:hint="eastAsia" w:ascii="宋体" w:hAnsi="宋体" w:eastAsia="宋体" w:cs="宋体"/>
              <w:szCs w:val="24"/>
            </w:rPr>
            <w:fldChar w:fldCharType="end"/>
          </w:r>
        </w:p>
        <w:p>
          <w:pPr>
            <w:pStyle w:val="13"/>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_Toc20904 </w:instrText>
          </w:r>
          <w:r>
            <w:rPr>
              <w:rFonts w:hint="eastAsia" w:ascii="宋体" w:hAnsi="宋体" w:eastAsia="宋体" w:cs="宋体"/>
              <w:szCs w:val="24"/>
            </w:rPr>
            <w:fldChar w:fldCharType="separate"/>
          </w:r>
          <w:r>
            <w:rPr>
              <w:rFonts w:hint="eastAsia" w:ascii="黑体" w:hAnsi="黑体" w:eastAsia="黑体" w:cs="黑体"/>
              <w:highlight w:val="none"/>
              <w:lang w:eastAsia="zh-CN"/>
            </w:rPr>
            <w:t>第一节 合理调控开采总量</w:t>
          </w:r>
          <w:r>
            <w:tab/>
          </w:r>
          <w:r>
            <w:fldChar w:fldCharType="begin"/>
          </w:r>
          <w:r>
            <w:instrText xml:space="preserve"> PAGEREF _Toc20904 \h </w:instrText>
          </w:r>
          <w:r>
            <w:fldChar w:fldCharType="separate"/>
          </w:r>
          <w:r>
            <w:t>18</w:t>
          </w:r>
          <w:r>
            <w:fldChar w:fldCharType="end"/>
          </w:r>
          <w:r>
            <w:rPr>
              <w:rFonts w:hint="eastAsia" w:ascii="宋体" w:hAnsi="宋体" w:eastAsia="宋体" w:cs="宋体"/>
              <w:szCs w:val="24"/>
            </w:rPr>
            <w:fldChar w:fldCharType="end"/>
          </w:r>
        </w:p>
        <w:p>
          <w:pPr>
            <w:pStyle w:val="13"/>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_Toc14558 </w:instrText>
          </w:r>
          <w:r>
            <w:rPr>
              <w:rFonts w:hint="eastAsia" w:ascii="宋体" w:hAnsi="宋体" w:eastAsia="宋体" w:cs="宋体"/>
              <w:szCs w:val="24"/>
            </w:rPr>
            <w:fldChar w:fldCharType="separate"/>
          </w:r>
          <w:r>
            <w:rPr>
              <w:rFonts w:hint="eastAsia" w:ascii="黑体" w:hAnsi="黑体" w:eastAsia="黑体" w:cs="黑体"/>
              <w:highlight w:val="none"/>
              <w:lang w:eastAsia="zh-CN"/>
            </w:rPr>
            <w:t>第二节 优化资源开采布局</w:t>
          </w:r>
          <w:r>
            <w:tab/>
          </w:r>
          <w:r>
            <w:fldChar w:fldCharType="begin"/>
          </w:r>
          <w:r>
            <w:instrText xml:space="preserve"> PAGEREF _Toc14558 \h </w:instrText>
          </w:r>
          <w:r>
            <w:fldChar w:fldCharType="separate"/>
          </w:r>
          <w:r>
            <w:t>18</w:t>
          </w:r>
          <w:r>
            <w:fldChar w:fldCharType="end"/>
          </w:r>
          <w:r>
            <w:rPr>
              <w:rFonts w:hint="eastAsia" w:ascii="宋体" w:hAnsi="宋体" w:eastAsia="宋体" w:cs="宋体"/>
              <w:szCs w:val="24"/>
            </w:rPr>
            <w:fldChar w:fldCharType="end"/>
          </w:r>
        </w:p>
        <w:p>
          <w:pPr>
            <w:pStyle w:val="13"/>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_Toc30426 </w:instrText>
          </w:r>
          <w:r>
            <w:rPr>
              <w:rFonts w:hint="eastAsia" w:ascii="宋体" w:hAnsi="宋体" w:eastAsia="宋体" w:cs="宋体"/>
              <w:szCs w:val="24"/>
            </w:rPr>
            <w:fldChar w:fldCharType="separate"/>
          </w:r>
          <w:r>
            <w:rPr>
              <w:rFonts w:hint="eastAsia" w:ascii="黑体" w:hAnsi="黑体" w:eastAsia="黑体" w:cs="黑体"/>
              <w:highlight w:val="none"/>
              <w:lang w:eastAsia="zh-CN"/>
            </w:rPr>
            <w:t>第三节 严格开采规划准入管理</w:t>
          </w:r>
          <w:r>
            <w:tab/>
          </w:r>
          <w:r>
            <w:fldChar w:fldCharType="begin"/>
          </w:r>
          <w:r>
            <w:instrText xml:space="preserve"> PAGEREF _Toc30426 \h </w:instrText>
          </w:r>
          <w:r>
            <w:fldChar w:fldCharType="separate"/>
          </w:r>
          <w:r>
            <w:t>19</w:t>
          </w:r>
          <w:r>
            <w:fldChar w:fldCharType="end"/>
          </w:r>
          <w:r>
            <w:rPr>
              <w:rFonts w:hint="eastAsia" w:ascii="宋体" w:hAnsi="宋体" w:eastAsia="宋体" w:cs="宋体"/>
              <w:szCs w:val="24"/>
            </w:rPr>
            <w:fldChar w:fldCharType="end"/>
          </w:r>
        </w:p>
        <w:p>
          <w:pPr>
            <w:pStyle w:val="11"/>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_Toc23681 </w:instrText>
          </w:r>
          <w:r>
            <w:rPr>
              <w:rFonts w:hint="eastAsia" w:ascii="宋体" w:hAnsi="宋体" w:eastAsia="宋体" w:cs="宋体"/>
              <w:szCs w:val="24"/>
            </w:rPr>
            <w:fldChar w:fldCharType="separate"/>
          </w:r>
          <w:r>
            <w:rPr>
              <w:rFonts w:hint="eastAsia" w:ascii="宋体" w:hAnsi="宋体" w:eastAsia="宋体"/>
              <w:highlight w:val="none"/>
              <w:lang w:eastAsia="zh-CN"/>
            </w:rPr>
            <w:t>第</w:t>
          </w:r>
          <w:r>
            <w:rPr>
              <w:rFonts w:hint="eastAsia" w:ascii="宋体" w:hAnsi="宋体" w:eastAsia="宋体"/>
              <w:highlight w:val="none"/>
              <w:lang w:val="en-US" w:eastAsia="zh-CN"/>
            </w:rPr>
            <w:t>七</w:t>
          </w:r>
          <w:r>
            <w:rPr>
              <w:rFonts w:hint="eastAsia" w:ascii="宋体" w:hAnsi="宋体" w:eastAsia="宋体"/>
              <w:highlight w:val="none"/>
              <w:lang w:eastAsia="zh-CN"/>
            </w:rPr>
            <w:t>章</w:t>
          </w:r>
          <w:r>
            <w:rPr>
              <w:rFonts w:hint="eastAsia" w:ascii="宋体" w:hAnsi="宋体" w:eastAsia="宋体"/>
              <w:highlight w:val="none"/>
              <w:lang w:val="en-US" w:eastAsia="zh-CN"/>
            </w:rPr>
            <w:t xml:space="preserve"> 矿业绿色发展和矿山生态保护修复</w:t>
          </w:r>
          <w:r>
            <w:tab/>
          </w:r>
          <w:r>
            <w:fldChar w:fldCharType="begin"/>
          </w:r>
          <w:r>
            <w:instrText xml:space="preserve"> PAGEREF _Toc23681 \h </w:instrText>
          </w:r>
          <w:r>
            <w:fldChar w:fldCharType="separate"/>
          </w:r>
          <w:r>
            <w:t>20</w:t>
          </w:r>
          <w:r>
            <w:fldChar w:fldCharType="end"/>
          </w:r>
          <w:r>
            <w:rPr>
              <w:rFonts w:hint="eastAsia" w:ascii="宋体" w:hAnsi="宋体" w:eastAsia="宋体" w:cs="宋体"/>
              <w:szCs w:val="24"/>
            </w:rPr>
            <w:fldChar w:fldCharType="end"/>
          </w:r>
        </w:p>
        <w:p>
          <w:pPr>
            <w:pStyle w:val="13"/>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_Toc7527 </w:instrText>
          </w:r>
          <w:r>
            <w:rPr>
              <w:rFonts w:hint="eastAsia" w:ascii="宋体" w:hAnsi="宋体" w:eastAsia="宋体" w:cs="宋体"/>
              <w:szCs w:val="24"/>
            </w:rPr>
            <w:fldChar w:fldCharType="separate"/>
          </w:r>
          <w:r>
            <w:rPr>
              <w:rFonts w:hint="eastAsia" w:ascii="黑体" w:hAnsi="黑体" w:eastAsia="黑体" w:cs="黑体"/>
              <w:highlight w:val="none"/>
              <w:lang w:eastAsia="zh-CN"/>
            </w:rPr>
            <w:t>第一节</w:t>
          </w:r>
          <w:r>
            <w:rPr>
              <w:rFonts w:hint="eastAsia" w:ascii="黑体" w:hAnsi="黑体" w:eastAsia="黑体" w:cs="黑体"/>
              <w:highlight w:val="none"/>
              <w:lang w:val="en-US" w:eastAsia="zh-CN"/>
            </w:rPr>
            <w:t xml:space="preserve"> 绿色矿山建设</w:t>
          </w:r>
          <w:r>
            <w:tab/>
          </w:r>
          <w:r>
            <w:fldChar w:fldCharType="begin"/>
          </w:r>
          <w:r>
            <w:instrText xml:space="preserve"> PAGEREF _Toc7527 \h </w:instrText>
          </w:r>
          <w:r>
            <w:fldChar w:fldCharType="separate"/>
          </w:r>
          <w:r>
            <w:t>20</w:t>
          </w:r>
          <w:r>
            <w:fldChar w:fldCharType="end"/>
          </w:r>
          <w:r>
            <w:rPr>
              <w:rFonts w:hint="eastAsia" w:ascii="宋体" w:hAnsi="宋体" w:eastAsia="宋体" w:cs="宋体"/>
              <w:szCs w:val="24"/>
            </w:rPr>
            <w:fldChar w:fldCharType="end"/>
          </w:r>
        </w:p>
        <w:p>
          <w:pPr>
            <w:pStyle w:val="13"/>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_Toc21269 </w:instrText>
          </w:r>
          <w:r>
            <w:rPr>
              <w:rFonts w:hint="eastAsia" w:ascii="宋体" w:hAnsi="宋体" w:eastAsia="宋体" w:cs="宋体"/>
              <w:szCs w:val="24"/>
            </w:rPr>
            <w:fldChar w:fldCharType="separate"/>
          </w:r>
          <w:r>
            <w:rPr>
              <w:rFonts w:hint="eastAsia" w:ascii="黑体" w:hAnsi="黑体" w:eastAsia="黑体" w:cs="黑体"/>
              <w:highlight w:val="none"/>
              <w:lang w:eastAsia="zh-CN"/>
            </w:rPr>
            <w:t>第</w:t>
          </w:r>
          <w:r>
            <w:rPr>
              <w:rFonts w:hint="eastAsia" w:ascii="黑体" w:hAnsi="黑体" w:eastAsia="黑体" w:cs="黑体"/>
              <w:highlight w:val="none"/>
              <w:lang w:val="en-US" w:eastAsia="zh-CN"/>
            </w:rPr>
            <w:t>二</w:t>
          </w:r>
          <w:r>
            <w:rPr>
              <w:rFonts w:hint="eastAsia" w:ascii="黑体" w:hAnsi="黑体" w:eastAsia="黑体" w:cs="黑体"/>
              <w:highlight w:val="none"/>
              <w:lang w:eastAsia="zh-CN"/>
            </w:rPr>
            <w:t>节</w:t>
          </w:r>
          <w:r>
            <w:rPr>
              <w:rFonts w:hint="eastAsia" w:ascii="黑体" w:hAnsi="黑体" w:eastAsia="黑体" w:cs="黑体"/>
              <w:highlight w:val="none"/>
              <w:lang w:val="en-US" w:eastAsia="zh-CN"/>
            </w:rPr>
            <w:t xml:space="preserve"> </w:t>
          </w:r>
          <w:r>
            <w:rPr>
              <w:rFonts w:hint="eastAsia" w:ascii="黑体" w:hAnsi="黑体" w:eastAsia="黑体" w:cs="黑体"/>
              <w:highlight w:val="none"/>
              <w:lang w:eastAsia="zh-CN"/>
            </w:rPr>
            <w:t>矿</w:t>
          </w:r>
          <w:r>
            <w:rPr>
              <w:rFonts w:hint="eastAsia" w:ascii="黑体" w:hAnsi="黑体" w:eastAsia="黑体" w:cs="黑体"/>
              <w:highlight w:val="none"/>
              <w:lang w:val="en-US" w:eastAsia="zh-CN"/>
            </w:rPr>
            <w:t>山</w:t>
          </w:r>
          <w:r>
            <w:rPr>
              <w:rFonts w:hint="eastAsia" w:ascii="黑体" w:hAnsi="黑体" w:eastAsia="黑体" w:cs="黑体"/>
              <w:highlight w:val="none"/>
              <w:lang w:eastAsia="zh-CN"/>
            </w:rPr>
            <w:t>生态保护修复</w:t>
          </w:r>
          <w:r>
            <w:tab/>
          </w:r>
          <w:r>
            <w:fldChar w:fldCharType="begin"/>
          </w:r>
          <w:r>
            <w:instrText xml:space="preserve"> PAGEREF _Toc21269 \h </w:instrText>
          </w:r>
          <w:r>
            <w:fldChar w:fldCharType="separate"/>
          </w:r>
          <w:r>
            <w:t>20</w:t>
          </w:r>
          <w:r>
            <w:fldChar w:fldCharType="end"/>
          </w:r>
          <w:r>
            <w:rPr>
              <w:rFonts w:hint="eastAsia" w:ascii="宋体" w:hAnsi="宋体" w:eastAsia="宋体" w:cs="宋体"/>
              <w:szCs w:val="24"/>
            </w:rPr>
            <w:fldChar w:fldCharType="end"/>
          </w:r>
        </w:p>
        <w:p>
          <w:pPr>
            <w:pStyle w:val="11"/>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_Toc7965 </w:instrText>
          </w:r>
          <w:r>
            <w:rPr>
              <w:rFonts w:hint="eastAsia" w:ascii="宋体" w:hAnsi="宋体" w:eastAsia="宋体" w:cs="宋体"/>
              <w:szCs w:val="24"/>
            </w:rPr>
            <w:fldChar w:fldCharType="separate"/>
          </w:r>
          <w:r>
            <w:rPr>
              <w:rFonts w:hint="eastAsia" w:ascii="宋体" w:hAnsi="宋体" w:eastAsia="宋体"/>
              <w:highlight w:val="none"/>
              <w:lang w:eastAsia="zh-CN"/>
            </w:rPr>
            <w:t>第</w:t>
          </w:r>
          <w:r>
            <w:rPr>
              <w:rFonts w:hint="eastAsia" w:ascii="宋体" w:hAnsi="宋体" w:eastAsia="宋体"/>
              <w:highlight w:val="none"/>
              <w:lang w:val="en-US" w:eastAsia="zh-CN"/>
            </w:rPr>
            <w:t>八</w:t>
          </w:r>
          <w:r>
            <w:rPr>
              <w:rFonts w:hint="eastAsia" w:ascii="宋体" w:hAnsi="宋体" w:eastAsia="宋体"/>
              <w:highlight w:val="none"/>
              <w:lang w:eastAsia="zh-CN"/>
            </w:rPr>
            <w:t>章 规划实施与管理</w:t>
          </w:r>
          <w:r>
            <w:tab/>
          </w:r>
          <w:r>
            <w:fldChar w:fldCharType="begin"/>
          </w:r>
          <w:r>
            <w:instrText xml:space="preserve"> PAGEREF _Toc7965 \h </w:instrText>
          </w:r>
          <w:r>
            <w:fldChar w:fldCharType="separate"/>
          </w:r>
          <w:r>
            <w:t>22</w:t>
          </w:r>
          <w:r>
            <w:fldChar w:fldCharType="end"/>
          </w:r>
          <w:r>
            <w:rPr>
              <w:rFonts w:hint="eastAsia" w:ascii="宋体" w:hAnsi="宋体" w:eastAsia="宋体" w:cs="宋体"/>
              <w:szCs w:val="24"/>
            </w:rPr>
            <w:fldChar w:fldCharType="end"/>
          </w:r>
        </w:p>
        <w:p>
          <w:pPr>
            <w:pStyle w:val="13"/>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_Toc12610 </w:instrText>
          </w:r>
          <w:r>
            <w:rPr>
              <w:rFonts w:hint="eastAsia" w:ascii="宋体" w:hAnsi="宋体" w:eastAsia="宋体" w:cs="宋体"/>
              <w:szCs w:val="24"/>
            </w:rPr>
            <w:fldChar w:fldCharType="separate"/>
          </w:r>
          <w:r>
            <w:rPr>
              <w:rFonts w:hint="eastAsia" w:ascii="黑体" w:hAnsi="黑体" w:eastAsia="黑体" w:cs="黑体"/>
              <w:highlight w:val="none"/>
              <w:lang w:val="en-US" w:eastAsia="zh-CN"/>
            </w:rPr>
            <w:t>第一节 加强组织领导</w:t>
          </w:r>
          <w:r>
            <w:tab/>
          </w:r>
          <w:r>
            <w:fldChar w:fldCharType="begin"/>
          </w:r>
          <w:r>
            <w:instrText xml:space="preserve"> PAGEREF _Toc12610 \h </w:instrText>
          </w:r>
          <w:r>
            <w:fldChar w:fldCharType="separate"/>
          </w:r>
          <w:r>
            <w:t>22</w:t>
          </w:r>
          <w:r>
            <w:fldChar w:fldCharType="end"/>
          </w:r>
          <w:r>
            <w:rPr>
              <w:rFonts w:hint="eastAsia" w:ascii="宋体" w:hAnsi="宋体" w:eastAsia="宋体" w:cs="宋体"/>
              <w:szCs w:val="24"/>
            </w:rPr>
            <w:fldChar w:fldCharType="end"/>
          </w:r>
        </w:p>
        <w:p>
          <w:pPr>
            <w:pStyle w:val="13"/>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_Toc8135 </w:instrText>
          </w:r>
          <w:r>
            <w:rPr>
              <w:rFonts w:hint="eastAsia" w:ascii="宋体" w:hAnsi="宋体" w:eastAsia="宋体" w:cs="宋体"/>
              <w:szCs w:val="24"/>
            </w:rPr>
            <w:fldChar w:fldCharType="separate"/>
          </w:r>
          <w:r>
            <w:rPr>
              <w:rFonts w:hint="eastAsia" w:ascii="黑体" w:hAnsi="黑体" w:eastAsia="黑体" w:cs="黑体"/>
              <w:highlight w:val="none"/>
              <w:lang w:val="en-US" w:eastAsia="zh-CN"/>
            </w:rPr>
            <w:t>第二节 强化政策支持</w:t>
          </w:r>
          <w:r>
            <w:tab/>
          </w:r>
          <w:r>
            <w:fldChar w:fldCharType="begin"/>
          </w:r>
          <w:r>
            <w:instrText xml:space="preserve"> PAGEREF _Toc8135 \h </w:instrText>
          </w:r>
          <w:r>
            <w:fldChar w:fldCharType="separate"/>
          </w:r>
          <w:r>
            <w:t>22</w:t>
          </w:r>
          <w:r>
            <w:fldChar w:fldCharType="end"/>
          </w:r>
          <w:r>
            <w:rPr>
              <w:rFonts w:hint="eastAsia" w:ascii="宋体" w:hAnsi="宋体" w:eastAsia="宋体" w:cs="宋体"/>
              <w:szCs w:val="24"/>
            </w:rPr>
            <w:fldChar w:fldCharType="end"/>
          </w:r>
        </w:p>
        <w:p>
          <w:pPr>
            <w:pStyle w:val="13"/>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_Toc3655 </w:instrText>
          </w:r>
          <w:r>
            <w:rPr>
              <w:rFonts w:hint="eastAsia" w:ascii="宋体" w:hAnsi="宋体" w:eastAsia="宋体" w:cs="宋体"/>
              <w:szCs w:val="24"/>
            </w:rPr>
            <w:fldChar w:fldCharType="separate"/>
          </w:r>
          <w:r>
            <w:rPr>
              <w:rFonts w:hint="eastAsia" w:ascii="黑体" w:hAnsi="黑体" w:eastAsia="黑体" w:cs="黑体"/>
              <w:highlight w:val="none"/>
              <w:lang w:val="en-US" w:eastAsia="zh-CN"/>
            </w:rPr>
            <w:t>第三节 注重实施监管</w:t>
          </w:r>
          <w:r>
            <w:tab/>
          </w:r>
          <w:r>
            <w:fldChar w:fldCharType="begin"/>
          </w:r>
          <w:r>
            <w:instrText xml:space="preserve"> PAGEREF _Toc3655 \h </w:instrText>
          </w:r>
          <w:r>
            <w:fldChar w:fldCharType="separate"/>
          </w:r>
          <w:r>
            <w:t>22</w:t>
          </w:r>
          <w:r>
            <w:fldChar w:fldCharType="end"/>
          </w:r>
          <w:r>
            <w:rPr>
              <w:rFonts w:hint="eastAsia" w:ascii="宋体" w:hAnsi="宋体" w:eastAsia="宋体" w:cs="宋体"/>
              <w:szCs w:val="24"/>
            </w:rPr>
            <w:fldChar w:fldCharType="end"/>
          </w:r>
        </w:p>
        <w:p>
          <w:pPr>
            <w:pStyle w:val="13"/>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_Toc22985 </w:instrText>
          </w:r>
          <w:r>
            <w:rPr>
              <w:rFonts w:hint="eastAsia" w:ascii="宋体" w:hAnsi="宋体" w:eastAsia="宋体" w:cs="宋体"/>
              <w:szCs w:val="24"/>
            </w:rPr>
            <w:fldChar w:fldCharType="separate"/>
          </w:r>
          <w:r>
            <w:rPr>
              <w:rFonts w:hint="eastAsia" w:ascii="黑体" w:hAnsi="黑体" w:eastAsia="黑体" w:cs="黑体"/>
              <w:highlight w:val="none"/>
              <w:lang w:val="en-US" w:eastAsia="zh-CN"/>
            </w:rPr>
            <w:t>第四节 加强规划信息系统建设</w:t>
          </w:r>
          <w:r>
            <w:tab/>
          </w:r>
          <w:r>
            <w:fldChar w:fldCharType="begin"/>
          </w:r>
          <w:r>
            <w:instrText xml:space="preserve"> PAGEREF _Toc22985 \h </w:instrText>
          </w:r>
          <w:r>
            <w:fldChar w:fldCharType="separate"/>
          </w:r>
          <w:r>
            <w:t>23</w:t>
          </w:r>
          <w:r>
            <w:fldChar w:fldCharType="end"/>
          </w:r>
          <w:r>
            <w:rPr>
              <w:rFonts w:hint="eastAsia" w:ascii="宋体" w:hAnsi="宋体" w:eastAsia="宋体" w:cs="宋体"/>
              <w:szCs w:val="24"/>
            </w:rPr>
            <w:fldChar w:fldCharType="end"/>
          </w:r>
        </w:p>
        <w:p>
          <w:pPr>
            <w:pStyle w:val="13"/>
            <w:tabs>
              <w:tab w:val="right" w:leader="dot" w:pos="8306"/>
            </w:tabs>
          </w:pPr>
          <w:r>
            <w:rPr>
              <w:rFonts w:hint="eastAsia" w:ascii="宋体" w:hAnsi="宋体" w:eastAsia="宋体" w:cs="宋体"/>
              <w:szCs w:val="24"/>
            </w:rPr>
            <w:fldChar w:fldCharType="begin"/>
          </w:r>
          <w:r>
            <w:rPr>
              <w:rFonts w:hint="eastAsia" w:ascii="宋体" w:hAnsi="宋体" w:eastAsia="宋体" w:cs="宋体"/>
              <w:szCs w:val="24"/>
            </w:rPr>
            <w:instrText xml:space="preserve"> HYPERLINK \l _Toc8879 </w:instrText>
          </w:r>
          <w:r>
            <w:rPr>
              <w:rFonts w:hint="eastAsia" w:ascii="宋体" w:hAnsi="宋体" w:eastAsia="宋体" w:cs="宋体"/>
              <w:szCs w:val="24"/>
            </w:rPr>
            <w:fldChar w:fldCharType="separate"/>
          </w:r>
          <w:r>
            <w:rPr>
              <w:rFonts w:hint="eastAsia" w:ascii="黑体" w:hAnsi="黑体" w:eastAsia="黑体" w:cs="黑体"/>
              <w:highlight w:val="none"/>
              <w:lang w:val="en-US" w:eastAsia="zh-CN"/>
            </w:rPr>
            <w:t>第五节 加大宣传培训</w:t>
          </w:r>
          <w:r>
            <w:tab/>
          </w:r>
          <w:r>
            <w:fldChar w:fldCharType="begin"/>
          </w:r>
          <w:r>
            <w:instrText xml:space="preserve"> PAGEREF _Toc8879 \h </w:instrText>
          </w:r>
          <w:r>
            <w:fldChar w:fldCharType="separate"/>
          </w:r>
          <w:r>
            <w:t>23</w:t>
          </w:r>
          <w:r>
            <w:fldChar w:fldCharType="end"/>
          </w:r>
          <w:r>
            <w:rPr>
              <w:rFonts w:hint="eastAsia" w:ascii="宋体" w:hAnsi="宋体" w:eastAsia="宋体" w:cs="宋体"/>
              <w:szCs w:val="24"/>
            </w:rPr>
            <w:fldChar w:fldCharType="end"/>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rPr>
          </w:pPr>
          <w:r>
            <w:rPr>
              <w:rFonts w:hint="eastAsia" w:ascii="宋体" w:hAnsi="宋体" w:eastAsia="宋体" w:cs="宋体"/>
              <w:szCs w:val="24"/>
            </w:rPr>
            <w:fldChar w:fldCharType="end"/>
          </w:r>
        </w:p>
      </w:sdtContent>
    </w:sdt>
    <w:p>
      <w:pPr>
        <w:pStyle w:val="3"/>
        <w:pageBreakBefore w:val="0"/>
        <w:kinsoku/>
        <w:wordWrap/>
        <w:overflowPunct/>
        <w:topLinePunct w:val="0"/>
        <w:bidi w:val="0"/>
        <w:adjustRightInd w:val="0"/>
        <w:snapToGrid w:val="0"/>
        <w:spacing w:beforeLines="0" w:afterLines="0" w:line="360" w:lineRule="auto"/>
        <w:rPr>
          <w:rFonts w:hint="eastAsia" w:ascii="宋体" w:hAnsi="宋体" w:eastAsia="宋体"/>
          <w:color w:val="auto"/>
          <w:highlight w:val="none"/>
          <w:lang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pageBreakBefore w:val="0"/>
        <w:kinsoku/>
        <w:wordWrap/>
        <w:overflowPunct/>
        <w:topLinePunct w:val="0"/>
        <w:bidi w:val="0"/>
        <w:adjustRightInd w:val="0"/>
        <w:snapToGrid w:val="0"/>
        <w:spacing w:beforeLines="0" w:afterLines="0" w:line="360" w:lineRule="auto"/>
        <w:jc w:val="center"/>
        <w:outlineLvl w:val="9"/>
        <w:rPr>
          <w:rFonts w:hint="eastAsia" w:ascii="宋体" w:hAnsi="宋体" w:eastAsia="宋体"/>
          <w:b/>
          <w:bCs/>
          <w:color w:val="auto"/>
          <w:sz w:val="36"/>
          <w:szCs w:val="36"/>
          <w:highlight w:val="none"/>
          <w:lang w:eastAsia="zh-CN"/>
        </w:rPr>
      </w:pPr>
      <w:r>
        <w:rPr>
          <w:rFonts w:hint="eastAsia" w:ascii="宋体" w:hAnsi="宋体" w:eastAsia="宋体"/>
          <w:b/>
          <w:bCs/>
          <w:color w:val="auto"/>
          <w:sz w:val="36"/>
          <w:szCs w:val="36"/>
          <w:highlight w:val="none"/>
          <w:lang w:eastAsia="zh-CN"/>
        </w:rPr>
        <w:t>总</w:t>
      </w:r>
      <w:r>
        <w:rPr>
          <w:rFonts w:hint="eastAsia" w:ascii="宋体" w:hAnsi="宋体" w:eastAsia="宋体"/>
          <w:b/>
          <w:bCs/>
          <w:color w:val="auto"/>
          <w:sz w:val="36"/>
          <w:szCs w:val="36"/>
          <w:highlight w:val="none"/>
          <w:lang w:val="en-US" w:eastAsia="zh-CN"/>
        </w:rPr>
        <w:t xml:space="preserve"> </w:t>
      </w:r>
      <w:r>
        <w:rPr>
          <w:rFonts w:hint="eastAsia" w:ascii="宋体" w:hAnsi="宋体" w:eastAsia="宋体"/>
          <w:b/>
          <w:bCs/>
          <w:color w:val="auto"/>
          <w:sz w:val="36"/>
          <w:szCs w:val="36"/>
          <w:highlight w:val="none"/>
          <w:lang w:eastAsia="zh-CN"/>
        </w:rPr>
        <w:t>则</w:t>
      </w:r>
    </w:p>
    <w:p>
      <w:pPr>
        <w:pageBreakBefore w:val="0"/>
        <w:kinsoku/>
        <w:wordWrap/>
        <w:overflowPunct/>
        <w:topLinePunct w:val="0"/>
        <w:bidi w:val="0"/>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p>
    <w:p>
      <w:pPr>
        <w:pageBreakBefore w:val="0"/>
        <w:kinsoku/>
        <w:wordWrap/>
        <w:overflowPunct/>
        <w:topLinePunct w:val="0"/>
        <w:bidi w:val="0"/>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十四五</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是</w:t>
      </w:r>
      <w:r>
        <w:rPr>
          <w:rFonts w:hint="eastAsia" w:ascii="仿宋_GB2312" w:hAnsi="宋体" w:eastAsia="仿宋_GB2312" w:cs="宋体"/>
          <w:color w:val="auto"/>
          <w:kern w:val="0"/>
          <w:sz w:val="28"/>
          <w:szCs w:val="28"/>
          <w:highlight w:val="none"/>
          <w:lang w:eastAsia="zh-CN"/>
        </w:rPr>
        <w:t>开启全面建设社会主义现代化西峡新征程的关键时期，</w:t>
      </w:r>
      <w:r>
        <w:rPr>
          <w:rFonts w:hint="eastAsia" w:ascii="仿宋_GB2312" w:hAnsi="宋体" w:eastAsia="仿宋_GB2312" w:cs="宋体"/>
          <w:color w:val="auto"/>
          <w:kern w:val="0"/>
          <w:sz w:val="28"/>
          <w:szCs w:val="28"/>
          <w:highlight w:val="none"/>
        </w:rPr>
        <w:t>为科学合理的开发利用西峡县矿产资源，</w:t>
      </w:r>
      <w:r>
        <w:rPr>
          <w:rFonts w:hint="eastAsia" w:ascii="仿宋_GB2312" w:hAnsi="宋体" w:eastAsia="仿宋_GB2312" w:cs="宋体"/>
          <w:color w:val="auto"/>
          <w:kern w:val="0"/>
          <w:sz w:val="28"/>
          <w:szCs w:val="28"/>
          <w:highlight w:val="none"/>
          <w:lang w:eastAsia="zh-CN"/>
        </w:rPr>
        <w:t>超前</w:t>
      </w:r>
      <w:r>
        <w:rPr>
          <w:rFonts w:hint="eastAsia" w:ascii="仿宋_GB2312" w:eastAsia="仿宋_GB2312"/>
          <w:color w:val="auto"/>
          <w:sz w:val="28"/>
          <w:szCs w:val="28"/>
          <w:highlight w:val="none"/>
        </w:rPr>
        <w:t>谋划部署勘查、开发</w:t>
      </w:r>
      <w:r>
        <w:rPr>
          <w:rFonts w:hint="eastAsia" w:ascii="仿宋_GB2312" w:eastAsia="仿宋_GB2312"/>
          <w:color w:val="auto"/>
          <w:sz w:val="28"/>
          <w:szCs w:val="28"/>
          <w:highlight w:val="none"/>
          <w:lang w:eastAsia="zh-CN"/>
        </w:rPr>
        <w:t>利用和保护</w:t>
      </w:r>
      <w:r>
        <w:rPr>
          <w:rFonts w:hint="eastAsia" w:ascii="仿宋_GB2312" w:eastAsia="仿宋_GB2312"/>
          <w:color w:val="auto"/>
          <w:sz w:val="28"/>
          <w:szCs w:val="28"/>
          <w:highlight w:val="none"/>
        </w:rPr>
        <w:t>工作</w:t>
      </w:r>
      <w:r>
        <w:rPr>
          <w:rFonts w:hint="eastAsia" w:ascii="仿宋_GB2312" w:eastAsia="仿宋_GB2312"/>
          <w:color w:val="auto"/>
          <w:sz w:val="28"/>
          <w:szCs w:val="28"/>
          <w:highlight w:val="none"/>
          <w:lang w:eastAsia="zh-CN"/>
        </w:rPr>
        <w:t>，促进矿业经济持续健康发展，</w:t>
      </w:r>
      <w:r>
        <w:rPr>
          <w:rFonts w:hint="eastAsia" w:ascii="仿宋_GB2312" w:hAnsi="宋体" w:eastAsia="仿宋_GB2312" w:cs="宋体"/>
          <w:color w:val="auto"/>
          <w:kern w:val="0"/>
          <w:sz w:val="28"/>
          <w:szCs w:val="28"/>
          <w:highlight w:val="none"/>
        </w:rPr>
        <w:t>依据《中华人民共和国矿产资源法》及其配套法规和《河南省矿产资源总体规划（</w:t>
      </w:r>
      <w:r>
        <w:rPr>
          <w:rFonts w:hint="eastAsia" w:ascii="仿宋_GB2312" w:hAnsi="宋体" w:eastAsia="仿宋_GB2312" w:cs="宋体"/>
          <w:color w:val="auto"/>
          <w:kern w:val="0"/>
          <w:sz w:val="28"/>
          <w:szCs w:val="28"/>
          <w:highlight w:val="none"/>
          <w:lang w:eastAsia="zh-CN"/>
        </w:rPr>
        <w:t>2021-2025年</w:t>
      </w:r>
      <w:r>
        <w:rPr>
          <w:rFonts w:hint="eastAsia" w:ascii="仿宋_GB2312" w:hAnsi="宋体" w:eastAsia="仿宋_GB2312" w:cs="宋体"/>
          <w:color w:val="auto"/>
          <w:kern w:val="0"/>
          <w:sz w:val="28"/>
          <w:szCs w:val="28"/>
          <w:highlight w:val="none"/>
        </w:rPr>
        <w:t>）》、《南阳市矿产资源总体规划（</w:t>
      </w:r>
      <w:r>
        <w:rPr>
          <w:rFonts w:hint="eastAsia" w:ascii="仿宋_GB2312" w:hAnsi="宋体" w:eastAsia="仿宋_GB2312" w:cs="宋体"/>
          <w:color w:val="auto"/>
          <w:kern w:val="0"/>
          <w:sz w:val="28"/>
          <w:szCs w:val="28"/>
          <w:highlight w:val="none"/>
          <w:lang w:eastAsia="zh-CN"/>
        </w:rPr>
        <w:t>2021-2025年</w:t>
      </w:r>
      <w:r>
        <w:rPr>
          <w:rFonts w:hint="eastAsia" w:ascii="仿宋_GB2312" w:hAnsi="宋体" w:eastAsia="仿宋_GB2312" w:cs="宋体"/>
          <w:color w:val="auto"/>
          <w:kern w:val="0"/>
          <w:sz w:val="28"/>
          <w:szCs w:val="28"/>
          <w:highlight w:val="none"/>
        </w:rPr>
        <w:t>）》、《西峡县国民经济和社会发展第十</w:t>
      </w:r>
      <w:r>
        <w:rPr>
          <w:rFonts w:hint="eastAsia" w:ascii="仿宋_GB2312" w:hAnsi="宋体" w:eastAsia="仿宋_GB2312" w:cs="宋体"/>
          <w:color w:val="auto"/>
          <w:kern w:val="0"/>
          <w:sz w:val="28"/>
          <w:szCs w:val="28"/>
          <w:highlight w:val="none"/>
          <w:lang w:eastAsia="zh-CN"/>
        </w:rPr>
        <w:t>四</w:t>
      </w:r>
      <w:r>
        <w:rPr>
          <w:rFonts w:hint="eastAsia" w:ascii="仿宋_GB2312" w:hAnsi="宋体" w:eastAsia="仿宋_GB2312" w:cs="宋体"/>
          <w:color w:val="auto"/>
          <w:kern w:val="0"/>
          <w:sz w:val="28"/>
          <w:szCs w:val="28"/>
          <w:highlight w:val="none"/>
        </w:rPr>
        <w:t>个五年规划</w:t>
      </w:r>
      <w:r>
        <w:rPr>
          <w:rFonts w:hint="eastAsia" w:ascii="仿宋_GB2312" w:hAnsi="宋体" w:eastAsia="仿宋_GB2312" w:cs="宋体"/>
          <w:color w:val="auto"/>
          <w:kern w:val="0"/>
          <w:sz w:val="28"/>
          <w:szCs w:val="28"/>
          <w:highlight w:val="none"/>
          <w:lang w:eastAsia="zh-CN"/>
        </w:rPr>
        <w:t>和二〇三五年远景目标</w:t>
      </w:r>
      <w:r>
        <w:rPr>
          <w:rFonts w:hint="eastAsia" w:ascii="仿宋_GB2312" w:hAnsi="宋体" w:eastAsia="仿宋_GB2312" w:cs="宋体"/>
          <w:color w:val="auto"/>
          <w:kern w:val="0"/>
          <w:sz w:val="28"/>
          <w:szCs w:val="28"/>
          <w:highlight w:val="none"/>
        </w:rPr>
        <w:t>纲要》部署要求，</w:t>
      </w:r>
      <w:r>
        <w:rPr>
          <w:rFonts w:hint="eastAsia" w:ascii="仿宋_GB2312" w:hAnsi="宋体" w:eastAsia="仿宋_GB2312" w:cs="宋体"/>
          <w:color w:val="auto"/>
          <w:kern w:val="0"/>
          <w:sz w:val="28"/>
          <w:szCs w:val="28"/>
          <w:highlight w:val="none"/>
          <w:lang w:val="en-US" w:eastAsia="zh-CN"/>
        </w:rPr>
        <w:t>制定</w:t>
      </w:r>
      <w:r>
        <w:rPr>
          <w:rFonts w:hint="eastAsia" w:ascii="仿宋_GB2312" w:hAnsi="宋体" w:eastAsia="仿宋_GB2312" w:cs="宋体"/>
          <w:color w:val="auto"/>
          <w:kern w:val="0"/>
          <w:sz w:val="28"/>
          <w:szCs w:val="28"/>
          <w:highlight w:val="none"/>
        </w:rPr>
        <w:t>《西峡县矿产资源总体规划（</w:t>
      </w:r>
      <w:r>
        <w:rPr>
          <w:rFonts w:hint="eastAsia" w:ascii="仿宋_GB2312" w:hAnsi="宋体" w:eastAsia="仿宋_GB2312" w:cs="宋体"/>
          <w:color w:val="auto"/>
          <w:kern w:val="0"/>
          <w:sz w:val="28"/>
          <w:szCs w:val="28"/>
          <w:highlight w:val="none"/>
          <w:lang w:eastAsia="zh-CN"/>
        </w:rPr>
        <w:t>2021-2025年</w:t>
      </w:r>
      <w:r>
        <w:rPr>
          <w:rFonts w:hint="eastAsia" w:ascii="仿宋_GB2312" w:hAnsi="宋体" w:eastAsia="仿宋_GB2312" w:cs="宋体"/>
          <w:color w:val="auto"/>
          <w:kern w:val="0"/>
          <w:sz w:val="28"/>
          <w:szCs w:val="28"/>
          <w:highlight w:val="none"/>
        </w:rPr>
        <w:t>）》（以下简称《规划》）。</w:t>
      </w:r>
    </w:p>
    <w:p>
      <w:pPr>
        <w:pageBreakBefore w:val="0"/>
        <w:kinsoku/>
        <w:wordWrap/>
        <w:overflowPunct/>
        <w:topLinePunct w:val="0"/>
        <w:bidi w:val="0"/>
        <w:adjustRightInd w:val="0"/>
        <w:snapToGrid w:val="0"/>
        <w:spacing w:line="360" w:lineRule="auto"/>
        <w:ind w:firstLine="560" w:firstLineChars="200"/>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《规划》是</w:t>
      </w:r>
      <w:r>
        <w:rPr>
          <w:rFonts w:hint="eastAsia" w:ascii="仿宋_GB2312" w:hAnsi="宋体" w:eastAsia="仿宋_GB2312" w:cs="宋体"/>
          <w:color w:val="auto"/>
          <w:kern w:val="0"/>
          <w:sz w:val="28"/>
          <w:szCs w:val="28"/>
          <w:highlight w:val="none"/>
          <w:lang w:eastAsia="zh-CN"/>
        </w:rPr>
        <w:t>2021-2025年</w:t>
      </w:r>
      <w:r>
        <w:rPr>
          <w:rFonts w:hint="eastAsia" w:ascii="仿宋_GB2312" w:hAnsi="宋体" w:eastAsia="仿宋_GB2312" w:cs="宋体"/>
          <w:color w:val="auto"/>
          <w:kern w:val="0"/>
          <w:sz w:val="28"/>
          <w:szCs w:val="28"/>
          <w:highlight w:val="none"/>
        </w:rPr>
        <w:t>西峡县矿产资源勘查、开发</w:t>
      </w:r>
      <w:r>
        <w:rPr>
          <w:rFonts w:hint="eastAsia" w:ascii="仿宋_GB2312" w:hAnsi="宋体" w:eastAsia="仿宋_GB2312" w:cs="宋体"/>
          <w:color w:val="auto"/>
          <w:kern w:val="0"/>
          <w:sz w:val="28"/>
          <w:szCs w:val="28"/>
          <w:highlight w:val="none"/>
          <w:lang w:eastAsia="zh-CN"/>
        </w:rPr>
        <w:t>利用和保护</w:t>
      </w:r>
      <w:r>
        <w:rPr>
          <w:rFonts w:hint="eastAsia" w:ascii="仿宋_GB2312" w:hAnsi="宋体" w:eastAsia="仿宋_GB2312" w:cs="宋体"/>
          <w:color w:val="auto"/>
          <w:kern w:val="0"/>
          <w:sz w:val="28"/>
          <w:szCs w:val="28"/>
          <w:highlight w:val="none"/>
        </w:rPr>
        <w:t>的指导性文件，是</w:t>
      </w:r>
      <w:r>
        <w:rPr>
          <w:rFonts w:hint="eastAsia" w:ascii="仿宋_GB2312" w:hAnsi="宋体" w:eastAsia="仿宋_GB2312" w:cs="宋体"/>
          <w:color w:val="auto"/>
          <w:kern w:val="0"/>
          <w:sz w:val="28"/>
          <w:szCs w:val="28"/>
          <w:highlight w:val="none"/>
          <w:lang w:eastAsia="zh-CN"/>
        </w:rPr>
        <w:t>自然</w:t>
      </w:r>
      <w:r>
        <w:rPr>
          <w:rFonts w:hint="eastAsia" w:ascii="仿宋_GB2312" w:hAnsi="宋体" w:eastAsia="仿宋_GB2312" w:cs="宋体"/>
          <w:color w:val="auto"/>
          <w:kern w:val="0"/>
          <w:sz w:val="28"/>
          <w:szCs w:val="28"/>
          <w:highlight w:val="none"/>
        </w:rPr>
        <w:t>资源管理部门依法审批和监督管理地质勘查、开发利用</w:t>
      </w:r>
      <w:r>
        <w:rPr>
          <w:rFonts w:hint="eastAsia" w:ascii="仿宋_GB2312" w:hAnsi="宋体" w:eastAsia="仿宋_GB2312" w:cs="宋体"/>
          <w:color w:val="auto"/>
          <w:kern w:val="0"/>
          <w:sz w:val="28"/>
          <w:szCs w:val="28"/>
          <w:highlight w:val="none"/>
          <w:lang w:eastAsia="zh-CN"/>
        </w:rPr>
        <w:t>和</w:t>
      </w:r>
      <w:r>
        <w:rPr>
          <w:rFonts w:hint="eastAsia" w:ascii="仿宋_GB2312" w:hAnsi="宋体" w:eastAsia="仿宋_GB2312" w:cs="宋体"/>
          <w:color w:val="auto"/>
          <w:kern w:val="0"/>
          <w:sz w:val="28"/>
          <w:szCs w:val="28"/>
          <w:highlight w:val="none"/>
        </w:rPr>
        <w:t>保护的重要依据。涉及矿产资源开发利用活动的相关行业规划，应当与本《规划》做好衔接。</w:t>
      </w:r>
    </w:p>
    <w:p>
      <w:pPr>
        <w:pageBreakBefore w:val="0"/>
        <w:kinsoku/>
        <w:wordWrap/>
        <w:overflowPunct/>
        <w:topLinePunct w:val="0"/>
        <w:bidi w:val="0"/>
        <w:adjustRightInd w:val="0"/>
        <w:snapToGrid w:val="0"/>
        <w:spacing w:line="360" w:lineRule="auto"/>
        <w:ind w:firstLine="560" w:firstLineChars="200"/>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《规划》适用范围为河南省西峡县所辖行政区域。《规划》基期年为20</w:t>
      </w:r>
      <w:r>
        <w:rPr>
          <w:rFonts w:hint="eastAsia" w:ascii="仿宋_GB2312" w:hAnsi="宋体" w:eastAsia="仿宋_GB2312" w:cs="宋体"/>
          <w:color w:val="auto"/>
          <w:kern w:val="0"/>
          <w:sz w:val="28"/>
          <w:szCs w:val="28"/>
          <w:highlight w:val="none"/>
          <w:lang w:val="en-US" w:eastAsia="zh-CN"/>
        </w:rPr>
        <w:t>20</w:t>
      </w:r>
      <w:r>
        <w:rPr>
          <w:rFonts w:hint="eastAsia" w:ascii="仿宋_GB2312" w:hAnsi="宋体" w:eastAsia="仿宋_GB2312" w:cs="宋体"/>
          <w:color w:val="auto"/>
          <w:kern w:val="0"/>
          <w:sz w:val="28"/>
          <w:szCs w:val="28"/>
          <w:highlight w:val="none"/>
        </w:rPr>
        <w:t>年，规划期为20</w:t>
      </w:r>
      <w:r>
        <w:rPr>
          <w:rFonts w:hint="eastAsia" w:ascii="仿宋_GB2312" w:hAnsi="宋体" w:eastAsia="仿宋_GB2312" w:cs="宋体"/>
          <w:color w:val="auto"/>
          <w:kern w:val="0"/>
          <w:sz w:val="28"/>
          <w:szCs w:val="28"/>
          <w:highlight w:val="none"/>
          <w:lang w:val="en-US" w:eastAsia="zh-CN"/>
        </w:rPr>
        <w:t>21</w:t>
      </w:r>
      <w:r>
        <w:rPr>
          <w:rFonts w:hint="eastAsia" w:ascii="仿宋_GB2312" w:hAnsi="宋体" w:eastAsia="仿宋_GB2312" w:cs="宋体"/>
          <w:color w:val="auto"/>
          <w:kern w:val="0"/>
          <w:sz w:val="28"/>
          <w:szCs w:val="28"/>
          <w:highlight w:val="none"/>
        </w:rPr>
        <w:t>—202</w:t>
      </w:r>
      <w:r>
        <w:rPr>
          <w:rFonts w:hint="eastAsia" w:ascii="仿宋_GB2312" w:hAnsi="宋体" w:eastAsia="仿宋_GB2312" w:cs="宋体"/>
          <w:color w:val="auto"/>
          <w:kern w:val="0"/>
          <w:sz w:val="28"/>
          <w:szCs w:val="28"/>
          <w:highlight w:val="none"/>
          <w:lang w:val="en-US" w:eastAsia="zh-CN"/>
        </w:rPr>
        <w:t>5</w:t>
      </w:r>
      <w:r>
        <w:rPr>
          <w:rFonts w:hint="eastAsia" w:ascii="仿宋_GB2312" w:hAnsi="宋体" w:eastAsia="仿宋_GB2312" w:cs="宋体"/>
          <w:color w:val="auto"/>
          <w:kern w:val="0"/>
          <w:sz w:val="28"/>
          <w:szCs w:val="28"/>
          <w:highlight w:val="none"/>
        </w:rPr>
        <w:t>年，展望到20</w:t>
      </w:r>
      <w:r>
        <w:rPr>
          <w:rFonts w:hint="eastAsia" w:ascii="仿宋_GB2312" w:hAnsi="宋体" w:eastAsia="仿宋_GB2312" w:cs="宋体"/>
          <w:color w:val="auto"/>
          <w:kern w:val="0"/>
          <w:sz w:val="28"/>
          <w:szCs w:val="28"/>
          <w:highlight w:val="none"/>
          <w:lang w:val="en-US" w:eastAsia="zh-CN"/>
        </w:rPr>
        <w:t>3</w:t>
      </w:r>
      <w:r>
        <w:rPr>
          <w:rFonts w:hint="eastAsia" w:ascii="仿宋_GB2312" w:hAnsi="宋体" w:eastAsia="仿宋_GB2312" w:cs="宋体"/>
          <w:color w:val="auto"/>
          <w:kern w:val="0"/>
          <w:sz w:val="28"/>
          <w:szCs w:val="28"/>
          <w:highlight w:val="none"/>
        </w:rPr>
        <w:t>5年。</w:t>
      </w:r>
    </w:p>
    <w:p>
      <w:pPr>
        <w:pStyle w:val="3"/>
        <w:pageBreakBefore w:val="0"/>
        <w:kinsoku/>
        <w:wordWrap/>
        <w:overflowPunct/>
        <w:topLinePunct w:val="0"/>
        <w:bidi w:val="0"/>
        <w:adjustRightInd w:val="0"/>
        <w:snapToGrid w:val="0"/>
        <w:spacing w:beforeLines="0" w:afterLines="0" w:line="360" w:lineRule="auto"/>
        <w:rPr>
          <w:rFonts w:hint="eastAsia" w:ascii="宋体" w:hAnsi="宋体" w:eastAsia="宋体"/>
          <w:color w:val="auto"/>
          <w:highlight w:val="none"/>
          <w:lang w:eastAsia="zh-CN"/>
        </w:rPr>
        <w:sectPr>
          <w:pgSz w:w="11906" w:h="16838"/>
          <w:pgMar w:top="1440" w:right="1800" w:bottom="1440" w:left="1800" w:header="720" w:footer="720" w:gutter="0"/>
          <w:lnNumType w:countBy="0" w:distance="360"/>
          <w:pgNumType w:fmt="decimal" w:start="1"/>
          <w:cols w:space="720" w:num="1"/>
          <w:docGrid w:type="lines" w:linePitch="312" w:charSpace="0"/>
        </w:sectPr>
      </w:pPr>
    </w:p>
    <w:p>
      <w:pPr>
        <w:pStyle w:val="3"/>
        <w:pageBreakBefore w:val="0"/>
        <w:kinsoku/>
        <w:wordWrap/>
        <w:overflowPunct/>
        <w:topLinePunct w:val="0"/>
        <w:bidi w:val="0"/>
        <w:adjustRightInd w:val="0"/>
        <w:snapToGrid w:val="0"/>
        <w:spacing w:beforeLines="0" w:afterLines="0" w:line="360" w:lineRule="auto"/>
        <w:rPr>
          <w:rFonts w:hint="eastAsia" w:ascii="宋体" w:hAnsi="宋体" w:eastAsia="宋体"/>
          <w:color w:val="auto"/>
          <w:highlight w:val="none"/>
          <w:lang w:eastAsia="zh-CN"/>
        </w:rPr>
      </w:pPr>
      <w:bookmarkStart w:id="4" w:name="_Toc16468"/>
      <w:r>
        <w:rPr>
          <w:rFonts w:hint="eastAsia" w:ascii="宋体" w:hAnsi="宋体" w:eastAsia="宋体"/>
          <w:color w:val="auto"/>
          <w:highlight w:val="none"/>
          <w:lang w:eastAsia="zh-CN"/>
        </w:rPr>
        <w:t>第一章</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lang w:eastAsia="zh-CN"/>
        </w:rPr>
        <w:t>现状与形势</w:t>
      </w:r>
      <w:bookmarkEnd w:id="4"/>
    </w:p>
    <w:p>
      <w:pPr>
        <w:pStyle w:val="4"/>
        <w:pageBreakBefore w:val="0"/>
        <w:kinsoku/>
        <w:wordWrap/>
        <w:overflowPunct/>
        <w:topLinePunct w:val="0"/>
        <w:bidi w:val="0"/>
        <w:adjustRightInd w:val="0"/>
        <w:snapToGrid w:val="0"/>
        <w:spacing w:beforeLines="0" w:afterLines="0" w:line="360" w:lineRule="auto"/>
        <w:rPr>
          <w:rFonts w:hint="eastAsia" w:ascii="黑体" w:hAnsi="黑体" w:eastAsia="黑体" w:cs="黑体"/>
          <w:color w:val="auto"/>
          <w:highlight w:val="none"/>
          <w:lang w:eastAsia="zh-CN"/>
        </w:rPr>
      </w:pPr>
      <w:bookmarkStart w:id="5" w:name="_Toc24953"/>
      <w:r>
        <w:rPr>
          <w:rFonts w:hint="eastAsia" w:ascii="黑体" w:hAnsi="黑体" w:eastAsia="黑体" w:cs="黑体"/>
          <w:color w:val="auto"/>
          <w:highlight w:val="none"/>
          <w:lang w:eastAsia="zh-CN"/>
        </w:rPr>
        <w:t>第一节</w:t>
      </w:r>
      <w:r>
        <w:rPr>
          <w:rFonts w:hint="eastAsia" w:ascii="黑体" w:hAnsi="黑体" w:eastAsia="黑体" w:cs="黑体"/>
          <w:color w:val="auto"/>
          <w:highlight w:val="none"/>
          <w:lang w:val="en-US" w:eastAsia="zh-CN"/>
        </w:rPr>
        <w:t xml:space="preserve"> 发展基础</w:t>
      </w:r>
      <w:bookmarkEnd w:id="5"/>
    </w:p>
    <w:p>
      <w:pPr>
        <w:pageBreakBefore w:val="0"/>
        <w:kinsoku/>
        <w:wordWrap/>
        <w:overflowPunct/>
        <w:topLinePunct w:val="0"/>
        <w:bidi w:val="0"/>
        <w:adjustRightInd w:val="0"/>
        <w:snapToGrid w:val="0"/>
        <w:spacing w:line="360" w:lineRule="auto"/>
        <w:ind w:firstLine="560" w:firstLineChars="200"/>
        <w:rPr>
          <w:rFonts w:hint="eastAsia" w:ascii="仿宋_GB2312" w:hAnsi="宋体" w:eastAsia="仿宋_GB2312"/>
          <w:b/>
          <w:bCs/>
          <w:color w:val="auto"/>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十三五”期间，矿产资源调查评价与勘查程度不断提高，重要矿种新增资源量大幅增加，矿业布局更加合理，开发利用结构不断优化，矿产资源开发利用水平显著提高，矿山地质环境治理恢复成效显著，“十三五”规划主要指标基本完成，矿业高质量发展呈现较好态势。</w:t>
      </w:r>
    </w:p>
    <w:p>
      <w:pPr>
        <w:pageBreakBefore w:val="0"/>
        <w:kinsoku/>
        <w:wordWrap/>
        <w:overflowPunct/>
        <w:topLinePunct w:val="0"/>
        <w:bidi w:val="0"/>
        <w:adjustRightInd w:val="0"/>
        <w:snapToGrid w:val="0"/>
        <w:spacing w:line="360" w:lineRule="auto"/>
        <w:ind w:firstLine="562" w:firstLineChars="200"/>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b/>
          <w:bCs/>
          <w:color w:val="auto"/>
          <w:sz w:val="28"/>
          <w:szCs w:val="28"/>
          <w:highlight w:val="none"/>
          <w:lang w:val="en-US" w:eastAsia="zh-CN"/>
        </w:rPr>
        <w:t>矿产资源保障程度稳步上升。</w:t>
      </w:r>
      <w:r>
        <w:rPr>
          <w:rFonts w:hint="eastAsia" w:ascii="仿宋_GB2312" w:hAnsi="宋体" w:eastAsia="仿宋_GB2312" w:cs="宋体"/>
          <w:color w:val="auto"/>
          <w:kern w:val="0"/>
          <w:sz w:val="28"/>
          <w:szCs w:val="28"/>
          <w:highlight w:val="none"/>
          <w:lang w:val="en-US" w:eastAsia="zh-CN"/>
        </w:rPr>
        <w:t>截至2020年底，西峡县已发现矿产49种，其中查明资源储量的矿产16种，大理岩、花岗岩、红柱石、石墨、金红石、镁橄榄岩、金矿、铜多金属矿等资源丰富，镁橄榄岩矿资源储量全省第一，为西峡县优势矿产。载入河南省矿产资源储量简表的矿产地87个，其中大型5个、中型10个、小型72个。按开发利用状态分为开采矿区16个、计划近期利用23个、推荐近期利用5个、可供进一步工作36个、可供边探边采1个、近期不宜进一步工作1个、未利用1个、其他4个。</w:t>
      </w:r>
    </w:p>
    <w:p>
      <w:pPr>
        <w:pageBreakBefore w:val="0"/>
        <w:kinsoku/>
        <w:wordWrap/>
        <w:overflowPunct/>
        <w:topLinePunct w:val="0"/>
        <w:bidi w:val="0"/>
        <w:snapToGrid w:val="0"/>
        <w:spacing w:before="120" w:after="120" w:line="360" w:lineRule="auto"/>
        <w:ind w:firstLine="562" w:firstLineChars="200"/>
        <w:outlineLvl w:val="9"/>
        <w:rPr>
          <w:rFonts w:hint="default" w:ascii="仿宋" w:hAnsi="仿宋" w:eastAsia="仿宋"/>
          <w:sz w:val="28"/>
          <w:szCs w:val="28"/>
          <w:lang w:val="en-US" w:eastAsia="zh-CN"/>
        </w:rPr>
      </w:pPr>
      <w:bookmarkStart w:id="6" w:name="_Toc19447"/>
      <w:r>
        <w:rPr>
          <w:rFonts w:hint="eastAsia" w:ascii="仿宋_GB2312" w:hAnsi="Times New Roman" w:eastAsia="仿宋_GB2312" w:cs="Times New Roman"/>
          <w:b/>
          <w:bCs/>
          <w:color w:val="000000"/>
          <w:sz w:val="28"/>
          <w:szCs w:val="28"/>
          <w:lang w:val="en-US" w:eastAsia="zh-CN"/>
        </w:rPr>
        <w:t>地质找矿取得重要进展。</w:t>
      </w:r>
      <w:r>
        <w:rPr>
          <w:rFonts w:hint="eastAsia" w:ascii="仿宋" w:hAnsi="仿宋" w:eastAsia="仿宋"/>
          <w:sz w:val="28"/>
          <w:szCs w:val="28"/>
          <w:lang w:val="en-US" w:eastAsia="zh-CN"/>
        </w:rPr>
        <w:t>规划实施期间，新查明矿产地30个，其中中型8个、小型22个。主要矿产累计新增查明资源储量：金矿（岩金）19689千克、银矿（金属量）266吨、铜矿（金属量）3040吨、铁矿606万吨、铅矿（金属量）10275吨、锌矿（金属量）2862吨、晶质石墨（矿物）397万吨、金红石（矿物）4148吨、耐火用橄榄岩矿石量1562万吨、制碱用灰岩矿石量991万吨、锰矿矿石量5万吨、硫铁矿矿石量136万吨。</w:t>
      </w:r>
    </w:p>
    <w:bookmarkEnd w:id="6"/>
    <w:p>
      <w:pPr>
        <w:keepNext w:val="0"/>
        <w:keepLines w:val="0"/>
        <w:pageBreakBefore w:val="0"/>
        <w:widowControl w:val="0"/>
        <w:kinsoku/>
        <w:wordWrap/>
        <w:overflowPunct/>
        <w:topLinePunct w:val="0"/>
        <w:autoSpaceDE/>
        <w:autoSpaceDN/>
        <w:bidi w:val="0"/>
        <w:adjustRightInd/>
        <w:snapToGrid w:val="0"/>
        <w:spacing w:before="120" w:after="120" w:line="360" w:lineRule="auto"/>
        <w:ind w:firstLine="562" w:firstLineChars="200"/>
        <w:textAlignment w:val="auto"/>
        <w:outlineLvl w:val="9"/>
        <w:rPr>
          <w:rFonts w:hint="eastAsia" w:ascii="仿宋" w:hAnsi="仿宋" w:eastAsia="仿宋"/>
          <w:sz w:val="28"/>
          <w:szCs w:val="28"/>
          <w:lang w:val="en-US" w:eastAsia="zh-CN"/>
        </w:rPr>
      </w:pPr>
      <w:bookmarkStart w:id="7" w:name="_Toc31413"/>
      <w:r>
        <w:rPr>
          <w:rFonts w:hint="eastAsia" w:ascii="仿宋_GB2312" w:hAnsi="Times New Roman" w:eastAsia="仿宋_GB2312" w:cs="Times New Roman"/>
          <w:b/>
          <w:bCs/>
          <w:color w:val="000000"/>
          <w:sz w:val="28"/>
          <w:szCs w:val="28"/>
          <w:lang w:val="en-US" w:eastAsia="zh-CN"/>
        </w:rPr>
        <w:t>河南省首次发现稀土矿独立矿床。</w:t>
      </w:r>
      <w:bookmarkEnd w:id="7"/>
      <w:r>
        <w:rPr>
          <w:rFonts w:hint="eastAsia" w:ascii="仿宋" w:hAnsi="仿宋" w:eastAsia="仿宋"/>
          <w:sz w:val="28"/>
          <w:szCs w:val="28"/>
          <w:lang w:val="en-US" w:eastAsia="zh-CN"/>
        </w:rPr>
        <w:t>经多年野外工作，确定西峡县太平镇稀土矿是La、Ce、Nd为主的轻稀土中型矿床，截至2020年，共查明稀土矿矿石量265万吨，稀土氧化物64416吨。这是迄今为止河南省首次发现的稀土矿独立矿床，填补了河南省稀土矿产找矿工作的空白，对于推动河南省“三稀”矿产找矿具有重要意义。</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72"/>
        <w:gridCol w:w="1771"/>
        <w:gridCol w:w="1525"/>
        <w:gridCol w:w="1895"/>
        <w:gridCol w:w="1275"/>
        <w:gridCol w:w="1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5000" w:type="pct"/>
            <w:gridSpan w:val="6"/>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专栏1 截至2020年河南省西峡县主要矿产资源储量表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453"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039"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矿产名称</w:t>
            </w:r>
          </w:p>
        </w:tc>
        <w:tc>
          <w:tcPr>
            <w:tcW w:w="89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矿区数(个)</w:t>
            </w:r>
          </w:p>
        </w:tc>
        <w:tc>
          <w:tcPr>
            <w:tcW w:w="111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资源储量单位</w:t>
            </w:r>
          </w:p>
        </w:tc>
        <w:tc>
          <w:tcPr>
            <w:tcW w:w="748"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保有储量</w:t>
            </w:r>
          </w:p>
        </w:tc>
        <w:tc>
          <w:tcPr>
            <w:tcW w:w="750"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累计查明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453"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w:t>
            </w:r>
          </w:p>
        </w:tc>
        <w:tc>
          <w:tcPr>
            <w:tcW w:w="1039"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金矿</w:t>
            </w:r>
          </w:p>
        </w:tc>
        <w:tc>
          <w:tcPr>
            <w:tcW w:w="89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11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 千克</w:t>
            </w:r>
          </w:p>
        </w:tc>
        <w:tc>
          <w:tcPr>
            <w:tcW w:w="748"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20218</w:t>
            </w:r>
          </w:p>
        </w:tc>
        <w:tc>
          <w:tcPr>
            <w:tcW w:w="750"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453"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w:t>
            </w:r>
          </w:p>
        </w:tc>
        <w:tc>
          <w:tcPr>
            <w:tcW w:w="1039"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银矿</w:t>
            </w:r>
          </w:p>
        </w:tc>
        <w:tc>
          <w:tcPr>
            <w:tcW w:w="89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1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银 吨</w:t>
            </w:r>
          </w:p>
        </w:tc>
        <w:tc>
          <w:tcPr>
            <w:tcW w:w="748"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750"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453"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3</w:t>
            </w:r>
          </w:p>
        </w:tc>
        <w:tc>
          <w:tcPr>
            <w:tcW w:w="1039"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铜矿</w:t>
            </w:r>
          </w:p>
        </w:tc>
        <w:tc>
          <w:tcPr>
            <w:tcW w:w="89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11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 吨</w:t>
            </w:r>
          </w:p>
        </w:tc>
        <w:tc>
          <w:tcPr>
            <w:tcW w:w="748"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18602</w:t>
            </w:r>
          </w:p>
        </w:tc>
        <w:tc>
          <w:tcPr>
            <w:tcW w:w="750"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trPr>
        <w:tc>
          <w:tcPr>
            <w:tcW w:w="453"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4</w:t>
            </w:r>
          </w:p>
        </w:tc>
        <w:tc>
          <w:tcPr>
            <w:tcW w:w="1039"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w:t>
            </w:r>
          </w:p>
        </w:tc>
        <w:tc>
          <w:tcPr>
            <w:tcW w:w="89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11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矿石 万吨</w:t>
            </w:r>
          </w:p>
        </w:tc>
        <w:tc>
          <w:tcPr>
            <w:tcW w:w="748"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1341</w:t>
            </w:r>
          </w:p>
        </w:tc>
        <w:tc>
          <w:tcPr>
            <w:tcW w:w="750"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453"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5</w:t>
            </w:r>
          </w:p>
        </w:tc>
        <w:tc>
          <w:tcPr>
            <w:tcW w:w="1039"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铅矿</w:t>
            </w:r>
          </w:p>
        </w:tc>
        <w:tc>
          <w:tcPr>
            <w:tcW w:w="89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1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铅 吨</w:t>
            </w:r>
          </w:p>
        </w:tc>
        <w:tc>
          <w:tcPr>
            <w:tcW w:w="748"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11444</w:t>
            </w:r>
          </w:p>
        </w:tc>
        <w:tc>
          <w:tcPr>
            <w:tcW w:w="750"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453"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6</w:t>
            </w:r>
          </w:p>
        </w:tc>
        <w:tc>
          <w:tcPr>
            <w:tcW w:w="1039"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锌矿</w:t>
            </w:r>
          </w:p>
        </w:tc>
        <w:tc>
          <w:tcPr>
            <w:tcW w:w="89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1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锌 吨</w:t>
            </w:r>
          </w:p>
        </w:tc>
        <w:tc>
          <w:tcPr>
            <w:tcW w:w="748"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4709</w:t>
            </w:r>
          </w:p>
        </w:tc>
        <w:tc>
          <w:tcPr>
            <w:tcW w:w="750"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453"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7</w:t>
            </w:r>
          </w:p>
        </w:tc>
        <w:tc>
          <w:tcPr>
            <w:tcW w:w="1039"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钼矿</w:t>
            </w:r>
          </w:p>
        </w:tc>
        <w:tc>
          <w:tcPr>
            <w:tcW w:w="89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1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钼 吨</w:t>
            </w:r>
          </w:p>
        </w:tc>
        <w:tc>
          <w:tcPr>
            <w:tcW w:w="748"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16062</w:t>
            </w:r>
          </w:p>
        </w:tc>
        <w:tc>
          <w:tcPr>
            <w:tcW w:w="750"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453"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8</w:t>
            </w:r>
          </w:p>
        </w:tc>
        <w:tc>
          <w:tcPr>
            <w:tcW w:w="1039"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石墨</w:t>
            </w:r>
          </w:p>
        </w:tc>
        <w:tc>
          <w:tcPr>
            <w:tcW w:w="89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1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晶质石墨 万吨</w:t>
            </w:r>
          </w:p>
        </w:tc>
        <w:tc>
          <w:tcPr>
            <w:tcW w:w="748"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698</w:t>
            </w:r>
          </w:p>
        </w:tc>
        <w:tc>
          <w:tcPr>
            <w:tcW w:w="750"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453"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9</w:t>
            </w:r>
          </w:p>
        </w:tc>
        <w:tc>
          <w:tcPr>
            <w:tcW w:w="1039"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红柱石</w:t>
            </w:r>
          </w:p>
        </w:tc>
        <w:tc>
          <w:tcPr>
            <w:tcW w:w="89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红柱石 吨</w:t>
            </w:r>
          </w:p>
        </w:tc>
        <w:tc>
          <w:tcPr>
            <w:tcW w:w="748"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9953800</w:t>
            </w:r>
          </w:p>
        </w:tc>
        <w:tc>
          <w:tcPr>
            <w:tcW w:w="750"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9953800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453"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10</w:t>
            </w:r>
          </w:p>
        </w:tc>
        <w:tc>
          <w:tcPr>
            <w:tcW w:w="1039"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钛矿</w:t>
            </w:r>
          </w:p>
        </w:tc>
        <w:tc>
          <w:tcPr>
            <w:tcW w:w="89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金红石矿物 吨</w:t>
            </w:r>
          </w:p>
        </w:tc>
        <w:tc>
          <w:tcPr>
            <w:tcW w:w="748"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1136310</w:t>
            </w:r>
          </w:p>
        </w:tc>
        <w:tc>
          <w:tcPr>
            <w:tcW w:w="750"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1140458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0" w:hRule="atLeast"/>
        </w:trPr>
        <w:tc>
          <w:tcPr>
            <w:tcW w:w="453"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11</w:t>
            </w:r>
          </w:p>
        </w:tc>
        <w:tc>
          <w:tcPr>
            <w:tcW w:w="1039"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耐火用橄榄岩</w:t>
            </w:r>
          </w:p>
        </w:tc>
        <w:tc>
          <w:tcPr>
            <w:tcW w:w="89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矿石 万吨</w:t>
            </w:r>
          </w:p>
        </w:tc>
        <w:tc>
          <w:tcPr>
            <w:tcW w:w="748"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8992</w:t>
            </w:r>
          </w:p>
        </w:tc>
        <w:tc>
          <w:tcPr>
            <w:tcW w:w="750"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3"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12</w:t>
            </w:r>
          </w:p>
        </w:tc>
        <w:tc>
          <w:tcPr>
            <w:tcW w:w="1039"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化肥用橄榄岩</w:t>
            </w:r>
          </w:p>
        </w:tc>
        <w:tc>
          <w:tcPr>
            <w:tcW w:w="89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矿石 万吨</w:t>
            </w:r>
          </w:p>
        </w:tc>
        <w:tc>
          <w:tcPr>
            <w:tcW w:w="748"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7393</w:t>
            </w:r>
          </w:p>
        </w:tc>
        <w:tc>
          <w:tcPr>
            <w:tcW w:w="750"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3"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13</w:t>
            </w:r>
          </w:p>
        </w:tc>
        <w:tc>
          <w:tcPr>
            <w:tcW w:w="1039"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稀土矿</w:t>
            </w:r>
          </w:p>
        </w:tc>
        <w:tc>
          <w:tcPr>
            <w:tcW w:w="89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稀土氧化物 吨</w:t>
            </w:r>
          </w:p>
        </w:tc>
        <w:tc>
          <w:tcPr>
            <w:tcW w:w="748"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64416</w:t>
            </w:r>
          </w:p>
        </w:tc>
        <w:tc>
          <w:tcPr>
            <w:tcW w:w="750"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3"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14</w:t>
            </w:r>
          </w:p>
        </w:tc>
        <w:tc>
          <w:tcPr>
            <w:tcW w:w="1039"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制碱用灰岩</w:t>
            </w:r>
          </w:p>
        </w:tc>
        <w:tc>
          <w:tcPr>
            <w:tcW w:w="89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矿石 万吨</w:t>
            </w:r>
          </w:p>
        </w:tc>
        <w:tc>
          <w:tcPr>
            <w:tcW w:w="748"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991</w:t>
            </w:r>
          </w:p>
        </w:tc>
        <w:tc>
          <w:tcPr>
            <w:tcW w:w="750"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3"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w:t>
            </w:r>
          </w:p>
        </w:tc>
        <w:tc>
          <w:tcPr>
            <w:tcW w:w="1039"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锰矿</w:t>
            </w:r>
          </w:p>
        </w:tc>
        <w:tc>
          <w:tcPr>
            <w:tcW w:w="89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矿石 万吨</w:t>
            </w:r>
          </w:p>
        </w:tc>
        <w:tc>
          <w:tcPr>
            <w:tcW w:w="748"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50"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3"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w:t>
            </w:r>
          </w:p>
        </w:tc>
        <w:tc>
          <w:tcPr>
            <w:tcW w:w="1039"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硫铁矿</w:t>
            </w:r>
          </w:p>
        </w:tc>
        <w:tc>
          <w:tcPr>
            <w:tcW w:w="89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1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矿石 万吨</w:t>
            </w:r>
          </w:p>
        </w:tc>
        <w:tc>
          <w:tcPr>
            <w:tcW w:w="748"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146</w:t>
            </w:r>
          </w:p>
        </w:tc>
        <w:tc>
          <w:tcPr>
            <w:tcW w:w="750"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r>
    </w:tbl>
    <w:p>
      <w:pPr>
        <w:pageBreakBefore w:val="0"/>
        <w:numPr>
          <w:ilvl w:val="0"/>
          <w:numId w:val="0"/>
        </w:numPr>
        <w:kinsoku/>
        <w:wordWrap/>
        <w:overflowPunct/>
        <w:topLinePunct w:val="0"/>
        <w:bidi w:val="0"/>
        <w:adjustRightInd w:val="0"/>
        <w:snapToGrid w:val="0"/>
        <w:spacing w:line="360" w:lineRule="auto"/>
        <w:ind w:firstLine="562" w:firstLineChars="200"/>
        <w:rPr>
          <w:rFonts w:hint="eastAsia" w:ascii="仿宋" w:hAnsi="仿宋" w:eastAsia="仿宋"/>
          <w:sz w:val="28"/>
          <w:szCs w:val="28"/>
          <w:lang w:val="en-US" w:eastAsia="zh-CN"/>
        </w:rPr>
      </w:pPr>
      <w:r>
        <w:rPr>
          <w:rFonts w:hint="eastAsia" w:ascii="仿宋" w:hAnsi="仿宋" w:eastAsia="仿宋"/>
          <w:b/>
          <w:sz w:val="28"/>
          <w:szCs w:val="28"/>
        </w:rPr>
        <w:t>基础地质及勘查现状。</w:t>
      </w:r>
      <w:r>
        <w:rPr>
          <w:rFonts w:hint="eastAsia" w:ascii="仿宋" w:hAnsi="仿宋" w:eastAsia="仿宋"/>
          <w:sz w:val="28"/>
          <w:szCs w:val="28"/>
        </w:rPr>
        <w:t>截止2020年底，</w:t>
      </w:r>
      <w:r>
        <w:rPr>
          <w:rFonts w:hint="eastAsia" w:ascii="仿宋" w:hAnsi="仿宋" w:eastAsia="仿宋"/>
          <w:sz w:val="28"/>
          <w:szCs w:val="28"/>
          <w:lang w:eastAsia="zh-CN"/>
        </w:rPr>
        <w:t>西峡县</w:t>
      </w:r>
      <w:r>
        <w:rPr>
          <w:rFonts w:hint="eastAsia" w:ascii="仿宋" w:hAnsi="仿宋" w:eastAsia="仿宋"/>
          <w:sz w:val="28"/>
          <w:szCs w:val="28"/>
        </w:rPr>
        <w:t>完成</w:t>
      </w:r>
      <w:r>
        <w:rPr>
          <w:rFonts w:hint="eastAsia" w:ascii="仿宋" w:hAnsi="仿宋" w:eastAsia="仿宋"/>
          <w:sz w:val="28"/>
          <w:szCs w:val="28"/>
          <w:lang w:val="en-US" w:eastAsia="zh-CN"/>
        </w:rPr>
        <w:t>了</w:t>
      </w:r>
      <w:r>
        <w:rPr>
          <w:rFonts w:hint="eastAsia" w:ascii="仿宋" w:hAnsi="仿宋" w:eastAsia="仿宋"/>
          <w:sz w:val="28"/>
          <w:szCs w:val="28"/>
        </w:rPr>
        <w:t>1:20万、1:10万和1:5万区域地质调查、矿产地质调查</w:t>
      </w:r>
      <w:r>
        <w:rPr>
          <w:rFonts w:hint="eastAsia" w:ascii="仿宋" w:hAnsi="仿宋" w:eastAsia="仿宋"/>
          <w:sz w:val="28"/>
          <w:szCs w:val="28"/>
          <w:lang w:val="en-US" w:eastAsia="zh-CN"/>
        </w:rPr>
        <w:t>全覆盖</w:t>
      </w:r>
      <w:r>
        <w:rPr>
          <w:rFonts w:hint="eastAsia" w:ascii="仿宋" w:hAnsi="仿宋" w:eastAsia="仿宋"/>
          <w:sz w:val="28"/>
          <w:szCs w:val="28"/>
        </w:rPr>
        <w:t>，</w:t>
      </w:r>
      <w:r>
        <w:rPr>
          <w:rFonts w:hint="eastAsia" w:ascii="仿宋" w:hAnsi="仿宋" w:eastAsia="仿宋"/>
          <w:sz w:val="28"/>
          <w:szCs w:val="28"/>
          <w:lang w:val="en-US" w:eastAsia="zh-CN"/>
        </w:rPr>
        <w:t>完成了</w:t>
      </w:r>
      <w:r>
        <w:rPr>
          <w:rFonts w:hint="eastAsia" w:ascii="仿宋" w:hAnsi="仿宋" w:eastAsia="仿宋"/>
          <w:sz w:val="28"/>
          <w:szCs w:val="28"/>
        </w:rPr>
        <w:t>1:10万航磁测量，1:10万放射性元素测量，1:25万区域重力测量。</w:t>
      </w:r>
      <w:r>
        <w:rPr>
          <w:rFonts w:hint="eastAsia" w:ascii="仿宋" w:hAnsi="仿宋" w:eastAsia="仿宋"/>
          <w:sz w:val="28"/>
          <w:szCs w:val="28"/>
          <w:lang w:eastAsia="zh-CN"/>
        </w:rPr>
        <w:t>截至</w:t>
      </w:r>
      <w:r>
        <w:rPr>
          <w:rFonts w:hint="eastAsia" w:ascii="仿宋" w:hAnsi="仿宋" w:eastAsia="仿宋"/>
          <w:sz w:val="28"/>
          <w:szCs w:val="28"/>
          <w:lang w:val="en-US" w:eastAsia="zh-CN"/>
        </w:rPr>
        <w:t>2020年底，查明资源矿产地按勘查阶段可分为勘探3个、详查50个、普查34个，勘查工作程度较高。西峡县共有探矿权23个，登记总面积78.42平方公里，其中金矿6个、银矿1个、铜矿1个、铁矿2个、铅矿2个、钼矿5个、硫铁矿2个、石墨4个。</w:t>
      </w:r>
    </w:p>
    <w:p>
      <w:pPr>
        <w:pageBreakBefore w:val="0"/>
        <w:kinsoku/>
        <w:wordWrap/>
        <w:overflowPunct/>
        <w:topLinePunct w:val="0"/>
        <w:bidi w:val="0"/>
        <w:adjustRightInd w:val="0"/>
        <w:snapToGrid w:val="0"/>
        <w:spacing w:line="360" w:lineRule="auto"/>
        <w:ind w:firstLine="562" w:firstLineChars="200"/>
        <w:rPr>
          <w:rFonts w:hint="eastAsia" w:ascii="仿宋" w:hAnsi="仿宋" w:eastAsia="仿宋"/>
          <w:sz w:val="28"/>
          <w:szCs w:val="28"/>
          <w:lang w:val="en-US" w:eastAsia="zh-CN"/>
        </w:rPr>
      </w:pPr>
      <w:r>
        <w:rPr>
          <w:rFonts w:hint="eastAsia" w:ascii="仿宋" w:hAnsi="仿宋" w:eastAsia="仿宋"/>
          <w:b/>
          <w:sz w:val="28"/>
          <w:szCs w:val="28"/>
        </w:rPr>
        <w:t>矿产资源开发利用现状。</w:t>
      </w:r>
      <w:r>
        <w:rPr>
          <w:rFonts w:hint="eastAsia" w:ascii="仿宋" w:hAnsi="仿宋" w:eastAsia="仿宋"/>
          <w:sz w:val="28"/>
          <w:szCs w:val="28"/>
        </w:rPr>
        <w:t>截至2020年底，</w:t>
      </w:r>
      <w:r>
        <w:rPr>
          <w:rFonts w:hint="eastAsia" w:ascii="仿宋" w:hAnsi="仿宋" w:eastAsia="仿宋"/>
          <w:sz w:val="28"/>
          <w:szCs w:val="28"/>
          <w:lang w:val="en-US" w:eastAsia="zh-CN"/>
        </w:rPr>
        <w:t>西峡县共设置采矿权21个，登记总面积32平方公里，生产规模总量为矿石量373万吨/年、9.45万立方米/年。其中金矿采矿权6个，</w:t>
      </w:r>
      <w:r>
        <w:rPr>
          <w:rFonts w:hint="eastAsia" w:ascii="仿宋" w:hAnsi="仿宋" w:eastAsia="仿宋"/>
          <w:sz w:val="28"/>
          <w:szCs w:val="28"/>
          <w:lang w:eastAsia="zh-CN"/>
        </w:rPr>
        <w:t>生产规模</w:t>
      </w:r>
      <w:r>
        <w:rPr>
          <w:rFonts w:hint="eastAsia" w:ascii="仿宋" w:hAnsi="仿宋" w:eastAsia="仿宋"/>
          <w:sz w:val="28"/>
          <w:szCs w:val="28"/>
          <w:lang w:val="en-US" w:eastAsia="zh-CN"/>
        </w:rPr>
        <w:t>21</w:t>
      </w:r>
      <w:r>
        <w:rPr>
          <w:rFonts w:hint="eastAsia" w:ascii="仿宋" w:hAnsi="仿宋" w:eastAsia="仿宋"/>
          <w:sz w:val="28"/>
          <w:szCs w:val="28"/>
        </w:rPr>
        <w:t>万吨/年</w:t>
      </w:r>
      <w:r>
        <w:rPr>
          <w:rFonts w:hint="eastAsia" w:ascii="仿宋" w:hAnsi="仿宋" w:eastAsia="仿宋"/>
          <w:sz w:val="28"/>
          <w:szCs w:val="28"/>
          <w:lang w:eastAsia="zh-CN"/>
        </w:rPr>
        <w:t>；</w:t>
      </w:r>
      <w:r>
        <w:rPr>
          <w:rFonts w:hint="eastAsia" w:ascii="仿宋" w:hAnsi="仿宋" w:eastAsia="仿宋"/>
          <w:sz w:val="28"/>
          <w:szCs w:val="28"/>
          <w:lang w:val="en-US" w:eastAsia="zh-CN"/>
        </w:rPr>
        <w:t>银矿采矿权1个，</w:t>
      </w:r>
      <w:r>
        <w:rPr>
          <w:rFonts w:hint="eastAsia" w:ascii="仿宋" w:hAnsi="仿宋" w:eastAsia="仿宋"/>
          <w:sz w:val="28"/>
          <w:szCs w:val="28"/>
          <w:lang w:eastAsia="zh-CN"/>
        </w:rPr>
        <w:t>生产规模</w:t>
      </w:r>
      <w:r>
        <w:rPr>
          <w:rFonts w:hint="eastAsia" w:ascii="仿宋" w:hAnsi="仿宋" w:eastAsia="仿宋"/>
          <w:sz w:val="28"/>
          <w:szCs w:val="28"/>
          <w:lang w:val="en-US" w:eastAsia="zh-CN"/>
        </w:rPr>
        <w:t>15</w:t>
      </w:r>
      <w:r>
        <w:rPr>
          <w:rFonts w:hint="eastAsia" w:ascii="仿宋" w:hAnsi="仿宋" w:eastAsia="仿宋"/>
          <w:sz w:val="28"/>
          <w:szCs w:val="28"/>
        </w:rPr>
        <w:t>万吨/年</w:t>
      </w:r>
      <w:r>
        <w:rPr>
          <w:rFonts w:hint="eastAsia" w:ascii="仿宋" w:hAnsi="仿宋" w:eastAsia="仿宋"/>
          <w:sz w:val="28"/>
          <w:szCs w:val="28"/>
          <w:lang w:eastAsia="zh-CN"/>
        </w:rPr>
        <w:t>；</w:t>
      </w:r>
      <w:r>
        <w:rPr>
          <w:rFonts w:hint="eastAsia" w:ascii="仿宋" w:hAnsi="仿宋" w:eastAsia="仿宋"/>
          <w:sz w:val="28"/>
          <w:szCs w:val="28"/>
          <w:lang w:val="en-US" w:eastAsia="zh-CN"/>
        </w:rPr>
        <w:t>铁矿采矿权3个，</w:t>
      </w:r>
      <w:r>
        <w:rPr>
          <w:rFonts w:hint="eastAsia" w:ascii="仿宋" w:hAnsi="仿宋" w:eastAsia="仿宋"/>
          <w:sz w:val="28"/>
          <w:szCs w:val="28"/>
          <w:lang w:eastAsia="zh-CN"/>
        </w:rPr>
        <w:t>生产规模</w:t>
      </w:r>
      <w:r>
        <w:rPr>
          <w:rFonts w:hint="eastAsia" w:ascii="仿宋" w:hAnsi="仿宋" w:eastAsia="仿宋"/>
          <w:sz w:val="28"/>
          <w:szCs w:val="28"/>
          <w:lang w:val="en-US" w:eastAsia="zh-CN"/>
        </w:rPr>
        <w:t>16</w:t>
      </w:r>
      <w:r>
        <w:rPr>
          <w:rFonts w:hint="eastAsia" w:ascii="仿宋" w:hAnsi="仿宋" w:eastAsia="仿宋"/>
          <w:sz w:val="28"/>
          <w:szCs w:val="28"/>
        </w:rPr>
        <w:t>万吨/年</w:t>
      </w:r>
      <w:r>
        <w:rPr>
          <w:rFonts w:hint="eastAsia" w:ascii="仿宋" w:hAnsi="仿宋" w:eastAsia="仿宋"/>
          <w:sz w:val="28"/>
          <w:szCs w:val="28"/>
          <w:lang w:eastAsia="zh-CN"/>
        </w:rPr>
        <w:t>；</w:t>
      </w:r>
      <w:r>
        <w:rPr>
          <w:rFonts w:hint="eastAsia" w:ascii="仿宋" w:hAnsi="仿宋" w:eastAsia="仿宋"/>
          <w:sz w:val="28"/>
          <w:szCs w:val="28"/>
          <w:lang w:val="en-US" w:eastAsia="zh-CN"/>
        </w:rPr>
        <w:t>大理岩采矿权2个，</w:t>
      </w:r>
      <w:r>
        <w:rPr>
          <w:rFonts w:hint="eastAsia" w:ascii="仿宋" w:hAnsi="仿宋" w:eastAsia="仿宋"/>
          <w:sz w:val="28"/>
          <w:szCs w:val="28"/>
          <w:lang w:eastAsia="zh-CN"/>
        </w:rPr>
        <w:t>生产规模</w:t>
      </w:r>
      <w:r>
        <w:rPr>
          <w:rFonts w:hint="eastAsia" w:ascii="仿宋" w:hAnsi="仿宋" w:eastAsia="仿宋"/>
          <w:sz w:val="28"/>
          <w:szCs w:val="28"/>
          <w:lang w:val="en-US" w:eastAsia="zh-CN"/>
        </w:rPr>
        <w:t>5.85</w:t>
      </w:r>
      <w:r>
        <w:rPr>
          <w:rFonts w:hint="eastAsia" w:ascii="仿宋" w:hAnsi="仿宋" w:eastAsia="仿宋"/>
          <w:sz w:val="28"/>
          <w:szCs w:val="28"/>
        </w:rPr>
        <w:t>万</w:t>
      </w:r>
      <w:r>
        <w:rPr>
          <w:rFonts w:hint="eastAsia" w:ascii="仿宋" w:hAnsi="仿宋" w:eastAsia="仿宋"/>
          <w:sz w:val="28"/>
          <w:szCs w:val="28"/>
          <w:lang w:val="en-US" w:eastAsia="zh-CN"/>
        </w:rPr>
        <w:t>立方米</w:t>
      </w:r>
      <w:r>
        <w:rPr>
          <w:rFonts w:hint="eastAsia" w:ascii="仿宋" w:hAnsi="仿宋" w:eastAsia="仿宋"/>
          <w:sz w:val="28"/>
          <w:szCs w:val="28"/>
        </w:rPr>
        <w:t>/年</w:t>
      </w:r>
      <w:r>
        <w:rPr>
          <w:rFonts w:hint="eastAsia" w:ascii="仿宋" w:hAnsi="仿宋" w:eastAsia="仿宋"/>
          <w:sz w:val="28"/>
          <w:szCs w:val="28"/>
          <w:lang w:eastAsia="zh-CN"/>
        </w:rPr>
        <w:t>；</w:t>
      </w:r>
      <w:r>
        <w:rPr>
          <w:rFonts w:hint="eastAsia" w:ascii="仿宋" w:hAnsi="仿宋" w:eastAsia="仿宋"/>
          <w:sz w:val="28"/>
          <w:szCs w:val="28"/>
          <w:lang w:val="en-US" w:eastAsia="zh-CN"/>
        </w:rPr>
        <w:t>石墨矿采矿权1个，</w:t>
      </w:r>
      <w:r>
        <w:rPr>
          <w:rFonts w:hint="eastAsia" w:ascii="仿宋" w:hAnsi="仿宋" w:eastAsia="仿宋"/>
          <w:sz w:val="28"/>
          <w:szCs w:val="28"/>
          <w:lang w:eastAsia="zh-CN"/>
        </w:rPr>
        <w:t>生产规模</w:t>
      </w:r>
      <w:r>
        <w:rPr>
          <w:rFonts w:hint="eastAsia" w:ascii="仿宋" w:hAnsi="仿宋" w:eastAsia="仿宋"/>
          <w:sz w:val="28"/>
          <w:szCs w:val="28"/>
          <w:lang w:val="en-US" w:eastAsia="zh-CN"/>
        </w:rPr>
        <w:t>1.27</w:t>
      </w:r>
      <w:r>
        <w:rPr>
          <w:rFonts w:hint="eastAsia" w:ascii="仿宋" w:hAnsi="仿宋" w:eastAsia="仿宋"/>
          <w:sz w:val="28"/>
          <w:szCs w:val="28"/>
        </w:rPr>
        <w:t>万吨/年</w:t>
      </w:r>
      <w:r>
        <w:rPr>
          <w:rFonts w:hint="eastAsia" w:ascii="仿宋" w:hAnsi="仿宋" w:eastAsia="仿宋"/>
          <w:sz w:val="28"/>
          <w:szCs w:val="28"/>
          <w:lang w:eastAsia="zh-CN"/>
        </w:rPr>
        <w:t>；</w:t>
      </w:r>
      <w:r>
        <w:rPr>
          <w:rFonts w:hint="eastAsia" w:ascii="仿宋" w:hAnsi="仿宋" w:eastAsia="仿宋"/>
          <w:sz w:val="28"/>
          <w:szCs w:val="28"/>
          <w:lang w:val="en-US" w:eastAsia="zh-CN"/>
        </w:rPr>
        <w:t>建筑用花岗岩采矿权2个，</w:t>
      </w:r>
      <w:r>
        <w:rPr>
          <w:rFonts w:hint="eastAsia" w:ascii="仿宋" w:hAnsi="仿宋" w:eastAsia="仿宋"/>
          <w:sz w:val="28"/>
          <w:szCs w:val="28"/>
          <w:lang w:eastAsia="zh-CN"/>
        </w:rPr>
        <w:t>生产规模</w:t>
      </w:r>
      <w:r>
        <w:rPr>
          <w:rFonts w:hint="eastAsia" w:ascii="仿宋" w:hAnsi="仿宋" w:eastAsia="仿宋"/>
          <w:sz w:val="28"/>
          <w:szCs w:val="28"/>
          <w:lang w:val="en-US" w:eastAsia="zh-CN"/>
        </w:rPr>
        <w:t>2.4</w:t>
      </w:r>
      <w:r>
        <w:rPr>
          <w:rFonts w:hint="eastAsia" w:ascii="仿宋" w:hAnsi="仿宋" w:eastAsia="仿宋"/>
          <w:sz w:val="28"/>
          <w:szCs w:val="28"/>
        </w:rPr>
        <w:t>万</w:t>
      </w:r>
      <w:r>
        <w:rPr>
          <w:rFonts w:hint="eastAsia" w:ascii="仿宋" w:hAnsi="仿宋" w:eastAsia="仿宋"/>
          <w:sz w:val="28"/>
          <w:szCs w:val="28"/>
          <w:lang w:val="en-US" w:eastAsia="zh-CN"/>
        </w:rPr>
        <w:t>立方米/年；饰面用花岗岩采矿权1个，生产规模1.2</w:t>
      </w:r>
      <w:r>
        <w:rPr>
          <w:rFonts w:hint="eastAsia" w:ascii="仿宋" w:hAnsi="仿宋" w:eastAsia="仿宋"/>
          <w:sz w:val="28"/>
          <w:szCs w:val="28"/>
        </w:rPr>
        <w:t>万</w:t>
      </w:r>
      <w:r>
        <w:rPr>
          <w:rFonts w:hint="eastAsia" w:ascii="仿宋" w:hAnsi="仿宋" w:eastAsia="仿宋"/>
          <w:sz w:val="28"/>
          <w:szCs w:val="28"/>
          <w:lang w:val="en-US" w:eastAsia="zh-CN"/>
        </w:rPr>
        <w:t>立方米</w:t>
      </w:r>
      <w:r>
        <w:rPr>
          <w:rFonts w:hint="eastAsia" w:ascii="仿宋" w:hAnsi="仿宋" w:eastAsia="仿宋"/>
          <w:sz w:val="28"/>
          <w:szCs w:val="28"/>
        </w:rPr>
        <w:t>/年</w:t>
      </w:r>
      <w:r>
        <w:rPr>
          <w:rFonts w:hint="eastAsia" w:ascii="仿宋" w:hAnsi="仿宋" w:eastAsia="仿宋"/>
          <w:sz w:val="28"/>
          <w:szCs w:val="28"/>
          <w:lang w:eastAsia="zh-CN"/>
        </w:rPr>
        <w:t>；</w:t>
      </w:r>
      <w:r>
        <w:rPr>
          <w:rFonts w:hint="eastAsia" w:ascii="仿宋" w:hAnsi="仿宋" w:eastAsia="仿宋"/>
          <w:sz w:val="28"/>
          <w:szCs w:val="28"/>
          <w:lang w:val="en-US" w:eastAsia="zh-CN"/>
        </w:rPr>
        <w:t>红柱石矿采矿权1个，</w:t>
      </w:r>
      <w:r>
        <w:rPr>
          <w:rFonts w:hint="eastAsia" w:ascii="仿宋" w:hAnsi="仿宋" w:eastAsia="仿宋"/>
          <w:sz w:val="28"/>
          <w:szCs w:val="28"/>
          <w:lang w:eastAsia="zh-CN"/>
        </w:rPr>
        <w:t>生产规模</w:t>
      </w:r>
      <w:r>
        <w:rPr>
          <w:rFonts w:hint="eastAsia" w:ascii="仿宋" w:hAnsi="仿宋" w:eastAsia="仿宋"/>
          <w:sz w:val="28"/>
          <w:szCs w:val="28"/>
          <w:lang w:val="en-US" w:eastAsia="zh-CN"/>
        </w:rPr>
        <w:t>30</w:t>
      </w:r>
      <w:r>
        <w:rPr>
          <w:rFonts w:hint="eastAsia" w:ascii="仿宋" w:hAnsi="仿宋" w:eastAsia="仿宋"/>
          <w:sz w:val="28"/>
          <w:szCs w:val="28"/>
        </w:rPr>
        <w:t>万吨/年</w:t>
      </w:r>
      <w:r>
        <w:rPr>
          <w:rFonts w:hint="eastAsia" w:ascii="仿宋" w:hAnsi="仿宋" w:eastAsia="仿宋"/>
          <w:sz w:val="28"/>
          <w:szCs w:val="28"/>
          <w:lang w:eastAsia="zh-CN"/>
        </w:rPr>
        <w:t>；</w:t>
      </w:r>
      <w:r>
        <w:rPr>
          <w:rFonts w:hint="eastAsia" w:ascii="仿宋" w:hAnsi="仿宋" w:eastAsia="仿宋"/>
          <w:sz w:val="28"/>
          <w:szCs w:val="28"/>
          <w:lang w:val="en-US" w:eastAsia="zh-CN"/>
        </w:rPr>
        <w:t>橄榄岩矿采矿权3个，</w:t>
      </w:r>
      <w:r>
        <w:rPr>
          <w:rFonts w:hint="eastAsia" w:ascii="仿宋" w:hAnsi="仿宋" w:eastAsia="仿宋"/>
          <w:sz w:val="28"/>
          <w:szCs w:val="28"/>
          <w:lang w:eastAsia="zh-CN"/>
        </w:rPr>
        <w:t>生产规模</w:t>
      </w:r>
      <w:r>
        <w:rPr>
          <w:rFonts w:hint="eastAsia" w:ascii="仿宋" w:hAnsi="仿宋" w:eastAsia="仿宋"/>
          <w:sz w:val="28"/>
          <w:szCs w:val="28"/>
          <w:lang w:val="en-US" w:eastAsia="zh-CN"/>
        </w:rPr>
        <w:t>210</w:t>
      </w:r>
      <w:r>
        <w:rPr>
          <w:rFonts w:hint="eastAsia" w:ascii="仿宋" w:hAnsi="仿宋" w:eastAsia="仿宋"/>
          <w:sz w:val="28"/>
          <w:szCs w:val="28"/>
        </w:rPr>
        <w:t>万吨/年</w:t>
      </w:r>
      <w:r>
        <w:rPr>
          <w:rFonts w:hint="eastAsia" w:ascii="仿宋" w:hAnsi="仿宋" w:eastAsia="仿宋"/>
          <w:sz w:val="28"/>
          <w:szCs w:val="28"/>
          <w:lang w:eastAsia="zh-CN"/>
        </w:rPr>
        <w:t>；</w:t>
      </w:r>
      <w:r>
        <w:rPr>
          <w:rFonts w:hint="eastAsia" w:ascii="仿宋" w:hAnsi="仿宋" w:eastAsia="仿宋"/>
          <w:sz w:val="28"/>
          <w:szCs w:val="28"/>
          <w:lang w:val="en-US" w:eastAsia="zh-CN"/>
        </w:rPr>
        <w:t>制碱用灰岩矿采矿权1个，</w:t>
      </w:r>
      <w:r>
        <w:rPr>
          <w:rFonts w:hint="eastAsia" w:ascii="仿宋" w:hAnsi="仿宋" w:eastAsia="仿宋"/>
          <w:sz w:val="28"/>
          <w:szCs w:val="28"/>
          <w:lang w:eastAsia="zh-CN"/>
        </w:rPr>
        <w:t>生产规模</w:t>
      </w:r>
      <w:r>
        <w:rPr>
          <w:rFonts w:hint="eastAsia" w:ascii="仿宋" w:hAnsi="仿宋" w:eastAsia="仿宋"/>
          <w:sz w:val="28"/>
          <w:szCs w:val="28"/>
          <w:lang w:val="en-US" w:eastAsia="zh-CN"/>
        </w:rPr>
        <w:t>80</w:t>
      </w:r>
      <w:r>
        <w:rPr>
          <w:rFonts w:hint="eastAsia" w:ascii="仿宋" w:hAnsi="仿宋" w:eastAsia="仿宋"/>
          <w:sz w:val="28"/>
          <w:szCs w:val="28"/>
        </w:rPr>
        <w:t>万吨/年</w:t>
      </w:r>
      <w:r>
        <w:rPr>
          <w:rFonts w:hint="eastAsia" w:ascii="仿宋" w:hAnsi="仿宋" w:eastAsia="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before="120" w:after="120" w:line="360" w:lineRule="auto"/>
        <w:ind w:firstLine="562" w:firstLineChars="200"/>
        <w:textAlignment w:val="auto"/>
        <w:outlineLvl w:val="9"/>
        <w:rPr>
          <w:rFonts w:hint="eastAsia" w:ascii="仿宋" w:hAnsi="仿宋" w:eastAsia="仿宋"/>
          <w:sz w:val="28"/>
          <w:szCs w:val="28"/>
          <w:lang w:val="en-US" w:eastAsia="zh-CN"/>
        </w:rPr>
      </w:pPr>
      <w:r>
        <w:rPr>
          <w:rFonts w:hint="eastAsia" w:ascii="仿宋" w:hAnsi="仿宋" w:eastAsia="仿宋"/>
          <w:b/>
          <w:sz w:val="28"/>
          <w:szCs w:val="28"/>
        </w:rPr>
        <w:t>矿业结构调整成效显著。</w:t>
      </w:r>
      <w:r>
        <w:rPr>
          <w:rFonts w:hint="eastAsia" w:ascii="仿宋" w:hAnsi="仿宋" w:eastAsia="仿宋"/>
          <w:sz w:val="28"/>
          <w:szCs w:val="28"/>
        </w:rPr>
        <w:t>矿山企业的结构与布局不断优化</w:t>
      </w:r>
      <w:r>
        <w:rPr>
          <w:rFonts w:hint="eastAsia" w:ascii="仿宋" w:hAnsi="仿宋" w:eastAsia="仿宋"/>
          <w:sz w:val="28"/>
          <w:szCs w:val="28"/>
          <w:lang w:eastAsia="zh-CN"/>
        </w:rPr>
        <w:t>，</w:t>
      </w:r>
      <w:r>
        <w:rPr>
          <w:rFonts w:hint="eastAsia" w:ascii="仿宋" w:hAnsi="仿宋" w:eastAsia="仿宋"/>
          <w:sz w:val="28"/>
          <w:szCs w:val="28"/>
        </w:rPr>
        <w:t>矿业集聚度进一步提高。</w:t>
      </w:r>
      <w:r>
        <w:rPr>
          <w:rFonts w:hint="eastAsia" w:ascii="仿宋" w:hAnsi="仿宋" w:eastAsia="仿宋"/>
          <w:sz w:val="28"/>
          <w:szCs w:val="28"/>
          <w:lang w:eastAsia="zh-CN"/>
        </w:rPr>
        <w:t>矿山总数由</w:t>
      </w:r>
      <w:r>
        <w:rPr>
          <w:rFonts w:hint="eastAsia" w:ascii="仿宋" w:hAnsi="仿宋" w:eastAsia="仿宋"/>
          <w:sz w:val="28"/>
          <w:szCs w:val="28"/>
          <w:lang w:val="en-US" w:eastAsia="zh-CN"/>
        </w:rPr>
        <w:t>2015年的34个减少到2020年的21个，矿山数量减少38%，大中型矿山数由2家增加至5家，大中型矿山比例提升到23%，矿山规模比例逐渐趋于合理。</w:t>
      </w:r>
    </w:p>
    <w:p>
      <w:pPr>
        <w:pageBreakBefore w:val="0"/>
        <w:kinsoku/>
        <w:wordWrap/>
        <w:overflowPunct/>
        <w:topLinePunct w:val="0"/>
        <w:bidi w:val="0"/>
        <w:snapToGrid w:val="0"/>
        <w:spacing w:line="360" w:lineRule="auto"/>
        <w:ind w:firstLine="562" w:firstLineChars="200"/>
        <w:rPr>
          <w:rFonts w:hint="eastAsia" w:ascii="仿宋" w:hAnsi="仿宋" w:eastAsia="仿宋"/>
          <w:sz w:val="28"/>
          <w:szCs w:val="28"/>
          <w:lang w:eastAsia="zh-CN"/>
        </w:rPr>
      </w:pPr>
      <w:r>
        <w:rPr>
          <w:rFonts w:ascii="仿宋" w:hAnsi="仿宋" w:eastAsia="仿宋"/>
          <w:b/>
          <w:sz w:val="28"/>
          <w:szCs w:val="28"/>
        </w:rPr>
        <w:t>节约与综合利用水平明显提高</w:t>
      </w:r>
      <w:r>
        <w:rPr>
          <w:rFonts w:hint="eastAsia" w:ascii="仿宋" w:hAnsi="仿宋" w:eastAsia="仿宋"/>
          <w:b/>
          <w:sz w:val="28"/>
          <w:szCs w:val="28"/>
        </w:rPr>
        <w:t>。</w:t>
      </w:r>
      <w:r>
        <w:rPr>
          <w:rFonts w:hint="eastAsia" w:ascii="仿宋" w:hAnsi="仿宋" w:eastAsia="仿宋"/>
          <w:sz w:val="28"/>
          <w:szCs w:val="28"/>
          <w:lang w:eastAsia="zh-CN"/>
        </w:rPr>
        <w:t>西峡县</w:t>
      </w:r>
      <w:r>
        <w:rPr>
          <w:rFonts w:hint="eastAsia" w:ascii="仿宋" w:hAnsi="仿宋" w:eastAsia="仿宋"/>
          <w:sz w:val="28"/>
          <w:szCs w:val="28"/>
          <w:lang w:val="en-US" w:eastAsia="zh-CN"/>
        </w:rPr>
        <w:t>矿山</w:t>
      </w:r>
      <w:r>
        <w:rPr>
          <w:rFonts w:hint="eastAsia" w:ascii="仿宋" w:hAnsi="仿宋" w:eastAsia="仿宋"/>
          <w:sz w:val="28"/>
          <w:szCs w:val="28"/>
          <w:lang w:eastAsia="zh-CN"/>
        </w:rPr>
        <w:t>“</w:t>
      </w:r>
      <w:r>
        <w:rPr>
          <w:rFonts w:hint="eastAsia" w:ascii="仿宋" w:hAnsi="仿宋" w:eastAsia="仿宋"/>
          <w:sz w:val="28"/>
          <w:szCs w:val="28"/>
          <w:lang w:val="en-US" w:eastAsia="zh-CN"/>
        </w:rPr>
        <w:t>三率</w:t>
      </w:r>
      <w:r>
        <w:rPr>
          <w:rFonts w:hint="eastAsia" w:ascii="仿宋" w:hAnsi="仿宋" w:eastAsia="仿宋"/>
          <w:sz w:val="28"/>
          <w:szCs w:val="28"/>
          <w:lang w:eastAsia="zh-CN"/>
        </w:rPr>
        <w:t>”</w:t>
      </w:r>
      <w:r>
        <w:rPr>
          <w:rFonts w:hint="eastAsia" w:ascii="仿宋" w:hAnsi="仿宋" w:eastAsia="仿宋"/>
          <w:sz w:val="28"/>
          <w:szCs w:val="28"/>
        </w:rPr>
        <w:t>均明显提升，主要矿种“三率”指标达到</w:t>
      </w:r>
      <w:r>
        <w:rPr>
          <w:rFonts w:hint="eastAsia" w:ascii="仿宋" w:hAnsi="仿宋" w:eastAsia="仿宋"/>
          <w:sz w:val="28"/>
          <w:szCs w:val="28"/>
          <w:lang w:val="en-US" w:eastAsia="zh-CN"/>
        </w:rPr>
        <w:t>国家和省级规定最低指标</w:t>
      </w:r>
      <w:r>
        <w:rPr>
          <w:rFonts w:hint="eastAsia" w:ascii="仿宋" w:hAnsi="仿宋" w:eastAsia="仿宋"/>
          <w:sz w:val="28"/>
          <w:szCs w:val="28"/>
        </w:rPr>
        <w:t>要求。矿产资源节约与综合利用的先进适用技术示范推广成效明显，矿山“三废”综合利用成效明显</w:t>
      </w:r>
      <w:r>
        <w:rPr>
          <w:rFonts w:hint="eastAsia" w:ascii="仿宋" w:hAnsi="仿宋" w:eastAsia="仿宋"/>
          <w:sz w:val="28"/>
          <w:szCs w:val="28"/>
          <w:lang w:eastAsia="zh-CN"/>
        </w:rPr>
        <w:t>。</w:t>
      </w:r>
    </w:p>
    <w:p>
      <w:pPr>
        <w:pageBreakBefore w:val="0"/>
        <w:kinsoku/>
        <w:wordWrap/>
        <w:overflowPunct/>
        <w:topLinePunct w:val="0"/>
        <w:bidi w:val="0"/>
        <w:snapToGrid w:val="0"/>
        <w:spacing w:line="360" w:lineRule="auto"/>
        <w:ind w:firstLine="562" w:firstLineChars="200"/>
      </w:pPr>
      <w:r>
        <w:rPr>
          <w:rFonts w:ascii="仿宋" w:hAnsi="仿宋" w:eastAsia="仿宋"/>
          <w:b/>
          <w:sz w:val="28"/>
          <w:szCs w:val="28"/>
        </w:rPr>
        <w:t>准入条件得到了严格执行</w:t>
      </w:r>
      <w:r>
        <w:rPr>
          <w:rFonts w:hint="eastAsia" w:ascii="仿宋" w:hAnsi="仿宋" w:eastAsia="仿宋"/>
          <w:b/>
          <w:sz w:val="28"/>
          <w:szCs w:val="28"/>
        </w:rPr>
        <w:t>。</w:t>
      </w:r>
      <w:r>
        <w:rPr>
          <w:rFonts w:hint="eastAsia" w:ascii="Times New Roman" w:hAnsi="Times New Roman" w:eastAsia="仿宋_GB2312" w:cs="Times New Roman"/>
          <w:color w:val="auto"/>
          <w:kern w:val="2"/>
          <w:sz w:val="28"/>
          <w:szCs w:val="28"/>
          <w:lang w:val="en-US" w:eastAsia="zh-CN" w:bidi="ar-SA"/>
        </w:rPr>
        <w:t>上轮规划中的重点、限制、禁止性的功能分区得到了全面落实，新设矿权已避让生态红线和基本农田，符合现行矿产资源规划要求。新建矿山最小规模和最低服务年限及其他准入条件得到了全面执行，矿产资源规划执行力度得到了全面提升。</w:t>
      </w:r>
    </w:p>
    <w:p>
      <w:pPr>
        <w:pageBreakBefore w:val="0"/>
        <w:numPr>
          <w:ilvl w:val="0"/>
          <w:numId w:val="0"/>
        </w:numPr>
        <w:kinsoku/>
        <w:wordWrap/>
        <w:overflowPunct/>
        <w:topLinePunct w:val="0"/>
        <w:bidi w:val="0"/>
        <w:adjustRightInd w:val="0"/>
        <w:snapToGrid w:val="0"/>
        <w:spacing w:line="360" w:lineRule="auto"/>
        <w:ind w:firstLine="562" w:firstLineChars="200"/>
        <w:rPr>
          <w:rFonts w:hint="eastAsia" w:ascii="仿宋" w:hAnsi="仿宋" w:eastAsia="仿宋"/>
          <w:sz w:val="28"/>
          <w:szCs w:val="28"/>
          <w:lang w:eastAsia="zh-CN"/>
        </w:rPr>
      </w:pPr>
      <w:r>
        <w:rPr>
          <w:rFonts w:ascii="仿宋" w:hAnsi="仿宋" w:eastAsia="仿宋"/>
          <w:b/>
          <w:sz w:val="28"/>
          <w:szCs w:val="28"/>
        </w:rPr>
        <w:t>绿色矿山建设</w:t>
      </w:r>
      <w:r>
        <w:rPr>
          <w:rFonts w:hint="eastAsia" w:ascii="仿宋" w:hAnsi="仿宋" w:eastAsia="仿宋"/>
          <w:b/>
          <w:sz w:val="28"/>
          <w:szCs w:val="28"/>
          <w:lang w:val="en-US" w:eastAsia="zh-CN"/>
        </w:rPr>
        <w:t>初见成效</w:t>
      </w:r>
      <w:r>
        <w:rPr>
          <w:rFonts w:hint="eastAsia" w:ascii="仿宋" w:hAnsi="仿宋" w:eastAsia="仿宋"/>
          <w:b/>
          <w:sz w:val="28"/>
          <w:szCs w:val="28"/>
        </w:rPr>
        <w:t>。</w:t>
      </w:r>
      <w:r>
        <w:rPr>
          <w:rFonts w:hint="eastAsia" w:ascii="Times New Roman" w:hAnsi="Times New Roman" w:eastAsia="仿宋_GB2312" w:cs="Times New Roman"/>
          <w:color w:val="auto"/>
          <w:kern w:val="2"/>
          <w:sz w:val="28"/>
          <w:szCs w:val="28"/>
          <w:lang w:val="en-US" w:eastAsia="zh-CN" w:bidi="ar-SA"/>
        </w:rPr>
        <w:t>推进绿色矿山建设，</w:t>
      </w:r>
      <w:r>
        <w:rPr>
          <w:rFonts w:hint="eastAsia" w:ascii="仿宋" w:hAnsi="仿宋" w:eastAsia="仿宋"/>
          <w:sz w:val="28"/>
          <w:szCs w:val="28"/>
          <w:lang w:val="en-US" w:eastAsia="zh-CN"/>
        </w:rPr>
        <w:t>截止到2020年底，全县共建成绿色矿山4个，</w:t>
      </w:r>
      <w:r>
        <w:rPr>
          <w:rFonts w:hint="eastAsia" w:ascii="Times New Roman" w:hAnsi="Times New Roman" w:eastAsia="仿宋_GB2312" w:cs="Times New Roman"/>
          <w:color w:val="auto"/>
          <w:kern w:val="2"/>
          <w:sz w:val="28"/>
          <w:szCs w:val="28"/>
          <w:lang w:val="en-US" w:eastAsia="zh-CN" w:bidi="ar-SA"/>
        </w:rPr>
        <w:t>新建矿山按照绿色矿山标准要求进行规划、设计、建设和运营管理，生产矿山加快改造升级，逐步达到绿色矿山建设要求。</w:t>
      </w:r>
    </w:p>
    <w:p>
      <w:pPr>
        <w:pageBreakBefore w:val="0"/>
        <w:kinsoku/>
        <w:wordWrap/>
        <w:overflowPunct/>
        <w:topLinePunct w:val="0"/>
        <w:bidi w:val="0"/>
        <w:snapToGrid w:val="0"/>
        <w:spacing w:line="360" w:lineRule="auto"/>
        <w:ind w:firstLine="562" w:firstLineChars="200"/>
        <w:rPr>
          <w:rFonts w:hint="eastAsia" w:eastAsia="仿宋"/>
          <w:strike w:val="0"/>
          <w:dstrike w:val="0"/>
          <w:color w:val="auto"/>
          <w:lang w:eastAsia="zh-CN"/>
        </w:rPr>
      </w:pPr>
      <w:r>
        <w:rPr>
          <w:rFonts w:ascii="仿宋" w:hAnsi="仿宋" w:eastAsia="仿宋"/>
          <w:b/>
          <w:strike w:val="0"/>
          <w:dstrike w:val="0"/>
          <w:color w:val="auto"/>
          <w:sz w:val="28"/>
          <w:szCs w:val="28"/>
        </w:rPr>
        <w:t>矿山地质环境治理成果突出</w:t>
      </w:r>
      <w:r>
        <w:rPr>
          <w:rFonts w:hint="eastAsia" w:ascii="仿宋" w:hAnsi="仿宋" w:eastAsia="仿宋"/>
          <w:b/>
          <w:strike w:val="0"/>
          <w:dstrike w:val="0"/>
          <w:color w:val="auto"/>
          <w:sz w:val="28"/>
          <w:szCs w:val="28"/>
          <w:lang w:eastAsia="zh-CN"/>
        </w:rPr>
        <w:t>。</w:t>
      </w:r>
      <w:r>
        <w:rPr>
          <w:rFonts w:hint="eastAsia" w:ascii="仿宋" w:hAnsi="仿宋" w:eastAsia="仿宋"/>
          <w:strike w:val="0"/>
          <w:dstrike w:val="0"/>
          <w:color w:val="auto"/>
          <w:sz w:val="28"/>
          <w:szCs w:val="28"/>
        </w:rPr>
        <w:t>构建矿山地质环境治理恢复和土地复垦新机制，形成管理规范、责权统一、使用便利的矿山环境治理恢复基金，建立动态监管机制，确保环境恢复和土地复垦达到标准。建立矿山地质环境治理新模式，完善矿山地质环境监测体系建设。</w:t>
      </w:r>
    </w:p>
    <w:p>
      <w:pPr>
        <w:pStyle w:val="4"/>
        <w:pageBreakBefore w:val="0"/>
        <w:kinsoku/>
        <w:wordWrap/>
        <w:overflowPunct/>
        <w:topLinePunct w:val="0"/>
        <w:bidi w:val="0"/>
        <w:adjustRightInd w:val="0"/>
        <w:snapToGrid w:val="0"/>
        <w:spacing w:beforeLines="0" w:afterLines="0" w:line="360" w:lineRule="auto"/>
        <w:rPr>
          <w:rFonts w:hint="eastAsia" w:ascii="黑体" w:hAnsi="黑体" w:eastAsia="黑体" w:cs="黑体"/>
          <w:color w:val="auto"/>
          <w:highlight w:val="none"/>
          <w:lang w:eastAsia="zh-CN"/>
        </w:rPr>
      </w:pPr>
      <w:bookmarkStart w:id="8" w:name="_Toc9937"/>
      <w:r>
        <w:rPr>
          <w:rFonts w:hint="eastAsia" w:ascii="黑体" w:hAnsi="黑体" w:eastAsia="黑体" w:cs="黑体"/>
          <w:color w:val="auto"/>
          <w:highlight w:val="none"/>
          <w:lang w:eastAsia="zh-CN"/>
        </w:rPr>
        <w:t>第二节</w:t>
      </w:r>
      <w:r>
        <w:rPr>
          <w:rFonts w:hint="eastAsia" w:ascii="黑体" w:hAnsi="黑体" w:eastAsia="黑体" w:cs="黑体"/>
          <w:color w:val="auto"/>
          <w:highlight w:val="none"/>
          <w:lang w:val="en-US" w:eastAsia="zh-CN"/>
        </w:rPr>
        <w:t xml:space="preserve"> 存在问题</w:t>
      </w:r>
      <w:bookmarkEnd w:id="8"/>
    </w:p>
    <w:p>
      <w:pPr>
        <w:keepNext w:val="0"/>
        <w:keepLines w:val="0"/>
        <w:pageBreakBefore w:val="0"/>
        <w:widowControl/>
        <w:kinsoku/>
        <w:wordWrap/>
        <w:overflowPunct/>
        <w:topLinePunct w:val="0"/>
        <w:autoSpaceDE/>
        <w:autoSpaceDN/>
        <w:bidi w:val="0"/>
        <w:adjustRightInd/>
        <w:snapToGrid w:val="0"/>
        <w:spacing w:line="360" w:lineRule="auto"/>
        <w:ind w:firstLine="562" w:firstLineChars="200"/>
        <w:textAlignment w:val="auto"/>
        <w:rPr>
          <w:rFonts w:hint="eastAsia" w:ascii="Times New Roman" w:hAnsi="Times New Roman" w:eastAsia="仿宋_GB2312" w:cs="Times New Roman"/>
          <w:b/>
          <w:bCs/>
          <w:color w:val="0000FF"/>
          <w:kern w:val="2"/>
          <w:sz w:val="28"/>
          <w:szCs w:val="28"/>
          <w:highlight w:val="none"/>
          <w:lang w:eastAsia="zh-CN"/>
        </w:rPr>
      </w:pPr>
      <w:r>
        <w:rPr>
          <w:rFonts w:hint="eastAsia" w:ascii="仿宋" w:hAnsi="仿宋" w:eastAsia="仿宋"/>
          <w:b/>
          <w:sz w:val="28"/>
          <w:szCs w:val="28"/>
          <w:lang w:val="en-US" w:eastAsia="zh-CN"/>
        </w:rPr>
        <w:t>非金属地质勘查程度薄弱。</w:t>
      </w:r>
      <w:r>
        <w:rPr>
          <w:rFonts w:hint="eastAsia" w:ascii="仿宋" w:hAnsi="仿宋" w:eastAsia="仿宋"/>
          <w:sz w:val="28"/>
          <w:szCs w:val="28"/>
          <w:lang w:val="en-US" w:eastAsia="zh-CN"/>
        </w:rPr>
        <w:t>全县贵金属</w:t>
      </w:r>
      <w:r>
        <w:rPr>
          <w:rFonts w:hint="eastAsia" w:ascii="仿宋" w:hAnsi="仿宋" w:eastAsia="仿宋"/>
          <w:sz w:val="28"/>
          <w:szCs w:val="28"/>
        </w:rPr>
        <w:t>、</w:t>
      </w:r>
      <w:r>
        <w:rPr>
          <w:rFonts w:hint="eastAsia" w:ascii="仿宋" w:hAnsi="仿宋" w:eastAsia="仿宋"/>
          <w:sz w:val="28"/>
          <w:szCs w:val="28"/>
          <w:lang w:val="en-US" w:eastAsia="zh-CN"/>
        </w:rPr>
        <w:t>有色金属资源</w:t>
      </w:r>
      <w:r>
        <w:rPr>
          <w:rFonts w:hint="eastAsia" w:ascii="仿宋" w:hAnsi="仿宋" w:eastAsia="仿宋"/>
          <w:sz w:val="28"/>
          <w:szCs w:val="28"/>
        </w:rPr>
        <w:t>勘查程度较高</w:t>
      </w:r>
      <w:r>
        <w:rPr>
          <w:rFonts w:hint="eastAsia" w:ascii="仿宋" w:hAnsi="仿宋" w:eastAsia="仿宋"/>
          <w:sz w:val="28"/>
          <w:szCs w:val="28"/>
          <w:lang w:eastAsia="zh-CN"/>
        </w:rPr>
        <w:t>，</w:t>
      </w:r>
      <w:r>
        <w:rPr>
          <w:rFonts w:hint="eastAsia" w:ascii="仿宋" w:hAnsi="仿宋" w:eastAsia="仿宋"/>
          <w:sz w:val="28"/>
          <w:szCs w:val="28"/>
          <w:lang w:val="en-US" w:eastAsia="zh-CN"/>
        </w:rPr>
        <w:t>但大理岩（熔剂用）、脉石英、冶金用白云岩等非金属矿产勘查程度相对薄弱，金属与非金属勘查程度不平衡。</w:t>
      </w:r>
    </w:p>
    <w:p>
      <w:pPr>
        <w:pageBreakBefore w:val="0"/>
        <w:kinsoku/>
        <w:wordWrap/>
        <w:overflowPunct/>
        <w:topLinePunct w:val="0"/>
        <w:bidi w:val="0"/>
        <w:snapToGrid w:val="0"/>
        <w:spacing w:line="360" w:lineRule="auto"/>
        <w:ind w:firstLine="562" w:firstLineChars="200"/>
        <w:jc w:val="both"/>
        <w:rPr>
          <w:rFonts w:hint="eastAsia" w:ascii="仿宋" w:hAnsi="仿宋" w:eastAsia="仿宋"/>
          <w:sz w:val="28"/>
          <w:szCs w:val="28"/>
        </w:rPr>
      </w:pPr>
      <w:r>
        <w:rPr>
          <w:rFonts w:hint="eastAsia" w:ascii="仿宋" w:hAnsi="仿宋" w:eastAsia="仿宋"/>
          <w:b/>
          <w:sz w:val="28"/>
          <w:szCs w:val="28"/>
          <w:lang w:val="en-US" w:eastAsia="zh-CN"/>
        </w:rPr>
        <w:t>矿产资源综合利用水平仍需提高。</w:t>
      </w:r>
      <w:r>
        <w:rPr>
          <w:rFonts w:hint="eastAsia" w:ascii="仿宋" w:hAnsi="仿宋" w:eastAsia="仿宋"/>
          <w:sz w:val="28"/>
          <w:szCs w:val="28"/>
        </w:rPr>
        <w:t>全</w:t>
      </w:r>
      <w:r>
        <w:rPr>
          <w:rFonts w:hint="eastAsia" w:ascii="仿宋" w:hAnsi="仿宋" w:eastAsia="仿宋"/>
          <w:sz w:val="28"/>
          <w:szCs w:val="28"/>
          <w:lang w:val="en-US" w:eastAsia="zh-CN"/>
        </w:rPr>
        <w:t>县</w:t>
      </w:r>
      <w:r>
        <w:rPr>
          <w:rFonts w:hint="eastAsia" w:ascii="仿宋" w:hAnsi="仿宋" w:eastAsia="仿宋"/>
          <w:sz w:val="28"/>
          <w:szCs w:val="28"/>
        </w:rPr>
        <w:t>矿业产业链</w:t>
      </w:r>
      <w:r>
        <w:rPr>
          <w:rFonts w:hint="eastAsia" w:ascii="仿宋" w:hAnsi="仿宋" w:eastAsia="仿宋"/>
          <w:sz w:val="28"/>
          <w:szCs w:val="28"/>
          <w:lang w:val="en-US" w:eastAsia="zh-CN"/>
        </w:rPr>
        <w:t>总体以</w:t>
      </w:r>
      <w:r>
        <w:rPr>
          <w:rFonts w:hint="eastAsia" w:ascii="仿宋" w:hAnsi="仿宋" w:eastAsia="仿宋"/>
          <w:sz w:val="28"/>
          <w:szCs w:val="28"/>
        </w:rPr>
        <w:t>低端</w:t>
      </w:r>
      <w:r>
        <w:rPr>
          <w:rFonts w:hint="eastAsia" w:ascii="仿宋" w:hAnsi="仿宋" w:eastAsia="仿宋"/>
          <w:sz w:val="28"/>
          <w:szCs w:val="28"/>
          <w:lang w:eastAsia="zh-CN"/>
        </w:rPr>
        <w:t>、</w:t>
      </w:r>
      <w:r>
        <w:rPr>
          <w:rFonts w:hint="eastAsia" w:ascii="仿宋" w:hAnsi="仿宋" w:eastAsia="仿宋"/>
          <w:sz w:val="28"/>
          <w:szCs w:val="28"/>
        </w:rPr>
        <w:t>粗加工为主，矿产品附加值较低；分类利用资源效益没有得到充分发挥；存在优质</w:t>
      </w:r>
      <w:r>
        <w:rPr>
          <w:rFonts w:hint="eastAsia" w:ascii="仿宋" w:hAnsi="仿宋" w:eastAsia="仿宋"/>
          <w:sz w:val="28"/>
          <w:szCs w:val="28"/>
          <w:lang w:val="en-US" w:eastAsia="zh-CN"/>
        </w:rPr>
        <w:t>大理岩</w:t>
      </w:r>
      <w:r>
        <w:rPr>
          <w:rFonts w:hint="eastAsia" w:ascii="仿宋" w:hAnsi="仿宋" w:eastAsia="仿宋"/>
          <w:sz w:val="28"/>
          <w:szCs w:val="28"/>
        </w:rPr>
        <w:t>“高矿低用”现象，资源优势尚未完全转变为</w:t>
      </w:r>
      <w:r>
        <w:rPr>
          <w:rFonts w:hint="eastAsia" w:ascii="仿宋" w:hAnsi="仿宋" w:eastAsia="仿宋"/>
          <w:sz w:val="28"/>
          <w:szCs w:val="28"/>
          <w:lang w:val="en-US" w:eastAsia="zh-CN"/>
        </w:rPr>
        <w:t>经</w:t>
      </w:r>
      <w:r>
        <w:rPr>
          <w:rFonts w:hint="eastAsia" w:ascii="仿宋" w:hAnsi="仿宋" w:eastAsia="仿宋"/>
          <w:sz w:val="28"/>
          <w:szCs w:val="28"/>
        </w:rPr>
        <w:t>济优势。</w:t>
      </w:r>
    </w:p>
    <w:p>
      <w:pPr>
        <w:keepNext w:val="0"/>
        <w:keepLines w:val="0"/>
        <w:pageBreakBefore w:val="0"/>
        <w:widowControl/>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sz w:val="28"/>
          <w:szCs w:val="28"/>
        </w:rPr>
      </w:pPr>
      <w:r>
        <w:rPr>
          <w:rFonts w:hint="eastAsia" w:ascii="仿宋" w:hAnsi="仿宋" w:eastAsia="仿宋"/>
          <w:b/>
          <w:sz w:val="28"/>
          <w:szCs w:val="28"/>
          <w:lang w:val="en-US" w:eastAsia="zh-CN"/>
        </w:rPr>
        <w:t>矿山地质环境恢复治理任务依然艰巨。</w:t>
      </w:r>
      <w:r>
        <w:rPr>
          <w:rFonts w:hint="eastAsia" w:ascii="仿宋" w:hAnsi="仿宋" w:eastAsia="仿宋"/>
          <w:sz w:val="28"/>
          <w:szCs w:val="28"/>
        </w:rPr>
        <w:t>绿色矿山</w:t>
      </w:r>
      <w:r>
        <w:rPr>
          <w:rFonts w:hint="eastAsia" w:ascii="仿宋" w:hAnsi="仿宋" w:eastAsia="仿宋"/>
          <w:sz w:val="28"/>
          <w:szCs w:val="28"/>
          <w:lang w:val="en-US" w:eastAsia="zh-CN"/>
        </w:rPr>
        <w:t>数量</w:t>
      </w:r>
      <w:r>
        <w:rPr>
          <w:rFonts w:hint="eastAsia" w:ascii="仿宋" w:hAnsi="仿宋" w:eastAsia="仿宋"/>
          <w:sz w:val="28"/>
          <w:szCs w:val="28"/>
        </w:rPr>
        <w:t>、大中型矿山比例、“三率”达标率和矿山地质环境恢复治理率仍有提</w:t>
      </w:r>
      <w:r>
        <w:rPr>
          <w:rFonts w:hint="eastAsia" w:ascii="仿宋" w:hAnsi="仿宋" w:eastAsia="仿宋"/>
          <w:sz w:val="28"/>
          <w:szCs w:val="28"/>
          <w:lang w:val="en-US" w:eastAsia="zh-CN"/>
        </w:rPr>
        <w:t>升</w:t>
      </w:r>
      <w:r>
        <w:rPr>
          <w:rFonts w:hint="eastAsia" w:ascii="仿宋" w:hAnsi="仿宋" w:eastAsia="仿宋"/>
          <w:sz w:val="28"/>
          <w:szCs w:val="28"/>
        </w:rPr>
        <w:t>空间，</w:t>
      </w:r>
      <w:r>
        <w:rPr>
          <w:rFonts w:hint="eastAsia" w:ascii="仿宋" w:hAnsi="仿宋" w:eastAsia="仿宋"/>
          <w:sz w:val="28"/>
          <w:szCs w:val="28"/>
          <w:lang w:val="en-US" w:eastAsia="zh-CN"/>
        </w:rPr>
        <w:t>矿业</w:t>
      </w:r>
      <w:r>
        <w:rPr>
          <w:rFonts w:hint="eastAsia" w:ascii="仿宋" w:hAnsi="仿宋" w:eastAsia="仿宋"/>
          <w:sz w:val="28"/>
          <w:szCs w:val="28"/>
        </w:rPr>
        <w:t>权人保护与治理的责任意识和积极性需进一步提高。</w:t>
      </w:r>
    </w:p>
    <w:p>
      <w:pPr>
        <w:pStyle w:val="4"/>
        <w:pageBreakBefore w:val="0"/>
        <w:kinsoku/>
        <w:wordWrap/>
        <w:overflowPunct/>
        <w:topLinePunct w:val="0"/>
        <w:bidi w:val="0"/>
        <w:adjustRightInd w:val="0"/>
        <w:snapToGrid w:val="0"/>
        <w:spacing w:line="360" w:lineRule="auto"/>
        <w:rPr>
          <w:rFonts w:hint="eastAsia" w:ascii="黑体" w:hAnsi="黑体" w:eastAsia="黑体" w:cs="黑体"/>
          <w:color w:val="auto"/>
          <w:highlight w:val="none"/>
          <w:lang w:eastAsia="zh-CN"/>
        </w:rPr>
      </w:pPr>
      <w:bookmarkStart w:id="9" w:name="_Toc14437"/>
      <w:r>
        <w:rPr>
          <w:rFonts w:hint="eastAsia" w:ascii="黑体" w:hAnsi="黑体" w:eastAsia="黑体" w:cs="黑体"/>
          <w:color w:val="auto"/>
          <w:highlight w:val="none"/>
          <w:lang w:eastAsia="zh-CN"/>
        </w:rPr>
        <w:t>第三节</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lang w:eastAsia="zh-CN"/>
        </w:rPr>
        <w:t>形势及要求</w:t>
      </w:r>
      <w:bookmarkEnd w:id="9"/>
    </w:p>
    <w:p>
      <w:pPr>
        <w:pageBreakBefore w:val="0"/>
        <w:kinsoku/>
        <w:wordWrap/>
        <w:overflowPunct/>
        <w:topLinePunct w:val="0"/>
        <w:bidi w:val="0"/>
        <w:snapToGrid w:val="0"/>
        <w:spacing w:line="360" w:lineRule="auto"/>
        <w:ind w:firstLine="562" w:firstLineChars="200"/>
        <w:rPr>
          <w:rFonts w:hint="eastAsia" w:ascii="仿宋_GB2312" w:hAnsi="宋体" w:eastAsia="仿宋_GB2312"/>
          <w:b/>
          <w:bCs/>
          <w:color w:val="auto"/>
          <w:sz w:val="28"/>
          <w:szCs w:val="28"/>
          <w:highlight w:val="none"/>
          <w:lang w:val="en-US" w:eastAsia="zh-CN"/>
        </w:rPr>
      </w:pPr>
      <w:r>
        <w:rPr>
          <w:rFonts w:hint="eastAsia" w:ascii="仿宋_GB2312" w:hAnsi="宋体" w:eastAsia="仿宋_GB2312"/>
          <w:b/>
          <w:bCs/>
          <w:color w:val="auto"/>
          <w:sz w:val="28"/>
          <w:szCs w:val="28"/>
          <w:highlight w:val="none"/>
          <w:lang w:val="en-US" w:eastAsia="zh-CN"/>
        </w:rPr>
        <w:t>一、面临的形势</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sz w:val="28"/>
          <w:szCs w:val="28"/>
        </w:rPr>
      </w:pPr>
      <w:r>
        <w:rPr>
          <w:rFonts w:hint="eastAsia" w:ascii="仿宋" w:hAnsi="仿宋" w:eastAsia="仿宋"/>
          <w:sz w:val="28"/>
          <w:szCs w:val="28"/>
        </w:rPr>
        <w:t>从省、市发展看，</w:t>
      </w:r>
      <w:r>
        <w:rPr>
          <w:rFonts w:hint="eastAsia" w:ascii="仿宋" w:hAnsi="仿宋" w:eastAsia="仿宋"/>
          <w:sz w:val="28"/>
          <w:szCs w:val="28"/>
          <w:lang w:val="en-US" w:eastAsia="zh-CN"/>
        </w:rPr>
        <w:t>河南省</w:t>
      </w:r>
      <w:r>
        <w:rPr>
          <w:rFonts w:hint="eastAsia" w:ascii="仿宋" w:hAnsi="仿宋" w:eastAsia="仿宋"/>
          <w:sz w:val="28"/>
          <w:szCs w:val="28"/>
        </w:rPr>
        <w:t>提出要抓好国家构建新发展格局、促进中部地区崛起、推动黄河流域生态保护和高质量发展三大战略，坚持“两个高质量”，建成“四个强省、一个高地、一个家园”的现代化河南。</w:t>
      </w:r>
      <w:r>
        <w:rPr>
          <w:rFonts w:hint="eastAsia" w:ascii="仿宋" w:hAnsi="仿宋" w:eastAsia="仿宋"/>
          <w:sz w:val="28"/>
          <w:szCs w:val="28"/>
          <w:lang w:val="en-US" w:eastAsia="zh-CN"/>
        </w:rPr>
        <w:t>南阳市</w:t>
      </w:r>
      <w:r>
        <w:rPr>
          <w:rFonts w:hint="eastAsia" w:ascii="仿宋" w:hAnsi="仿宋" w:eastAsia="仿宋"/>
          <w:sz w:val="28"/>
          <w:szCs w:val="28"/>
        </w:rPr>
        <w:t>提出深入实施“两轮两翼”战略，重抓重推“九大专项”，建设“五个高地、一个家园”的现代化南阳，成为省域副中心城市。</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sz w:val="28"/>
          <w:szCs w:val="28"/>
        </w:rPr>
      </w:pPr>
      <w:r>
        <w:rPr>
          <w:rFonts w:hint="eastAsia" w:ascii="仿宋" w:hAnsi="仿宋" w:eastAsia="仿宋"/>
          <w:sz w:val="28"/>
          <w:szCs w:val="28"/>
        </w:rPr>
        <w:t>从县发展看，“十四五”期间应持续厚植三大优势，抓牢三大机遇，积极应对三个挑战，为县域经济高质量发展和全面建设社会主义现代化新征程奠定坚实基础。</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sz w:val="28"/>
          <w:szCs w:val="28"/>
          <w:lang w:eastAsia="zh-CN"/>
        </w:rPr>
      </w:pPr>
      <w:r>
        <w:rPr>
          <w:rFonts w:hint="eastAsia" w:ascii="仿宋" w:hAnsi="仿宋" w:eastAsia="仿宋"/>
          <w:sz w:val="28"/>
          <w:szCs w:val="28"/>
          <w:lang w:eastAsia="zh-CN"/>
        </w:rPr>
        <w:t>总体上，</w:t>
      </w:r>
      <w:r>
        <w:rPr>
          <w:rFonts w:hint="eastAsia" w:ascii="仿宋" w:hAnsi="仿宋" w:eastAsia="仿宋"/>
          <w:sz w:val="28"/>
          <w:szCs w:val="28"/>
        </w:rPr>
        <w:t>“十四五”时期</w:t>
      </w:r>
      <w:r>
        <w:rPr>
          <w:rFonts w:hint="eastAsia" w:ascii="仿宋" w:hAnsi="仿宋" w:eastAsia="仿宋"/>
          <w:sz w:val="28"/>
          <w:szCs w:val="28"/>
          <w:lang w:eastAsia="zh-CN"/>
        </w:rPr>
        <w:t>，</w:t>
      </w:r>
      <w:r>
        <w:rPr>
          <w:rFonts w:hint="eastAsia" w:ascii="仿宋" w:hAnsi="仿宋" w:eastAsia="仿宋"/>
          <w:sz w:val="28"/>
          <w:szCs w:val="28"/>
        </w:rPr>
        <w:t>机遇大于挑战，</w:t>
      </w:r>
      <w:r>
        <w:rPr>
          <w:rFonts w:hint="eastAsia" w:ascii="仿宋" w:hAnsi="仿宋" w:eastAsia="仿宋"/>
          <w:sz w:val="28"/>
          <w:szCs w:val="28"/>
          <w:lang w:eastAsia="zh-CN"/>
        </w:rPr>
        <w:t>西峡县</w:t>
      </w:r>
      <w:r>
        <w:rPr>
          <w:rFonts w:hint="eastAsia" w:ascii="仿宋" w:hAnsi="仿宋" w:eastAsia="仿宋"/>
          <w:sz w:val="28"/>
          <w:szCs w:val="28"/>
        </w:rPr>
        <w:t>发展仍处于大有可为的重要战略机遇期。必须深入贯彻新发展理念，科学把握新发展阶段，主动融入新发展格局，准确研判国内发展态势，充分发挥自身优势，着力破解突出矛盾，推进经济社会全面转型，为西峡</w:t>
      </w:r>
      <w:r>
        <w:rPr>
          <w:rFonts w:hint="eastAsia" w:ascii="仿宋" w:hAnsi="仿宋" w:eastAsia="仿宋"/>
          <w:sz w:val="28"/>
          <w:szCs w:val="28"/>
          <w:lang w:val="en-US" w:eastAsia="zh-CN"/>
        </w:rPr>
        <w:t>县</w:t>
      </w:r>
      <w:r>
        <w:rPr>
          <w:rFonts w:hint="eastAsia" w:ascii="仿宋" w:hAnsi="仿宋" w:eastAsia="仿宋"/>
          <w:sz w:val="28"/>
          <w:szCs w:val="28"/>
        </w:rPr>
        <w:t>未来发展定位谋方向。</w:t>
      </w:r>
    </w:p>
    <w:p>
      <w:pPr>
        <w:pageBreakBefore w:val="0"/>
        <w:kinsoku/>
        <w:wordWrap/>
        <w:overflowPunct/>
        <w:topLinePunct w:val="0"/>
        <w:bidi w:val="0"/>
        <w:snapToGrid w:val="0"/>
        <w:spacing w:line="360" w:lineRule="auto"/>
        <w:ind w:firstLine="562" w:firstLineChars="200"/>
        <w:rPr>
          <w:rFonts w:hint="eastAsia" w:ascii="仿宋_GB2312" w:hAnsi="宋体" w:eastAsia="仿宋_GB2312"/>
          <w:b/>
          <w:bCs/>
          <w:color w:val="auto"/>
          <w:sz w:val="28"/>
          <w:szCs w:val="28"/>
          <w:highlight w:val="none"/>
          <w:lang w:val="en-US" w:eastAsia="zh-CN"/>
        </w:rPr>
      </w:pPr>
      <w:r>
        <w:rPr>
          <w:rFonts w:hint="eastAsia" w:ascii="仿宋_GB2312" w:hAnsi="宋体" w:eastAsia="仿宋_GB2312"/>
          <w:b/>
          <w:bCs/>
          <w:color w:val="auto"/>
          <w:sz w:val="28"/>
          <w:szCs w:val="28"/>
          <w:highlight w:val="none"/>
          <w:lang w:val="en-US" w:eastAsia="zh-CN"/>
        </w:rPr>
        <w:t>二、对矿业发展的要求</w:t>
      </w:r>
    </w:p>
    <w:p>
      <w:pPr>
        <w:pageBreakBefore w:val="0"/>
        <w:kinsoku/>
        <w:wordWrap/>
        <w:overflowPunct/>
        <w:topLinePunct w:val="0"/>
        <w:bidi w:val="0"/>
        <w:snapToGrid w:val="0"/>
        <w:spacing w:line="360" w:lineRule="auto"/>
        <w:ind w:firstLine="562" w:firstLineChars="200"/>
        <w:rPr>
          <w:rFonts w:hint="eastAsia" w:ascii="仿宋" w:hAnsi="仿宋" w:eastAsia="仿宋"/>
          <w:sz w:val="28"/>
          <w:szCs w:val="28"/>
        </w:rPr>
      </w:pPr>
      <w:r>
        <w:rPr>
          <w:rFonts w:hint="eastAsia" w:ascii="Times New Roman" w:hAnsi="Times New Roman" w:eastAsia="仿宋_GB2312" w:cs="Times New Roman"/>
          <w:b/>
          <w:kern w:val="2"/>
          <w:sz w:val="28"/>
          <w:szCs w:val="28"/>
          <w:lang w:eastAsia="zh-CN"/>
        </w:rPr>
        <w:t>经济</w:t>
      </w:r>
      <w:r>
        <w:rPr>
          <w:rFonts w:hint="eastAsia" w:ascii="Times New Roman" w:hAnsi="Times New Roman" w:eastAsia="仿宋_GB2312" w:cs="Times New Roman"/>
          <w:b/>
          <w:kern w:val="2"/>
          <w:sz w:val="28"/>
          <w:szCs w:val="28"/>
        </w:rPr>
        <w:t>高质量发展要求矿业</w:t>
      </w:r>
      <w:r>
        <w:rPr>
          <w:rFonts w:hint="eastAsia" w:ascii="Times New Roman" w:hAnsi="Times New Roman" w:eastAsia="仿宋_GB2312" w:cs="Times New Roman"/>
          <w:b/>
          <w:kern w:val="2"/>
          <w:sz w:val="28"/>
          <w:szCs w:val="28"/>
          <w:lang w:eastAsia="zh-CN"/>
        </w:rPr>
        <w:t>提供保障</w:t>
      </w:r>
      <w:r>
        <w:rPr>
          <w:rFonts w:hint="eastAsia" w:ascii="Times New Roman" w:hAnsi="Times New Roman" w:eastAsia="仿宋_GB2312" w:cs="Times New Roman"/>
          <w:b/>
          <w:kern w:val="2"/>
          <w:sz w:val="28"/>
          <w:szCs w:val="28"/>
        </w:rPr>
        <w:t>。</w:t>
      </w:r>
      <w:r>
        <w:rPr>
          <w:rFonts w:hint="eastAsia" w:ascii="仿宋" w:hAnsi="仿宋" w:eastAsia="仿宋"/>
          <w:sz w:val="28"/>
          <w:szCs w:val="28"/>
          <w:lang w:eastAsia="zh-CN"/>
        </w:rPr>
        <w:t>西峡</w:t>
      </w:r>
      <w:r>
        <w:rPr>
          <w:rFonts w:hint="eastAsia" w:ascii="仿宋" w:hAnsi="仿宋" w:eastAsia="仿宋"/>
          <w:sz w:val="28"/>
          <w:szCs w:val="28"/>
        </w:rPr>
        <w:t>县</w:t>
      </w:r>
      <w:r>
        <w:rPr>
          <w:rFonts w:hint="eastAsia" w:ascii="仿宋" w:hAnsi="仿宋" w:eastAsia="仿宋"/>
          <w:sz w:val="28"/>
          <w:szCs w:val="28"/>
          <w:lang w:eastAsia="zh-CN"/>
        </w:rPr>
        <w:t>近五年</w:t>
      </w:r>
      <w:r>
        <w:rPr>
          <w:rFonts w:hint="eastAsia" w:ascii="仿宋" w:hAnsi="仿宋" w:eastAsia="仿宋"/>
          <w:sz w:val="28"/>
          <w:szCs w:val="28"/>
        </w:rPr>
        <w:t>经济社会发展呈现稳中有进、稳中向好的良好态势，</w:t>
      </w:r>
      <w:r>
        <w:rPr>
          <w:rFonts w:hint="eastAsia" w:ascii="仿宋" w:hAnsi="仿宋" w:eastAsia="仿宋"/>
          <w:sz w:val="28"/>
          <w:szCs w:val="28"/>
          <w:lang w:eastAsia="zh-CN"/>
        </w:rPr>
        <w:t>新时代</w:t>
      </w:r>
      <w:r>
        <w:rPr>
          <w:rFonts w:hint="eastAsia" w:ascii="仿宋" w:hAnsi="仿宋" w:eastAsia="仿宋"/>
          <w:sz w:val="28"/>
          <w:szCs w:val="28"/>
          <w:lang w:val="en-US" w:eastAsia="zh-CN"/>
        </w:rPr>
        <w:t>西峡县</w:t>
      </w:r>
      <w:r>
        <w:rPr>
          <w:rFonts w:hint="eastAsia" w:ascii="仿宋" w:hAnsi="仿宋" w:eastAsia="仿宋"/>
          <w:sz w:val="28"/>
          <w:szCs w:val="28"/>
        </w:rPr>
        <w:t>“</w:t>
      </w:r>
      <w:r>
        <w:rPr>
          <w:rFonts w:hint="eastAsia" w:ascii="仿宋" w:hAnsi="仿宋" w:eastAsia="仿宋"/>
          <w:sz w:val="28"/>
          <w:szCs w:val="28"/>
          <w:lang w:eastAsia="zh-CN"/>
        </w:rPr>
        <w:t>一</w:t>
      </w:r>
      <w:r>
        <w:rPr>
          <w:rFonts w:hint="eastAsia" w:ascii="仿宋" w:hAnsi="仿宋" w:eastAsia="仿宋"/>
          <w:sz w:val="28"/>
          <w:szCs w:val="28"/>
        </w:rPr>
        <w:t>主一新一特”现代产业体系构建</w:t>
      </w:r>
      <w:r>
        <w:rPr>
          <w:rFonts w:hint="eastAsia" w:ascii="仿宋" w:hAnsi="仿宋" w:eastAsia="仿宋"/>
          <w:sz w:val="28"/>
          <w:szCs w:val="28"/>
          <w:lang w:eastAsia="zh-CN"/>
        </w:rPr>
        <w:t>亟需矿业高质量发展，主导产业汽车零部件、新兴产业特钢的原材料和</w:t>
      </w:r>
      <w:r>
        <w:rPr>
          <w:rFonts w:hint="eastAsia" w:ascii="仿宋" w:hAnsi="仿宋" w:eastAsia="仿宋"/>
          <w:sz w:val="28"/>
          <w:szCs w:val="28"/>
          <w:lang w:val="en-US" w:eastAsia="zh-CN"/>
        </w:rPr>
        <w:t>熔剂冶金添加剂</w:t>
      </w:r>
      <w:r>
        <w:rPr>
          <w:rFonts w:hint="eastAsia" w:ascii="仿宋" w:hAnsi="仿宋" w:eastAsia="仿宋"/>
          <w:sz w:val="28"/>
          <w:szCs w:val="28"/>
          <w:lang w:eastAsia="zh-CN"/>
        </w:rPr>
        <w:t>都来自于矿产资源。</w:t>
      </w:r>
      <w:r>
        <w:rPr>
          <w:rFonts w:hint="eastAsia" w:ascii="仿宋" w:hAnsi="仿宋" w:eastAsia="仿宋"/>
          <w:sz w:val="28"/>
          <w:szCs w:val="28"/>
          <w:lang w:val="en-US" w:eastAsia="zh-CN"/>
        </w:rPr>
        <w:t>应发挥熔剂用大理岩、冶金用白云岩等非金属矿产</w:t>
      </w:r>
      <w:r>
        <w:rPr>
          <w:rFonts w:hint="eastAsia" w:ascii="仿宋" w:hAnsi="仿宋" w:eastAsia="仿宋"/>
          <w:sz w:val="28"/>
          <w:szCs w:val="28"/>
        </w:rPr>
        <w:t>资源优势，走原材料节约高效利用、产品高端高附加值的可持续发展之路，形成具有核心竞争力的高品质原料、高性能制品产业集群。</w:t>
      </w:r>
    </w:p>
    <w:p>
      <w:pPr>
        <w:pageBreakBefore w:val="0"/>
        <w:kinsoku/>
        <w:wordWrap/>
        <w:overflowPunct/>
        <w:topLinePunct w:val="0"/>
        <w:bidi w:val="0"/>
        <w:snapToGrid w:val="0"/>
        <w:spacing w:line="360" w:lineRule="auto"/>
        <w:ind w:firstLine="562" w:firstLineChars="200"/>
        <w:rPr>
          <w:rFonts w:hint="eastAsia" w:ascii="仿宋_GB2312" w:eastAsia="仿宋_GB2312"/>
          <w:color w:val="auto"/>
          <w:sz w:val="28"/>
          <w:szCs w:val="28"/>
          <w:highlight w:val="none"/>
          <w:lang w:eastAsia="zh-CN"/>
        </w:rPr>
      </w:pPr>
      <w:r>
        <w:rPr>
          <w:rFonts w:hint="eastAsia" w:ascii="Times New Roman" w:hAnsi="Times New Roman" w:eastAsia="仿宋_GB2312" w:cs="Times New Roman"/>
          <w:b/>
          <w:kern w:val="2"/>
          <w:sz w:val="28"/>
          <w:szCs w:val="28"/>
          <w:lang w:eastAsia="zh-CN"/>
        </w:rPr>
        <w:t>供给侧结构性改革要求矿业结构调整和转型升级。</w:t>
      </w:r>
      <w:r>
        <w:rPr>
          <w:rFonts w:hint="eastAsia" w:ascii="Times New Roman" w:hAnsi="Times New Roman" w:eastAsia="仿宋_GB2312" w:cs="Times New Roman"/>
          <w:b w:val="0"/>
          <w:bCs/>
          <w:kern w:val="2"/>
          <w:sz w:val="28"/>
          <w:szCs w:val="28"/>
          <w:lang w:val="en-US" w:eastAsia="zh-CN"/>
        </w:rPr>
        <w:t>全县</w:t>
      </w:r>
      <w:r>
        <w:rPr>
          <w:rFonts w:hint="eastAsia" w:ascii="仿宋_GB2312" w:eastAsia="仿宋_GB2312"/>
          <w:b w:val="0"/>
          <w:bCs/>
          <w:color w:val="auto"/>
          <w:sz w:val="28"/>
          <w:szCs w:val="28"/>
          <w:highlight w:val="none"/>
          <w:lang w:val="en-US" w:eastAsia="zh-CN"/>
        </w:rPr>
        <w:t>非金</w:t>
      </w:r>
      <w:r>
        <w:rPr>
          <w:rFonts w:hint="eastAsia" w:ascii="仿宋_GB2312" w:eastAsia="仿宋_GB2312"/>
          <w:bCs/>
          <w:color w:val="auto"/>
          <w:sz w:val="28"/>
          <w:szCs w:val="28"/>
          <w:highlight w:val="none"/>
          <w:lang w:val="en-US" w:eastAsia="zh-CN"/>
        </w:rPr>
        <w:t>属</w:t>
      </w:r>
      <w:r>
        <w:rPr>
          <w:rFonts w:hint="eastAsia" w:ascii="仿宋_GB2312" w:eastAsia="仿宋_GB2312"/>
          <w:bCs/>
          <w:color w:val="auto"/>
          <w:sz w:val="28"/>
          <w:szCs w:val="28"/>
          <w:highlight w:val="none"/>
          <w:lang w:eastAsia="zh-CN"/>
        </w:rPr>
        <w:t>矿产</w:t>
      </w:r>
      <w:r>
        <w:rPr>
          <w:rFonts w:hint="eastAsia" w:ascii="仿宋_GB2312" w:eastAsia="仿宋_GB2312"/>
          <w:bCs/>
          <w:color w:val="auto"/>
          <w:sz w:val="28"/>
          <w:szCs w:val="28"/>
          <w:highlight w:val="none"/>
          <w:lang w:val="en-US" w:eastAsia="zh-CN"/>
        </w:rPr>
        <w:t>资源</w:t>
      </w:r>
      <w:r>
        <w:rPr>
          <w:rFonts w:hint="eastAsia" w:ascii="仿宋_GB2312" w:eastAsia="仿宋_GB2312"/>
          <w:bCs/>
          <w:color w:val="auto"/>
          <w:sz w:val="28"/>
          <w:szCs w:val="28"/>
          <w:highlight w:val="none"/>
        </w:rPr>
        <w:t>勘查滞后，</w:t>
      </w:r>
      <w:r>
        <w:rPr>
          <w:rFonts w:hint="eastAsia" w:ascii="仿宋_GB2312" w:hAnsi="宋体" w:eastAsia="仿宋_GB2312" w:cs="宋体"/>
          <w:bCs/>
          <w:color w:val="auto"/>
          <w:kern w:val="0"/>
          <w:sz w:val="28"/>
          <w:szCs w:val="28"/>
          <w:highlight w:val="none"/>
        </w:rPr>
        <w:t>供开发利用的资源有限</w:t>
      </w:r>
      <w:r>
        <w:rPr>
          <w:rFonts w:hint="eastAsia" w:ascii="仿宋_GB2312" w:eastAsia="仿宋_GB2312"/>
          <w:bCs/>
          <w:color w:val="auto"/>
          <w:sz w:val="28"/>
          <w:szCs w:val="28"/>
          <w:highlight w:val="none"/>
          <w:lang w:eastAsia="zh-CN"/>
        </w:rPr>
        <w:t>；</w:t>
      </w:r>
      <w:r>
        <w:rPr>
          <w:rFonts w:hint="eastAsia" w:ascii="仿宋_GB2312" w:eastAsia="仿宋_GB2312"/>
          <w:color w:val="auto"/>
          <w:sz w:val="28"/>
          <w:szCs w:val="28"/>
          <w:highlight w:val="none"/>
          <w:lang w:eastAsia="zh-CN"/>
        </w:rPr>
        <w:t>建筑</w:t>
      </w:r>
      <w:r>
        <w:rPr>
          <w:rFonts w:hint="eastAsia" w:ascii="仿宋_GB2312" w:eastAsia="仿宋_GB2312"/>
          <w:color w:val="auto"/>
          <w:sz w:val="28"/>
          <w:szCs w:val="28"/>
          <w:highlight w:val="none"/>
          <w:lang w:val="en-US" w:eastAsia="zh-CN"/>
        </w:rPr>
        <w:t>用石材</w:t>
      </w:r>
      <w:r>
        <w:rPr>
          <w:rFonts w:hint="eastAsia" w:ascii="仿宋_GB2312" w:eastAsia="仿宋_GB2312"/>
          <w:color w:val="auto"/>
          <w:sz w:val="28"/>
          <w:szCs w:val="28"/>
          <w:highlight w:val="none"/>
          <w:lang w:eastAsia="zh-CN"/>
        </w:rPr>
        <w:t>以初级矿产品为主，产业链较短，矿产品深加工不够，附加值低。“十四五”期间需要加快矿业结构调整和转变升级，严格矿山最低开采规模和准入条件，提升矿业集中度，推进资源利用方式根本转变。</w:t>
      </w:r>
    </w:p>
    <w:p>
      <w:pPr>
        <w:keepNext w:val="0"/>
        <w:keepLines w:val="0"/>
        <w:pageBreakBefore w:val="0"/>
        <w:widowControl/>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sz w:val="28"/>
          <w:szCs w:val="28"/>
          <w:lang w:eastAsia="zh-CN"/>
        </w:rPr>
      </w:pPr>
      <w:r>
        <w:rPr>
          <w:rFonts w:hint="eastAsia" w:ascii="Times New Roman" w:hAnsi="Times New Roman" w:eastAsia="仿宋_GB2312" w:cs="Times New Roman"/>
          <w:b/>
          <w:kern w:val="2"/>
          <w:sz w:val="28"/>
          <w:szCs w:val="28"/>
          <w:lang w:eastAsia="zh-CN"/>
        </w:rPr>
        <w:t>新时代生态理念</w:t>
      </w:r>
      <w:r>
        <w:rPr>
          <w:rFonts w:hint="eastAsia" w:ascii="Times New Roman" w:hAnsi="Times New Roman" w:eastAsia="仿宋_GB2312" w:cs="Times New Roman"/>
          <w:b/>
          <w:kern w:val="2"/>
          <w:sz w:val="28"/>
          <w:szCs w:val="28"/>
        </w:rPr>
        <w:t>要求</w:t>
      </w:r>
      <w:r>
        <w:rPr>
          <w:rFonts w:hint="eastAsia" w:ascii="Times New Roman" w:hAnsi="Times New Roman" w:eastAsia="仿宋_GB2312" w:cs="Times New Roman"/>
          <w:b/>
          <w:kern w:val="2"/>
          <w:sz w:val="28"/>
          <w:szCs w:val="28"/>
          <w:lang w:eastAsia="zh-CN"/>
        </w:rPr>
        <w:t>加</w:t>
      </w:r>
      <w:r>
        <w:rPr>
          <w:rFonts w:hint="eastAsia" w:ascii="Times New Roman" w:hAnsi="Times New Roman" w:eastAsia="仿宋_GB2312" w:cs="Times New Roman"/>
          <w:b/>
          <w:kern w:val="2"/>
          <w:sz w:val="28"/>
          <w:szCs w:val="28"/>
          <w:lang w:val="en-US" w:eastAsia="zh-CN"/>
        </w:rPr>
        <w:t>强</w:t>
      </w:r>
      <w:r>
        <w:rPr>
          <w:rFonts w:hint="eastAsia" w:ascii="Times New Roman" w:hAnsi="Times New Roman" w:eastAsia="仿宋_GB2312" w:cs="Times New Roman"/>
          <w:b/>
          <w:kern w:val="2"/>
          <w:sz w:val="28"/>
          <w:szCs w:val="28"/>
          <w:lang w:eastAsia="zh-CN"/>
        </w:rPr>
        <w:t>矿业</w:t>
      </w:r>
      <w:r>
        <w:rPr>
          <w:rFonts w:hint="eastAsia" w:ascii="Times New Roman" w:hAnsi="Times New Roman" w:eastAsia="仿宋_GB2312" w:cs="Times New Roman"/>
          <w:b/>
          <w:kern w:val="2"/>
          <w:sz w:val="28"/>
          <w:szCs w:val="28"/>
          <w:lang w:val="en-US" w:eastAsia="zh-CN"/>
        </w:rPr>
        <w:t>高质量</w:t>
      </w:r>
      <w:r>
        <w:rPr>
          <w:rFonts w:hint="eastAsia" w:ascii="Times New Roman" w:hAnsi="Times New Roman" w:eastAsia="仿宋_GB2312" w:cs="Times New Roman"/>
          <w:b/>
          <w:kern w:val="2"/>
          <w:sz w:val="28"/>
          <w:szCs w:val="28"/>
          <w:lang w:eastAsia="zh-CN"/>
        </w:rPr>
        <w:t>发展</w:t>
      </w:r>
      <w:r>
        <w:rPr>
          <w:rFonts w:hint="eastAsia" w:ascii="Times New Roman" w:hAnsi="Times New Roman" w:eastAsia="仿宋_GB2312" w:cs="Times New Roman"/>
          <w:b/>
          <w:kern w:val="2"/>
          <w:sz w:val="28"/>
          <w:szCs w:val="28"/>
        </w:rPr>
        <w:t>。</w:t>
      </w:r>
      <w:r>
        <w:rPr>
          <w:rFonts w:hint="eastAsia" w:ascii="仿宋" w:hAnsi="仿宋" w:eastAsia="仿宋"/>
          <w:sz w:val="28"/>
          <w:szCs w:val="28"/>
          <w:lang w:val="en-US" w:eastAsia="zh-CN"/>
        </w:rPr>
        <w:t>全县部分生产矿山矿业权人绿色矿业发展意识淡薄</w:t>
      </w:r>
      <w:r>
        <w:rPr>
          <w:rFonts w:hint="eastAsia" w:ascii="仿宋" w:hAnsi="仿宋" w:eastAsia="仿宋"/>
          <w:sz w:val="28"/>
          <w:szCs w:val="28"/>
        </w:rPr>
        <w:t>，</w:t>
      </w:r>
      <w:r>
        <w:rPr>
          <w:rFonts w:hint="eastAsia" w:ascii="仿宋" w:hAnsi="仿宋" w:eastAsia="仿宋"/>
          <w:sz w:val="28"/>
          <w:szCs w:val="28"/>
          <w:lang w:eastAsia="zh-CN"/>
        </w:rPr>
        <w:t>开发与保护矛盾依旧突出，与</w:t>
      </w:r>
      <w:r>
        <w:rPr>
          <w:rFonts w:hint="eastAsia" w:ascii="仿宋" w:hAnsi="仿宋" w:eastAsia="仿宋"/>
          <w:sz w:val="28"/>
          <w:szCs w:val="28"/>
          <w:lang w:val="en-US" w:eastAsia="zh-CN"/>
        </w:rPr>
        <w:t>新时代生态理念和</w:t>
      </w:r>
      <w:r>
        <w:rPr>
          <w:rFonts w:hint="eastAsia" w:ascii="仿宋" w:hAnsi="仿宋" w:eastAsia="仿宋"/>
          <w:sz w:val="28"/>
          <w:szCs w:val="28"/>
          <w:lang w:eastAsia="zh-CN"/>
        </w:rPr>
        <w:t>矿业高质量发展存在较大差距</w:t>
      </w:r>
      <w:r>
        <w:rPr>
          <w:rFonts w:hint="eastAsia" w:ascii="仿宋" w:hAnsi="仿宋" w:eastAsia="仿宋"/>
          <w:sz w:val="28"/>
          <w:szCs w:val="28"/>
        </w:rPr>
        <w:t>。</w:t>
      </w:r>
      <w:r>
        <w:rPr>
          <w:rFonts w:hint="eastAsia" w:ascii="仿宋" w:hAnsi="仿宋" w:eastAsia="仿宋"/>
          <w:sz w:val="28"/>
          <w:szCs w:val="28"/>
          <w:lang w:eastAsia="zh-CN"/>
        </w:rPr>
        <w:t>“十四五”期间继续坚持绿水青山就是金山银山的生态理念，加快矿业绿色发展，加速绿色矿山建设，提高生态质量。</w:t>
      </w:r>
    </w:p>
    <w:p>
      <w:pPr>
        <w:keepNext w:val="0"/>
        <w:keepLines w:val="0"/>
        <w:pageBreakBefore w:val="0"/>
        <w:widowControl/>
        <w:kinsoku/>
        <w:wordWrap/>
        <w:overflowPunct/>
        <w:topLinePunct w:val="0"/>
        <w:autoSpaceDE/>
        <w:autoSpaceDN/>
        <w:bidi w:val="0"/>
        <w:adjustRightInd/>
        <w:snapToGrid w:val="0"/>
        <w:spacing w:line="360" w:lineRule="auto"/>
        <w:ind w:firstLine="562" w:firstLineChars="200"/>
        <w:textAlignment w:val="auto"/>
        <w:rPr>
          <w:rFonts w:hint="eastAsia"/>
          <w:lang w:eastAsia="zh-CN"/>
        </w:rPr>
      </w:pPr>
      <w:r>
        <w:rPr>
          <w:rFonts w:hint="eastAsia" w:ascii="仿宋" w:hAnsi="仿宋" w:eastAsia="仿宋"/>
          <w:b/>
          <w:bCs/>
          <w:sz w:val="28"/>
          <w:szCs w:val="28"/>
          <w:lang w:eastAsia="zh-CN"/>
        </w:rPr>
        <w:t>治理能力现代化要求提高矿产资源管理水平。</w:t>
      </w:r>
      <w:r>
        <w:rPr>
          <w:rFonts w:hint="eastAsia" w:ascii="仿宋" w:hAnsi="仿宋" w:eastAsia="仿宋"/>
          <w:sz w:val="28"/>
          <w:szCs w:val="28"/>
          <w:lang w:eastAsia="zh-CN"/>
        </w:rPr>
        <w:t>深化矿政管理制度改革，研究解决矿产资源勘查开发与保护过程中的深层次矛盾与问题，进一步激发矿业领域市场活力，规范矿业秩序，提升矿政管理与服务水平。</w:t>
      </w:r>
    </w:p>
    <w:p>
      <w:pPr>
        <w:keepNext w:val="0"/>
        <w:keepLines w:val="0"/>
        <w:pageBreakBefore w:val="0"/>
        <w:widowControl/>
        <w:kinsoku/>
        <w:wordWrap/>
        <w:overflowPunct/>
        <w:topLinePunct w:val="0"/>
        <w:autoSpaceDE/>
        <w:autoSpaceDN/>
        <w:bidi w:val="0"/>
        <w:adjustRightInd/>
        <w:snapToGrid w:val="0"/>
        <w:spacing w:line="360" w:lineRule="auto"/>
        <w:textAlignment w:val="auto"/>
        <w:rPr>
          <w:rFonts w:hint="eastAsia" w:ascii="仿宋" w:hAnsi="仿宋" w:eastAsia="仿宋"/>
          <w:sz w:val="28"/>
          <w:szCs w:val="28"/>
          <w:lang w:eastAsia="zh-CN"/>
        </w:rPr>
      </w:pPr>
      <w:r>
        <w:rPr>
          <w:rFonts w:hint="eastAsia" w:ascii="仿宋" w:hAnsi="仿宋" w:eastAsia="仿宋"/>
          <w:sz w:val="28"/>
          <w:szCs w:val="28"/>
          <w:lang w:eastAsia="zh-CN"/>
        </w:rPr>
        <w:br w:type="page"/>
      </w:r>
    </w:p>
    <w:p>
      <w:pPr>
        <w:pStyle w:val="3"/>
        <w:pageBreakBefore w:val="0"/>
        <w:kinsoku/>
        <w:wordWrap/>
        <w:overflowPunct/>
        <w:topLinePunct w:val="0"/>
        <w:bidi w:val="0"/>
        <w:adjustRightInd w:val="0"/>
        <w:snapToGrid w:val="0"/>
        <w:spacing w:beforeLines="0" w:afterLines="0" w:line="360" w:lineRule="auto"/>
        <w:rPr>
          <w:rFonts w:hint="eastAsia" w:ascii="宋体" w:hAnsi="宋体" w:eastAsia="宋体"/>
          <w:color w:val="auto"/>
          <w:highlight w:val="none"/>
          <w:lang w:eastAsia="zh-CN"/>
        </w:rPr>
      </w:pPr>
      <w:bookmarkStart w:id="10" w:name="_Toc2816"/>
      <w:r>
        <w:rPr>
          <w:rFonts w:hint="eastAsia" w:ascii="宋体" w:hAnsi="宋体" w:eastAsia="宋体"/>
          <w:color w:val="auto"/>
          <w:highlight w:val="none"/>
          <w:lang w:eastAsia="zh-CN"/>
        </w:rPr>
        <w:t>第二章</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lang w:eastAsia="zh-CN"/>
        </w:rPr>
        <w:t>指导思想与目标</w:t>
      </w:r>
      <w:bookmarkEnd w:id="10"/>
    </w:p>
    <w:p>
      <w:pPr>
        <w:pStyle w:val="4"/>
        <w:pageBreakBefore w:val="0"/>
        <w:kinsoku/>
        <w:wordWrap/>
        <w:overflowPunct/>
        <w:topLinePunct w:val="0"/>
        <w:bidi w:val="0"/>
        <w:adjustRightInd w:val="0"/>
        <w:snapToGrid w:val="0"/>
        <w:spacing w:beforeLines="0" w:afterLines="0" w:line="360" w:lineRule="auto"/>
        <w:rPr>
          <w:rFonts w:hint="eastAsia" w:ascii="黑体" w:hAnsi="黑体" w:eastAsia="黑体" w:cs="黑体"/>
          <w:color w:val="auto"/>
          <w:highlight w:val="none"/>
          <w:lang w:eastAsia="zh-CN"/>
        </w:rPr>
      </w:pPr>
      <w:bookmarkStart w:id="11" w:name="_Toc14487"/>
      <w:r>
        <w:rPr>
          <w:rFonts w:hint="eastAsia" w:ascii="黑体" w:hAnsi="黑体" w:eastAsia="黑体" w:cs="黑体"/>
          <w:color w:val="auto"/>
          <w:highlight w:val="none"/>
          <w:lang w:eastAsia="zh-CN"/>
        </w:rPr>
        <w:t>第一节</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lang w:eastAsia="zh-CN"/>
        </w:rPr>
        <w:t>指导思想</w:t>
      </w:r>
      <w:bookmarkEnd w:id="11"/>
    </w:p>
    <w:p>
      <w:pPr>
        <w:pageBreakBefore w:val="0"/>
        <w:kinsoku/>
        <w:wordWrap/>
        <w:overflowPunct/>
        <w:topLinePunct w:val="0"/>
        <w:bidi w:val="0"/>
        <w:snapToGri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以习近平生态文明思想为指导，全面贯彻党的十九大和十九届</w:t>
      </w:r>
      <w:r>
        <w:rPr>
          <w:rFonts w:hint="eastAsia" w:ascii="仿宋" w:hAnsi="仿宋" w:eastAsia="仿宋"/>
          <w:sz w:val="28"/>
          <w:szCs w:val="28"/>
          <w:lang w:val="en-US" w:eastAsia="zh-CN"/>
        </w:rPr>
        <w:t>历次</w:t>
      </w:r>
      <w:r>
        <w:rPr>
          <w:rFonts w:hint="eastAsia" w:ascii="仿宋" w:hAnsi="仿宋" w:eastAsia="仿宋"/>
          <w:sz w:val="28"/>
          <w:szCs w:val="28"/>
          <w:lang w:eastAsia="zh-CN"/>
        </w:rPr>
        <w:t>全会精神。</w:t>
      </w:r>
      <w:r>
        <w:rPr>
          <w:rFonts w:hint="eastAsia" w:ascii="仿宋" w:hAnsi="仿宋" w:eastAsia="仿宋"/>
          <w:sz w:val="28"/>
          <w:szCs w:val="28"/>
          <w:lang w:val="en-US" w:eastAsia="zh-CN"/>
        </w:rPr>
        <w:t>坚持新发展理念，坚持稳中求进工作总基调。</w:t>
      </w:r>
      <w:r>
        <w:rPr>
          <w:rFonts w:hint="eastAsia" w:ascii="仿宋" w:hAnsi="仿宋" w:eastAsia="仿宋"/>
          <w:sz w:val="28"/>
          <w:szCs w:val="28"/>
          <w:lang w:eastAsia="zh-CN"/>
        </w:rPr>
        <w:t>以深化供给侧结构性改革、提高矿产资源供给质量为主线，以推动矿业高质量发展为主题，以提升矿产资源保障能力为根本目的，稳定</w:t>
      </w:r>
      <w:r>
        <w:rPr>
          <w:rFonts w:hint="eastAsia" w:ascii="仿宋" w:hAnsi="仿宋" w:eastAsia="仿宋"/>
          <w:sz w:val="28"/>
          <w:szCs w:val="28"/>
          <w:lang w:val="en-US" w:eastAsia="zh-CN"/>
        </w:rPr>
        <w:t>贵金属</w:t>
      </w:r>
      <w:r>
        <w:rPr>
          <w:rFonts w:hint="eastAsia" w:ascii="仿宋" w:hAnsi="仿宋" w:eastAsia="仿宋"/>
          <w:sz w:val="28"/>
          <w:szCs w:val="28"/>
          <w:lang w:eastAsia="zh-CN"/>
        </w:rPr>
        <w:t>、</w:t>
      </w:r>
      <w:r>
        <w:rPr>
          <w:rFonts w:hint="eastAsia" w:ascii="仿宋" w:hAnsi="仿宋" w:eastAsia="仿宋"/>
          <w:sz w:val="28"/>
          <w:szCs w:val="28"/>
          <w:lang w:val="en-US" w:eastAsia="zh-CN"/>
        </w:rPr>
        <w:t>有色金属、</w:t>
      </w:r>
      <w:r>
        <w:rPr>
          <w:rFonts w:hint="eastAsia" w:ascii="仿宋" w:hAnsi="仿宋" w:eastAsia="仿宋"/>
          <w:sz w:val="28"/>
          <w:szCs w:val="28"/>
          <w:lang w:eastAsia="zh-CN"/>
        </w:rPr>
        <w:t>稀土矿</w:t>
      </w:r>
      <w:r>
        <w:rPr>
          <w:rFonts w:hint="eastAsia" w:ascii="仿宋" w:hAnsi="仿宋" w:eastAsia="仿宋"/>
          <w:sz w:val="28"/>
          <w:szCs w:val="28"/>
          <w:lang w:val="en-US" w:eastAsia="zh-CN"/>
        </w:rPr>
        <w:t>勘查</w:t>
      </w:r>
      <w:r>
        <w:rPr>
          <w:rFonts w:hint="eastAsia" w:ascii="仿宋" w:hAnsi="仿宋" w:eastAsia="仿宋"/>
          <w:sz w:val="28"/>
          <w:szCs w:val="28"/>
          <w:lang w:eastAsia="zh-CN"/>
        </w:rPr>
        <w:t>，</w:t>
      </w:r>
      <w:r>
        <w:rPr>
          <w:rFonts w:hint="eastAsia" w:ascii="仿宋" w:hAnsi="仿宋" w:eastAsia="仿宋"/>
          <w:sz w:val="28"/>
          <w:szCs w:val="28"/>
          <w:lang w:val="en-US" w:eastAsia="zh-CN"/>
        </w:rPr>
        <w:t>加大石墨、大理岩、耐火用橄榄岩、脉石英、</w:t>
      </w:r>
      <w:r>
        <w:rPr>
          <w:rFonts w:hint="eastAsia" w:ascii="仿宋" w:hAnsi="仿宋" w:eastAsia="仿宋"/>
          <w:sz w:val="28"/>
          <w:szCs w:val="28"/>
          <w:lang w:eastAsia="zh-CN"/>
        </w:rPr>
        <w:t>饰面用花岗岩勘查开发</w:t>
      </w:r>
      <w:r>
        <w:rPr>
          <w:rFonts w:hint="eastAsia" w:ascii="仿宋" w:hAnsi="仿宋" w:eastAsia="仿宋"/>
          <w:sz w:val="28"/>
          <w:szCs w:val="28"/>
          <w:lang w:val="en-US" w:eastAsia="zh-CN"/>
        </w:rPr>
        <w:t>力度</w:t>
      </w:r>
      <w:r>
        <w:rPr>
          <w:rFonts w:hint="eastAsia" w:ascii="仿宋" w:hAnsi="仿宋" w:eastAsia="仿宋"/>
          <w:sz w:val="28"/>
          <w:szCs w:val="28"/>
          <w:lang w:eastAsia="zh-CN"/>
        </w:rPr>
        <w:t>，规范</w:t>
      </w:r>
      <w:r>
        <w:rPr>
          <w:rFonts w:hint="eastAsia" w:ascii="仿宋" w:hAnsi="仿宋" w:eastAsia="仿宋"/>
          <w:sz w:val="28"/>
          <w:szCs w:val="28"/>
          <w:lang w:val="en-US" w:eastAsia="zh-CN"/>
        </w:rPr>
        <w:t>非金属矿产</w:t>
      </w:r>
      <w:r>
        <w:rPr>
          <w:rFonts w:hint="eastAsia" w:ascii="仿宋" w:hAnsi="仿宋" w:eastAsia="仿宋"/>
          <w:sz w:val="28"/>
          <w:szCs w:val="28"/>
          <w:lang w:eastAsia="zh-CN"/>
        </w:rPr>
        <w:t>开发利用，</w:t>
      </w:r>
      <w:r>
        <w:rPr>
          <w:rFonts w:hint="eastAsia" w:ascii="仿宋" w:hAnsi="仿宋" w:eastAsia="仿宋"/>
          <w:sz w:val="28"/>
          <w:szCs w:val="28"/>
          <w:lang w:val="en-US" w:eastAsia="zh-CN"/>
        </w:rPr>
        <w:t>加强</w:t>
      </w:r>
      <w:r>
        <w:rPr>
          <w:rFonts w:hint="eastAsia" w:ascii="仿宋" w:hAnsi="仿宋" w:eastAsia="仿宋"/>
          <w:sz w:val="28"/>
          <w:szCs w:val="28"/>
          <w:lang w:eastAsia="zh-CN"/>
        </w:rPr>
        <w:t>绿色</w:t>
      </w:r>
      <w:r>
        <w:rPr>
          <w:rFonts w:hint="eastAsia" w:ascii="仿宋" w:hAnsi="仿宋" w:eastAsia="仿宋"/>
          <w:sz w:val="28"/>
          <w:szCs w:val="28"/>
          <w:lang w:val="en-US" w:eastAsia="zh-CN"/>
        </w:rPr>
        <w:t>矿山建设，推进全域矿山地质环境恢复</w:t>
      </w:r>
      <w:r>
        <w:rPr>
          <w:rFonts w:hint="eastAsia" w:ascii="仿宋" w:hAnsi="仿宋" w:eastAsia="仿宋"/>
          <w:sz w:val="28"/>
          <w:szCs w:val="28"/>
          <w:lang w:eastAsia="zh-CN"/>
        </w:rPr>
        <w:t>治理，</w:t>
      </w:r>
      <w:r>
        <w:rPr>
          <w:rFonts w:hint="eastAsia" w:ascii="仿宋" w:hAnsi="仿宋" w:eastAsia="仿宋"/>
          <w:sz w:val="28"/>
          <w:szCs w:val="28"/>
          <w:lang w:val="en-US" w:eastAsia="zh-CN"/>
        </w:rPr>
        <w:t>促进矿业高质量发展，</w:t>
      </w:r>
      <w:r>
        <w:rPr>
          <w:rFonts w:hint="eastAsia" w:ascii="仿宋" w:hAnsi="仿宋" w:eastAsia="仿宋"/>
          <w:sz w:val="28"/>
          <w:szCs w:val="28"/>
          <w:lang w:eastAsia="zh-CN"/>
        </w:rPr>
        <w:t>为谱写新时代中原更加出彩的绚丽篇章增添</w:t>
      </w:r>
      <w:r>
        <w:rPr>
          <w:rFonts w:hint="eastAsia" w:ascii="仿宋" w:hAnsi="仿宋" w:eastAsia="仿宋"/>
          <w:sz w:val="28"/>
          <w:szCs w:val="28"/>
          <w:lang w:val="en-US" w:eastAsia="zh-CN"/>
        </w:rPr>
        <w:t>西峡</w:t>
      </w:r>
      <w:r>
        <w:rPr>
          <w:rFonts w:hint="eastAsia" w:ascii="仿宋" w:hAnsi="仿宋" w:eastAsia="仿宋"/>
          <w:sz w:val="28"/>
          <w:szCs w:val="28"/>
          <w:lang w:eastAsia="zh-CN"/>
        </w:rPr>
        <w:t>光彩。</w:t>
      </w:r>
    </w:p>
    <w:p>
      <w:pPr>
        <w:pStyle w:val="4"/>
        <w:pageBreakBefore w:val="0"/>
        <w:kinsoku/>
        <w:wordWrap/>
        <w:overflowPunct/>
        <w:topLinePunct w:val="0"/>
        <w:bidi w:val="0"/>
        <w:adjustRightInd w:val="0"/>
        <w:snapToGrid w:val="0"/>
        <w:spacing w:beforeLines="0" w:afterLines="0" w:line="360" w:lineRule="auto"/>
        <w:rPr>
          <w:rFonts w:hint="eastAsia" w:ascii="黑体" w:hAnsi="黑体" w:eastAsia="黑体" w:cs="黑体"/>
          <w:color w:val="auto"/>
          <w:highlight w:val="none"/>
          <w:lang w:eastAsia="zh-CN"/>
        </w:rPr>
      </w:pPr>
      <w:bookmarkStart w:id="12" w:name="_Toc19788"/>
      <w:r>
        <w:rPr>
          <w:rFonts w:hint="eastAsia" w:ascii="黑体" w:hAnsi="黑体" w:eastAsia="黑体" w:cs="黑体"/>
          <w:color w:val="auto"/>
          <w:highlight w:val="none"/>
          <w:lang w:eastAsia="zh-CN"/>
        </w:rPr>
        <w:t>第二节</w:t>
      </w:r>
      <w:r>
        <w:rPr>
          <w:rFonts w:hint="eastAsia" w:ascii="黑体" w:hAnsi="黑体" w:eastAsia="黑体" w:cs="黑体"/>
          <w:color w:val="auto"/>
          <w:highlight w:val="none"/>
          <w:lang w:val="en-US" w:eastAsia="zh-CN"/>
        </w:rPr>
        <w:t xml:space="preserve"> 基本</w:t>
      </w:r>
      <w:r>
        <w:rPr>
          <w:rFonts w:hint="eastAsia" w:ascii="黑体" w:hAnsi="黑体" w:eastAsia="黑体" w:cs="黑体"/>
          <w:color w:val="auto"/>
          <w:highlight w:val="none"/>
          <w:lang w:eastAsia="zh-CN"/>
        </w:rPr>
        <w:t>原则</w:t>
      </w:r>
      <w:bookmarkEnd w:id="12"/>
    </w:p>
    <w:p>
      <w:pPr>
        <w:pageBreakBefore w:val="0"/>
        <w:kinsoku/>
        <w:wordWrap/>
        <w:overflowPunct/>
        <w:topLinePunct w:val="0"/>
        <w:bidi w:val="0"/>
        <w:snapToGrid w:val="0"/>
        <w:spacing w:line="360" w:lineRule="auto"/>
        <w:ind w:firstLine="562" w:firstLineChars="200"/>
        <w:rPr>
          <w:rFonts w:hint="eastAsia" w:eastAsia="仿宋"/>
          <w:sz w:val="28"/>
          <w:szCs w:val="28"/>
          <w:lang w:eastAsia="zh-CN"/>
        </w:rPr>
      </w:pPr>
      <w:r>
        <w:rPr>
          <w:rFonts w:hint="eastAsia" w:eastAsia="仿宋"/>
          <w:b/>
          <w:sz w:val="28"/>
          <w:szCs w:val="28"/>
        </w:rPr>
        <w:t>统筹布局，</w:t>
      </w:r>
      <w:r>
        <w:rPr>
          <w:rFonts w:hint="eastAsia" w:eastAsia="仿宋"/>
          <w:b/>
          <w:sz w:val="28"/>
          <w:szCs w:val="28"/>
          <w:lang w:eastAsia="zh-CN"/>
        </w:rPr>
        <w:t>保障供给</w:t>
      </w:r>
      <w:r>
        <w:rPr>
          <w:rFonts w:hint="eastAsia" w:eastAsia="仿宋"/>
          <w:b/>
          <w:sz w:val="28"/>
          <w:szCs w:val="28"/>
        </w:rPr>
        <w:t>。</w:t>
      </w:r>
      <w:r>
        <w:rPr>
          <w:rFonts w:hint="eastAsia" w:eastAsia="仿宋"/>
          <w:sz w:val="28"/>
          <w:szCs w:val="28"/>
          <w:lang w:eastAsia="zh-CN"/>
        </w:rPr>
        <w:t>充分利用优势矿产资源，科学布局</w:t>
      </w:r>
      <w:r>
        <w:rPr>
          <w:rFonts w:hint="eastAsia" w:eastAsia="仿宋"/>
          <w:sz w:val="28"/>
          <w:szCs w:val="28"/>
          <w:lang w:val="en-US" w:eastAsia="zh-CN"/>
        </w:rPr>
        <w:t>大理岩、石墨、</w:t>
      </w:r>
      <w:r>
        <w:rPr>
          <w:rFonts w:hint="eastAsia" w:ascii="仿宋" w:hAnsi="仿宋" w:eastAsia="仿宋"/>
          <w:sz w:val="28"/>
          <w:szCs w:val="28"/>
          <w:lang w:val="en-US" w:eastAsia="zh-CN"/>
        </w:rPr>
        <w:t>耐火用</w:t>
      </w:r>
      <w:r>
        <w:rPr>
          <w:rFonts w:hint="eastAsia" w:eastAsia="仿宋"/>
          <w:sz w:val="28"/>
          <w:szCs w:val="28"/>
          <w:lang w:val="en-US" w:eastAsia="zh-CN"/>
        </w:rPr>
        <w:t>橄榄岩、脉石英、饰面用花岗岩等非金属资源</w:t>
      </w:r>
      <w:r>
        <w:rPr>
          <w:rFonts w:hint="eastAsia" w:eastAsia="仿宋"/>
          <w:sz w:val="28"/>
          <w:szCs w:val="28"/>
          <w:lang w:eastAsia="zh-CN"/>
        </w:rPr>
        <w:t>勘查开发</w:t>
      </w:r>
      <w:r>
        <w:rPr>
          <w:rFonts w:hint="eastAsia" w:eastAsia="仿宋"/>
          <w:sz w:val="28"/>
          <w:szCs w:val="28"/>
          <w:lang w:val="en-US" w:eastAsia="zh-CN"/>
        </w:rPr>
        <w:t>力度</w:t>
      </w:r>
      <w:r>
        <w:rPr>
          <w:rFonts w:hint="eastAsia" w:eastAsia="仿宋"/>
          <w:sz w:val="28"/>
          <w:szCs w:val="28"/>
          <w:lang w:eastAsia="zh-CN"/>
        </w:rPr>
        <w:t>，切实</w:t>
      </w:r>
      <w:r>
        <w:rPr>
          <w:rFonts w:hint="eastAsia" w:eastAsia="仿宋"/>
          <w:sz w:val="28"/>
          <w:szCs w:val="28"/>
        </w:rPr>
        <w:t>提高</w:t>
      </w:r>
      <w:r>
        <w:rPr>
          <w:rFonts w:hint="eastAsia" w:eastAsia="仿宋"/>
          <w:sz w:val="28"/>
          <w:szCs w:val="28"/>
          <w:lang w:eastAsia="zh-CN"/>
        </w:rPr>
        <w:t>重要</w:t>
      </w:r>
      <w:r>
        <w:rPr>
          <w:rFonts w:hint="eastAsia" w:eastAsia="仿宋"/>
          <w:sz w:val="28"/>
          <w:szCs w:val="28"/>
        </w:rPr>
        <w:t>矿产资源的</w:t>
      </w:r>
      <w:r>
        <w:rPr>
          <w:rFonts w:hint="eastAsia" w:eastAsia="仿宋"/>
          <w:sz w:val="28"/>
          <w:szCs w:val="28"/>
          <w:lang w:eastAsia="zh-CN"/>
        </w:rPr>
        <w:t>安全</w:t>
      </w:r>
      <w:r>
        <w:rPr>
          <w:rFonts w:hint="eastAsia" w:eastAsia="仿宋"/>
          <w:sz w:val="28"/>
          <w:szCs w:val="28"/>
          <w:lang w:val="en-US" w:eastAsia="zh-CN"/>
        </w:rPr>
        <w:t>供给</w:t>
      </w:r>
      <w:r>
        <w:rPr>
          <w:rFonts w:hint="eastAsia" w:eastAsia="仿宋"/>
          <w:sz w:val="28"/>
          <w:szCs w:val="28"/>
        </w:rPr>
        <w:t>能力</w:t>
      </w:r>
      <w:r>
        <w:rPr>
          <w:rFonts w:hint="eastAsia" w:eastAsia="仿宋"/>
          <w:sz w:val="28"/>
          <w:szCs w:val="28"/>
          <w:lang w:eastAsia="zh-CN"/>
        </w:rPr>
        <w:t>。</w:t>
      </w:r>
    </w:p>
    <w:p>
      <w:pPr>
        <w:pageBreakBefore w:val="0"/>
        <w:kinsoku/>
        <w:wordWrap/>
        <w:overflowPunct/>
        <w:topLinePunct w:val="0"/>
        <w:bidi w:val="0"/>
        <w:snapToGrid w:val="0"/>
        <w:spacing w:line="360" w:lineRule="auto"/>
        <w:ind w:firstLine="562" w:firstLineChars="200"/>
        <w:rPr>
          <w:rFonts w:eastAsia="仿宋"/>
          <w:sz w:val="28"/>
          <w:szCs w:val="28"/>
        </w:rPr>
      </w:pPr>
      <w:r>
        <w:rPr>
          <w:rFonts w:hint="eastAsia" w:ascii="仿宋" w:hAnsi="仿宋" w:eastAsia="仿宋" w:cs="仿宋"/>
          <w:b/>
          <w:sz w:val="28"/>
          <w:szCs w:val="28"/>
          <w:lang w:val="en-US" w:eastAsia="zh-CN"/>
        </w:rPr>
        <w:t>保护</w:t>
      </w:r>
      <w:r>
        <w:rPr>
          <w:rFonts w:hint="eastAsia" w:ascii="仿宋" w:hAnsi="仿宋" w:eastAsia="仿宋" w:cs="仿宋"/>
          <w:b/>
          <w:sz w:val="28"/>
          <w:szCs w:val="28"/>
        </w:rPr>
        <w:t>优先，绿色发展。</w:t>
      </w:r>
      <w:r>
        <w:rPr>
          <w:rFonts w:hint="eastAsia" w:eastAsia="仿宋"/>
          <w:sz w:val="28"/>
          <w:szCs w:val="28"/>
          <w:lang w:eastAsia="zh-CN"/>
        </w:rPr>
        <w:t>探索高质量绿色发展新路子，</w:t>
      </w:r>
      <w:r>
        <w:rPr>
          <w:rFonts w:hint="eastAsia" w:eastAsia="仿宋"/>
          <w:sz w:val="28"/>
          <w:szCs w:val="28"/>
          <w:lang w:val="en-US" w:eastAsia="zh-CN"/>
        </w:rPr>
        <w:t>推进绿色矿山建设，</w:t>
      </w:r>
      <w:r>
        <w:rPr>
          <w:rFonts w:hint="eastAsia" w:eastAsia="仿宋"/>
          <w:sz w:val="28"/>
          <w:szCs w:val="28"/>
          <w:lang w:eastAsia="zh-CN"/>
        </w:rPr>
        <w:t>推广清洁生产，培育绿色园区，实现矿产资源勘查开发与生态环境保护利用的协调双赢</w:t>
      </w:r>
      <w:r>
        <w:rPr>
          <w:rFonts w:hint="eastAsia" w:eastAsia="仿宋"/>
          <w:sz w:val="28"/>
          <w:szCs w:val="28"/>
        </w:rPr>
        <w:t>。</w:t>
      </w:r>
    </w:p>
    <w:p>
      <w:pPr>
        <w:pageBreakBefore w:val="0"/>
        <w:kinsoku/>
        <w:wordWrap/>
        <w:overflowPunct/>
        <w:topLinePunct w:val="0"/>
        <w:bidi w:val="0"/>
        <w:snapToGrid w:val="0"/>
        <w:spacing w:line="360" w:lineRule="auto"/>
        <w:ind w:firstLine="562" w:firstLineChars="200"/>
        <w:rPr>
          <w:rFonts w:hint="eastAsia" w:eastAsia="仿宋"/>
          <w:sz w:val="28"/>
          <w:szCs w:val="28"/>
        </w:rPr>
      </w:pPr>
      <w:r>
        <w:rPr>
          <w:rFonts w:hint="eastAsia" w:eastAsia="仿宋"/>
          <w:b/>
          <w:sz w:val="28"/>
          <w:szCs w:val="28"/>
          <w:lang w:eastAsia="zh-CN"/>
        </w:rPr>
        <w:t>集约节约，</w:t>
      </w:r>
      <w:r>
        <w:rPr>
          <w:rFonts w:hint="eastAsia" w:eastAsia="仿宋"/>
          <w:b/>
          <w:sz w:val="28"/>
          <w:szCs w:val="28"/>
        </w:rPr>
        <w:t>高效利用。</w:t>
      </w:r>
      <w:r>
        <w:rPr>
          <w:rFonts w:hint="eastAsia" w:eastAsia="仿宋"/>
          <w:sz w:val="28"/>
          <w:szCs w:val="28"/>
          <w:lang w:eastAsia="zh-CN"/>
        </w:rPr>
        <w:t>贯彻集约节约、循环利用理念，</w:t>
      </w:r>
      <w:r>
        <w:rPr>
          <w:rFonts w:hint="eastAsia" w:eastAsia="仿宋"/>
          <w:sz w:val="28"/>
          <w:szCs w:val="28"/>
          <w:lang w:val="en-US" w:eastAsia="zh-CN"/>
        </w:rPr>
        <w:t>规范矿产准入制度，</w:t>
      </w:r>
      <w:r>
        <w:rPr>
          <w:rFonts w:hint="eastAsia" w:eastAsia="仿宋"/>
          <w:sz w:val="28"/>
          <w:szCs w:val="28"/>
        </w:rPr>
        <w:t>推进优质优用、梯级利用和循环利用，加强科技研发水平，</w:t>
      </w:r>
      <w:r>
        <w:rPr>
          <w:rFonts w:hint="eastAsia" w:eastAsia="仿宋"/>
          <w:sz w:val="28"/>
          <w:szCs w:val="28"/>
          <w:lang w:eastAsia="zh-CN"/>
        </w:rPr>
        <w:t>推广先进技术工艺，</w:t>
      </w:r>
      <w:r>
        <w:rPr>
          <w:rFonts w:hint="eastAsia" w:eastAsia="仿宋"/>
          <w:sz w:val="28"/>
          <w:szCs w:val="28"/>
          <w:lang w:val="en-US" w:eastAsia="zh-CN"/>
        </w:rPr>
        <w:t>从而</w:t>
      </w:r>
      <w:r>
        <w:rPr>
          <w:rFonts w:hint="eastAsia" w:eastAsia="仿宋"/>
          <w:sz w:val="28"/>
          <w:szCs w:val="28"/>
        </w:rPr>
        <w:t>推动矿业高质量发展。</w:t>
      </w:r>
    </w:p>
    <w:p>
      <w:pPr>
        <w:pageBreakBefore w:val="0"/>
        <w:kinsoku/>
        <w:wordWrap/>
        <w:overflowPunct/>
        <w:topLinePunct w:val="0"/>
        <w:bidi w:val="0"/>
        <w:snapToGrid w:val="0"/>
        <w:spacing w:line="360" w:lineRule="auto"/>
        <w:ind w:firstLine="562" w:firstLineChars="200"/>
        <w:rPr>
          <w:rFonts w:hint="eastAsia" w:eastAsia="仿宋"/>
          <w:sz w:val="28"/>
          <w:szCs w:val="28"/>
          <w:lang w:eastAsia="zh-CN"/>
        </w:rPr>
      </w:pPr>
      <w:r>
        <w:rPr>
          <w:rFonts w:hint="eastAsia" w:eastAsia="仿宋"/>
          <w:b/>
          <w:sz w:val="28"/>
          <w:szCs w:val="28"/>
          <w:lang w:eastAsia="zh-CN"/>
        </w:rPr>
        <w:t>市场配置，公平竞争</w:t>
      </w:r>
      <w:r>
        <w:rPr>
          <w:rFonts w:hint="eastAsia" w:eastAsia="仿宋"/>
          <w:b/>
          <w:sz w:val="28"/>
          <w:szCs w:val="28"/>
        </w:rPr>
        <w:t>。</w:t>
      </w:r>
      <w:r>
        <w:rPr>
          <w:rFonts w:hint="eastAsia" w:eastAsia="仿宋"/>
          <w:sz w:val="28"/>
          <w:szCs w:val="28"/>
          <w:lang w:eastAsia="zh-CN"/>
        </w:rPr>
        <w:t>发挥市场在资源配置中的决定性作用，实现所有市场主体的平等地位，一视同仁，公平竞争，强化市场行为监管，夯实监管信用基础，改革监管执法体制。</w:t>
      </w:r>
    </w:p>
    <w:p>
      <w:pPr>
        <w:pStyle w:val="4"/>
        <w:pageBreakBefore w:val="0"/>
        <w:kinsoku/>
        <w:wordWrap/>
        <w:overflowPunct/>
        <w:topLinePunct w:val="0"/>
        <w:bidi w:val="0"/>
        <w:adjustRightInd w:val="0"/>
        <w:snapToGrid w:val="0"/>
        <w:spacing w:beforeLines="0" w:afterLines="0" w:line="360" w:lineRule="auto"/>
        <w:rPr>
          <w:rFonts w:hint="eastAsia" w:ascii="黑体" w:hAnsi="黑体" w:eastAsia="黑体" w:cs="黑体"/>
          <w:color w:val="auto"/>
          <w:highlight w:val="none"/>
          <w:lang w:eastAsia="zh-CN"/>
        </w:rPr>
      </w:pPr>
      <w:bookmarkStart w:id="13" w:name="_Toc19890"/>
      <w:r>
        <w:rPr>
          <w:rFonts w:hint="eastAsia" w:ascii="黑体" w:hAnsi="黑体" w:eastAsia="黑体" w:cs="黑体"/>
          <w:color w:val="auto"/>
          <w:highlight w:val="none"/>
          <w:lang w:eastAsia="zh-CN"/>
        </w:rPr>
        <w:t>第三节</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lang w:eastAsia="zh-CN"/>
        </w:rPr>
        <w:t>规划目标</w:t>
      </w:r>
      <w:bookmarkEnd w:id="13"/>
    </w:p>
    <w:p>
      <w:pPr>
        <w:keepNext w:val="0"/>
        <w:keepLines w:val="0"/>
        <w:pageBreakBefore w:val="0"/>
        <w:widowControl/>
        <w:suppressLineNumbers w:val="0"/>
        <w:kinsoku/>
        <w:wordWrap/>
        <w:overflowPunct/>
        <w:topLinePunct w:val="0"/>
        <w:bidi w:val="0"/>
        <w:snapToGrid w:val="0"/>
        <w:spacing w:line="360" w:lineRule="auto"/>
        <w:ind w:firstLine="562" w:firstLineChars="200"/>
        <w:jc w:val="left"/>
        <w:rPr>
          <w:rFonts w:hint="eastAsia" w:eastAsia="仿宋"/>
          <w:sz w:val="28"/>
          <w:szCs w:val="28"/>
          <w:lang w:eastAsia="zh-CN"/>
        </w:rPr>
      </w:pPr>
      <w:r>
        <w:rPr>
          <w:rFonts w:hint="eastAsia" w:eastAsia="仿宋"/>
          <w:b/>
          <w:bCs/>
          <w:sz w:val="28"/>
          <w:szCs w:val="28"/>
          <w:lang w:val="en-US" w:eastAsia="zh-CN"/>
        </w:rPr>
        <w:t>2025年规划目标：</w:t>
      </w:r>
      <w:r>
        <w:rPr>
          <w:rFonts w:hint="eastAsia" w:ascii="仿宋" w:hAnsi="仿宋" w:eastAsia="仿宋"/>
          <w:sz w:val="28"/>
          <w:szCs w:val="28"/>
          <w:lang w:eastAsia="zh-CN"/>
        </w:rPr>
        <w:t>到</w:t>
      </w:r>
      <w:r>
        <w:rPr>
          <w:rFonts w:hint="eastAsia" w:ascii="仿宋" w:hAnsi="仿宋" w:eastAsia="仿宋"/>
          <w:sz w:val="28"/>
          <w:szCs w:val="28"/>
          <w:lang w:val="en-US" w:eastAsia="zh-CN"/>
        </w:rPr>
        <w:t>2025年，</w:t>
      </w:r>
      <w:r>
        <w:rPr>
          <w:rFonts w:hint="eastAsia" w:ascii="仿宋" w:hAnsi="仿宋" w:eastAsia="仿宋"/>
          <w:sz w:val="28"/>
          <w:szCs w:val="28"/>
        </w:rPr>
        <w:t>地质找矿取得重大进展，资源安全保障能力进一步提高，</w:t>
      </w:r>
      <w:r>
        <w:rPr>
          <w:rFonts w:hint="eastAsia" w:ascii="仿宋" w:hAnsi="仿宋" w:eastAsia="仿宋"/>
          <w:sz w:val="28"/>
          <w:szCs w:val="28"/>
          <w:lang w:eastAsia="zh-CN"/>
        </w:rPr>
        <w:t>开发利用布局结构进一步优化，矿产资源高效利用水平显著提升，绿色勘查、绿色矿业发展全面推进，</w:t>
      </w:r>
      <w:r>
        <w:rPr>
          <w:rFonts w:hint="eastAsia" w:ascii="仿宋" w:hAnsi="仿宋" w:eastAsia="仿宋"/>
          <w:sz w:val="28"/>
          <w:szCs w:val="28"/>
          <w:lang w:val="en-US" w:eastAsia="zh-CN"/>
        </w:rPr>
        <w:t>矿山</w:t>
      </w:r>
      <w:r>
        <w:rPr>
          <w:rFonts w:hint="default" w:ascii="仿宋" w:hAnsi="仿宋" w:eastAsia="仿宋"/>
          <w:sz w:val="28"/>
          <w:szCs w:val="28"/>
          <w:lang w:val="en-US" w:eastAsia="zh-CN"/>
        </w:rPr>
        <w:t>生态环境持续好转，</w:t>
      </w:r>
      <w:r>
        <w:rPr>
          <w:rFonts w:hint="eastAsia" w:ascii="仿宋" w:hAnsi="仿宋" w:eastAsia="仿宋"/>
          <w:sz w:val="28"/>
          <w:szCs w:val="28"/>
          <w:lang w:eastAsia="zh-CN"/>
        </w:rPr>
        <w:t>全县矿业发展基本呈现高质量发展新格局。</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sz w:val="28"/>
          <w:szCs w:val="28"/>
          <w:lang w:eastAsia="zh-CN"/>
        </w:rPr>
      </w:pPr>
      <w:r>
        <w:rPr>
          <w:rFonts w:hint="eastAsia" w:eastAsia="仿宋"/>
          <w:b/>
          <w:bCs/>
          <w:sz w:val="28"/>
          <w:szCs w:val="28"/>
          <w:lang w:eastAsia="zh-CN"/>
        </w:rPr>
        <w:t>矿产资源勘查目标：</w:t>
      </w:r>
      <w:r>
        <w:rPr>
          <w:rFonts w:hint="eastAsia" w:ascii="仿宋" w:hAnsi="仿宋" w:eastAsia="仿宋"/>
          <w:sz w:val="28"/>
          <w:szCs w:val="28"/>
          <w:lang w:eastAsia="zh-CN"/>
        </w:rPr>
        <w:t>加大地质勘查各级财政资金投入，积极引导社会资金投入地质勘查，增加重要矿种资源储量。</w:t>
      </w:r>
    </w:p>
    <w:p>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lang w:eastAsia="zh-CN"/>
        </w:rPr>
      </w:pPr>
      <w:r>
        <w:rPr>
          <w:rFonts w:hint="eastAsia" w:eastAsia="仿宋"/>
          <w:b/>
          <w:bCs/>
          <w:sz w:val="28"/>
          <w:szCs w:val="28"/>
          <w:lang w:eastAsia="zh-CN"/>
        </w:rPr>
        <w:t>矿产资源开发目标：</w:t>
      </w:r>
      <w:r>
        <w:rPr>
          <w:rFonts w:hint="eastAsia" w:eastAsia="仿宋"/>
          <w:sz w:val="28"/>
          <w:szCs w:val="28"/>
          <w:lang w:eastAsia="zh-CN"/>
        </w:rPr>
        <w:t>加强矿产资源开发利用与保护，优化矿山规模结构，提高规模化开发水平和资源利用效率，将资源优势转化为经济优势。率先开展先行先试，积极落实“净矿出让”政策。</w:t>
      </w:r>
    </w:p>
    <w:tbl>
      <w:tblPr>
        <w:tblStyle w:val="17"/>
        <w:tblW w:w="50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49"/>
        <w:gridCol w:w="758"/>
        <w:gridCol w:w="1981"/>
        <w:gridCol w:w="1809"/>
        <w:gridCol w:w="138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5000" w:type="pct"/>
            <w:gridSpan w:val="6"/>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b/>
                <w:bCs/>
                <w:color w:val="auto"/>
                <w:lang w:val="en-US" w:eastAsia="zh-CN"/>
              </w:rPr>
              <w:t>专栏2 矿产资源规划指标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58"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val="en-US" w:eastAsia="zh-CN"/>
              </w:rPr>
              <w:t>类别</w:t>
            </w:r>
          </w:p>
        </w:tc>
        <w:tc>
          <w:tcPr>
            <w:tcW w:w="1622" w:type="pct"/>
            <w:gridSpan w:val="2"/>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val="en-US" w:eastAsia="zh-CN"/>
              </w:rPr>
              <w:t>指标名称</w:t>
            </w:r>
          </w:p>
        </w:tc>
        <w:tc>
          <w:tcPr>
            <w:tcW w:w="1071"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val="en-US" w:eastAsia="zh-CN"/>
              </w:rPr>
              <w:t>指标单位</w:t>
            </w:r>
          </w:p>
        </w:tc>
        <w:tc>
          <w:tcPr>
            <w:tcW w:w="820"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val="en-US" w:eastAsia="zh-CN"/>
              </w:rPr>
              <w:t>2021-</w:t>
            </w:r>
            <w:r>
              <w:rPr>
                <w:rFonts w:hint="eastAsia" w:eastAsia="仿宋"/>
                <w:color w:val="auto"/>
                <w:lang w:eastAsia="zh-CN"/>
              </w:rPr>
              <w:t>2025年</w:t>
            </w:r>
          </w:p>
        </w:tc>
        <w:tc>
          <w:tcPr>
            <w:tcW w:w="627"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eastAsia="zh-CN"/>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58" w:type="pct"/>
            <w:vMerge w:val="restar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val="en-US" w:eastAsia="zh-CN"/>
              </w:rPr>
              <w:t>矿产资源勘查</w:t>
            </w:r>
          </w:p>
        </w:tc>
        <w:tc>
          <w:tcPr>
            <w:tcW w:w="1622" w:type="pct"/>
            <w:gridSpan w:val="2"/>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val="en-US" w:eastAsia="zh-CN"/>
              </w:rPr>
              <w:t>新发现大中型矿产地</w:t>
            </w:r>
          </w:p>
        </w:tc>
        <w:tc>
          <w:tcPr>
            <w:tcW w:w="1071"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val="en-US" w:eastAsia="zh-CN"/>
              </w:rPr>
              <w:t>处</w:t>
            </w:r>
          </w:p>
        </w:tc>
        <w:tc>
          <w:tcPr>
            <w:tcW w:w="820"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val="en-US" w:eastAsia="zh-CN"/>
              </w:rPr>
              <w:t>3-6</w:t>
            </w:r>
          </w:p>
        </w:tc>
        <w:tc>
          <w:tcPr>
            <w:tcW w:w="627"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eastAsia="zh-CN"/>
              </w:rPr>
            </w:pPr>
            <w:r>
              <w:rPr>
                <w:rFonts w:hint="eastAsia" w:eastAsia="仿宋"/>
                <w:color w:val="auto"/>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58" w:type="pct"/>
            <w:vMerge w:val="continue"/>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p>
        </w:tc>
        <w:tc>
          <w:tcPr>
            <w:tcW w:w="449" w:type="pct"/>
            <w:vMerge w:val="restar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val="en-US" w:eastAsia="zh-CN"/>
              </w:rPr>
              <w:t>新增资源量</w:t>
            </w:r>
          </w:p>
        </w:tc>
        <w:tc>
          <w:tcPr>
            <w:tcW w:w="1172"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val="en-US" w:eastAsia="zh-CN"/>
              </w:rPr>
              <w:t>金矿</w:t>
            </w:r>
          </w:p>
        </w:tc>
        <w:tc>
          <w:tcPr>
            <w:tcW w:w="1071"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val="en-US" w:eastAsia="zh-CN"/>
              </w:rPr>
              <w:t>金属量 千克</w:t>
            </w:r>
          </w:p>
        </w:tc>
        <w:tc>
          <w:tcPr>
            <w:tcW w:w="820"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val="en-US" w:eastAsia="zh-CN"/>
              </w:rPr>
              <w:t>1500</w:t>
            </w:r>
          </w:p>
        </w:tc>
        <w:tc>
          <w:tcPr>
            <w:tcW w:w="627"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58" w:type="pct"/>
            <w:vMerge w:val="continue"/>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p>
        </w:tc>
        <w:tc>
          <w:tcPr>
            <w:tcW w:w="449" w:type="pct"/>
            <w:vMerge w:val="continue"/>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p>
        </w:tc>
        <w:tc>
          <w:tcPr>
            <w:tcW w:w="1172"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val="en-US" w:eastAsia="zh-CN"/>
              </w:rPr>
              <w:t>铅锌矿</w:t>
            </w:r>
          </w:p>
        </w:tc>
        <w:tc>
          <w:tcPr>
            <w:tcW w:w="1071"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val="en-US" w:eastAsia="zh-CN"/>
              </w:rPr>
              <w:t>矿石 万吨</w:t>
            </w:r>
          </w:p>
        </w:tc>
        <w:tc>
          <w:tcPr>
            <w:tcW w:w="820"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val="en-US" w:eastAsia="zh-CN"/>
              </w:rPr>
              <w:t>100</w:t>
            </w:r>
          </w:p>
        </w:tc>
        <w:tc>
          <w:tcPr>
            <w:tcW w:w="627"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58" w:type="pct"/>
            <w:vMerge w:val="continue"/>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p>
        </w:tc>
        <w:tc>
          <w:tcPr>
            <w:tcW w:w="449" w:type="pct"/>
            <w:vMerge w:val="continue"/>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p>
        </w:tc>
        <w:tc>
          <w:tcPr>
            <w:tcW w:w="1172"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val="en-US" w:eastAsia="zh-CN"/>
              </w:rPr>
              <w:t>铁矿</w:t>
            </w:r>
          </w:p>
        </w:tc>
        <w:tc>
          <w:tcPr>
            <w:tcW w:w="1071"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val="en-US" w:eastAsia="zh-CN"/>
              </w:rPr>
              <w:t>矿石 万吨</w:t>
            </w:r>
          </w:p>
        </w:tc>
        <w:tc>
          <w:tcPr>
            <w:tcW w:w="820"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val="en-US" w:eastAsia="zh-CN"/>
              </w:rPr>
              <w:t>100</w:t>
            </w:r>
          </w:p>
        </w:tc>
        <w:tc>
          <w:tcPr>
            <w:tcW w:w="627"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58" w:type="pct"/>
            <w:vMerge w:val="continue"/>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p>
        </w:tc>
        <w:tc>
          <w:tcPr>
            <w:tcW w:w="449" w:type="pct"/>
            <w:vMerge w:val="continue"/>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p>
        </w:tc>
        <w:tc>
          <w:tcPr>
            <w:tcW w:w="1172" w:type="pct"/>
            <w:vAlign w:val="center"/>
          </w:tcPr>
          <w:p>
            <w:pPr>
              <w:pageBreakBefore w:val="0"/>
              <w:kinsoku/>
              <w:wordWrap/>
              <w:overflowPunct/>
              <w:topLinePunct w:val="0"/>
              <w:autoSpaceDE w:val="0"/>
              <w:autoSpaceDN w:val="0"/>
              <w:bidi w:val="0"/>
              <w:snapToGrid w:val="0"/>
              <w:spacing w:line="240" w:lineRule="auto"/>
              <w:jc w:val="center"/>
              <w:rPr>
                <w:rFonts w:hint="default" w:eastAsia="仿宋"/>
                <w:color w:val="auto"/>
                <w:lang w:val="en-US" w:eastAsia="zh-CN"/>
              </w:rPr>
            </w:pPr>
            <w:r>
              <w:rPr>
                <w:rFonts w:hint="eastAsia" w:eastAsia="仿宋"/>
                <w:color w:val="auto"/>
                <w:lang w:val="en-US" w:eastAsia="zh-CN"/>
              </w:rPr>
              <w:t>石墨</w:t>
            </w:r>
          </w:p>
        </w:tc>
        <w:tc>
          <w:tcPr>
            <w:tcW w:w="1071"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val="en-US" w:eastAsia="zh-CN"/>
              </w:rPr>
              <w:t>矿石 万吨</w:t>
            </w:r>
          </w:p>
        </w:tc>
        <w:tc>
          <w:tcPr>
            <w:tcW w:w="820" w:type="pct"/>
            <w:vAlign w:val="center"/>
          </w:tcPr>
          <w:p>
            <w:pPr>
              <w:pageBreakBefore w:val="0"/>
              <w:kinsoku/>
              <w:wordWrap/>
              <w:overflowPunct/>
              <w:topLinePunct w:val="0"/>
              <w:autoSpaceDE w:val="0"/>
              <w:autoSpaceDN w:val="0"/>
              <w:bidi w:val="0"/>
              <w:snapToGrid w:val="0"/>
              <w:spacing w:line="240" w:lineRule="auto"/>
              <w:jc w:val="center"/>
              <w:rPr>
                <w:rFonts w:hint="default" w:eastAsia="仿宋"/>
                <w:color w:val="auto"/>
                <w:lang w:val="en-US" w:eastAsia="zh-CN"/>
              </w:rPr>
            </w:pPr>
            <w:r>
              <w:rPr>
                <w:rFonts w:hint="eastAsia" w:eastAsia="仿宋"/>
                <w:color w:val="auto"/>
                <w:lang w:val="en-US" w:eastAsia="zh-CN"/>
              </w:rPr>
              <w:t>100</w:t>
            </w:r>
          </w:p>
        </w:tc>
        <w:tc>
          <w:tcPr>
            <w:tcW w:w="627"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eastAsia="zh-CN"/>
              </w:rPr>
            </w:pPr>
            <w:r>
              <w:rPr>
                <w:rFonts w:hint="eastAsia" w:eastAsia="仿宋"/>
                <w:color w:val="auto"/>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58" w:type="pct"/>
            <w:vMerge w:val="restar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eastAsia="zh-CN"/>
              </w:rPr>
            </w:pPr>
            <w:r>
              <w:rPr>
                <w:rFonts w:hint="eastAsia" w:eastAsia="仿宋"/>
                <w:color w:val="auto"/>
                <w:lang w:val="en-US" w:eastAsia="zh-CN"/>
              </w:rPr>
              <w:t>年开采量</w:t>
            </w:r>
          </w:p>
        </w:tc>
        <w:tc>
          <w:tcPr>
            <w:tcW w:w="1622" w:type="pct"/>
            <w:gridSpan w:val="2"/>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val="en-US" w:eastAsia="zh-CN"/>
              </w:rPr>
              <w:t>大理岩</w:t>
            </w:r>
          </w:p>
        </w:tc>
        <w:tc>
          <w:tcPr>
            <w:tcW w:w="1071"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val="en-US" w:eastAsia="zh-CN"/>
              </w:rPr>
              <w:t>矿石 万吨</w:t>
            </w:r>
          </w:p>
        </w:tc>
        <w:tc>
          <w:tcPr>
            <w:tcW w:w="820"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FF0000"/>
                <w:lang w:val="en-US" w:eastAsia="zh-CN"/>
              </w:rPr>
            </w:pPr>
            <w:r>
              <w:rPr>
                <w:rFonts w:hint="eastAsia" w:eastAsia="仿宋"/>
                <w:color w:val="auto"/>
                <w:lang w:val="en-US" w:eastAsia="zh-CN"/>
              </w:rPr>
              <w:t>400</w:t>
            </w:r>
          </w:p>
        </w:tc>
        <w:tc>
          <w:tcPr>
            <w:tcW w:w="627"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eastAsia="zh-CN"/>
              </w:rPr>
            </w:pPr>
            <w:r>
              <w:rPr>
                <w:rFonts w:hint="eastAsia" w:eastAsia="仿宋"/>
                <w:color w:val="auto"/>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58" w:type="pct"/>
            <w:vMerge w:val="continue"/>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eastAsia="zh-CN"/>
              </w:rPr>
            </w:pPr>
          </w:p>
        </w:tc>
        <w:tc>
          <w:tcPr>
            <w:tcW w:w="1622" w:type="pct"/>
            <w:gridSpan w:val="2"/>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val="en-US" w:eastAsia="zh-CN"/>
              </w:rPr>
              <w:t>大理岩（熔剂用）</w:t>
            </w:r>
          </w:p>
        </w:tc>
        <w:tc>
          <w:tcPr>
            <w:tcW w:w="1071"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eastAsia="zh-CN"/>
              </w:rPr>
              <w:t>矿石</w:t>
            </w:r>
            <w:r>
              <w:rPr>
                <w:rFonts w:hint="eastAsia" w:eastAsia="仿宋"/>
                <w:color w:val="auto"/>
                <w:lang w:val="en-US" w:eastAsia="zh-CN"/>
              </w:rPr>
              <w:t xml:space="preserve"> </w:t>
            </w:r>
            <w:r>
              <w:rPr>
                <w:rFonts w:hint="eastAsia" w:eastAsia="仿宋"/>
                <w:color w:val="auto"/>
                <w:lang w:eastAsia="zh-CN"/>
              </w:rPr>
              <w:t>万吨</w:t>
            </w:r>
          </w:p>
        </w:tc>
        <w:tc>
          <w:tcPr>
            <w:tcW w:w="820" w:type="pct"/>
            <w:vAlign w:val="center"/>
          </w:tcPr>
          <w:p>
            <w:pPr>
              <w:pageBreakBefore w:val="0"/>
              <w:kinsoku/>
              <w:wordWrap/>
              <w:overflowPunct/>
              <w:topLinePunct w:val="0"/>
              <w:autoSpaceDE w:val="0"/>
              <w:autoSpaceDN w:val="0"/>
              <w:bidi w:val="0"/>
              <w:snapToGrid w:val="0"/>
              <w:spacing w:line="240" w:lineRule="auto"/>
              <w:jc w:val="center"/>
              <w:rPr>
                <w:rFonts w:hint="default" w:eastAsia="仿宋"/>
                <w:color w:val="auto"/>
                <w:lang w:val="en-US" w:eastAsia="zh-CN"/>
              </w:rPr>
            </w:pPr>
            <w:r>
              <w:rPr>
                <w:rFonts w:hint="eastAsia" w:eastAsia="仿宋"/>
                <w:color w:val="auto"/>
                <w:lang w:val="en-US" w:eastAsia="zh-CN"/>
              </w:rPr>
              <w:t>300</w:t>
            </w:r>
          </w:p>
        </w:tc>
        <w:tc>
          <w:tcPr>
            <w:tcW w:w="627"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eastAsia="zh-CN"/>
              </w:rPr>
            </w:pPr>
            <w:r>
              <w:rPr>
                <w:rFonts w:hint="eastAsia" w:eastAsia="仿宋"/>
                <w:color w:val="auto"/>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58" w:type="pct"/>
            <w:vMerge w:val="continue"/>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eastAsia="zh-CN"/>
              </w:rPr>
            </w:pPr>
          </w:p>
        </w:tc>
        <w:tc>
          <w:tcPr>
            <w:tcW w:w="1622" w:type="pct"/>
            <w:gridSpan w:val="2"/>
            <w:vAlign w:val="center"/>
          </w:tcPr>
          <w:p>
            <w:pPr>
              <w:pageBreakBefore w:val="0"/>
              <w:kinsoku/>
              <w:wordWrap/>
              <w:overflowPunct/>
              <w:topLinePunct w:val="0"/>
              <w:autoSpaceDE w:val="0"/>
              <w:autoSpaceDN w:val="0"/>
              <w:bidi w:val="0"/>
              <w:snapToGrid w:val="0"/>
              <w:spacing w:line="240" w:lineRule="auto"/>
              <w:jc w:val="center"/>
              <w:rPr>
                <w:rFonts w:hint="default" w:eastAsia="仿宋"/>
                <w:color w:val="auto"/>
                <w:lang w:val="en-US" w:eastAsia="zh-CN"/>
              </w:rPr>
            </w:pPr>
            <w:r>
              <w:rPr>
                <w:rFonts w:hint="eastAsia" w:eastAsia="仿宋"/>
                <w:color w:val="auto"/>
                <w:lang w:val="en-US" w:eastAsia="zh-CN"/>
              </w:rPr>
              <w:t>冶金用白云岩</w:t>
            </w:r>
          </w:p>
        </w:tc>
        <w:tc>
          <w:tcPr>
            <w:tcW w:w="1071"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eastAsia="zh-CN"/>
              </w:rPr>
            </w:pPr>
            <w:r>
              <w:rPr>
                <w:rFonts w:hint="eastAsia" w:eastAsia="仿宋"/>
                <w:color w:val="auto"/>
                <w:lang w:eastAsia="zh-CN"/>
              </w:rPr>
              <w:t>矿石</w:t>
            </w:r>
            <w:r>
              <w:rPr>
                <w:rFonts w:hint="eastAsia" w:eastAsia="仿宋"/>
                <w:color w:val="auto"/>
                <w:lang w:val="en-US" w:eastAsia="zh-CN"/>
              </w:rPr>
              <w:t xml:space="preserve"> </w:t>
            </w:r>
            <w:r>
              <w:rPr>
                <w:rFonts w:hint="eastAsia" w:eastAsia="仿宋"/>
                <w:color w:val="auto"/>
                <w:lang w:eastAsia="zh-CN"/>
              </w:rPr>
              <w:t>万吨</w:t>
            </w:r>
          </w:p>
        </w:tc>
        <w:tc>
          <w:tcPr>
            <w:tcW w:w="820"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val="en-US" w:eastAsia="zh-CN"/>
              </w:rPr>
              <w:t>100</w:t>
            </w:r>
          </w:p>
        </w:tc>
        <w:tc>
          <w:tcPr>
            <w:tcW w:w="627" w:type="pct"/>
            <w:vAlign w:val="center"/>
          </w:tcPr>
          <w:p>
            <w:pPr>
              <w:pageBreakBefore w:val="0"/>
              <w:kinsoku/>
              <w:wordWrap/>
              <w:overflowPunct/>
              <w:topLinePunct w:val="0"/>
              <w:autoSpaceDE w:val="0"/>
              <w:autoSpaceDN w:val="0"/>
              <w:bidi w:val="0"/>
              <w:snapToGrid w:val="0"/>
              <w:spacing w:line="240" w:lineRule="auto"/>
              <w:jc w:val="center"/>
              <w:rPr>
                <w:rFonts w:hint="eastAsia" w:eastAsia="仿宋" w:asciiTheme="minorHAnsi" w:hAnsiTheme="minorHAnsi" w:cstheme="minorBidi"/>
                <w:color w:val="auto"/>
                <w:kern w:val="2"/>
                <w:sz w:val="21"/>
                <w:szCs w:val="24"/>
                <w:lang w:val="en-US" w:eastAsia="zh-CN" w:bidi="ar-SA"/>
              </w:rPr>
            </w:pPr>
            <w:r>
              <w:rPr>
                <w:rFonts w:hint="eastAsia" w:eastAsia="仿宋"/>
                <w:color w:val="auto"/>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58" w:type="pct"/>
            <w:vMerge w:val="continue"/>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eastAsia="zh-CN"/>
              </w:rPr>
            </w:pPr>
          </w:p>
        </w:tc>
        <w:tc>
          <w:tcPr>
            <w:tcW w:w="1622" w:type="pct"/>
            <w:gridSpan w:val="2"/>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eastAsia="zh-CN"/>
              </w:rPr>
              <w:t>铁矿</w:t>
            </w:r>
          </w:p>
        </w:tc>
        <w:tc>
          <w:tcPr>
            <w:tcW w:w="1071"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eastAsia="zh-CN"/>
              </w:rPr>
              <w:t>矿石</w:t>
            </w:r>
            <w:r>
              <w:rPr>
                <w:rFonts w:hint="eastAsia" w:eastAsia="仿宋"/>
                <w:color w:val="auto"/>
                <w:lang w:val="en-US" w:eastAsia="zh-CN"/>
              </w:rPr>
              <w:t xml:space="preserve"> </w:t>
            </w:r>
            <w:r>
              <w:rPr>
                <w:rFonts w:hint="eastAsia" w:eastAsia="仿宋"/>
                <w:color w:val="auto"/>
                <w:lang w:eastAsia="zh-CN"/>
              </w:rPr>
              <w:t>万吨</w:t>
            </w:r>
          </w:p>
        </w:tc>
        <w:tc>
          <w:tcPr>
            <w:tcW w:w="820"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val="en-US" w:eastAsia="zh-CN"/>
              </w:rPr>
              <w:t>20</w:t>
            </w:r>
          </w:p>
        </w:tc>
        <w:tc>
          <w:tcPr>
            <w:tcW w:w="627"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eastAsia="zh-CN"/>
              </w:rPr>
            </w:pPr>
            <w:r>
              <w:rPr>
                <w:rFonts w:hint="eastAsia" w:eastAsia="仿宋"/>
                <w:color w:val="auto"/>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58" w:type="pct"/>
            <w:vMerge w:val="continue"/>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eastAsia="zh-CN"/>
              </w:rPr>
            </w:pPr>
          </w:p>
        </w:tc>
        <w:tc>
          <w:tcPr>
            <w:tcW w:w="1622" w:type="pct"/>
            <w:gridSpan w:val="2"/>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eastAsia="zh-CN"/>
              </w:rPr>
              <w:t>红柱石</w:t>
            </w:r>
          </w:p>
        </w:tc>
        <w:tc>
          <w:tcPr>
            <w:tcW w:w="1071"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eastAsia="zh-CN"/>
              </w:rPr>
              <w:t>矿石</w:t>
            </w:r>
            <w:r>
              <w:rPr>
                <w:rFonts w:hint="eastAsia" w:eastAsia="仿宋"/>
                <w:color w:val="auto"/>
                <w:lang w:val="en-US" w:eastAsia="zh-CN"/>
              </w:rPr>
              <w:t xml:space="preserve"> </w:t>
            </w:r>
            <w:r>
              <w:rPr>
                <w:rFonts w:hint="eastAsia" w:eastAsia="仿宋"/>
                <w:color w:val="auto"/>
                <w:lang w:eastAsia="zh-CN"/>
              </w:rPr>
              <w:t>万吨</w:t>
            </w:r>
          </w:p>
        </w:tc>
        <w:tc>
          <w:tcPr>
            <w:tcW w:w="820"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val="en-US" w:eastAsia="zh-CN"/>
              </w:rPr>
              <w:t>3</w:t>
            </w:r>
            <w:r>
              <w:rPr>
                <w:rFonts w:hint="eastAsia" w:eastAsia="仿宋"/>
                <w:color w:val="auto"/>
                <w:lang w:eastAsia="zh-CN"/>
              </w:rPr>
              <w:t>0</w:t>
            </w:r>
          </w:p>
        </w:tc>
        <w:tc>
          <w:tcPr>
            <w:tcW w:w="627"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eastAsia="zh-CN"/>
              </w:rPr>
            </w:pPr>
            <w:r>
              <w:rPr>
                <w:rFonts w:hint="eastAsia" w:eastAsia="仿宋"/>
                <w:color w:val="auto"/>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58" w:type="pct"/>
            <w:vMerge w:val="continue"/>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eastAsia="zh-CN"/>
              </w:rPr>
            </w:pPr>
          </w:p>
        </w:tc>
        <w:tc>
          <w:tcPr>
            <w:tcW w:w="1622" w:type="pct"/>
            <w:gridSpan w:val="2"/>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val="en-US" w:eastAsia="zh-CN"/>
              </w:rPr>
              <w:t>耐火用</w:t>
            </w:r>
            <w:r>
              <w:rPr>
                <w:rFonts w:hint="eastAsia" w:eastAsia="仿宋"/>
                <w:color w:val="auto"/>
                <w:lang w:eastAsia="zh-CN"/>
              </w:rPr>
              <w:t>橄榄岩</w:t>
            </w:r>
          </w:p>
        </w:tc>
        <w:tc>
          <w:tcPr>
            <w:tcW w:w="1071"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eastAsia="zh-CN"/>
              </w:rPr>
              <w:t>矿石</w:t>
            </w:r>
            <w:r>
              <w:rPr>
                <w:rFonts w:hint="eastAsia" w:eastAsia="仿宋"/>
                <w:color w:val="auto"/>
                <w:lang w:val="en-US" w:eastAsia="zh-CN"/>
              </w:rPr>
              <w:t xml:space="preserve"> </w:t>
            </w:r>
            <w:r>
              <w:rPr>
                <w:rFonts w:hint="eastAsia" w:eastAsia="仿宋"/>
                <w:color w:val="auto"/>
                <w:lang w:eastAsia="zh-CN"/>
              </w:rPr>
              <w:t>万吨</w:t>
            </w:r>
          </w:p>
        </w:tc>
        <w:tc>
          <w:tcPr>
            <w:tcW w:w="820"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val="en-US" w:eastAsia="zh-CN"/>
              </w:rPr>
              <w:t>200</w:t>
            </w:r>
          </w:p>
        </w:tc>
        <w:tc>
          <w:tcPr>
            <w:tcW w:w="627"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eastAsia="zh-CN"/>
              </w:rPr>
            </w:pPr>
            <w:r>
              <w:rPr>
                <w:rFonts w:hint="eastAsia" w:eastAsia="仿宋"/>
                <w:color w:val="auto"/>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58" w:type="pct"/>
            <w:vMerge w:val="continue"/>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eastAsia="zh-CN"/>
              </w:rPr>
            </w:pPr>
          </w:p>
        </w:tc>
        <w:tc>
          <w:tcPr>
            <w:tcW w:w="1622" w:type="pct"/>
            <w:gridSpan w:val="2"/>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eastAsia="zh-CN"/>
              </w:rPr>
              <w:t>饰面</w:t>
            </w:r>
            <w:r>
              <w:rPr>
                <w:rFonts w:hint="eastAsia" w:eastAsia="仿宋"/>
                <w:color w:val="auto"/>
                <w:lang w:val="en-US" w:eastAsia="zh-CN"/>
              </w:rPr>
              <w:t>用花岗岩</w:t>
            </w:r>
          </w:p>
        </w:tc>
        <w:tc>
          <w:tcPr>
            <w:tcW w:w="1071"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eastAsia="zh-CN"/>
              </w:rPr>
              <w:t>矿石</w:t>
            </w:r>
            <w:r>
              <w:rPr>
                <w:rFonts w:hint="eastAsia" w:eastAsia="仿宋"/>
                <w:color w:val="auto"/>
                <w:lang w:val="en-US" w:eastAsia="zh-CN"/>
              </w:rPr>
              <w:t xml:space="preserve"> </w:t>
            </w:r>
            <w:r>
              <w:rPr>
                <w:rFonts w:hint="eastAsia" w:eastAsia="仿宋"/>
                <w:color w:val="auto"/>
                <w:lang w:eastAsia="zh-CN"/>
              </w:rPr>
              <w:t>万立方米</w:t>
            </w:r>
          </w:p>
        </w:tc>
        <w:tc>
          <w:tcPr>
            <w:tcW w:w="820"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val="en-US" w:eastAsia="zh-CN"/>
              </w:rPr>
              <w:t>40</w:t>
            </w:r>
          </w:p>
        </w:tc>
        <w:tc>
          <w:tcPr>
            <w:tcW w:w="627"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eastAsia="zh-CN"/>
              </w:rPr>
            </w:pPr>
            <w:r>
              <w:rPr>
                <w:rFonts w:hint="eastAsia" w:eastAsia="仿宋"/>
                <w:color w:val="auto"/>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58" w:type="pct"/>
            <w:vMerge w:val="continue"/>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eastAsia="zh-CN"/>
              </w:rPr>
            </w:pPr>
          </w:p>
        </w:tc>
        <w:tc>
          <w:tcPr>
            <w:tcW w:w="1622" w:type="pct"/>
            <w:gridSpan w:val="2"/>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eastAsia="zh-CN"/>
              </w:rPr>
              <w:t>建筑</w:t>
            </w:r>
            <w:r>
              <w:rPr>
                <w:rFonts w:hint="eastAsia" w:eastAsia="仿宋"/>
                <w:color w:val="auto"/>
                <w:lang w:val="en-US" w:eastAsia="zh-CN"/>
              </w:rPr>
              <w:t>用</w:t>
            </w:r>
            <w:r>
              <w:rPr>
                <w:rFonts w:hint="eastAsia" w:eastAsia="仿宋"/>
                <w:color w:val="auto"/>
                <w:lang w:eastAsia="zh-CN"/>
              </w:rPr>
              <w:t>石料</w:t>
            </w:r>
          </w:p>
        </w:tc>
        <w:tc>
          <w:tcPr>
            <w:tcW w:w="1071"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eastAsia="zh-CN"/>
              </w:rPr>
              <w:t>矿石</w:t>
            </w:r>
            <w:r>
              <w:rPr>
                <w:rFonts w:hint="eastAsia" w:eastAsia="仿宋"/>
                <w:color w:val="auto"/>
                <w:lang w:val="en-US" w:eastAsia="zh-CN"/>
              </w:rPr>
              <w:t xml:space="preserve"> </w:t>
            </w:r>
            <w:r>
              <w:rPr>
                <w:rFonts w:hint="eastAsia" w:eastAsia="仿宋"/>
                <w:color w:val="auto"/>
                <w:lang w:eastAsia="zh-CN"/>
              </w:rPr>
              <w:t>万吨</w:t>
            </w:r>
          </w:p>
        </w:tc>
        <w:tc>
          <w:tcPr>
            <w:tcW w:w="820"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val="en-US" w:eastAsia="zh-CN"/>
              </w:rPr>
              <w:t>200</w:t>
            </w:r>
          </w:p>
        </w:tc>
        <w:tc>
          <w:tcPr>
            <w:tcW w:w="627"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eastAsia="zh-CN"/>
              </w:rPr>
            </w:pPr>
            <w:r>
              <w:rPr>
                <w:rFonts w:hint="eastAsia" w:eastAsia="仿宋"/>
                <w:color w:val="auto"/>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58" w:type="pct"/>
            <w:vMerge w:val="restar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eastAsia="zh-CN"/>
              </w:rPr>
            </w:pPr>
            <w:r>
              <w:rPr>
                <w:rFonts w:hint="eastAsia" w:eastAsia="仿宋"/>
                <w:color w:val="auto"/>
                <w:lang w:eastAsia="zh-CN"/>
              </w:rPr>
              <w:t>开发利用</w:t>
            </w:r>
          </w:p>
          <w:p>
            <w:pPr>
              <w:pageBreakBefore w:val="0"/>
              <w:kinsoku/>
              <w:wordWrap/>
              <w:overflowPunct/>
              <w:topLinePunct w:val="0"/>
              <w:autoSpaceDE w:val="0"/>
              <w:autoSpaceDN w:val="0"/>
              <w:bidi w:val="0"/>
              <w:snapToGrid w:val="0"/>
              <w:spacing w:line="240" w:lineRule="auto"/>
              <w:jc w:val="center"/>
              <w:rPr>
                <w:rFonts w:hint="eastAsia" w:eastAsia="仿宋"/>
                <w:color w:val="auto"/>
                <w:lang w:eastAsia="zh-CN"/>
              </w:rPr>
            </w:pPr>
            <w:r>
              <w:rPr>
                <w:rFonts w:hint="eastAsia" w:eastAsia="仿宋"/>
                <w:color w:val="auto"/>
                <w:lang w:eastAsia="zh-CN"/>
              </w:rPr>
              <w:t>与保护</w:t>
            </w:r>
          </w:p>
        </w:tc>
        <w:tc>
          <w:tcPr>
            <w:tcW w:w="1622" w:type="pct"/>
            <w:gridSpan w:val="2"/>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val="en-US" w:eastAsia="zh-CN"/>
              </w:rPr>
              <w:t>固体</w:t>
            </w:r>
            <w:r>
              <w:rPr>
                <w:rFonts w:hint="eastAsia" w:eastAsia="仿宋"/>
                <w:color w:val="auto"/>
                <w:lang w:eastAsia="zh-CN"/>
              </w:rPr>
              <w:t>矿山总数</w:t>
            </w:r>
          </w:p>
        </w:tc>
        <w:tc>
          <w:tcPr>
            <w:tcW w:w="1071"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eastAsia="zh-CN"/>
              </w:rPr>
              <w:t>个</w:t>
            </w:r>
          </w:p>
        </w:tc>
        <w:tc>
          <w:tcPr>
            <w:tcW w:w="820"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eastAsia="zh-CN"/>
              </w:rPr>
              <w:t>＜</w:t>
            </w:r>
            <w:r>
              <w:rPr>
                <w:rFonts w:hint="eastAsia" w:eastAsia="仿宋"/>
                <w:color w:val="auto"/>
                <w:lang w:val="en-US" w:eastAsia="zh-CN"/>
              </w:rPr>
              <w:t>20</w:t>
            </w:r>
          </w:p>
        </w:tc>
        <w:tc>
          <w:tcPr>
            <w:tcW w:w="627"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eastAsia="zh-CN"/>
              </w:rPr>
            </w:pPr>
            <w:r>
              <w:rPr>
                <w:rFonts w:hint="eastAsia" w:eastAsia="仿宋"/>
                <w:color w:val="auto"/>
                <w:lang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58" w:type="pct"/>
            <w:vMerge w:val="continue"/>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FF0000"/>
                <w:lang w:eastAsia="zh-CN"/>
              </w:rPr>
            </w:pPr>
          </w:p>
        </w:tc>
        <w:tc>
          <w:tcPr>
            <w:tcW w:w="1622" w:type="pct"/>
            <w:gridSpan w:val="2"/>
            <w:vAlign w:val="center"/>
          </w:tcPr>
          <w:p>
            <w:pPr>
              <w:pageBreakBefore w:val="0"/>
              <w:kinsoku/>
              <w:wordWrap/>
              <w:overflowPunct/>
              <w:topLinePunct w:val="0"/>
              <w:autoSpaceDE w:val="0"/>
              <w:autoSpaceDN w:val="0"/>
              <w:bidi w:val="0"/>
              <w:snapToGrid w:val="0"/>
              <w:spacing w:line="240" w:lineRule="auto"/>
              <w:jc w:val="center"/>
              <w:rPr>
                <w:rFonts w:hint="default" w:eastAsia="仿宋"/>
                <w:color w:val="auto"/>
                <w:lang w:val="en-US" w:eastAsia="zh-CN"/>
              </w:rPr>
            </w:pPr>
            <w:r>
              <w:rPr>
                <w:rFonts w:hint="eastAsia" w:eastAsia="仿宋"/>
                <w:color w:val="auto"/>
                <w:lang w:eastAsia="zh-CN"/>
              </w:rPr>
              <w:t>大中型矿山</w:t>
            </w:r>
            <w:r>
              <w:rPr>
                <w:rFonts w:hint="eastAsia" w:eastAsia="仿宋"/>
                <w:color w:val="auto"/>
                <w:lang w:val="en-US" w:eastAsia="zh-CN"/>
              </w:rPr>
              <w:t>数量占比</w:t>
            </w:r>
          </w:p>
        </w:tc>
        <w:tc>
          <w:tcPr>
            <w:tcW w:w="1071"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eastAsia="zh-CN"/>
              </w:rPr>
              <w:t>%</w:t>
            </w:r>
          </w:p>
        </w:tc>
        <w:tc>
          <w:tcPr>
            <w:tcW w:w="820"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val="en-US" w:eastAsia="zh-CN"/>
              </w:rPr>
            </w:pPr>
            <w:r>
              <w:rPr>
                <w:rFonts w:hint="eastAsia" w:eastAsia="仿宋"/>
                <w:color w:val="auto"/>
                <w:lang w:eastAsia="zh-CN"/>
              </w:rPr>
              <w:t>＞</w:t>
            </w:r>
            <w:r>
              <w:rPr>
                <w:rFonts w:hint="eastAsia" w:eastAsia="仿宋"/>
                <w:color w:val="auto"/>
                <w:lang w:val="en-US" w:eastAsia="zh-CN"/>
              </w:rPr>
              <w:t>40</w:t>
            </w:r>
          </w:p>
        </w:tc>
        <w:tc>
          <w:tcPr>
            <w:tcW w:w="627" w:type="pct"/>
            <w:vAlign w:val="center"/>
          </w:tcPr>
          <w:p>
            <w:pPr>
              <w:pageBreakBefore w:val="0"/>
              <w:kinsoku/>
              <w:wordWrap/>
              <w:overflowPunct/>
              <w:topLinePunct w:val="0"/>
              <w:autoSpaceDE w:val="0"/>
              <w:autoSpaceDN w:val="0"/>
              <w:bidi w:val="0"/>
              <w:snapToGrid w:val="0"/>
              <w:spacing w:line="240" w:lineRule="auto"/>
              <w:jc w:val="center"/>
              <w:rPr>
                <w:rFonts w:hint="eastAsia" w:eastAsia="仿宋"/>
                <w:color w:val="auto"/>
                <w:lang w:eastAsia="zh-CN"/>
              </w:rPr>
            </w:pPr>
            <w:r>
              <w:rPr>
                <w:rFonts w:hint="eastAsia" w:eastAsia="仿宋"/>
                <w:color w:val="auto"/>
                <w:lang w:eastAsia="zh-CN"/>
              </w:rPr>
              <w:t>预期性</w:t>
            </w:r>
          </w:p>
        </w:tc>
      </w:tr>
    </w:tbl>
    <w:p>
      <w:pPr>
        <w:pageBreakBefore w:val="0"/>
        <w:kinsoku/>
        <w:wordWrap/>
        <w:overflowPunct/>
        <w:topLinePunct w:val="0"/>
        <w:autoSpaceDE w:val="0"/>
        <w:autoSpaceDN w:val="0"/>
        <w:bidi w:val="0"/>
        <w:snapToGrid w:val="0"/>
        <w:spacing w:line="360" w:lineRule="auto"/>
        <w:jc w:val="left"/>
        <w:rPr>
          <w:rFonts w:hint="eastAsia" w:eastAsia="仿宋"/>
          <w:lang w:val="en-US" w:eastAsia="zh-CN"/>
        </w:rPr>
      </w:pPr>
      <w:r>
        <w:rPr>
          <w:rFonts w:hint="eastAsia" w:eastAsia="仿宋"/>
          <w:lang w:eastAsia="zh-CN"/>
        </w:rPr>
        <w:t>注：以上指标均为预期性指标。2025年新增资源量指2021-2025年累计查明资源量。</w:t>
      </w:r>
      <w:r>
        <w:rPr>
          <w:rFonts w:hint="eastAsia" w:eastAsia="仿宋"/>
          <w:lang w:val="en-US" w:eastAsia="zh-CN"/>
        </w:rPr>
        <w:t xml:space="preserve"> </w:t>
      </w:r>
    </w:p>
    <w:p>
      <w:pPr>
        <w:pageBreakBefore w:val="0"/>
        <w:kinsoku/>
        <w:wordWrap/>
        <w:overflowPunct/>
        <w:topLinePunct w:val="0"/>
        <w:bidi w:val="0"/>
        <w:adjustRightInd w:val="0"/>
        <w:snapToGrid w:val="0"/>
        <w:spacing w:line="360" w:lineRule="auto"/>
        <w:ind w:firstLine="562" w:firstLineChars="200"/>
        <w:rPr>
          <w:rFonts w:hint="default" w:ascii="仿宋_GB2312" w:hAnsi="宋体" w:eastAsia="仿宋_GB2312"/>
          <w:color w:val="auto"/>
          <w:sz w:val="28"/>
          <w:szCs w:val="28"/>
          <w:highlight w:val="none"/>
          <w:lang w:val="en-US" w:eastAsia="zh-CN"/>
        </w:rPr>
      </w:pPr>
      <w:r>
        <w:rPr>
          <w:rFonts w:hint="eastAsia" w:ascii="仿宋_GB2312" w:hAnsi="宋体" w:eastAsia="仿宋_GB2312"/>
          <w:b/>
          <w:bCs/>
          <w:color w:val="auto"/>
          <w:sz w:val="28"/>
          <w:szCs w:val="28"/>
          <w:highlight w:val="none"/>
          <w:lang w:val="en-US" w:eastAsia="zh-CN"/>
        </w:rPr>
        <w:t>2035年展望目标：</w:t>
      </w:r>
      <w:r>
        <w:rPr>
          <w:rFonts w:eastAsia="仿宋"/>
          <w:sz w:val="28"/>
          <w:szCs w:val="28"/>
        </w:rPr>
        <w:t>矿产资源保障程度进一步提升，资源供应能力持续稳定，矿区生态环境实现根本好转，矿业实现全面转型升级和绿色发展，生态保护和矿业高质量发展相协调的发展格局全面形成</w:t>
      </w:r>
      <w:r>
        <w:rPr>
          <w:rFonts w:hint="eastAsia" w:ascii="仿宋_GB2312" w:hAnsi="宋体" w:eastAsia="仿宋_GB2312"/>
          <w:color w:val="auto"/>
          <w:sz w:val="28"/>
          <w:szCs w:val="28"/>
          <w:highlight w:val="none"/>
          <w:lang w:val="en-US" w:eastAsia="zh-CN"/>
        </w:rPr>
        <w:t>。</w:t>
      </w:r>
    </w:p>
    <w:p>
      <w:pPr>
        <w:pageBreakBefore w:val="0"/>
        <w:kinsoku/>
        <w:wordWrap/>
        <w:overflowPunct/>
        <w:topLinePunct w:val="0"/>
        <w:bidi w:val="0"/>
        <w:snapToGrid w:val="0"/>
        <w:spacing w:line="360" w:lineRule="auto"/>
        <w:rPr>
          <w:rFonts w:hint="eastAsia"/>
          <w:lang w:eastAsia="zh-CN"/>
        </w:rPr>
      </w:pPr>
      <w:r>
        <w:rPr>
          <w:rFonts w:hint="eastAsia"/>
          <w:lang w:eastAsia="zh-CN"/>
        </w:rPr>
        <w:br w:type="page"/>
      </w:r>
    </w:p>
    <w:p>
      <w:pPr>
        <w:pStyle w:val="3"/>
        <w:pageBreakBefore w:val="0"/>
        <w:kinsoku/>
        <w:wordWrap/>
        <w:overflowPunct/>
        <w:topLinePunct w:val="0"/>
        <w:bidi w:val="0"/>
        <w:adjustRightInd w:val="0"/>
        <w:snapToGrid w:val="0"/>
        <w:spacing w:beforeLines="0" w:afterLines="0" w:line="360" w:lineRule="auto"/>
        <w:rPr>
          <w:rFonts w:hint="eastAsia" w:ascii="宋体" w:hAnsi="宋体" w:eastAsia="宋体"/>
          <w:color w:val="auto"/>
          <w:highlight w:val="none"/>
          <w:lang w:eastAsia="zh-CN"/>
        </w:rPr>
      </w:pPr>
      <w:bookmarkStart w:id="14" w:name="_Toc3104"/>
      <w:r>
        <w:rPr>
          <w:rFonts w:hint="eastAsia" w:ascii="宋体" w:hAnsi="宋体" w:eastAsia="宋体"/>
          <w:color w:val="auto"/>
          <w:highlight w:val="none"/>
          <w:lang w:eastAsia="zh-CN"/>
        </w:rPr>
        <w:t>第三章</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lang w:eastAsia="zh-CN"/>
        </w:rPr>
        <w:t>矿产勘查开发与保护布局</w:t>
      </w:r>
      <w:bookmarkEnd w:id="14"/>
    </w:p>
    <w:p>
      <w:pPr>
        <w:pageBreakBefore w:val="0"/>
        <w:kinsoku/>
        <w:wordWrap/>
        <w:overflowPunct/>
        <w:topLinePunct w:val="0"/>
        <w:bidi w:val="0"/>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衔接国土空间规划，</w:t>
      </w:r>
      <w:r>
        <w:rPr>
          <w:rFonts w:hint="eastAsia" w:ascii="仿宋" w:hAnsi="仿宋" w:eastAsia="仿宋" w:cs="仿宋"/>
          <w:sz w:val="28"/>
          <w:szCs w:val="28"/>
        </w:rPr>
        <w:t>严守生态保护红线、永久基本农田、城镇开发边界</w:t>
      </w:r>
      <w:r>
        <w:rPr>
          <w:rFonts w:hint="default" w:ascii="仿宋" w:hAnsi="仿宋" w:eastAsia="仿宋" w:cs="仿宋"/>
          <w:sz w:val="28"/>
          <w:szCs w:val="28"/>
        </w:rPr>
        <w:t>三条控制线</w:t>
      </w:r>
      <w:r>
        <w:rPr>
          <w:rFonts w:hint="eastAsia" w:ascii="仿宋" w:hAnsi="仿宋" w:eastAsia="仿宋" w:cs="仿宋"/>
          <w:sz w:val="28"/>
          <w:szCs w:val="28"/>
        </w:rPr>
        <w:t>，</w:t>
      </w:r>
      <w:r>
        <w:rPr>
          <w:rFonts w:hint="eastAsia" w:ascii="仿宋" w:hAnsi="仿宋" w:eastAsia="仿宋"/>
          <w:sz w:val="28"/>
          <w:szCs w:val="28"/>
          <w:lang w:val="en-US" w:eastAsia="zh-CN"/>
        </w:rPr>
        <w:t>落实管控要求，强化区域优势互补与联动发展，促进勘查开发与经济发展、环境保护相协调，构建矿业高质量发展新格局。</w:t>
      </w:r>
    </w:p>
    <w:p>
      <w:pPr>
        <w:pStyle w:val="4"/>
        <w:pageBreakBefore w:val="0"/>
        <w:kinsoku/>
        <w:wordWrap/>
        <w:overflowPunct/>
        <w:topLinePunct w:val="0"/>
        <w:bidi w:val="0"/>
        <w:adjustRightInd w:val="0"/>
        <w:snapToGrid w:val="0"/>
        <w:spacing w:beforeLines="0" w:afterLines="0" w:line="360" w:lineRule="auto"/>
        <w:rPr>
          <w:rFonts w:hint="default" w:ascii="黑体" w:hAnsi="黑体" w:eastAsia="黑体" w:cs="黑体"/>
          <w:color w:val="auto"/>
          <w:highlight w:val="none"/>
          <w:lang w:val="en-US" w:eastAsia="zh-CN"/>
        </w:rPr>
      </w:pPr>
      <w:bookmarkStart w:id="15" w:name="_Toc24676"/>
      <w:r>
        <w:rPr>
          <w:rFonts w:hint="eastAsia" w:ascii="黑体" w:hAnsi="黑体" w:eastAsia="黑体" w:cs="黑体"/>
          <w:color w:val="auto"/>
          <w:highlight w:val="none"/>
          <w:lang w:eastAsia="zh-CN"/>
        </w:rPr>
        <w:t>第一节</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lang w:eastAsia="zh-CN"/>
        </w:rPr>
        <w:t>矿产资源勘查开采调控方向</w:t>
      </w:r>
      <w:bookmarkEnd w:id="15"/>
    </w:p>
    <w:p>
      <w:pPr>
        <w:pageBreakBefore w:val="0"/>
        <w:kinsoku/>
        <w:wordWrap/>
        <w:overflowPunct/>
        <w:topLinePunct w:val="0"/>
        <w:bidi w:val="0"/>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结合西峡县优势矿产资源特点和矿业现状，以供给侧结构性改革、提高发展质量和效益为出发点，调整优势矿产勘查开发方向。以金、铜、铅锌、大理岩、石墨、花岗岩等优势矿种为“十四五”期间勘查开发利用方向和重点，非金属矿以规模化、集约化、绿色开发为主导，引进国内先进矿山企业，促使我县势矿产资源得到高效利用。</w:t>
      </w:r>
    </w:p>
    <w:p>
      <w:pPr>
        <w:pageBreakBefore w:val="0"/>
        <w:kinsoku/>
        <w:wordWrap/>
        <w:overflowPunct/>
        <w:topLinePunct w:val="0"/>
        <w:bidi w:val="0"/>
        <w:snapToGrid w:val="0"/>
        <w:spacing w:line="360" w:lineRule="auto"/>
        <w:ind w:firstLine="562" w:firstLineChars="200"/>
        <w:rPr>
          <w:rFonts w:hint="eastAsia" w:ascii="仿宋" w:hAnsi="仿宋" w:eastAsia="仿宋"/>
          <w:sz w:val="28"/>
          <w:szCs w:val="28"/>
          <w:lang w:val="en-US" w:eastAsia="zh-CN"/>
        </w:rPr>
      </w:pPr>
      <w:r>
        <w:rPr>
          <w:rFonts w:hint="eastAsia" w:ascii="仿宋" w:hAnsi="仿宋" w:eastAsia="仿宋"/>
          <w:b/>
          <w:bCs/>
          <w:sz w:val="28"/>
          <w:szCs w:val="28"/>
          <w:lang w:val="en-US" w:eastAsia="zh-CN"/>
        </w:rPr>
        <w:t>勘查方向调整。</w:t>
      </w:r>
      <w:r>
        <w:rPr>
          <w:rFonts w:hint="eastAsia" w:ascii="仿宋" w:hAnsi="仿宋" w:eastAsia="仿宋"/>
          <w:sz w:val="28"/>
          <w:szCs w:val="28"/>
          <w:lang w:val="en-US" w:eastAsia="zh-CN"/>
        </w:rPr>
        <w:t>重点勘查</w:t>
      </w:r>
      <w:r>
        <w:rPr>
          <w:rFonts w:hint="eastAsia" w:ascii="仿宋" w:hAnsi="仿宋" w:eastAsia="仿宋" w:cs="楷体_GB2312"/>
          <w:kern w:val="0"/>
          <w:sz w:val="28"/>
          <w:szCs w:val="28"/>
          <w:lang w:val="en-US" w:eastAsia="zh-CN"/>
        </w:rPr>
        <w:t>金矿、铜矿、铅锌矿、</w:t>
      </w:r>
      <w:r>
        <w:rPr>
          <w:rFonts w:hint="eastAsia" w:ascii="仿宋_GB2312" w:hAnsi="宋体" w:eastAsia="仿宋_GB2312"/>
          <w:color w:val="auto"/>
          <w:sz w:val="28"/>
          <w:szCs w:val="28"/>
          <w:highlight w:val="none"/>
          <w:lang w:val="en-US" w:eastAsia="zh-CN"/>
        </w:rPr>
        <w:t>石墨、</w:t>
      </w:r>
      <w:r>
        <w:rPr>
          <w:rFonts w:hint="eastAsia" w:ascii="仿宋" w:hAnsi="仿宋" w:eastAsia="仿宋"/>
          <w:sz w:val="28"/>
          <w:szCs w:val="28"/>
          <w:lang w:val="en-US" w:eastAsia="zh-CN"/>
        </w:rPr>
        <w:t>耐火用</w:t>
      </w:r>
      <w:r>
        <w:rPr>
          <w:rFonts w:hint="eastAsia" w:ascii="仿宋_GB2312" w:hAnsi="宋体" w:eastAsia="仿宋_GB2312"/>
          <w:color w:val="auto"/>
          <w:sz w:val="28"/>
          <w:szCs w:val="28"/>
          <w:highlight w:val="none"/>
          <w:lang w:val="en-US" w:eastAsia="zh-CN"/>
        </w:rPr>
        <w:t>橄榄岩</w:t>
      </w:r>
      <w:r>
        <w:rPr>
          <w:rFonts w:hint="eastAsia" w:ascii="仿宋" w:hAnsi="仿宋" w:eastAsia="仿宋"/>
          <w:sz w:val="28"/>
          <w:szCs w:val="28"/>
          <w:lang w:val="en-US" w:eastAsia="zh-CN"/>
        </w:rPr>
        <w:t>等矿产；加大清洁能源矿产</w:t>
      </w:r>
      <w:bookmarkStart w:id="50" w:name="_GoBack"/>
      <w:r>
        <w:rPr>
          <w:rFonts w:hint="eastAsia" w:ascii="仿宋" w:hAnsi="仿宋" w:eastAsia="仿宋"/>
          <w:sz w:val="28"/>
          <w:szCs w:val="28"/>
          <w:lang w:val="en-US" w:eastAsia="zh-CN"/>
        </w:rPr>
        <w:t>矿泉水</w:t>
      </w:r>
      <w:bookmarkEnd w:id="50"/>
      <w:r>
        <w:rPr>
          <w:rFonts w:hint="eastAsia" w:ascii="仿宋" w:hAnsi="仿宋" w:eastAsia="仿宋"/>
          <w:sz w:val="28"/>
          <w:szCs w:val="28"/>
          <w:lang w:val="en-US" w:eastAsia="zh-CN"/>
        </w:rPr>
        <w:t>的勘查，力争实现清洁能源找矿突破</w:t>
      </w:r>
      <w:r>
        <w:rPr>
          <w:rFonts w:hint="eastAsia" w:ascii="仿宋" w:hAnsi="仿宋" w:eastAsia="仿宋"/>
          <w:sz w:val="28"/>
          <w:szCs w:val="28"/>
          <w:lang w:val="zh-CN" w:eastAsia="zh-CN"/>
        </w:rPr>
        <w:t>；</w:t>
      </w:r>
      <w:r>
        <w:rPr>
          <w:rFonts w:hint="eastAsia" w:ascii="仿宋" w:hAnsi="仿宋" w:eastAsia="仿宋"/>
          <w:sz w:val="28"/>
          <w:szCs w:val="28"/>
          <w:lang w:val="en-US" w:eastAsia="zh-CN"/>
        </w:rPr>
        <w:t>加强大理岩（石材石粉用、熔剂用）、冶金用白云岩等经济社会发展急需矿产勘查。</w:t>
      </w:r>
    </w:p>
    <w:p>
      <w:pPr>
        <w:pageBreakBefore w:val="0"/>
        <w:kinsoku/>
        <w:wordWrap/>
        <w:overflowPunct/>
        <w:topLinePunct w:val="0"/>
        <w:bidi w:val="0"/>
        <w:snapToGrid w:val="0"/>
        <w:spacing w:line="360" w:lineRule="auto"/>
        <w:ind w:firstLine="562" w:firstLineChars="200"/>
        <w:rPr>
          <w:rFonts w:hint="eastAsia" w:ascii="仿宋" w:hAnsi="仿宋" w:eastAsia="仿宋"/>
          <w:sz w:val="28"/>
          <w:szCs w:val="28"/>
          <w:lang w:val="en-US" w:eastAsia="zh-CN"/>
        </w:rPr>
      </w:pPr>
      <w:r>
        <w:rPr>
          <w:rFonts w:hint="eastAsia" w:ascii="仿宋" w:hAnsi="仿宋" w:eastAsia="仿宋"/>
          <w:b/>
          <w:bCs/>
          <w:sz w:val="28"/>
          <w:szCs w:val="28"/>
          <w:lang w:val="en-US" w:eastAsia="zh-CN"/>
        </w:rPr>
        <w:t>开发方向调整。</w:t>
      </w:r>
      <w:r>
        <w:rPr>
          <w:rFonts w:hint="eastAsia" w:ascii="仿宋" w:hAnsi="仿宋" w:eastAsia="仿宋"/>
          <w:sz w:val="28"/>
          <w:szCs w:val="28"/>
          <w:lang w:val="en-US" w:eastAsia="zh-CN"/>
        </w:rPr>
        <w:t>重点开采金、银、铜、铁、铅锌、矿泉水、大理岩、大理岩（熔剂用）、冶金用白云岩、饰面用花岗岩等矿产；禁止开采风化壳型超贫磁铁矿、砂金、蓝石棉、可耕地砖瓦用粘土、风化壳型砂矿等矿产。</w:t>
      </w:r>
    </w:p>
    <w:p>
      <w:pPr>
        <w:pStyle w:val="4"/>
        <w:pageBreakBefore w:val="0"/>
        <w:kinsoku/>
        <w:wordWrap/>
        <w:overflowPunct/>
        <w:topLinePunct w:val="0"/>
        <w:bidi w:val="0"/>
        <w:adjustRightInd w:val="0"/>
        <w:snapToGrid w:val="0"/>
        <w:spacing w:beforeLines="0" w:afterLines="0" w:line="360" w:lineRule="auto"/>
        <w:rPr>
          <w:rFonts w:hint="eastAsia" w:ascii="黑体" w:hAnsi="黑体" w:eastAsia="黑体" w:cs="黑体"/>
          <w:color w:val="auto"/>
          <w:highlight w:val="none"/>
          <w:lang w:eastAsia="zh-CN"/>
        </w:rPr>
      </w:pPr>
      <w:bookmarkStart w:id="16" w:name="_Toc2464"/>
      <w:r>
        <w:rPr>
          <w:rFonts w:hint="eastAsia" w:ascii="黑体" w:hAnsi="黑体" w:eastAsia="黑体" w:cs="黑体"/>
          <w:color w:val="auto"/>
          <w:highlight w:val="none"/>
          <w:lang w:eastAsia="zh-CN"/>
        </w:rPr>
        <w:t>第二节</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lang w:eastAsia="zh-CN"/>
        </w:rPr>
        <w:t>矿产资源产业重点发展区域</w:t>
      </w:r>
      <w:bookmarkEnd w:id="16"/>
    </w:p>
    <w:p>
      <w:pPr>
        <w:pageBreakBefore w:val="0"/>
        <w:kinsoku/>
        <w:wordWrap/>
        <w:overflowPunct/>
        <w:topLinePunct w:val="0"/>
        <w:bidi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rPr>
        <w:t>根据</w:t>
      </w:r>
      <w:r>
        <w:rPr>
          <w:rFonts w:hint="eastAsia" w:ascii="仿宋" w:hAnsi="仿宋" w:eastAsia="仿宋"/>
          <w:sz w:val="28"/>
          <w:szCs w:val="28"/>
          <w:lang w:eastAsia="zh-CN"/>
        </w:rPr>
        <w:t>西峡县</w:t>
      </w:r>
      <w:r>
        <w:rPr>
          <w:rFonts w:hint="eastAsia" w:ascii="仿宋" w:hAnsi="仿宋" w:eastAsia="仿宋"/>
          <w:sz w:val="28"/>
          <w:szCs w:val="28"/>
        </w:rPr>
        <w:t>国民经济发展“十四五”规划纲要，结合矿产资源分布及本轮矿产资源总体规划要求，规划矿产资源产业重点发展区域。</w:t>
      </w:r>
    </w:p>
    <w:p>
      <w:pPr>
        <w:pageBreakBefore w:val="0"/>
        <w:kinsoku/>
        <w:wordWrap/>
        <w:overflowPunct/>
        <w:topLinePunct w:val="0"/>
        <w:bidi w:val="0"/>
        <w:snapToGrid w:val="0"/>
        <w:spacing w:line="360" w:lineRule="auto"/>
        <w:ind w:firstLine="562" w:firstLineChars="200"/>
        <w:rPr>
          <w:rFonts w:hint="eastAsia" w:ascii="仿宋" w:hAnsi="仿宋" w:eastAsia="仿宋"/>
          <w:sz w:val="28"/>
          <w:szCs w:val="28"/>
        </w:rPr>
      </w:pPr>
      <w:r>
        <w:rPr>
          <w:rFonts w:hint="eastAsia" w:ascii="仿宋" w:hAnsi="仿宋" w:eastAsia="仿宋" w:cs="Times New Roman"/>
          <w:b/>
          <w:bCs/>
          <w:sz w:val="28"/>
          <w:szCs w:val="28"/>
          <w:lang w:eastAsia="zh-CN"/>
        </w:rPr>
        <w:t>西峡县西北</w:t>
      </w:r>
      <w:r>
        <w:rPr>
          <w:rFonts w:hint="eastAsia" w:ascii="仿宋" w:hAnsi="仿宋" w:eastAsia="仿宋" w:cs="Times New Roman"/>
          <w:b/>
          <w:bCs/>
          <w:sz w:val="28"/>
          <w:szCs w:val="28"/>
        </w:rPr>
        <w:t>部</w:t>
      </w:r>
      <w:r>
        <w:rPr>
          <w:rFonts w:hint="eastAsia" w:ascii="仿宋" w:hAnsi="仿宋" w:eastAsia="仿宋" w:cs="Times New Roman"/>
          <w:b/>
          <w:bCs/>
          <w:sz w:val="28"/>
          <w:szCs w:val="28"/>
          <w:lang w:eastAsia="zh-CN"/>
        </w:rPr>
        <w:t>（寨根</w:t>
      </w:r>
      <w:r>
        <w:rPr>
          <w:rFonts w:hint="eastAsia" w:ascii="仿宋" w:hAnsi="仿宋" w:eastAsia="仿宋" w:cs="Times New Roman"/>
          <w:b/>
          <w:bCs/>
          <w:sz w:val="28"/>
          <w:szCs w:val="28"/>
          <w:lang w:val="en-US" w:eastAsia="zh-CN"/>
        </w:rPr>
        <w:t>乡</w:t>
      </w:r>
      <w:r>
        <w:rPr>
          <w:rFonts w:hint="eastAsia" w:ascii="仿宋" w:hAnsi="仿宋" w:eastAsia="仿宋" w:cs="Times New Roman"/>
          <w:b/>
          <w:bCs/>
          <w:sz w:val="28"/>
          <w:szCs w:val="28"/>
          <w:lang w:eastAsia="zh-CN"/>
        </w:rPr>
        <w:t>、桑坪</w:t>
      </w:r>
      <w:r>
        <w:rPr>
          <w:rFonts w:hint="eastAsia" w:ascii="仿宋" w:hAnsi="仿宋" w:eastAsia="仿宋" w:cs="Times New Roman"/>
          <w:b/>
          <w:bCs/>
          <w:sz w:val="28"/>
          <w:szCs w:val="28"/>
          <w:lang w:val="en-US" w:eastAsia="zh-CN"/>
        </w:rPr>
        <w:t>镇</w:t>
      </w:r>
      <w:r>
        <w:rPr>
          <w:rFonts w:hint="eastAsia" w:ascii="仿宋" w:hAnsi="仿宋" w:eastAsia="仿宋" w:cs="Times New Roman"/>
          <w:b/>
          <w:bCs/>
          <w:sz w:val="28"/>
          <w:szCs w:val="28"/>
          <w:lang w:eastAsia="zh-CN"/>
        </w:rPr>
        <w:t>、米坪</w:t>
      </w:r>
      <w:r>
        <w:rPr>
          <w:rFonts w:hint="eastAsia" w:ascii="仿宋" w:hAnsi="仿宋" w:eastAsia="仿宋" w:cs="Times New Roman"/>
          <w:b/>
          <w:bCs/>
          <w:sz w:val="28"/>
          <w:szCs w:val="28"/>
          <w:lang w:val="en-US" w:eastAsia="zh-CN"/>
        </w:rPr>
        <w:t>镇</w:t>
      </w:r>
      <w:r>
        <w:rPr>
          <w:rFonts w:hint="eastAsia" w:ascii="仿宋" w:hAnsi="仿宋" w:eastAsia="仿宋" w:cs="Times New Roman"/>
          <w:b/>
          <w:bCs/>
          <w:sz w:val="28"/>
          <w:szCs w:val="28"/>
          <w:lang w:eastAsia="zh-CN"/>
        </w:rPr>
        <w:t>）</w:t>
      </w:r>
      <w:r>
        <w:rPr>
          <w:rFonts w:hint="eastAsia" w:ascii="仿宋" w:hAnsi="仿宋" w:eastAsia="仿宋"/>
          <w:b/>
          <w:bCs/>
          <w:sz w:val="28"/>
          <w:szCs w:val="28"/>
        </w:rPr>
        <w:t>：</w:t>
      </w:r>
      <w:r>
        <w:rPr>
          <w:rFonts w:hint="eastAsia" w:ascii="仿宋" w:hAnsi="仿宋" w:eastAsia="仿宋"/>
          <w:sz w:val="28"/>
          <w:szCs w:val="28"/>
        </w:rPr>
        <w:t>依托区内丰富的</w:t>
      </w:r>
      <w:r>
        <w:rPr>
          <w:rFonts w:hint="eastAsia" w:ascii="仿宋" w:hAnsi="仿宋" w:eastAsia="仿宋"/>
          <w:sz w:val="28"/>
          <w:szCs w:val="28"/>
          <w:lang w:eastAsia="zh-CN"/>
        </w:rPr>
        <w:t>大理岩</w:t>
      </w:r>
      <w:r>
        <w:rPr>
          <w:rFonts w:hint="eastAsia" w:ascii="仿宋" w:hAnsi="仿宋" w:eastAsia="仿宋"/>
          <w:sz w:val="28"/>
          <w:szCs w:val="28"/>
        </w:rPr>
        <w:t>资源，</w:t>
      </w:r>
      <w:r>
        <w:rPr>
          <w:rFonts w:hint="eastAsia" w:ascii="仿宋" w:hAnsi="仿宋" w:eastAsia="仿宋"/>
          <w:sz w:val="28"/>
          <w:szCs w:val="28"/>
          <w:lang w:val="en-US" w:eastAsia="zh-CN"/>
        </w:rPr>
        <w:t>加强大理岩的开发利用研究，提高节约和综合利用水平，保障矿产资源合理有效开发。围绕后续产业开展重大关键技术公关和新产品研发，延长大理岩下游产业链。</w:t>
      </w:r>
    </w:p>
    <w:p>
      <w:pPr>
        <w:pageBreakBefore w:val="0"/>
        <w:kinsoku/>
        <w:wordWrap/>
        <w:overflowPunct/>
        <w:topLinePunct w:val="0"/>
        <w:bidi w:val="0"/>
        <w:snapToGrid w:val="0"/>
        <w:spacing w:line="360" w:lineRule="auto"/>
        <w:ind w:firstLine="562" w:firstLineChars="200"/>
        <w:rPr>
          <w:rFonts w:hint="eastAsia" w:ascii="仿宋" w:hAnsi="仿宋" w:eastAsia="仿宋"/>
          <w:sz w:val="28"/>
          <w:szCs w:val="28"/>
        </w:rPr>
      </w:pPr>
      <w:r>
        <w:rPr>
          <w:rFonts w:hint="eastAsia" w:ascii="仿宋" w:hAnsi="仿宋" w:eastAsia="仿宋" w:cs="Times New Roman"/>
          <w:b/>
          <w:bCs/>
          <w:sz w:val="28"/>
          <w:szCs w:val="28"/>
          <w:lang w:eastAsia="zh-CN"/>
        </w:rPr>
        <w:t>西峡县东北</w:t>
      </w:r>
      <w:r>
        <w:rPr>
          <w:rFonts w:hint="eastAsia" w:ascii="仿宋" w:hAnsi="仿宋" w:eastAsia="仿宋" w:cs="Times New Roman"/>
          <w:b/>
          <w:bCs/>
          <w:sz w:val="28"/>
          <w:szCs w:val="28"/>
        </w:rPr>
        <w:t>部</w:t>
      </w:r>
      <w:r>
        <w:rPr>
          <w:rFonts w:hint="eastAsia" w:ascii="仿宋" w:hAnsi="仿宋" w:eastAsia="仿宋" w:cs="Times New Roman"/>
          <w:b/>
          <w:bCs/>
          <w:sz w:val="28"/>
          <w:szCs w:val="28"/>
          <w:lang w:eastAsia="zh-CN"/>
        </w:rPr>
        <w:t>（太平镇、二郎坪</w:t>
      </w:r>
      <w:r>
        <w:rPr>
          <w:rFonts w:hint="eastAsia" w:ascii="仿宋" w:hAnsi="仿宋" w:eastAsia="仿宋" w:cs="Times New Roman"/>
          <w:b/>
          <w:bCs/>
          <w:sz w:val="28"/>
          <w:szCs w:val="28"/>
          <w:lang w:val="en-US" w:eastAsia="zh-CN"/>
        </w:rPr>
        <w:t>镇</w:t>
      </w:r>
      <w:r>
        <w:rPr>
          <w:rFonts w:hint="eastAsia" w:ascii="仿宋" w:hAnsi="仿宋" w:eastAsia="仿宋" w:cs="Times New Roman"/>
          <w:b/>
          <w:bCs/>
          <w:sz w:val="28"/>
          <w:szCs w:val="28"/>
          <w:lang w:eastAsia="zh-CN"/>
        </w:rPr>
        <w:t>）</w:t>
      </w:r>
      <w:r>
        <w:rPr>
          <w:rFonts w:hint="eastAsia" w:ascii="仿宋" w:hAnsi="仿宋" w:eastAsia="仿宋" w:cs="Times New Roman"/>
          <w:b/>
          <w:bCs/>
          <w:sz w:val="28"/>
          <w:szCs w:val="28"/>
        </w:rPr>
        <w:t>：</w:t>
      </w:r>
      <w:r>
        <w:rPr>
          <w:rFonts w:hint="eastAsia" w:ascii="仿宋" w:hAnsi="仿宋" w:eastAsia="仿宋"/>
          <w:sz w:val="28"/>
          <w:szCs w:val="28"/>
        </w:rPr>
        <w:t>区域内主要矿产为</w:t>
      </w:r>
      <w:r>
        <w:rPr>
          <w:rFonts w:hint="eastAsia" w:ascii="仿宋" w:hAnsi="仿宋" w:eastAsia="仿宋"/>
          <w:sz w:val="28"/>
          <w:szCs w:val="28"/>
          <w:lang w:eastAsia="zh-CN"/>
        </w:rPr>
        <w:t>稀土矿和</w:t>
      </w:r>
      <w:r>
        <w:rPr>
          <w:rFonts w:hint="eastAsia" w:ascii="仿宋" w:hAnsi="仿宋" w:eastAsia="仿宋"/>
          <w:sz w:val="28"/>
          <w:szCs w:val="28"/>
          <w:lang w:val="en-US" w:eastAsia="zh-CN"/>
        </w:rPr>
        <w:t>饰面用</w:t>
      </w:r>
      <w:r>
        <w:rPr>
          <w:rFonts w:hint="eastAsia" w:ascii="仿宋" w:hAnsi="仿宋" w:eastAsia="仿宋"/>
          <w:sz w:val="28"/>
          <w:szCs w:val="28"/>
          <w:lang w:eastAsia="zh-CN"/>
        </w:rPr>
        <w:t>花岗岩。大力推进饰面</w:t>
      </w:r>
      <w:r>
        <w:rPr>
          <w:rFonts w:hint="eastAsia" w:ascii="仿宋" w:hAnsi="仿宋" w:eastAsia="仿宋"/>
          <w:sz w:val="28"/>
          <w:szCs w:val="28"/>
          <w:lang w:val="en-US" w:eastAsia="zh-CN"/>
        </w:rPr>
        <w:t>花岗岩</w:t>
      </w:r>
      <w:r>
        <w:rPr>
          <w:rFonts w:hint="eastAsia" w:ascii="仿宋" w:hAnsi="仿宋" w:eastAsia="仿宋"/>
          <w:sz w:val="28"/>
          <w:szCs w:val="28"/>
          <w:lang w:eastAsia="zh-CN"/>
        </w:rPr>
        <w:t>产业发展，提高加工水平，引导石材行业实现规模化、集约化发展，将二郎坪镇打造为西峡县</w:t>
      </w:r>
      <w:r>
        <w:rPr>
          <w:rFonts w:hint="eastAsia" w:ascii="仿宋" w:hAnsi="仿宋" w:eastAsia="仿宋"/>
          <w:sz w:val="28"/>
          <w:szCs w:val="28"/>
          <w:lang w:val="en-US" w:eastAsia="zh-CN"/>
        </w:rPr>
        <w:t>饰面</w:t>
      </w:r>
      <w:r>
        <w:rPr>
          <w:rFonts w:hint="eastAsia" w:ascii="仿宋" w:hAnsi="仿宋" w:eastAsia="仿宋"/>
          <w:sz w:val="28"/>
          <w:szCs w:val="28"/>
          <w:lang w:eastAsia="zh-CN"/>
        </w:rPr>
        <w:t>石材生产</w:t>
      </w:r>
      <w:r>
        <w:rPr>
          <w:rFonts w:hint="eastAsia" w:ascii="仿宋" w:hAnsi="仿宋" w:eastAsia="仿宋"/>
          <w:sz w:val="28"/>
          <w:szCs w:val="28"/>
          <w:lang w:val="en-US" w:eastAsia="zh-CN"/>
        </w:rPr>
        <w:t>集中</w:t>
      </w:r>
      <w:r>
        <w:rPr>
          <w:rFonts w:hint="eastAsia" w:ascii="仿宋" w:hAnsi="仿宋" w:eastAsia="仿宋"/>
          <w:sz w:val="28"/>
          <w:szCs w:val="28"/>
          <w:lang w:eastAsia="zh-CN"/>
        </w:rPr>
        <w:t>地</w:t>
      </w:r>
      <w:r>
        <w:rPr>
          <w:rFonts w:hint="eastAsia" w:ascii="仿宋" w:hAnsi="仿宋" w:eastAsia="仿宋"/>
          <w:sz w:val="28"/>
          <w:szCs w:val="28"/>
        </w:rPr>
        <w:t>。</w:t>
      </w:r>
    </w:p>
    <w:p>
      <w:pPr>
        <w:pageBreakBefore w:val="0"/>
        <w:kinsoku/>
        <w:wordWrap/>
        <w:overflowPunct/>
        <w:topLinePunct w:val="0"/>
        <w:bidi w:val="0"/>
        <w:snapToGrid w:val="0"/>
        <w:spacing w:line="360" w:lineRule="auto"/>
        <w:ind w:firstLine="562" w:firstLineChars="200"/>
        <w:rPr>
          <w:rFonts w:hint="eastAsia" w:ascii="仿宋" w:hAnsi="仿宋" w:eastAsia="仿宋" w:cs="Times New Roman"/>
          <w:sz w:val="28"/>
          <w:szCs w:val="28"/>
          <w:lang w:eastAsia="zh-CN"/>
        </w:rPr>
      </w:pPr>
      <w:r>
        <w:rPr>
          <w:rFonts w:hint="eastAsia" w:ascii="仿宋" w:hAnsi="仿宋" w:eastAsia="仿宋"/>
          <w:b/>
          <w:bCs/>
          <w:sz w:val="28"/>
          <w:szCs w:val="28"/>
          <w:lang w:eastAsia="zh-CN"/>
        </w:rPr>
        <w:t>西峡县西南部（西坪</w:t>
      </w:r>
      <w:r>
        <w:rPr>
          <w:rFonts w:hint="eastAsia" w:ascii="仿宋" w:hAnsi="仿宋" w:eastAsia="仿宋"/>
          <w:b/>
          <w:bCs/>
          <w:sz w:val="28"/>
          <w:szCs w:val="28"/>
          <w:lang w:val="en-US" w:eastAsia="zh-CN"/>
        </w:rPr>
        <w:t>镇</w:t>
      </w:r>
      <w:r>
        <w:rPr>
          <w:rFonts w:hint="eastAsia" w:ascii="仿宋" w:hAnsi="仿宋" w:eastAsia="仿宋"/>
          <w:b/>
          <w:bCs/>
          <w:sz w:val="28"/>
          <w:szCs w:val="28"/>
          <w:lang w:eastAsia="zh-CN"/>
        </w:rPr>
        <w:t>）</w:t>
      </w:r>
      <w:r>
        <w:rPr>
          <w:rFonts w:hint="eastAsia" w:ascii="仿宋" w:hAnsi="仿宋" w:eastAsia="仿宋"/>
          <w:b/>
          <w:bCs/>
          <w:sz w:val="28"/>
          <w:szCs w:val="28"/>
        </w:rPr>
        <w:t>：</w:t>
      </w:r>
      <w:r>
        <w:rPr>
          <w:rFonts w:hint="eastAsia" w:ascii="仿宋" w:hAnsi="仿宋" w:eastAsia="仿宋"/>
          <w:sz w:val="28"/>
          <w:szCs w:val="28"/>
          <w:lang w:eastAsia="zh-CN"/>
        </w:rPr>
        <w:t>区域内镁橄榄岩具有氧化镁含量高，铁含量低的特点，主要用作耐火材料和冶金辅料，依托亚洲最大的露天镁橄榄岩矿床，建设</w:t>
      </w:r>
      <w:r>
        <w:rPr>
          <w:rFonts w:hint="eastAsia" w:ascii="仿宋" w:hAnsi="仿宋" w:eastAsia="仿宋"/>
          <w:sz w:val="28"/>
          <w:szCs w:val="28"/>
          <w:lang w:val="en-US" w:eastAsia="zh-CN"/>
        </w:rPr>
        <w:t>具有</w:t>
      </w:r>
      <w:r>
        <w:rPr>
          <w:rFonts w:hint="eastAsia" w:ascii="仿宋" w:hAnsi="仿宋" w:eastAsia="仿宋"/>
          <w:sz w:val="28"/>
          <w:szCs w:val="28"/>
          <w:lang w:eastAsia="zh-CN"/>
        </w:rPr>
        <w:t>河南省地域特色的</w:t>
      </w:r>
      <w:r>
        <w:rPr>
          <w:rFonts w:hint="eastAsia" w:ascii="仿宋" w:hAnsi="仿宋" w:eastAsia="仿宋"/>
          <w:sz w:val="28"/>
          <w:szCs w:val="28"/>
          <w:lang w:val="en-US" w:eastAsia="zh-CN"/>
        </w:rPr>
        <w:t>以</w:t>
      </w:r>
      <w:r>
        <w:rPr>
          <w:rFonts w:hint="eastAsia" w:ascii="仿宋" w:hAnsi="仿宋" w:eastAsia="仿宋"/>
          <w:sz w:val="28"/>
          <w:szCs w:val="28"/>
          <w:lang w:eastAsia="zh-CN"/>
        </w:rPr>
        <w:t>耐火材料和冶金辅料为龙头的</w:t>
      </w:r>
      <w:r>
        <w:rPr>
          <w:rFonts w:hint="eastAsia" w:ascii="仿宋" w:hAnsi="仿宋" w:eastAsia="仿宋"/>
          <w:sz w:val="28"/>
          <w:szCs w:val="28"/>
          <w:lang w:val="en-US" w:eastAsia="zh-CN"/>
        </w:rPr>
        <w:t>重要</w:t>
      </w:r>
      <w:r>
        <w:rPr>
          <w:rFonts w:hint="eastAsia" w:ascii="仿宋" w:hAnsi="仿宋" w:eastAsia="仿宋"/>
          <w:sz w:val="28"/>
          <w:szCs w:val="28"/>
          <w:lang w:eastAsia="zh-CN"/>
        </w:rPr>
        <w:t>基地。</w:t>
      </w:r>
    </w:p>
    <w:p>
      <w:pPr>
        <w:pStyle w:val="4"/>
        <w:pageBreakBefore w:val="0"/>
        <w:kinsoku/>
        <w:wordWrap/>
        <w:overflowPunct/>
        <w:topLinePunct w:val="0"/>
        <w:bidi w:val="0"/>
        <w:adjustRightInd w:val="0"/>
        <w:snapToGrid w:val="0"/>
        <w:spacing w:beforeLines="0" w:afterLines="0" w:line="360" w:lineRule="auto"/>
        <w:rPr>
          <w:rFonts w:hint="eastAsia" w:ascii="黑体" w:hAnsi="黑体" w:eastAsia="黑体" w:cs="黑体"/>
          <w:color w:val="auto"/>
          <w:highlight w:val="none"/>
          <w:lang w:eastAsia="zh-CN"/>
        </w:rPr>
      </w:pPr>
      <w:bookmarkStart w:id="17" w:name="_Toc24005"/>
      <w:r>
        <w:rPr>
          <w:rFonts w:hint="eastAsia" w:ascii="黑体" w:hAnsi="黑体" w:eastAsia="黑体" w:cs="黑体"/>
          <w:color w:val="auto"/>
          <w:highlight w:val="none"/>
          <w:lang w:eastAsia="zh-CN"/>
        </w:rPr>
        <w:t>第三节</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lang w:eastAsia="zh-CN"/>
        </w:rPr>
        <w:t>加强战略性矿产资源保护区保护和储备</w:t>
      </w:r>
      <w:bookmarkEnd w:id="17"/>
      <w:r>
        <w:rPr>
          <w:rFonts w:hint="eastAsia" w:ascii="黑体" w:hAnsi="黑体" w:eastAsia="黑体" w:cs="黑体"/>
          <w:color w:val="auto"/>
          <w:highlight w:val="none"/>
          <w:lang w:eastAsia="zh-CN"/>
        </w:rPr>
        <w:t xml:space="preserve"> </w:t>
      </w:r>
    </w:p>
    <w:p>
      <w:pPr>
        <w:pageBreakBefore w:val="0"/>
        <w:kinsoku/>
        <w:wordWrap/>
        <w:overflowPunct/>
        <w:topLinePunct w:val="0"/>
        <w:bidi w:val="0"/>
        <w:snapToGrid w:val="0"/>
        <w:spacing w:beforeLines="0" w:afterLines="0" w:line="360" w:lineRule="auto"/>
        <w:ind w:firstLine="562" w:firstLineChars="200"/>
        <w:jc w:val="left"/>
        <w:rPr>
          <w:rFonts w:hint="default" w:ascii="仿宋" w:hAnsi="仿宋" w:eastAsia="仿宋" w:cs="仿宋"/>
          <w:sz w:val="28"/>
          <w:szCs w:val="28"/>
          <w:lang w:val="en-US" w:eastAsia="zh-CN"/>
        </w:rPr>
      </w:pPr>
      <w:r>
        <w:rPr>
          <w:rFonts w:hint="eastAsia" w:ascii="仿宋" w:hAnsi="仿宋" w:eastAsia="仿宋" w:cs="仿宋"/>
          <w:b/>
          <w:bCs/>
          <w:color w:val="000000"/>
          <w:sz w:val="28"/>
          <w:szCs w:val="28"/>
          <w:lang w:eastAsia="zh-CN"/>
        </w:rPr>
        <w:t>落实</w:t>
      </w:r>
      <w:r>
        <w:rPr>
          <w:rFonts w:hint="eastAsia" w:ascii="仿宋" w:hAnsi="仿宋" w:eastAsia="仿宋" w:cs="仿宋"/>
          <w:b/>
          <w:bCs/>
          <w:color w:val="000000"/>
          <w:sz w:val="28"/>
          <w:szCs w:val="28"/>
        </w:rPr>
        <w:t>战略性矿产资源保护区</w:t>
      </w:r>
      <w:r>
        <w:rPr>
          <w:rFonts w:hint="eastAsia" w:ascii="仿宋" w:hAnsi="仿宋" w:eastAsia="仿宋" w:cs="仿宋"/>
          <w:b/>
          <w:bCs/>
          <w:color w:val="000000"/>
          <w:sz w:val="28"/>
          <w:szCs w:val="28"/>
          <w:lang w:val="en-US" w:eastAsia="zh-CN"/>
        </w:rPr>
        <w:t>:</w:t>
      </w:r>
      <w:r>
        <w:rPr>
          <w:rFonts w:hint="eastAsia" w:ascii="仿宋" w:hAnsi="仿宋" w:eastAsia="仿宋" w:cs="仿宋"/>
          <w:sz w:val="28"/>
          <w:szCs w:val="28"/>
          <w:lang w:val="en-US" w:eastAsia="zh-CN"/>
        </w:rPr>
        <w:t>西峡县太平镇稀土矿矿区，面积36.45平方公里，矿产地1处，稀土矿稀土氧化物64416吨。</w:t>
      </w:r>
    </w:p>
    <w:p>
      <w:pPr>
        <w:pageBreakBefore w:val="0"/>
        <w:kinsoku/>
        <w:wordWrap/>
        <w:overflowPunct/>
        <w:topLinePunct w:val="0"/>
        <w:bidi w:val="0"/>
        <w:snapToGrid w:val="0"/>
        <w:spacing w:beforeLines="0" w:afterLines="0"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sz w:val="28"/>
          <w:szCs w:val="28"/>
        </w:rPr>
        <w:t>战略性矿产大中型矿床原则上不得压覆。对当前技术、经济或生态环境条件下暂不宜开发的大中型矿床进行保护。划定稀土矿战略性矿产资源储备区</w:t>
      </w:r>
      <w:r>
        <w:rPr>
          <w:rFonts w:hint="eastAsia" w:ascii="仿宋" w:hAnsi="仿宋" w:eastAsia="仿宋" w:cs="仿宋"/>
          <w:sz w:val="28"/>
          <w:szCs w:val="28"/>
          <w:lang w:val="en-US" w:eastAsia="zh-CN"/>
        </w:rPr>
        <w:t>1</w:t>
      </w:r>
      <w:r>
        <w:rPr>
          <w:rFonts w:hint="eastAsia" w:ascii="仿宋" w:hAnsi="仿宋" w:eastAsia="仿宋" w:cs="仿宋"/>
          <w:sz w:val="28"/>
          <w:szCs w:val="28"/>
        </w:rPr>
        <w:t xml:space="preserve">个，加快推进矿产地储备工程，着力构建产品、产能和产地“三位一体”的储备体系。 </w:t>
      </w:r>
      <w:r>
        <w:rPr>
          <w:rFonts w:hint="eastAsia" w:ascii="仿宋" w:hAnsi="仿宋" w:eastAsia="仿宋" w:cs="仿宋"/>
          <w:color w:val="000000"/>
          <w:sz w:val="28"/>
          <w:szCs w:val="28"/>
        </w:rPr>
        <w:t xml:space="preserve"> </w:t>
      </w:r>
    </w:p>
    <w:p>
      <w:pPr>
        <w:pageBreakBefore w:val="0"/>
        <w:kinsoku/>
        <w:wordWrap/>
        <w:overflowPunct/>
        <w:topLinePunct w:val="0"/>
        <w:bidi w:val="0"/>
        <w:snapToGrid w:val="0"/>
        <w:spacing w:line="360" w:lineRule="auto"/>
        <w:rPr>
          <w:rFonts w:hint="eastAsia" w:ascii="宋体" w:hAnsi="宋体" w:eastAsia="宋体"/>
          <w:color w:val="auto"/>
          <w:highlight w:val="none"/>
          <w:lang w:eastAsia="zh-CN"/>
        </w:rPr>
      </w:pPr>
      <w:r>
        <w:rPr>
          <w:rFonts w:hint="eastAsia" w:ascii="宋体" w:hAnsi="宋体" w:eastAsia="宋体"/>
          <w:color w:val="auto"/>
          <w:highlight w:val="none"/>
          <w:lang w:eastAsia="zh-CN"/>
        </w:rPr>
        <w:br w:type="page"/>
      </w:r>
    </w:p>
    <w:p>
      <w:pPr>
        <w:pStyle w:val="3"/>
        <w:pageBreakBefore w:val="0"/>
        <w:kinsoku/>
        <w:wordWrap/>
        <w:overflowPunct/>
        <w:topLinePunct w:val="0"/>
        <w:bidi w:val="0"/>
        <w:adjustRightInd w:val="0"/>
        <w:snapToGrid w:val="0"/>
        <w:spacing w:beforeLines="0" w:afterLines="0" w:line="360" w:lineRule="auto"/>
        <w:rPr>
          <w:rFonts w:hint="eastAsia" w:ascii="宋体" w:hAnsi="宋体" w:eastAsia="宋体"/>
          <w:color w:val="auto"/>
          <w:highlight w:val="none"/>
          <w:lang w:eastAsia="zh-CN"/>
        </w:rPr>
      </w:pPr>
      <w:bookmarkStart w:id="18" w:name="_Toc27642"/>
      <w:r>
        <w:rPr>
          <w:rFonts w:hint="eastAsia" w:ascii="宋体" w:hAnsi="宋体" w:eastAsia="宋体"/>
          <w:color w:val="auto"/>
          <w:highlight w:val="none"/>
          <w:lang w:eastAsia="zh-CN"/>
        </w:rPr>
        <w:t>第四章</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lang w:eastAsia="zh-CN"/>
        </w:rPr>
        <w:t>矿产资源调查评价与勘查</w:t>
      </w:r>
      <w:bookmarkEnd w:id="18"/>
    </w:p>
    <w:p>
      <w:pPr>
        <w:pageBreakBefore w:val="0"/>
        <w:kinsoku/>
        <w:wordWrap/>
        <w:overflowPunct/>
        <w:topLinePunct w:val="0"/>
        <w:bidi w:val="0"/>
        <w:snapToGrid w:val="0"/>
        <w:spacing w:line="36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积极开展重要成矿区带部署调查评价工作；加强金、铜、铅锌、耐火用橄榄岩等非金属矿产勘查，圈定一批找矿靶区，进一步提高矿产资源保障能力</w:t>
      </w:r>
      <w:r>
        <w:rPr>
          <w:rFonts w:hint="default" w:ascii="仿宋" w:hAnsi="仿宋" w:eastAsia="仿宋"/>
          <w:sz w:val="28"/>
          <w:szCs w:val="28"/>
          <w:lang w:val="en-US" w:eastAsia="zh-CN"/>
        </w:rPr>
        <w:t>，促进矿产资源勘查有序发展。</w:t>
      </w:r>
    </w:p>
    <w:p>
      <w:pPr>
        <w:pStyle w:val="4"/>
        <w:pageBreakBefore w:val="0"/>
        <w:kinsoku/>
        <w:wordWrap/>
        <w:overflowPunct/>
        <w:topLinePunct w:val="0"/>
        <w:bidi w:val="0"/>
        <w:adjustRightInd w:val="0"/>
        <w:snapToGrid w:val="0"/>
        <w:spacing w:beforeLines="0" w:afterLines="0" w:line="360" w:lineRule="auto"/>
        <w:rPr>
          <w:rFonts w:hint="eastAsia" w:ascii="黑体" w:hAnsi="黑体" w:eastAsia="黑体" w:cs="黑体"/>
          <w:color w:val="auto"/>
          <w:highlight w:val="none"/>
          <w:lang w:eastAsia="zh-CN"/>
        </w:rPr>
      </w:pPr>
      <w:bookmarkStart w:id="19" w:name="_Toc29404"/>
      <w:r>
        <w:rPr>
          <w:rFonts w:hint="eastAsia" w:ascii="黑体" w:hAnsi="黑体" w:eastAsia="黑体" w:cs="黑体"/>
          <w:color w:val="auto"/>
          <w:highlight w:val="none"/>
          <w:lang w:eastAsia="zh-CN"/>
        </w:rPr>
        <w:t>第</w:t>
      </w:r>
      <w:r>
        <w:rPr>
          <w:rFonts w:hint="eastAsia" w:ascii="黑体" w:hAnsi="黑体" w:eastAsia="黑体" w:cs="黑体"/>
          <w:color w:val="auto"/>
          <w:highlight w:val="none"/>
          <w:lang w:val="en-US" w:eastAsia="zh-CN"/>
        </w:rPr>
        <w:t>一</w:t>
      </w:r>
      <w:r>
        <w:rPr>
          <w:rFonts w:hint="eastAsia" w:ascii="黑体" w:hAnsi="黑体" w:eastAsia="黑体" w:cs="黑体"/>
          <w:color w:val="auto"/>
          <w:highlight w:val="none"/>
          <w:lang w:eastAsia="zh-CN"/>
        </w:rPr>
        <w:t>节</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lang w:eastAsia="zh-CN"/>
        </w:rPr>
        <w:t>矿产资源</w:t>
      </w:r>
      <w:r>
        <w:rPr>
          <w:rFonts w:hint="eastAsia" w:ascii="黑体" w:hAnsi="黑体" w:eastAsia="黑体" w:cs="黑体"/>
          <w:color w:val="auto"/>
          <w:highlight w:val="none"/>
          <w:lang w:val="en-US" w:eastAsia="zh-CN"/>
        </w:rPr>
        <w:t>调查评价</w:t>
      </w:r>
      <w:bookmarkEnd w:id="19"/>
    </w:p>
    <w:p>
      <w:pPr>
        <w:pStyle w:val="2"/>
        <w:ind w:left="0" w:leftChars="0" w:firstLine="560" w:firstLineChars="200"/>
        <w:rPr>
          <w:rFonts w:hint="default"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落实省规在西峡县范围内的调查评价项目2个：西峡地区硅质原料、西峡县寨根-丁河锂铍铷稀有金属矿1∶5万矿产地质调查。</w:t>
      </w:r>
    </w:p>
    <w:p>
      <w:pPr>
        <w:pStyle w:val="4"/>
        <w:pageBreakBefore w:val="0"/>
        <w:kinsoku/>
        <w:wordWrap/>
        <w:overflowPunct/>
        <w:topLinePunct w:val="0"/>
        <w:bidi w:val="0"/>
        <w:adjustRightInd w:val="0"/>
        <w:snapToGrid w:val="0"/>
        <w:spacing w:beforeLines="0" w:afterLines="0" w:line="360" w:lineRule="auto"/>
        <w:rPr>
          <w:rFonts w:hint="eastAsia" w:ascii="黑体" w:hAnsi="黑体" w:eastAsia="黑体" w:cs="黑体"/>
          <w:color w:val="auto"/>
          <w:highlight w:val="none"/>
          <w:lang w:eastAsia="zh-CN"/>
        </w:rPr>
      </w:pPr>
      <w:bookmarkStart w:id="20" w:name="_Toc5478"/>
      <w:r>
        <w:rPr>
          <w:rFonts w:hint="eastAsia" w:ascii="黑体" w:hAnsi="黑体" w:eastAsia="黑体" w:cs="黑体"/>
          <w:color w:val="auto"/>
          <w:highlight w:val="none"/>
          <w:lang w:eastAsia="zh-CN"/>
        </w:rPr>
        <w:t>第</w:t>
      </w:r>
      <w:r>
        <w:rPr>
          <w:rFonts w:hint="eastAsia" w:ascii="黑体" w:hAnsi="黑体" w:eastAsia="黑体" w:cs="黑体"/>
          <w:color w:val="auto"/>
          <w:highlight w:val="none"/>
          <w:lang w:val="en-US" w:eastAsia="zh-CN"/>
        </w:rPr>
        <w:t>二</w:t>
      </w:r>
      <w:r>
        <w:rPr>
          <w:rFonts w:hint="eastAsia" w:ascii="黑体" w:hAnsi="黑体" w:eastAsia="黑体" w:cs="黑体"/>
          <w:color w:val="auto"/>
          <w:highlight w:val="none"/>
          <w:lang w:eastAsia="zh-CN"/>
        </w:rPr>
        <w:t>节</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lang w:eastAsia="zh-CN"/>
        </w:rPr>
        <w:t>矿产资源勘查</w:t>
      </w:r>
      <w:bookmarkEnd w:id="20"/>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ascii="仿宋" w:hAnsi="仿宋" w:eastAsia="仿宋" w:cs="楷体_GB2312"/>
          <w:b/>
          <w:bCs/>
          <w:kern w:val="0"/>
          <w:sz w:val="28"/>
          <w:szCs w:val="28"/>
        </w:rPr>
      </w:pPr>
      <w:r>
        <w:rPr>
          <w:rFonts w:hint="eastAsia" w:ascii="仿宋" w:hAnsi="仿宋" w:eastAsia="仿宋" w:cs="楷体_GB2312"/>
          <w:b/>
          <w:bCs/>
          <w:kern w:val="0"/>
          <w:sz w:val="28"/>
          <w:szCs w:val="28"/>
        </w:rPr>
        <w:t>一、勘查开发工作任务</w:t>
      </w:r>
    </w:p>
    <w:p>
      <w:pPr>
        <w:pageBreakBefore w:val="0"/>
        <w:kinsoku/>
        <w:wordWrap/>
        <w:overflowPunct/>
        <w:topLinePunct w:val="0"/>
        <w:bidi w:val="0"/>
        <w:snapToGrid w:val="0"/>
        <w:spacing w:line="360" w:lineRule="auto"/>
        <w:ind w:firstLine="562" w:firstLineChars="200"/>
        <w:rPr>
          <w:rFonts w:hint="eastAsia" w:ascii="仿宋" w:hAnsi="仿宋" w:eastAsia="仿宋" w:cs="楷体_GB2312"/>
          <w:kern w:val="0"/>
          <w:sz w:val="28"/>
          <w:szCs w:val="28"/>
          <w:lang w:eastAsia="zh-CN"/>
        </w:rPr>
      </w:pPr>
      <w:r>
        <w:rPr>
          <w:rFonts w:hint="eastAsia" w:ascii="仿宋" w:hAnsi="仿宋" w:eastAsia="仿宋" w:cs="楷体_GB2312"/>
          <w:b/>
          <w:bCs/>
          <w:kern w:val="0"/>
          <w:sz w:val="28"/>
          <w:szCs w:val="28"/>
          <w:lang w:eastAsia="zh-CN"/>
        </w:rPr>
        <w:t>加强矿产资源综合勘查</w:t>
      </w:r>
      <w:r>
        <w:rPr>
          <w:rFonts w:hint="eastAsia" w:ascii="仿宋" w:hAnsi="仿宋" w:eastAsia="仿宋" w:cs="楷体_GB2312"/>
          <w:b/>
          <w:bCs/>
          <w:kern w:val="0"/>
          <w:sz w:val="28"/>
          <w:szCs w:val="28"/>
          <w:lang w:val="en-US" w:eastAsia="zh-CN"/>
        </w:rPr>
        <w:t>与综合评价</w:t>
      </w:r>
      <w:r>
        <w:rPr>
          <w:rFonts w:hint="eastAsia" w:ascii="仿宋" w:hAnsi="仿宋" w:eastAsia="仿宋" w:cs="楷体_GB2312"/>
          <w:b/>
          <w:bCs/>
          <w:kern w:val="0"/>
          <w:sz w:val="28"/>
          <w:szCs w:val="28"/>
          <w:lang w:eastAsia="zh-CN"/>
        </w:rPr>
        <w:t>工作。</w:t>
      </w:r>
      <w:r>
        <w:rPr>
          <w:rFonts w:hint="eastAsia" w:ascii="仿宋" w:hAnsi="仿宋" w:eastAsia="仿宋" w:cs="楷体_GB2312"/>
          <w:kern w:val="0"/>
          <w:sz w:val="28"/>
          <w:szCs w:val="28"/>
          <w:lang w:eastAsia="zh-CN"/>
        </w:rPr>
        <w:t>鼓励矿山企业开展深部及矿体延伸部分空白区地质找矿和综合勘查；在勘查主矿种的同时，对共伴生矿产进行综合评价。</w:t>
      </w:r>
    </w:p>
    <w:p>
      <w:pPr>
        <w:pageBreakBefore w:val="0"/>
        <w:kinsoku/>
        <w:wordWrap/>
        <w:overflowPunct/>
        <w:topLinePunct w:val="0"/>
        <w:bidi w:val="0"/>
        <w:snapToGrid w:val="0"/>
        <w:spacing w:line="360" w:lineRule="auto"/>
        <w:ind w:firstLine="562" w:firstLineChars="200"/>
        <w:rPr>
          <w:rFonts w:hint="eastAsia" w:ascii="仿宋" w:hAnsi="仿宋" w:eastAsia="仿宋" w:cs="楷体_GB2312"/>
          <w:kern w:val="0"/>
          <w:sz w:val="28"/>
          <w:szCs w:val="28"/>
          <w:lang w:eastAsia="zh-CN"/>
        </w:rPr>
      </w:pPr>
      <w:r>
        <w:rPr>
          <w:rFonts w:hint="eastAsia" w:ascii="仿宋" w:hAnsi="仿宋" w:eastAsia="仿宋" w:cs="楷体_GB2312"/>
          <w:b/>
          <w:bCs/>
          <w:kern w:val="0"/>
          <w:sz w:val="28"/>
          <w:szCs w:val="28"/>
          <w:lang w:eastAsia="zh-CN"/>
        </w:rPr>
        <w:t>坚持技术创新，促进绿色勘查。</w:t>
      </w:r>
      <w:r>
        <w:rPr>
          <w:rFonts w:hint="eastAsia" w:ascii="仿宋" w:hAnsi="仿宋" w:eastAsia="仿宋" w:cs="楷体_GB2312"/>
          <w:kern w:val="0"/>
          <w:sz w:val="28"/>
          <w:szCs w:val="28"/>
          <w:lang w:eastAsia="zh-CN"/>
        </w:rPr>
        <w:t>探索总结和推广应用绿色勘查的新理论、新技术、新方法、新工艺，强化绿色勘查技术方法，最大程度地避免或降低生态环境负面影响。</w:t>
      </w:r>
    </w:p>
    <w:p>
      <w:pPr>
        <w:pageBreakBefore w:val="0"/>
        <w:kinsoku/>
        <w:wordWrap/>
        <w:overflowPunct/>
        <w:topLinePunct w:val="0"/>
        <w:bidi w:val="0"/>
        <w:snapToGrid w:val="0"/>
        <w:spacing w:line="360" w:lineRule="auto"/>
        <w:ind w:firstLine="562" w:firstLineChars="200"/>
        <w:rPr>
          <w:rFonts w:hint="eastAsia" w:ascii="仿宋" w:hAnsi="仿宋" w:eastAsia="仿宋" w:cs="楷体_GB2312"/>
          <w:b/>
          <w:bCs/>
          <w:kern w:val="0"/>
          <w:sz w:val="28"/>
          <w:szCs w:val="28"/>
        </w:rPr>
      </w:pPr>
      <w:r>
        <w:rPr>
          <w:rFonts w:hint="eastAsia" w:ascii="仿宋" w:hAnsi="仿宋" w:eastAsia="仿宋" w:cs="楷体_GB2312"/>
          <w:b/>
          <w:bCs/>
          <w:kern w:val="0"/>
          <w:sz w:val="28"/>
          <w:szCs w:val="28"/>
        </w:rPr>
        <w:t>二、勘查规划分区</w:t>
      </w:r>
    </w:p>
    <w:p>
      <w:pPr>
        <w:pageBreakBefore w:val="0"/>
        <w:kinsoku/>
        <w:wordWrap/>
        <w:overflowPunct/>
        <w:topLinePunct w:val="0"/>
        <w:bidi w:val="0"/>
        <w:snapToGrid w:val="0"/>
        <w:spacing w:line="360" w:lineRule="auto"/>
        <w:ind w:firstLine="562" w:firstLineChars="200"/>
        <w:rPr>
          <w:rFonts w:hint="eastAsia" w:ascii="仿宋" w:hAnsi="仿宋" w:eastAsia="仿宋" w:cs="楷体_GB2312"/>
          <w:b/>
          <w:bCs w:val="0"/>
          <w:strike w:val="0"/>
          <w:dstrike w:val="0"/>
          <w:color w:val="auto"/>
          <w:kern w:val="0"/>
          <w:sz w:val="28"/>
          <w:szCs w:val="28"/>
          <w:highlight w:val="none"/>
          <w:lang w:eastAsia="zh-CN"/>
        </w:rPr>
      </w:pPr>
      <w:r>
        <w:rPr>
          <w:rFonts w:hint="eastAsia" w:ascii="仿宋" w:hAnsi="仿宋" w:eastAsia="仿宋" w:cs="楷体_GB2312"/>
          <w:b/>
          <w:bCs w:val="0"/>
          <w:strike w:val="0"/>
          <w:dstrike w:val="0"/>
          <w:color w:val="auto"/>
          <w:kern w:val="0"/>
          <w:sz w:val="28"/>
          <w:szCs w:val="28"/>
          <w:highlight w:val="none"/>
        </w:rPr>
        <w:t>1</w:t>
      </w:r>
      <w:r>
        <w:rPr>
          <w:rFonts w:hint="eastAsia" w:ascii="仿宋" w:hAnsi="仿宋" w:eastAsia="仿宋" w:cs="楷体_GB2312"/>
          <w:b/>
          <w:bCs w:val="0"/>
          <w:strike w:val="0"/>
          <w:dstrike w:val="0"/>
          <w:color w:val="auto"/>
          <w:kern w:val="0"/>
          <w:sz w:val="28"/>
          <w:szCs w:val="28"/>
          <w:highlight w:val="none"/>
          <w:lang w:eastAsia="zh-CN"/>
        </w:rPr>
        <w:t>.重点勘查区</w:t>
      </w:r>
    </w:p>
    <w:p>
      <w:pPr>
        <w:pageBreakBefore w:val="0"/>
        <w:kinsoku/>
        <w:wordWrap/>
        <w:overflowPunct/>
        <w:topLinePunct w:val="0"/>
        <w:bidi w:val="0"/>
        <w:snapToGrid w:val="0"/>
        <w:spacing w:line="360" w:lineRule="auto"/>
        <w:ind w:firstLine="562" w:firstLineChars="200"/>
        <w:rPr>
          <w:rFonts w:hint="eastAsia" w:ascii="仿宋" w:hAnsi="仿宋" w:eastAsia="仿宋"/>
          <w:b w:val="0"/>
          <w:bCs/>
          <w:strike w:val="0"/>
          <w:dstrike w:val="0"/>
          <w:color w:val="auto"/>
          <w:sz w:val="28"/>
          <w:szCs w:val="28"/>
        </w:rPr>
      </w:pPr>
      <w:r>
        <w:rPr>
          <w:rFonts w:hint="eastAsia" w:ascii="仿宋" w:hAnsi="仿宋" w:eastAsia="仿宋" w:cs="楷体_GB2312"/>
          <w:b/>
          <w:bCs w:val="0"/>
          <w:strike w:val="0"/>
          <w:dstrike w:val="0"/>
          <w:color w:val="auto"/>
          <w:kern w:val="0"/>
          <w:sz w:val="28"/>
          <w:szCs w:val="28"/>
          <w:highlight w:val="none"/>
        </w:rPr>
        <w:t>重点勘查区划分原则：</w:t>
      </w:r>
      <w:r>
        <w:rPr>
          <w:rFonts w:hint="eastAsia" w:ascii="仿宋" w:hAnsi="仿宋" w:eastAsia="仿宋"/>
          <w:b w:val="0"/>
          <w:bCs/>
          <w:strike w:val="0"/>
          <w:dstrike w:val="0"/>
          <w:color w:val="auto"/>
          <w:sz w:val="28"/>
          <w:szCs w:val="28"/>
        </w:rPr>
        <w:t>按照矿产资源的需求要求、产业发展和资源禀赋等，在成矿条件有利、找矿前景良好、重要成矿区带及大中型矿山深部及外围等具有资源潜力的区域，部署重点勘查区。</w:t>
      </w:r>
    </w:p>
    <w:p>
      <w:pPr>
        <w:pageBreakBefore w:val="0"/>
        <w:kinsoku/>
        <w:wordWrap/>
        <w:overflowPunct/>
        <w:topLinePunct w:val="0"/>
        <w:bidi w:val="0"/>
        <w:snapToGrid w:val="0"/>
        <w:spacing w:line="360" w:lineRule="auto"/>
        <w:ind w:firstLine="562" w:firstLineChars="200"/>
        <w:rPr>
          <w:rFonts w:hint="eastAsia" w:ascii="仿宋" w:hAnsi="仿宋" w:eastAsia="仿宋"/>
          <w:b w:val="0"/>
          <w:bCs/>
          <w:strike w:val="0"/>
          <w:dstrike w:val="0"/>
          <w:color w:val="auto"/>
          <w:sz w:val="28"/>
          <w:szCs w:val="28"/>
          <w:lang w:val="en-US" w:eastAsia="zh-CN"/>
        </w:rPr>
      </w:pPr>
      <w:r>
        <w:rPr>
          <w:rFonts w:hint="eastAsia" w:ascii="仿宋" w:hAnsi="仿宋" w:eastAsia="仿宋" w:cs="楷体_GB2312"/>
          <w:b/>
          <w:bCs w:val="0"/>
          <w:strike w:val="0"/>
          <w:dstrike w:val="0"/>
          <w:color w:val="auto"/>
          <w:kern w:val="0"/>
          <w:sz w:val="28"/>
          <w:szCs w:val="28"/>
          <w:highlight w:val="none"/>
        </w:rPr>
        <w:t>重点勘查区划分：</w:t>
      </w:r>
      <w:r>
        <w:rPr>
          <w:rFonts w:hint="eastAsia" w:ascii="仿宋" w:hAnsi="仿宋" w:eastAsia="仿宋"/>
          <w:b w:val="0"/>
          <w:bCs/>
          <w:strike w:val="0"/>
          <w:dstrike w:val="0"/>
          <w:color w:val="auto"/>
          <w:sz w:val="28"/>
          <w:szCs w:val="28"/>
          <w:lang w:val="en-US" w:eastAsia="zh-CN"/>
        </w:rPr>
        <w:t>本轮未设置重点勘查区。</w:t>
      </w:r>
    </w:p>
    <w:p>
      <w:pPr>
        <w:pageBreakBefore w:val="0"/>
        <w:kinsoku/>
        <w:wordWrap/>
        <w:overflowPunct/>
        <w:topLinePunct w:val="0"/>
        <w:bidi w:val="0"/>
        <w:snapToGrid w:val="0"/>
        <w:spacing w:line="360" w:lineRule="auto"/>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2.勘查规划区块</w:t>
      </w:r>
    </w:p>
    <w:p>
      <w:pPr>
        <w:pageBreakBefore w:val="0"/>
        <w:kinsoku/>
        <w:wordWrap/>
        <w:overflowPunct/>
        <w:topLinePunct w:val="0"/>
        <w:bidi w:val="0"/>
        <w:snapToGrid w:val="0"/>
        <w:spacing w:line="360" w:lineRule="auto"/>
        <w:ind w:firstLine="562" w:firstLineChars="200"/>
        <w:rPr>
          <w:rFonts w:hint="eastAsia" w:ascii="仿宋" w:hAnsi="仿宋" w:eastAsia="仿宋" w:cs="楷体_GB2312"/>
          <w:kern w:val="0"/>
          <w:sz w:val="28"/>
          <w:szCs w:val="28"/>
        </w:rPr>
      </w:pPr>
      <w:r>
        <w:rPr>
          <w:rFonts w:hint="eastAsia" w:ascii="仿宋" w:hAnsi="仿宋" w:eastAsia="仿宋" w:cs="楷体_GB2312"/>
          <w:b/>
          <w:kern w:val="0"/>
          <w:sz w:val="28"/>
          <w:szCs w:val="28"/>
        </w:rPr>
        <w:t>勘查规划区块划分原则：</w:t>
      </w:r>
      <w:r>
        <w:rPr>
          <w:rFonts w:hint="eastAsia" w:ascii="仿宋" w:hAnsi="仿宋" w:eastAsia="仿宋"/>
          <w:sz w:val="28"/>
          <w:szCs w:val="28"/>
        </w:rPr>
        <w:t>合理划定勘查规划区块，引导探矿权有序投放</w:t>
      </w:r>
      <w:r>
        <w:rPr>
          <w:rFonts w:hint="eastAsia" w:ascii="仿宋" w:hAnsi="仿宋" w:eastAsia="仿宋"/>
          <w:sz w:val="28"/>
          <w:szCs w:val="28"/>
          <w:lang w:eastAsia="zh-CN"/>
        </w:rPr>
        <w:t>；</w:t>
      </w:r>
      <w:r>
        <w:rPr>
          <w:rFonts w:hint="eastAsia" w:ascii="仿宋" w:hAnsi="仿宋" w:eastAsia="仿宋"/>
          <w:sz w:val="28"/>
          <w:szCs w:val="28"/>
          <w:lang w:val="en-US" w:eastAsia="zh-CN"/>
        </w:rPr>
        <w:t>根据勘查开发总体布局和资源潜力评价成矿预测信息等已知勘查信息，进行勘查规划区块划分；</w:t>
      </w:r>
      <w:r>
        <w:rPr>
          <w:rFonts w:hint="eastAsia" w:ascii="仿宋" w:hAnsi="仿宋" w:eastAsia="仿宋"/>
          <w:sz w:val="28"/>
          <w:szCs w:val="28"/>
        </w:rPr>
        <w:t>优先保障战略性矿产勘查，划定相应的勘查规划区块。落实省市级勘查规划区块。</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楷体_GB2312"/>
          <w:kern w:val="0"/>
          <w:sz w:val="28"/>
          <w:szCs w:val="28"/>
        </w:rPr>
      </w:pPr>
      <w:r>
        <w:rPr>
          <w:rFonts w:hint="eastAsia" w:ascii="仿宋" w:hAnsi="仿宋" w:eastAsia="仿宋" w:cs="楷体_GB2312"/>
          <w:b/>
          <w:kern w:val="0"/>
          <w:sz w:val="28"/>
          <w:szCs w:val="28"/>
        </w:rPr>
        <w:t>勘查规划区块设置：</w:t>
      </w:r>
      <w:r>
        <w:rPr>
          <w:rFonts w:hint="eastAsia" w:ascii="仿宋" w:hAnsi="仿宋" w:eastAsia="仿宋" w:cs="楷体_GB2312"/>
          <w:kern w:val="0"/>
          <w:sz w:val="28"/>
          <w:szCs w:val="28"/>
          <w:lang w:val="en-US" w:eastAsia="zh-CN"/>
        </w:rPr>
        <w:t>全县</w:t>
      </w:r>
      <w:r>
        <w:rPr>
          <w:rFonts w:hint="eastAsia" w:ascii="仿宋" w:hAnsi="仿宋" w:eastAsia="仿宋" w:cs="楷体_GB2312"/>
          <w:kern w:val="0"/>
          <w:sz w:val="28"/>
          <w:szCs w:val="28"/>
        </w:rPr>
        <w:t>共设置勘查规划区块</w:t>
      </w:r>
      <w:r>
        <w:rPr>
          <w:rFonts w:hint="eastAsia" w:ascii="仿宋" w:hAnsi="仿宋" w:eastAsia="仿宋" w:cs="楷体_GB2312"/>
          <w:kern w:val="0"/>
          <w:sz w:val="28"/>
          <w:szCs w:val="28"/>
          <w:lang w:val="en-US" w:eastAsia="zh-CN"/>
        </w:rPr>
        <w:t>16</w:t>
      </w:r>
      <w:r>
        <w:rPr>
          <w:rFonts w:hint="eastAsia" w:ascii="仿宋" w:hAnsi="仿宋" w:eastAsia="仿宋" w:cs="楷体_GB2312"/>
          <w:kern w:val="0"/>
          <w:sz w:val="28"/>
          <w:szCs w:val="28"/>
        </w:rPr>
        <w:t>个，勘查矿种涉及</w:t>
      </w:r>
      <w:r>
        <w:rPr>
          <w:rFonts w:hint="eastAsia" w:ascii="仿宋" w:hAnsi="仿宋" w:eastAsia="仿宋" w:cs="楷体_GB2312"/>
          <w:kern w:val="0"/>
          <w:sz w:val="28"/>
          <w:szCs w:val="28"/>
          <w:lang w:eastAsia="zh-CN"/>
        </w:rPr>
        <w:t>：金矿</w:t>
      </w:r>
      <w:r>
        <w:rPr>
          <w:rFonts w:hint="eastAsia" w:ascii="仿宋" w:hAnsi="仿宋" w:eastAsia="仿宋" w:cs="楷体_GB2312"/>
          <w:kern w:val="0"/>
          <w:sz w:val="28"/>
          <w:szCs w:val="28"/>
          <w:lang w:val="en-US" w:eastAsia="zh-CN"/>
        </w:rPr>
        <w:t>3个，铁矿1个，铅锌矿1个，铜矿1个，</w:t>
      </w:r>
      <w:r>
        <w:rPr>
          <w:rFonts w:hint="eastAsia" w:ascii="仿宋" w:hAnsi="仿宋" w:eastAsia="仿宋"/>
          <w:sz w:val="28"/>
          <w:szCs w:val="28"/>
          <w:lang w:val="en-US" w:eastAsia="zh-CN"/>
        </w:rPr>
        <w:t>耐火用</w:t>
      </w:r>
      <w:r>
        <w:rPr>
          <w:rFonts w:hint="eastAsia" w:ascii="仿宋" w:hAnsi="仿宋" w:eastAsia="仿宋" w:cs="楷体_GB2312"/>
          <w:kern w:val="0"/>
          <w:sz w:val="28"/>
          <w:szCs w:val="28"/>
          <w:lang w:val="en-US" w:eastAsia="zh-CN"/>
        </w:rPr>
        <w:t>橄榄</w:t>
      </w:r>
      <w:r>
        <w:rPr>
          <w:rFonts w:hint="eastAsia" w:ascii="仿宋" w:hAnsi="仿宋" w:eastAsia="仿宋" w:cs="楷体_GB2312"/>
          <w:kern w:val="0"/>
          <w:sz w:val="28"/>
          <w:szCs w:val="28"/>
        </w:rPr>
        <w:t>岩</w:t>
      </w:r>
      <w:r>
        <w:rPr>
          <w:rFonts w:hint="eastAsia" w:ascii="仿宋" w:hAnsi="仿宋" w:eastAsia="仿宋" w:cs="楷体_GB2312"/>
          <w:kern w:val="0"/>
          <w:sz w:val="28"/>
          <w:szCs w:val="28"/>
          <w:lang w:val="en-US" w:eastAsia="zh-CN"/>
        </w:rPr>
        <w:t>2</w:t>
      </w:r>
      <w:r>
        <w:rPr>
          <w:rFonts w:hint="eastAsia" w:ascii="仿宋" w:hAnsi="仿宋" w:eastAsia="仿宋" w:cs="楷体_GB2312"/>
          <w:kern w:val="0"/>
          <w:sz w:val="28"/>
          <w:szCs w:val="28"/>
        </w:rPr>
        <w:t>个</w:t>
      </w:r>
      <w:r>
        <w:rPr>
          <w:rFonts w:hint="eastAsia" w:ascii="仿宋" w:hAnsi="仿宋" w:eastAsia="仿宋" w:cs="楷体_GB2312"/>
          <w:kern w:val="0"/>
          <w:sz w:val="28"/>
          <w:szCs w:val="28"/>
          <w:lang w:eastAsia="zh-CN"/>
        </w:rPr>
        <w:t>，</w:t>
      </w:r>
      <w:r>
        <w:rPr>
          <w:rFonts w:hint="eastAsia" w:ascii="仿宋" w:hAnsi="仿宋" w:eastAsia="仿宋" w:cs="楷体_GB2312"/>
          <w:kern w:val="0"/>
          <w:sz w:val="28"/>
          <w:szCs w:val="28"/>
          <w:lang w:val="en-US" w:eastAsia="zh-CN"/>
        </w:rPr>
        <w:t>红柱石矿1个，石墨矿7个。</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522" w:type="dxa"/>
            <w:vAlign w:val="center"/>
          </w:tcPr>
          <w:p>
            <w:pPr>
              <w:pageBreakBefore w:val="0"/>
              <w:kinsoku/>
              <w:wordWrap/>
              <w:overflowPunct/>
              <w:topLinePunct w:val="0"/>
              <w:bidi w:val="0"/>
              <w:snapToGrid w:val="0"/>
              <w:spacing w:line="240" w:lineRule="auto"/>
              <w:jc w:val="center"/>
              <w:rPr>
                <w:rFonts w:hint="eastAsia" w:ascii="仿宋" w:hAnsi="仿宋" w:eastAsia="仿宋" w:cs="仿宋"/>
                <w:b/>
                <w:kern w:val="0"/>
                <w:sz w:val="21"/>
                <w:szCs w:val="21"/>
              </w:rPr>
            </w:pPr>
            <w:r>
              <w:rPr>
                <w:rFonts w:hint="eastAsia" w:ascii="仿宋" w:hAnsi="仿宋" w:eastAsia="仿宋" w:cs="仿宋"/>
                <w:b/>
                <w:kern w:val="0"/>
                <w:sz w:val="21"/>
                <w:szCs w:val="21"/>
              </w:rPr>
              <w:t>专栏</w:t>
            </w:r>
            <w:r>
              <w:rPr>
                <w:rFonts w:hint="eastAsia" w:ascii="仿宋" w:hAnsi="仿宋" w:eastAsia="仿宋" w:cs="仿宋"/>
                <w:b/>
                <w:kern w:val="0"/>
                <w:sz w:val="21"/>
                <w:szCs w:val="21"/>
                <w:lang w:val="en-US" w:eastAsia="zh-CN"/>
              </w:rPr>
              <w:t>3</w:t>
            </w:r>
            <w:r>
              <w:rPr>
                <w:rFonts w:hint="eastAsia" w:ascii="仿宋" w:hAnsi="仿宋" w:eastAsia="仿宋" w:cs="仿宋"/>
                <w:b/>
                <w:kern w:val="0"/>
                <w:sz w:val="21"/>
                <w:szCs w:val="21"/>
              </w:rPr>
              <w:t xml:space="preserve"> </w:t>
            </w:r>
            <w:r>
              <w:rPr>
                <w:rFonts w:hint="eastAsia" w:ascii="仿宋" w:hAnsi="仿宋" w:eastAsia="仿宋" w:cs="仿宋"/>
                <w:b/>
                <w:kern w:val="0"/>
                <w:sz w:val="21"/>
                <w:szCs w:val="21"/>
                <w:lang w:eastAsia="zh-CN"/>
              </w:rPr>
              <w:t>西峡县</w:t>
            </w:r>
            <w:r>
              <w:rPr>
                <w:rFonts w:hint="eastAsia" w:ascii="仿宋" w:hAnsi="仿宋" w:eastAsia="仿宋" w:cs="仿宋"/>
                <w:b/>
                <w:kern w:val="0"/>
                <w:sz w:val="21"/>
                <w:szCs w:val="21"/>
              </w:rPr>
              <w:t>勘查区块一览表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522" w:type="dxa"/>
            <w:vAlign w:val="top"/>
          </w:tcPr>
          <w:p>
            <w:pPr>
              <w:pageBreakBefore w:val="0"/>
              <w:kinsoku/>
              <w:wordWrap/>
              <w:overflowPunct/>
              <w:topLinePunct w:val="0"/>
              <w:bidi w:val="0"/>
              <w:snapToGrid w:val="0"/>
              <w:spacing w:line="240" w:lineRule="auto"/>
              <w:rPr>
                <w:rFonts w:hint="eastAsia"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西峡米坪-军马河石墨矿详查、西峡北山根石墨矿详查、西峡蒲塘金矿普查、河南省西峡县高庄黄金普查、河南省西峡县断树岩金多金属矿普查、西峡县西坪镇黄家尖耐火用橄榄岩矿普查、西峡县水利沟耐火用橄榄岩矿普查、河南省西峡县草湖峪矿区铜矿普查、河南省西峡县中坪多金属（铅锌）普查、河南省西峡县杨乃沟东部红柱石普查、河南省淅川—西峡县龙头铁矿详查、河南省西峡县尹家沟石墨矿详查、河南省西峡县九槽沟石墨矿详查、河南省西峡县宋庄石墨矿详查、河南省西峡县狮子寨石墨矿详查、河南省西峡县石界河—米坪石墨矿详查</w:t>
            </w:r>
          </w:p>
        </w:tc>
      </w:tr>
    </w:tbl>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sz w:val="28"/>
          <w:szCs w:val="28"/>
          <w:lang w:eastAsia="zh-CN"/>
        </w:rPr>
      </w:pPr>
      <w:r>
        <w:rPr>
          <w:rFonts w:hint="eastAsia" w:ascii="仿宋" w:hAnsi="仿宋" w:eastAsia="仿宋"/>
          <w:b/>
          <w:bCs/>
          <w:sz w:val="28"/>
          <w:szCs w:val="28"/>
        </w:rPr>
        <w:t>勘查规划区块管理政策。</w:t>
      </w:r>
      <w:r>
        <w:rPr>
          <w:rFonts w:hint="eastAsia" w:ascii="仿宋" w:hAnsi="仿宋" w:eastAsia="仿宋"/>
          <w:sz w:val="28"/>
          <w:szCs w:val="28"/>
        </w:rPr>
        <w:t>原则上一个勘查规划区块只设置一个勘查主体。拟</w:t>
      </w:r>
      <w:r>
        <w:rPr>
          <w:rFonts w:hint="eastAsia" w:ascii="仿宋" w:hAnsi="仿宋" w:eastAsia="仿宋"/>
          <w:sz w:val="28"/>
          <w:szCs w:val="28"/>
          <w:lang w:eastAsia="zh-CN"/>
        </w:rPr>
        <w:t>投</w:t>
      </w:r>
      <w:r>
        <w:rPr>
          <w:rFonts w:hint="eastAsia" w:ascii="仿宋" w:hAnsi="仿宋" w:eastAsia="仿宋"/>
          <w:sz w:val="28"/>
          <w:szCs w:val="28"/>
        </w:rPr>
        <w:t>放探矿权应与勘查规划区块范围主体一致，不得变更矿种，不得降低勘查阶段。第一类矿产，原则上不划定勘查规划区块；第二类矿产依据资源赋存状况和地质构造条件，划定勘查规划区块。对不划定勘查规划区块的勘查项目，在探矿权审批过程中要严格审查。</w:t>
      </w:r>
    </w:p>
    <w:p>
      <w:pPr>
        <w:pStyle w:val="4"/>
        <w:pageBreakBefore w:val="0"/>
        <w:kinsoku/>
        <w:wordWrap/>
        <w:overflowPunct/>
        <w:topLinePunct w:val="0"/>
        <w:bidi w:val="0"/>
        <w:adjustRightInd w:val="0"/>
        <w:snapToGrid w:val="0"/>
        <w:spacing w:beforeLines="0" w:afterLines="0" w:line="360" w:lineRule="auto"/>
        <w:rPr>
          <w:rFonts w:hint="eastAsia" w:ascii="黑体" w:hAnsi="黑体" w:eastAsia="黑体" w:cs="黑体"/>
          <w:color w:val="auto"/>
          <w:highlight w:val="none"/>
          <w:lang w:eastAsia="zh-CN"/>
        </w:rPr>
      </w:pPr>
      <w:bookmarkStart w:id="21" w:name="_Toc25889"/>
      <w:r>
        <w:rPr>
          <w:rFonts w:hint="eastAsia" w:ascii="黑体" w:hAnsi="黑体" w:eastAsia="黑体" w:cs="黑体"/>
          <w:color w:val="auto"/>
          <w:highlight w:val="none"/>
          <w:lang w:eastAsia="zh-CN"/>
        </w:rPr>
        <w:t>第</w:t>
      </w:r>
      <w:r>
        <w:rPr>
          <w:rFonts w:hint="eastAsia" w:ascii="黑体" w:hAnsi="黑体" w:eastAsia="黑体" w:cs="黑体"/>
          <w:color w:val="auto"/>
          <w:highlight w:val="none"/>
          <w:lang w:val="en-US" w:eastAsia="zh-CN"/>
        </w:rPr>
        <w:t>三</w:t>
      </w:r>
      <w:r>
        <w:rPr>
          <w:rFonts w:hint="eastAsia" w:ascii="黑体" w:hAnsi="黑体" w:eastAsia="黑体" w:cs="黑体"/>
          <w:color w:val="auto"/>
          <w:highlight w:val="none"/>
          <w:lang w:eastAsia="zh-CN"/>
        </w:rPr>
        <w:t>节</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lang w:eastAsia="zh-CN"/>
        </w:rPr>
        <w:t>矿产资源勘查管理</w:t>
      </w:r>
      <w:bookmarkEnd w:id="21"/>
    </w:p>
    <w:p>
      <w:pPr>
        <w:pageBreakBefore w:val="0"/>
        <w:kinsoku/>
        <w:wordWrap/>
        <w:overflowPunct/>
        <w:topLinePunct w:val="0"/>
        <w:bidi w:val="0"/>
        <w:snapToGrid w:val="0"/>
        <w:spacing w:line="360" w:lineRule="auto"/>
        <w:ind w:firstLine="562" w:firstLineChars="200"/>
        <w:rPr>
          <w:rFonts w:ascii="仿宋" w:hAnsi="仿宋" w:eastAsia="仿宋"/>
          <w:sz w:val="28"/>
          <w:szCs w:val="28"/>
        </w:rPr>
      </w:pPr>
      <w:r>
        <w:rPr>
          <w:rFonts w:hint="eastAsia" w:ascii="仿宋" w:hAnsi="仿宋" w:eastAsia="仿宋"/>
          <w:b/>
          <w:bCs/>
          <w:sz w:val="28"/>
          <w:szCs w:val="28"/>
        </w:rPr>
        <w:t>坚持绿色勘查生态优先。</w:t>
      </w:r>
      <w:r>
        <w:rPr>
          <w:rFonts w:hint="eastAsia" w:ascii="仿宋" w:hAnsi="仿宋" w:eastAsia="仿宋"/>
          <w:sz w:val="28"/>
          <w:szCs w:val="28"/>
        </w:rPr>
        <w:t>牢固树立绿色发展理念，在生态环境保护的前提下部署开展地质勘查工作，以绿色发展理念为引领，实现环境保护与经济发展的和谐双赢。</w:t>
      </w:r>
    </w:p>
    <w:p>
      <w:pPr>
        <w:pageBreakBefore w:val="0"/>
        <w:kinsoku/>
        <w:wordWrap/>
        <w:overflowPunct/>
        <w:topLinePunct w:val="0"/>
        <w:bidi w:val="0"/>
        <w:snapToGrid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建立多元化地质勘查资金投入渠道。</w:t>
      </w:r>
      <w:r>
        <w:rPr>
          <w:rFonts w:hint="eastAsia" w:ascii="仿宋" w:hAnsi="仿宋" w:eastAsia="仿宋"/>
          <w:sz w:val="28"/>
          <w:szCs w:val="28"/>
        </w:rPr>
        <w:t>财政出资开展的地质勘查主要用于基础性公益性地质调查和矿产勘查工作；积极引导商业勘查，充分发挥社会资金在矿产勘查中的主体地位。</w:t>
      </w:r>
    </w:p>
    <w:p>
      <w:pPr>
        <w:pageBreakBefore w:val="0"/>
        <w:kinsoku/>
        <w:wordWrap/>
        <w:overflowPunct/>
        <w:topLinePunct w:val="0"/>
        <w:bidi w:val="0"/>
        <w:snapToGrid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推进矿产资源综合勘查与综合评价。</w:t>
      </w:r>
      <w:r>
        <w:rPr>
          <w:rFonts w:hint="eastAsia" w:ascii="仿宋" w:hAnsi="仿宋" w:eastAsia="仿宋"/>
          <w:sz w:val="28"/>
          <w:szCs w:val="28"/>
        </w:rPr>
        <w:t>原则上一个勘查规划区块对应一个勘查项目，在勘查主矿种的同时，对共伴生矿产进行综合勘查综合评价。</w:t>
      </w:r>
    </w:p>
    <w:p>
      <w:pPr>
        <w:pageBreakBefore w:val="0"/>
        <w:kinsoku/>
        <w:wordWrap/>
        <w:overflowPunct/>
        <w:topLinePunct w:val="0"/>
        <w:bidi w:val="0"/>
        <w:snapToGrid w:val="0"/>
        <w:spacing w:line="360" w:lineRule="auto"/>
        <w:ind w:firstLine="562" w:firstLineChars="200"/>
        <w:rPr>
          <w:rFonts w:hint="eastAsia" w:ascii="仿宋" w:hAnsi="仿宋" w:eastAsia="仿宋"/>
          <w:sz w:val="28"/>
          <w:szCs w:val="28"/>
          <w:lang w:eastAsia="zh-CN"/>
        </w:rPr>
      </w:pPr>
      <w:r>
        <w:rPr>
          <w:rFonts w:hint="eastAsia" w:ascii="仿宋" w:hAnsi="仿宋" w:eastAsia="仿宋"/>
          <w:b/>
          <w:bCs/>
          <w:color w:val="000000"/>
          <w:sz w:val="28"/>
          <w:szCs w:val="24"/>
        </w:rPr>
        <w:t>强化探矿权竞争性出让。</w:t>
      </w:r>
      <w:r>
        <w:rPr>
          <w:rFonts w:hint="eastAsia" w:ascii="仿宋" w:hAnsi="仿宋" w:eastAsia="仿宋"/>
          <w:sz w:val="28"/>
          <w:szCs w:val="28"/>
        </w:rPr>
        <w:t>完善探矿权竞争性出让机制，建立拟设探矿权项目库，引导市场投入；健全完善</w:t>
      </w:r>
      <w:r>
        <w:rPr>
          <w:rFonts w:hint="default" w:ascii="仿宋" w:hAnsi="仿宋" w:eastAsia="仿宋"/>
          <w:sz w:val="28"/>
          <w:szCs w:val="28"/>
        </w:rPr>
        <w:t>“</w:t>
      </w:r>
      <w:r>
        <w:rPr>
          <w:rFonts w:hint="eastAsia" w:ascii="仿宋" w:hAnsi="仿宋" w:eastAsia="仿宋"/>
          <w:sz w:val="28"/>
          <w:szCs w:val="28"/>
        </w:rPr>
        <w:t>净矿</w:t>
      </w:r>
      <w:r>
        <w:rPr>
          <w:rFonts w:hint="default" w:ascii="仿宋" w:hAnsi="仿宋" w:eastAsia="仿宋"/>
          <w:sz w:val="28"/>
          <w:szCs w:val="28"/>
        </w:rPr>
        <w:t>”</w:t>
      </w:r>
      <w:r>
        <w:rPr>
          <w:rFonts w:hint="eastAsia" w:ascii="仿宋" w:hAnsi="仿宋" w:eastAsia="仿宋"/>
          <w:sz w:val="28"/>
          <w:szCs w:val="28"/>
        </w:rPr>
        <w:t>出让机制，探索建立</w:t>
      </w:r>
      <w:r>
        <w:rPr>
          <w:rFonts w:hint="default" w:ascii="仿宋" w:hAnsi="仿宋" w:eastAsia="仿宋"/>
          <w:sz w:val="28"/>
          <w:szCs w:val="28"/>
        </w:rPr>
        <w:t>“</w:t>
      </w:r>
      <w:r>
        <w:rPr>
          <w:rFonts w:hint="eastAsia" w:ascii="仿宋" w:hAnsi="仿宋" w:eastAsia="仿宋"/>
          <w:sz w:val="28"/>
          <w:szCs w:val="28"/>
        </w:rPr>
        <w:t>净探矿权</w:t>
      </w:r>
      <w:r>
        <w:rPr>
          <w:rFonts w:hint="default" w:ascii="仿宋" w:hAnsi="仿宋" w:eastAsia="仿宋"/>
          <w:sz w:val="28"/>
          <w:szCs w:val="28"/>
        </w:rPr>
        <w:t>”</w:t>
      </w:r>
      <w:r>
        <w:rPr>
          <w:rFonts w:hint="eastAsia" w:ascii="仿宋" w:hAnsi="仿宋" w:eastAsia="仿宋"/>
          <w:sz w:val="28"/>
          <w:szCs w:val="28"/>
        </w:rPr>
        <w:t>出让制度。</w:t>
      </w:r>
    </w:p>
    <w:p>
      <w:pPr>
        <w:pageBreakBefore w:val="0"/>
        <w:kinsoku/>
        <w:wordWrap/>
        <w:overflowPunct/>
        <w:topLinePunct w:val="0"/>
        <w:bidi w:val="0"/>
        <w:snapToGrid w:val="0"/>
        <w:spacing w:line="360" w:lineRule="auto"/>
        <w:rPr>
          <w:rFonts w:hint="eastAsia" w:ascii="宋体" w:hAnsi="宋体" w:eastAsia="宋体"/>
          <w:color w:val="auto"/>
          <w:highlight w:val="none"/>
          <w:lang w:eastAsia="zh-CN"/>
        </w:rPr>
      </w:pPr>
      <w:r>
        <w:rPr>
          <w:rFonts w:hint="eastAsia" w:ascii="宋体" w:hAnsi="宋体" w:eastAsia="宋体"/>
          <w:color w:val="auto"/>
          <w:highlight w:val="none"/>
          <w:lang w:eastAsia="zh-CN"/>
        </w:rPr>
        <w:br w:type="page"/>
      </w:r>
    </w:p>
    <w:p>
      <w:pPr>
        <w:pStyle w:val="3"/>
        <w:pageBreakBefore w:val="0"/>
        <w:kinsoku/>
        <w:wordWrap/>
        <w:overflowPunct/>
        <w:topLinePunct w:val="0"/>
        <w:bidi w:val="0"/>
        <w:adjustRightInd w:val="0"/>
        <w:snapToGrid w:val="0"/>
        <w:spacing w:beforeLines="0" w:afterLines="0" w:line="360" w:lineRule="auto"/>
        <w:rPr>
          <w:rFonts w:hint="eastAsia" w:ascii="宋体" w:hAnsi="宋体" w:eastAsia="宋体"/>
          <w:color w:val="auto"/>
          <w:highlight w:val="none"/>
          <w:lang w:eastAsia="zh-CN"/>
        </w:rPr>
      </w:pPr>
      <w:bookmarkStart w:id="22" w:name="_Toc31000"/>
      <w:r>
        <w:rPr>
          <w:rFonts w:hint="eastAsia" w:ascii="宋体" w:hAnsi="宋体" w:eastAsia="宋体"/>
          <w:color w:val="auto"/>
          <w:highlight w:val="none"/>
          <w:lang w:eastAsia="zh-CN"/>
        </w:rPr>
        <w:t>第五章</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lang w:eastAsia="zh-CN"/>
        </w:rPr>
        <w:t>矿产资源开发利用和保护</w:t>
      </w:r>
      <w:bookmarkEnd w:id="22"/>
    </w:p>
    <w:p>
      <w:pPr>
        <w:pageBreakBefore w:val="0"/>
        <w:kinsoku/>
        <w:wordWrap/>
        <w:overflowPunct/>
        <w:topLinePunct w:val="0"/>
        <w:bidi w:val="0"/>
        <w:snapToGrid w:val="0"/>
        <w:spacing w:line="360" w:lineRule="auto"/>
        <w:ind w:firstLine="560" w:firstLineChars="200"/>
        <w:rPr>
          <w:rFonts w:hint="eastAsia" w:ascii="仿宋" w:hAnsi="仿宋" w:eastAsia="仿宋"/>
          <w:sz w:val="28"/>
          <w:szCs w:val="28"/>
          <w:lang w:eastAsia="zh-CN"/>
        </w:rPr>
      </w:pPr>
      <w:r>
        <w:rPr>
          <w:rFonts w:hint="eastAsia" w:ascii="仿宋" w:hAnsi="仿宋" w:eastAsia="仿宋"/>
          <w:sz w:val="28"/>
          <w:szCs w:val="28"/>
        </w:rPr>
        <w:t>全面提高优势矿产供给能力，保障资源刚性合理需求，调控优势矿产开发强度，优化开发利用结构，</w:t>
      </w:r>
      <w:r>
        <w:rPr>
          <w:rFonts w:hint="eastAsia" w:ascii="仿宋" w:hAnsi="仿宋" w:eastAsia="仿宋"/>
          <w:sz w:val="28"/>
          <w:szCs w:val="28"/>
          <w:lang w:eastAsia="zh-CN"/>
        </w:rPr>
        <w:t>严格开发准入管理，</w:t>
      </w:r>
      <w:r>
        <w:rPr>
          <w:rFonts w:hint="eastAsia" w:ascii="仿宋" w:hAnsi="仿宋" w:eastAsia="仿宋"/>
          <w:sz w:val="28"/>
          <w:szCs w:val="28"/>
        </w:rPr>
        <w:t>构建资源安全供给新局面，为</w:t>
      </w:r>
      <w:r>
        <w:rPr>
          <w:rFonts w:hint="eastAsia" w:ascii="仿宋" w:hAnsi="仿宋" w:eastAsia="仿宋"/>
          <w:sz w:val="28"/>
          <w:szCs w:val="28"/>
          <w:lang w:eastAsia="zh-CN"/>
        </w:rPr>
        <w:t>西峡县</w:t>
      </w:r>
      <w:r>
        <w:rPr>
          <w:rFonts w:hint="eastAsia" w:ascii="仿宋" w:hAnsi="仿宋" w:eastAsia="仿宋"/>
          <w:sz w:val="28"/>
          <w:szCs w:val="28"/>
        </w:rPr>
        <w:t xml:space="preserve">经济发展提供有力支撑。 </w:t>
      </w:r>
    </w:p>
    <w:p>
      <w:pPr>
        <w:pStyle w:val="4"/>
        <w:pageBreakBefore w:val="0"/>
        <w:kinsoku/>
        <w:wordWrap/>
        <w:overflowPunct/>
        <w:topLinePunct w:val="0"/>
        <w:bidi w:val="0"/>
        <w:adjustRightInd w:val="0"/>
        <w:snapToGrid w:val="0"/>
        <w:spacing w:beforeLines="0" w:afterLines="0" w:line="360" w:lineRule="auto"/>
        <w:rPr>
          <w:rFonts w:hint="eastAsia" w:ascii="黑体" w:hAnsi="黑体" w:eastAsia="黑体" w:cs="黑体"/>
          <w:color w:val="auto"/>
          <w:highlight w:val="none"/>
          <w:lang w:eastAsia="zh-CN"/>
        </w:rPr>
      </w:pPr>
      <w:bookmarkStart w:id="23" w:name="_Toc30768"/>
      <w:r>
        <w:rPr>
          <w:rFonts w:hint="eastAsia" w:ascii="黑体" w:hAnsi="黑体" w:eastAsia="黑体" w:cs="黑体"/>
          <w:color w:val="auto"/>
          <w:highlight w:val="none"/>
          <w:lang w:eastAsia="zh-CN"/>
        </w:rPr>
        <w:t>第一节</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lang w:eastAsia="zh-CN"/>
        </w:rPr>
        <w:t>开发利用调控</w:t>
      </w:r>
      <w:bookmarkEnd w:id="23"/>
    </w:p>
    <w:p>
      <w:pPr>
        <w:pageBreakBefore w:val="0"/>
        <w:kinsoku/>
        <w:wordWrap/>
        <w:overflowPunct/>
        <w:topLinePunct w:val="0"/>
        <w:bidi w:val="0"/>
        <w:snapToGrid w:val="0"/>
        <w:spacing w:line="360" w:lineRule="auto"/>
        <w:ind w:firstLine="562" w:firstLineChars="200"/>
        <w:rPr>
          <w:rFonts w:hint="eastAsia" w:ascii="仿宋" w:hAnsi="仿宋" w:eastAsia="仿宋" w:cs="仿宋"/>
          <w:color w:val="000000"/>
          <w:sz w:val="28"/>
          <w:szCs w:val="28"/>
          <w:lang w:eastAsia="zh-CN"/>
        </w:rPr>
      </w:pPr>
      <w:r>
        <w:rPr>
          <w:rFonts w:hint="eastAsia" w:ascii="仿宋" w:hAnsi="仿宋" w:eastAsia="仿宋" w:cs="仿宋"/>
          <w:b/>
          <w:bCs/>
          <w:color w:val="000000"/>
          <w:sz w:val="28"/>
          <w:szCs w:val="28"/>
          <w:lang w:val="en-US" w:eastAsia="zh-CN"/>
        </w:rPr>
        <w:t>稳定贵金属产量</w:t>
      </w:r>
      <w:r>
        <w:rPr>
          <w:rFonts w:hint="eastAsia" w:ascii="仿宋" w:hAnsi="仿宋" w:eastAsia="仿宋" w:cs="仿宋"/>
          <w:b/>
          <w:bCs/>
          <w:color w:val="000000"/>
          <w:sz w:val="28"/>
          <w:szCs w:val="28"/>
        </w:rPr>
        <w:t>。</w:t>
      </w:r>
      <w:r>
        <w:rPr>
          <w:rFonts w:hint="eastAsia" w:ascii="仿宋" w:hAnsi="仿宋" w:eastAsia="仿宋" w:cs="仿宋"/>
          <w:color w:val="000000"/>
          <w:sz w:val="28"/>
          <w:szCs w:val="28"/>
        </w:rPr>
        <w:t>促进</w:t>
      </w:r>
      <w:r>
        <w:rPr>
          <w:rFonts w:hint="eastAsia" w:ascii="仿宋" w:hAnsi="仿宋" w:eastAsia="仿宋" w:cs="仿宋"/>
          <w:color w:val="000000"/>
          <w:sz w:val="28"/>
          <w:szCs w:val="28"/>
          <w:lang w:val="en-US" w:eastAsia="zh-CN"/>
        </w:rPr>
        <w:t>贵金属</w:t>
      </w:r>
      <w:r>
        <w:rPr>
          <w:rFonts w:hint="eastAsia" w:ascii="仿宋" w:hAnsi="仿宋" w:eastAsia="仿宋" w:cs="仿宋"/>
          <w:color w:val="000000"/>
          <w:sz w:val="28"/>
          <w:szCs w:val="28"/>
        </w:rPr>
        <w:t>优势企业进行资源整合，鼓励综合利用难选矿、低品位矿和共伴生资源，鼓励资源化利用矿山固体废弃物，实现资源规模化、集约化、现代化开发</w:t>
      </w:r>
      <w:r>
        <w:rPr>
          <w:rFonts w:hint="eastAsia" w:ascii="仿宋" w:hAnsi="仿宋" w:eastAsia="仿宋" w:cs="仿宋"/>
          <w:color w:val="000000"/>
          <w:sz w:val="28"/>
          <w:szCs w:val="28"/>
          <w:lang w:eastAsia="zh-CN"/>
        </w:rPr>
        <w:t>。</w:t>
      </w:r>
    </w:p>
    <w:p>
      <w:pPr>
        <w:pStyle w:val="8"/>
        <w:keepNext w:val="0"/>
        <w:keepLines w:val="0"/>
        <w:pageBreakBefore w:val="0"/>
        <w:widowControl w:val="0"/>
        <w:kinsoku/>
        <w:wordWrap/>
        <w:overflowPunct/>
        <w:topLinePunct w:val="0"/>
        <w:autoSpaceDE/>
        <w:autoSpaceDN/>
        <w:bidi w:val="0"/>
        <w:adjustRightInd/>
        <w:snapToGrid w:val="0"/>
        <w:spacing w:after="0" w:line="360" w:lineRule="auto"/>
        <w:ind w:left="0" w:leftChars="0" w:firstLine="562" w:firstLineChars="200"/>
        <w:textAlignment w:val="auto"/>
        <w:rPr>
          <w:rFonts w:hint="default" w:ascii="仿宋" w:hAnsi="仿宋" w:eastAsia="仿宋" w:cstheme="minorBidi"/>
          <w:kern w:val="2"/>
          <w:sz w:val="28"/>
          <w:szCs w:val="28"/>
          <w:lang w:val="en-US" w:eastAsia="zh-CN" w:bidi="ar-SA"/>
        </w:rPr>
      </w:pPr>
      <w:r>
        <w:rPr>
          <w:rFonts w:hint="eastAsia" w:ascii="仿宋" w:hAnsi="仿宋" w:eastAsia="仿宋" w:cstheme="minorBidi"/>
          <w:b/>
          <w:bCs/>
          <w:kern w:val="2"/>
          <w:sz w:val="28"/>
          <w:szCs w:val="28"/>
          <w:lang w:val="en-US" w:eastAsia="zh-CN" w:bidi="ar-SA"/>
        </w:rPr>
        <w:t>强化大理岩优矿优用</w:t>
      </w:r>
      <w:r>
        <w:rPr>
          <w:rFonts w:hint="default" w:ascii="仿宋" w:hAnsi="仿宋" w:eastAsia="仿宋" w:cstheme="minorBidi"/>
          <w:b/>
          <w:bCs/>
          <w:kern w:val="2"/>
          <w:sz w:val="28"/>
          <w:szCs w:val="28"/>
          <w:lang w:val="en-US" w:eastAsia="zh-CN" w:bidi="ar-SA"/>
        </w:rPr>
        <w:t>：</w:t>
      </w:r>
      <w:r>
        <w:rPr>
          <w:rFonts w:hint="eastAsia" w:ascii="仿宋" w:hAnsi="仿宋" w:eastAsia="仿宋" w:cstheme="minorBidi"/>
          <w:kern w:val="2"/>
          <w:sz w:val="28"/>
          <w:szCs w:val="28"/>
          <w:lang w:val="en-US" w:eastAsia="zh-CN" w:bidi="ar-SA"/>
        </w:rPr>
        <w:t>鼓励大理岩（石材石粉、熔剂用）</w:t>
      </w:r>
      <w:r>
        <w:rPr>
          <w:rFonts w:hint="default" w:ascii="仿宋" w:hAnsi="仿宋" w:eastAsia="仿宋" w:cstheme="minorBidi"/>
          <w:kern w:val="2"/>
          <w:sz w:val="28"/>
          <w:szCs w:val="28"/>
          <w:lang w:val="en-US" w:eastAsia="zh-CN" w:bidi="ar-SA"/>
        </w:rPr>
        <w:t>勘查</w:t>
      </w:r>
      <w:r>
        <w:rPr>
          <w:rFonts w:hint="eastAsia" w:ascii="仿宋" w:hAnsi="仿宋" w:eastAsia="仿宋" w:cstheme="minorBidi"/>
          <w:kern w:val="2"/>
          <w:sz w:val="28"/>
          <w:szCs w:val="28"/>
          <w:lang w:val="en-US" w:eastAsia="zh-CN" w:bidi="ar-SA"/>
        </w:rPr>
        <w:t>开发</w:t>
      </w:r>
      <w:r>
        <w:rPr>
          <w:rFonts w:hint="default" w:ascii="仿宋" w:hAnsi="仿宋" w:eastAsia="仿宋" w:cstheme="minorBidi"/>
          <w:kern w:val="2"/>
          <w:sz w:val="28"/>
          <w:szCs w:val="28"/>
          <w:lang w:val="en-US" w:eastAsia="zh-CN" w:bidi="ar-SA"/>
        </w:rPr>
        <w:t>，</w:t>
      </w:r>
      <w:r>
        <w:rPr>
          <w:rFonts w:hint="eastAsia" w:ascii="仿宋" w:hAnsi="仿宋" w:eastAsia="仿宋" w:cstheme="minorBidi"/>
          <w:kern w:val="2"/>
          <w:sz w:val="28"/>
          <w:szCs w:val="28"/>
          <w:lang w:val="en-US" w:eastAsia="zh-CN" w:bidi="ar-SA"/>
        </w:rPr>
        <w:t>坚持优矿优用，统筹优质大理岩资源的开发利用与保护，严格限制其用做普通建筑用石料，支持大理岩资源优先向大型生产矿山配置。</w:t>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sz w:val="28"/>
          <w:szCs w:val="28"/>
          <w:lang w:eastAsia="zh-CN"/>
        </w:rPr>
      </w:pPr>
      <w:r>
        <w:rPr>
          <w:rFonts w:hint="eastAsia" w:ascii="仿宋" w:hAnsi="仿宋" w:eastAsia="仿宋"/>
          <w:b/>
          <w:bCs/>
          <w:sz w:val="28"/>
          <w:szCs w:val="28"/>
          <w:lang w:val="en-US" w:eastAsia="zh-CN"/>
        </w:rPr>
        <w:t>加强饰面用花岗岩保护性开发</w:t>
      </w:r>
      <w:r>
        <w:rPr>
          <w:rFonts w:hint="eastAsia" w:ascii="仿宋" w:hAnsi="仿宋" w:eastAsia="仿宋"/>
          <w:b/>
          <w:bCs/>
          <w:sz w:val="28"/>
          <w:szCs w:val="28"/>
          <w:lang w:eastAsia="zh-CN"/>
        </w:rPr>
        <w:t>：</w:t>
      </w:r>
      <w:r>
        <w:rPr>
          <w:rFonts w:hint="eastAsia" w:ascii="仿宋" w:hAnsi="仿宋" w:eastAsia="仿宋" w:cs="Times New Roman"/>
          <w:kern w:val="2"/>
          <w:sz w:val="28"/>
          <w:szCs w:val="28"/>
          <w:lang w:val="en-US" w:eastAsia="zh-CN" w:bidi="ar-SA"/>
        </w:rPr>
        <w:t>适度开采饰面石材，积极推进集约化规模化开发，实行矿区统一规划、整体开采、综合利用、同步修复。</w:t>
      </w:r>
      <w:r>
        <w:rPr>
          <w:rFonts w:hint="eastAsia" w:ascii="仿宋" w:hAnsi="仿宋" w:eastAsia="仿宋" w:cs="仿宋"/>
          <w:color w:val="000000"/>
          <w:sz w:val="28"/>
          <w:szCs w:val="28"/>
        </w:rPr>
        <w:t>高标准</w:t>
      </w:r>
      <w:r>
        <w:rPr>
          <w:rFonts w:hint="eastAsia" w:ascii="仿宋" w:hAnsi="仿宋" w:eastAsia="仿宋" w:cs="仿宋"/>
          <w:color w:val="000000"/>
          <w:sz w:val="28"/>
          <w:szCs w:val="28"/>
          <w:lang w:val="en-US" w:eastAsia="zh-CN"/>
        </w:rPr>
        <w:t>发展</w:t>
      </w:r>
      <w:r>
        <w:rPr>
          <w:rFonts w:hint="eastAsia" w:ascii="仿宋" w:hAnsi="仿宋" w:eastAsia="仿宋" w:cs="仿宋"/>
          <w:color w:val="000000"/>
          <w:sz w:val="28"/>
          <w:szCs w:val="28"/>
          <w:lang w:eastAsia="zh-CN"/>
        </w:rPr>
        <w:t>二郎坪镇饰面用花岗岩</w:t>
      </w:r>
      <w:r>
        <w:rPr>
          <w:rFonts w:hint="eastAsia" w:ascii="仿宋" w:hAnsi="仿宋" w:eastAsia="仿宋" w:cs="仿宋"/>
          <w:color w:val="000000"/>
          <w:sz w:val="28"/>
          <w:szCs w:val="28"/>
          <w:lang w:val="en-US" w:eastAsia="zh-CN"/>
        </w:rPr>
        <w:t>行业</w:t>
      </w:r>
      <w:r>
        <w:rPr>
          <w:rFonts w:hint="eastAsia" w:ascii="仿宋" w:hAnsi="仿宋" w:eastAsia="仿宋" w:cs="仿宋"/>
          <w:color w:val="000000"/>
          <w:sz w:val="28"/>
          <w:szCs w:val="28"/>
        </w:rPr>
        <w:t>，保障民生需</w:t>
      </w:r>
      <w:r>
        <w:rPr>
          <w:rFonts w:hint="eastAsia" w:ascii="仿宋" w:hAnsi="仿宋" w:eastAsia="仿宋" w:cs="仿宋"/>
          <w:color w:val="000000"/>
          <w:sz w:val="28"/>
          <w:szCs w:val="28"/>
          <w:lang w:eastAsia="zh-CN"/>
        </w:rPr>
        <w:t>求。</w:t>
      </w:r>
    </w:p>
    <w:p>
      <w:pPr>
        <w:pStyle w:val="8"/>
        <w:pageBreakBefore w:val="0"/>
        <w:kinsoku/>
        <w:wordWrap/>
        <w:overflowPunct/>
        <w:topLinePunct w:val="0"/>
        <w:bidi w:val="0"/>
        <w:snapToGrid w:val="0"/>
        <w:spacing w:line="360" w:lineRule="auto"/>
        <w:ind w:left="0" w:leftChars="0" w:firstLine="562" w:firstLineChars="200"/>
        <w:rPr>
          <w:rFonts w:hint="default" w:ascii="仿宋" w:hAnsi="仿宋" w:eastAsia="仿宋" w:cs="Times New Roman"/>
          <w:kern w:val="2"/>
          <w:sz w:val="28"/>
          <w:szCs w:val="28"/>
          <w:lang w:val="en-US" w:eastAsia="zh-CN" w:bidi="ar-SA"/>
        </w:rPr>
      </w:pPr>
      <w:r>
        <w:rPr>
          <w:rFonts w:hint="eastAsia" w:ascii="仿宋" w:hAnsi="仿宋" w:eastAsia="仿宋"/>
          <w:b/>
          <w:bCs/>
          <w:sz w:val="28"/>
          <w:szCs w:val="28"/>
          <w:lang w:val="en-US" w:eastAsia="zh-CN"/>
        </w:rPr>
        <w:t>适度开发</w:t>
      </w:r>
      <w:r>
        <w:rPr>
          <w:rFonts w:hint="eastAsia" w:ascii="仿宋" w:hAnsi="仿宋" w:eastAsia="仿宋" w:cstheme="minorBidi"/>
          <w:b/>
          <w:bCs/>
          <w:kern w:val="2"/>
          <w:sz w:val="28"/>
          <w:szCs w:val="28"/>
          <w:lang w:val="en-US" w:eastAsia="zh-CN" w:bidi="ar-SA"/>
        </w:rPr>
        <w:t>建筑用石料：</w:t>
      </w:r>
      <w:r>
        <w:rPr>
          <w:rFonts w:hint="eastAsia" w:ascii="仿宋" w:hAnsi="仿宋" w:eastAsia="仿宋" w:cstheme="minorBidi"/>
          <w:kern w:val="2"/>
          <w:sz w:val="28"/>
          <w:szCs w:val="28"/>
          <w:lang w:val="en-US" w:eastAsia="zh-CN" w:bidi="ar-SA"/>
        </w:rPr>
        <w:t>查明废弃建筑用大理岩矿山资源情况，综合利用矿山废料，严格控制矿山数量，提高矿山规模，对过剩产能实行开采总量控制。</w:t>
      </w:r>
    </w:p>
    <w:p>
      <w:pPr>
        <w:pStyle w:val="4"/>
        <w:pageBreakBefore w:val="0"/>
        <w:kinsoku/>
        <w:wordWrap/>
        <w:overflowPunct/>
        <w:topLinePunct w:val="0"/>
        <w:bidi w:val="0"/>
        <w:adjustRightInd w:val="0"/>
        <w:snapToGrid w:val="0"/>
        <w:spacing w:beforeLines="0" w:afterLines="0" w:line="360" w:lineRule="auto"/>
        <w:rPr>
          <w:rFonts w:hint="default" w:ascii="黑体" w:hAnsi="黑体" w:eastAsia="黑体" w:cs="黑体"/>
          <w:color w:val="auto"/>
          <w:highlight w:val="none"/>
          <w:lang w:val="en-US" w:eastAsia="zh-CN"/>
        </w:rPr>
      </w:pPr>
      <w:bookmarkStart w:id="24" w:name="_Toc15521"/>
      <w:r>
        <w:rPr>
          <w:rFonts w:hint="eastAsia" w:ascii="黑体" w:hAnsi="黑体" w:eastAsia="黑体" w:cs="黑体"/>
          <w:color w:val="auto"/>
          <w:highlight w:val="none"/>
          <w:lang w:eastAsia="zh-CN"/>
        </w:rPr>
        <w:t>第二节</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lang w:eastAsia="zh-CN"/>
        </w:rPr>
        <w:t>矿产资源开发</w:t>
      </w:r>
      <w:r>
        <w:rPr>
          <w:rFonts w:hint="eastAsia" w:ascii="黑体" w:hAnsi="黑体" w:eastAsia="黑体" w:cs="黑体"/>
          <w:color w:val="auto"/>
          <w:highlight w:val="none"/>
          <w:lang w:val="en-US" w:eastAsia="zh-CN"/>
        </w:rPr>
        <w:t>利用</w:t>
      </w:r>
      <w:bookmarkEnd w:id="24"/>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default" w:ascii="仿宋" w:hAnsi="仿宋" w:eastAsia="仿宋"/>
          <w:b/>
          <w:bCs/>
          <w:kern w:val="0"/>
          <w:sz w:val="28"/>
          <w:szCs w:val="28"/>
          <w:lang w:val="en-US" w:eastAsia="zh-CN"/>
        </w:rPr>
      </w:pPr>
      <w:r>
        <w:rPr>
          <w:rFonts w:hint="eastAsia" w:ascii="仿宋" w:hAnsi="仿宋" w:eastAsia="仿宋"/>
          <w:b/>
          <w:bCs/>
          <w:kern w:val="0"/>
          <w:sz w:val="28"/>
          <w:szCs w:val="28"/>
          <w:lang w:val="en-US" w:eastAsia="zh-CN"/>
        </w:rPr>
        <w:t>一、重点开采区</w:t>
      </w:r>
    </w:p>
    <w:p>
      <w:pPr>
        <w:pageBreakBefore w:val="0"/>
        <w:kinsoku/>
        <w:wordWrap/>
        <w:overflowPunct/>
        <w:topLinePunct w:val="0"/>
        <w:bidi w:val="0"/>
        <w:snapToGrid w:val="0"/>
        <w:spacing w:line="360" w:lineRule="auto"/>
        <w:ind w:firstLine="562" w:firstLineChars="200"/>
        <w:rPr>
          <w:rFonts w:hint="eastAsia" w:ascii="仿宋" w:hAnsi="仿宋" w:eastAsia="仿宋"/>
          <w:kern w:val="0"/>
          <w:sz w:val="28"/>
          <w:szCs w:val="28"/>
        </w:rPr>
      </w:pPr>
      <w:r>
        <w:rPr>
          <w:rFonts w:hint="eastAsia" w:ascii="仿宋" w:hAnsi="仿宋" w:eastAsia="仿宋"/>
          <w:b/>
          <w:bCs/>
          <w:kern w:val="0"/>
          <w:sz w:val="28"/>
          <w:szCs w:val="28"/>
        </w:rPr>
        <w:t>重点</w:t>
      </w:r>
      <w:r>
        <w:rPr>
          <w:rFonts w:hint="eastAsia" w:ascii="仿宋" w:hAnsi="仿宋" w:eastAsia="仿宋"/>
          <w:b/>
          <w:bCs/>
          <w:kern w:val="0"/>
          <w:sz w:val="28"/>
          <w:szCs w:val="28"/>
          <w:lang w:eastAsia="zh-CN"/>
        </w:rPr>
        <w:t>开采</w:t>
      </w:r>
      <w:r>
        <w:rPr>
          <w:rFonts w:hint="eastAsia" w:ascii="仿宋" w:hAnsi="仿宋" w:eastAsia="仿宋"/>
          <w:b/>
          <w:bCs/>
          <w:kern w:val="0"/>
          <w:sz w:val="28"/>
          <w:szCs w:val="28"/>
        </w:rPr>
        <w:t>区划分原则：</w:t>
      </w:r>
      <w:r>
        <w:rPr>
          <w:rFonts w:hint="eastAsia" w:ascii="仿宋" w:hAnsi="仿宋" w:eastAsia="仿宋"/>
          <w:kern w:val="0"/>
          <w:sz w:val="28"/>
          <w:szCs w:val="28"/>
        </w:rPr>
        <w:t>指本</w:t>
      </w:r>
      <w:r>
        <w:rPr>
          <w:rFonts w:hint="eastAsia" w:ascii="仿宋" w:hAnsi="仿宋" w:eastAsia="仿宋"/>
          <w:kern w:val="0"/>
          <w:sz w:val="28"/>
          <w:szCs w:val="28"/>
          <w:lang w:val="en-US" w:eastAsia="zh-CN"/>
        </w:rPr>
        <w:t>县</w:t>
      </w:r>
      <w:r>
        <w:rPr>
          <w:rFonts w:hint="eastAsia" w:ascii="仿宋" w:hAnsi="仿宋" w:eastAsia="仿宋"/>
          <w:kern w:val="0"/>
          <w:sz w:val="28"/>
          <w:szCs w:val="28"/>
        </w:rPr>
        <w:t>资源条件好、具有开发利用基础，对</w:t>
      </w:r>
      <w:r>
        <w:rPr>
          <w:rFonts w:hint="eastAsia" w:ascii="仿宋" w:hAnsi="仿宋" w:eastAsia="仿宋"/>
          <w:kern w:val="0"/>
          <w:sz w:val="28"/>
          <w:szCs w:val="28"/>
          <w:lang w:val="en-US" w:eastAsia="zh-CN"/>
        </w:rPr>
        <w:t>西峡县</w:t>
      </w:r>
      <w:r>
        <w:rPr>
          <w:rFonts w:hint="eastAsia" w:ascii="仿宋" w:hAnsi="仿宋" w:eastAsia="仿宋"/>
          <w:kern w:val="0"/>
          <w:sz w:val="28"/>
          <w:szCs w:val="28"/>
        </w:rPr>
        <w:t>经济社会发展有重要支撑作用、开发过程中矿山地质环境问题能得到有效控制和治理的地区，以及资源相对集中的地区划分为重点开采区。</w:t>
      </w:r>
    </w:p>
    <w:p>
      <w:pPr>
        <w:pageBreakBefore w:val="0"/>
        <w:kinsoku/>
        <w:wordWrap/>
        <w:overflowPunct/>
        <w:topLinePunct w:val="0"/>
        <w:bidi w:val="0"/>
        <w:snapToGrid w:val="0"/>
        <w:spacing w:line="360" w:lineRule="auto"/>
        <w:ind w:firstLine="562" w:firstLineChars="200"/>
        <w:rPr>
          <w:rFonts w:hint="eastAsia" w:ascii="仿宋" w:hAnsi="仿宋" w:eastAsia="仿宋" w:cs="楷体_GB2312"/>
          <w:color w:val="000000" w:themeColor="text1"/>
          <w:kern w:val="0"/>
          <w:sz w:val="28"/>
          <w:szCs w:val="28"/>
          <w:highlight w:val="none"/>
          <w:lang w:eastAsia="zh-CN"/>
          <w14:textFill>
            <w14:solidFill>
              <w14:schemeClr w14:val="tx1"/>
            </w14:solidFill>
          </w14:textFill>
        </w:rPr>
      </w:pPr>
      <w:r>
        <w:rPr>
          <w:rFonts w:hint="eastAsia" w:ascii="仿宋" w:hAnsi="仿宋" w:eastAsia="仿宋" w:cs="楷体_GB2312"/>
          <w:b/>
          <w:color w:val="000000" w:themeColor="text1"/>
          <w:kern w:val="0"/>
          <w:sz w:val="28"/>
          <w:szCs w:val="28"/>
          <w14:textFill>
            <w14:solidFill>
              <w14:schemeClr w14:val="tx1"/>
            </w14:solidFill>
          </w14:textFill>
        </w:rPr>
        <w:t>重点</w:t>
      </w:r>
      <w:r>
        <w:rPr>
          <w:rFonts w:hint="eastAsia" w:ascii="仿宋" w:hAnsi="仿宋" w:eastAsia="仿宋" w:cs="楷体_GB2312"/>
          <w:b/>
          <w:color w:val="000000" w:themeColor="text1"/>
          <w:kern w:val="0"/>
          <w:sz w:val="28"/>
          <w:szCs w:val="28"/>
          <w:lang w:eastAsia="zh-CN"/>
          <w14:textFill>
            <w14:solidFill>
              <w14:schemeClr w14:val="tx1"/>
            </w14:solidFill>
          </w14:textFill>
        </w:rPr>
        <w:t>开采</w:t>
      </w:r>
      <w:r>
        <w:rPr>
          <w:rFonts w:hint="eastAsia" w:ascii="仿宋" w:hAnsi="仿宋" w:eastAsia="仿宋" w:cs="楷体_GB2312"/>
          <w:b/>
          <w:color w:val="000000" w:themeColor="text1"/>
          <w:kern w:val="0"/>
          <w:sz w:val="28"/>
          <w:szCs w:val="28"/>
          <w14:textFill>
            <w14:solidFill>
              <w14:schemeClr w14:val="tx1"/>
            </w14:solidFill>
          </w14:textFill>
        </w:rPr>
        <w:t>区划分：</w:t>
      </w:r>
      <w:r>
        <w:rPr>
          <w:rFonts w:hint="eastAsia" w:ascii="仿宋" w:hAnsi="仿宋" w:eastAsia="仿宋" w:cs="楷体_GB2312"/>
          <w:color w:val="000000" w:themeColor="text1"/>
          <w:kern w:val="0"/>
          <w:sz w:val="28"/>
          <w:szCs w:val="28"/>
          <w:highlight w:val="none"/>
          <w:lang w:eastAsia="zh-CN"/>
          <w14:textFill>
            <w14:solidFill>
              <w14:schemeClr w14:val="tx1"/>
            </w14:solidFill>
          </w14:textFill>
        </w:rPr>
        <w:t>根据矿产资源分布情况，</w:t>
      </w:r>
      <w:r>
        <w:rPr>
          <w:rFonts w:hint="eastAsia" w:ascii="仿宋" w:hAnsi="仿宋" w:eastAsia="仿宋" w:cs="楷体_GB2312"/>
          <w:color w:val="000000" w:themeColor="text1"/>
          <w:kern w:val="0"/>
          <w:sz w:val="28"/>
          <w:szCs w:val="28"/>
          <w:highlight w:val="none"/>
          <w14:textFill>
            <w14:solidFill>
              <w14:schemeClr w14:val="tx1"/>
            </w14:solidFill>
          </w14:textFill>
        </w:rPr>
        <w:t>划</w:t>
      </w:r>
      <w:r>
        <w:rPr>
          <w:rFonts w:hint="eastAsia" w:ascii="仿宋" w:hAnsi="仿宋" w:eastAsia="仿宋" w:cs="楷体_GB2312"/>
          <w:color w:val="000000" w:themeColor="text1"/>
          <w:kern w:val="0"/>
          <w:sz w:val="28"/>
          <w:szCs w:val="28"/>
          <w14:textFill>
            <w14:solidFill>
              <w14:schemeClr w14:val="tx1"/>
            </w14:solidFill>
          </w14:textFill>
        </w:rPr>
        <w:t>定重点</w:t>
      </w:r>
      <w:r>
        <w:rPr>
          <w:rFonts w:hint="eastAsia" w:ascii="仿宋" w:hAnsi="仿宋" w:eastAsia="仿宋" w:cs="楷体_GB2312"/>
          <w:color w:val="000000" w:themeColor="text1"/>
          <w:kern w:val="0"/>
          <w:sz w:val="28"/>
          <w:szCs w:val="28"/>
          <w:lang w:eastAsia="zh-CN"/>
          <w14:textFill>
            <w14:solidFill>
              <w14:schemeClr w14:val="tx1"/>
            </w14:solidFill>
          </w14:textFill>
        </w:rPr>
        <w:t>开采</w:t>
      </w:r>
      <w:r>
        <w:rPr>
          <w:rFonts w:hint="eastAsia" w:ascii="仿宋" w:hAnsi="仿宋" w:eastAsia="仿宋" w:cs="楷体_GB2312"/>
          <w:color w:val="000000" w:themeColor="text1"/>
          <w:kern w:val="0"/>
          <w:sz w:val="28"/>
          <w:szCs w:val="28"/>
          <w14:textFill>
            <w14:solidFill>
              <w14:schemeClr w14:val="tx1"/>
            </w14:solidFill>
          </w14:textFill>
        </w:rPr>
        <w:t>区</w:t>
      </w:r>
      <w:r>
        <w:rPr>
          <w:rFonts w:hint="eastAsia" w:ascii="仿宋" w:hAnsi="仿宋" w:eastAsia="仿宋" w:cs="楷体_GB2312"/>
          <w:color w:val="000000" w:themeColor="text1"/>
          <w:kern w:val="0"/>
          <w:sz w:val="28"/>
          <w:szCs w:val="28"/>
          <w:lang w:val="en-US" w:eastAsia="zh-CN"/>
          <w14:textFill>
            <w14:solidFill>
              <w14:schemeClr w14:val="tx1"/>
            </w14:solidFill>
          </w14:textFill>
        </w:rPr>
        <w:t>1处：</w:t>
      </w:r>
      <w:r>
        <w:rPr>
          <w:rFonts w:hint="eastAsia" w:ascii="仿宋" w:hAnsi="仿宋" w:eastAsia="仿宋" w:cs="楷体_GB2312"/>
          <w:color w:val="000000" w:themeColor="text1"/>
          <w:kern w:val="0"/>
          <w:sz w:val="28"/>
          <w:szCs w:val="28"/>
          <w:highlight w:val="none"/>
          <w:lang w:eastAsia="zh-CN"/>
          <w14:textFill>
            <w14:solidFill>
              <w14:schemeClr w14:val="tx1"/>
            </w14:solidFill>
          </w14:textFill>
        </w:rPr>
        <w:t>西峡县二郎坪镇饰面用花岗岩重点开采区，</w:t>
      </w:r>
      <w:r>
        <w:rPr>
          <w:rFonts w:hint="eastAsia" w:ascii="仿宋" w:hAnsi="仿宋" w:eastAsia="仿宋" w:cs="楷体_GB2312"/>
          <w:color w:val="000000" w:themeColor="text1"/>
          <w:kern w:val="0"/>
          <w:sz w:val="28"/>
          <w:szCs w:val="28"/>
          <w:highlight w:val="none"/>
          <w:lang w:val="en-US" w:eastAsia="zh-CN"/>
          <w14:textFill>
            <w14:solidFill>
              <w14:schemeClr w14:val="tx1"/>
            </w14:solidFill>
          </w14:textFill>
        </w:rPr>
        <w:t>开采矿种饰面用花岗岩</w:t>
      </w:r>
      <w:r>
        <w:rPr>
          <w:rFonts w:hint="eastAsia" w:ascii="仿宋" w:hAnsi="仿宋" w:eastAsia="仿宋" w:cs="楷体_GB2312"/>
          <w:color w:val="000000" w:themeColor="text1"/>
          <w:kern w:val="0"/>
          <w:sz w:val="28"/>
          <w:szCs w:val="28"/>
          <w:highlight w:val="none"/>
          <w:lang w:eastAsia="zh-CN"/>
          <w14:textFill>
            <w14:solidFill>
              <w14:schemeClr w14:val="tx1"/>
            </w14:solidFill>
          </w14:textFill>
        </w:rPr>
        <w:t>，面积为</w:t>
      </w:r>
      <w:r>
        <w:rPr>
          <w:rFonts w:hint="eastAsia" w:ascii="仿宋" w:hAnsi="仿宋" w:eastAsia="仿宋" w:cs="楷体_GB2312"/>
          <w:color w:val="000000" w:themeColor="text1"/>
          <w:kern w:val="0"/>
          <w:sz w:val="28"/>
          <w:szCs w:val="28"/>
          <w:highlight w:val="none"/>
          <w:lang w:val="en-US" w:eastAsia="zh-CN"/>
          <w14:textFill>
            <w14:solidFill>
              <w14:schemeClr w14:val="tx1"/>
            </w14:solidFill>
          </w14:textFill>
        </w:rPr>
        <w:t>27平方公里</w:t>
      </w:r>
      <w:r>
        <w:rPr>
          <w:rFonts w:hint="eastAsia" w:ascii="仿宋" w:hAnsi="仿宋" w:eastAsia="仿宋" w:cs="楷体_GB2312"/>
          <w:color w:val="000000" w:themeColor="text1"/>
          <w:kern w:val="0"/>
          <w:sz w:val="28"/>
          <w:szCs w:val="28"/>
          <w:highlight w:val="none"/>
          <w:lang w:eastAsia="zh-CN"/>
          <w14:textFill>
            <w14:solidFill>
              <w14:schemeClr w14:val="tx1"/>
            </w14:solidFill>
          </w14:textFill>
        </w:rPr>
        <w:t>，位于西峡县二郎坪镇，区域内花岗岩体发育，</w:t>
      </w:r>
      <w:r>
        <w:rPr>
          <w:rFonts w:hint="eastAsia" w:ascii="仿宋" w:hAnsi="仿宋" w:eastAsia="仿宋" w:cs="楷体_GB2312"/>
          <w:color w:val="000000" w:themeColor="text1"/>
          <w:kern w:val="0"/>
          <w:sz w:val="28"/>
          <w:szCs w:val="28"/>
          <w:highlight w:val="none"/>
          <w:lang w:val="en-US" w:eastAsia="zh-CN"/>
          <w14:textFill>
            <w14:solidFill>
              <w14:schemeClr w14:val="tx1"/>
            </w14:solidFill>
          </w14:textFill>
        </w:rPr>
        <w:t>共</w:t>
      </w:r>
      <w:r>
        <w:rPr>
          <w:rFonts w:hint="eastAsia" w:ascii="仿宋" w:hAnsi="仿宋" w:eastAsia="仿宋" w:cs="楷体_GB2312"/>
          <w:color w:val="000000" w:themeColor="text1"/>
          <w:kern w:val="0"/>
          <w:sz w:val="28"/>
          <w:szCs w:val="28"/>
          <w:highlight w:val="none"/>
          <w:lang w:eastAsia="zh-CN"/>
          <w14:textFill>
            <w14:solidFill>
              <w14:schemeClr w14:val="tx1"/>
            </w14:solidFill>
          </w14:textFill>
        </w:rPr>
        <w:t>设置开采</w:t>
      </w:r>
      <w:r>
        <w:rPr>
          <w:rFonts w:hint="eastAsia" w:ascii="仿宋" w:hAnsi="仿宋" w:eastAsia="仿宋" w:cs="楷体_GB2312"/>
          <w:color w:val="000000" w:themeColor="text1"/>
          <w:kern w:val="0"/>
          <w:sz w:val="28"/>
          <w:szCs w:val="28"/>
          <w:highlight w:val="none"/>
          <w:lang w:val="en-US" w:eastAsia="zh-CN"/>
          <w14:textFill>
            <w14:solidFill>
              <w14:schemeClr w14:val="tx1"/>
            </w14:solidFill>
          </w14:textFill>
        </w:rPr>
        <w:t>规划</w:t>
      </w:r>
      <w:r>
        <w:rPr>
          <w:rFonts w:hint="eastAsia" w:ascii="仿宋" w:hAnsi="仿宋" w:eastAsia="仿宋" w:cs="楷体_GB2312"/>
          <w:color w:val="000000" w:themeColor="text1"/>
          <w:kern w:val="0"/>
          <w:sz w:val="28"/>
          <w:szCs w:val="28"/>
          <w:highlight w:val="none"/>
          <w:lang w:eastAsia="zh-CN"/>
          <w14:textFill>
            <w14:solidFill>
              <w14:schemeClr w14:val="tx1"/>
            </w14:solidFill>
          </w14:textFill>
        </w:rPr>
        <w:t>区块</w:t>
      </w:r>
      <w:r>
        <w:rPr>
          <w:rFonts w:hint="eastAsia" w:ascii="仿宋" w:hAnsi="仿宋" w:eastAsia="仿宋" w:cs="楷体_GB2312"/>
          <w:color w:val="000000" w:themeColor="text1"/>
          <w:kern w:val="0"/>
          <w:sz w:val="28"/>
          <w:szCs w:val="28"/>
          <w:highlight w:val="none"/>
          <w:lang w:val="en-US" w:eastAsia="zh-CN"/>
          <w14:textFill>
            <w14:solidFill>
              <w14:schemeClr w14:val="tx1"/>
            </w14:solidFill>
          </w14:textFill>
        </w:rPr>
        <w:t>1个。</w:t>
      </w:r>
    </w:p>
    <w:p>
      <w:pPr>
        <w:pageBreakBefore w:val="0"/>
        <w:kinsoku/>
        <w:wordWrap/>
        <w:overflowPunct/>
        <w:topLinePunct w:val="0"/>
        <w:bidi w:val="0"/>
        <w:snapToGrid w:val="0"/>
        <w:spacing w:line="360" w:lineRule="auto"/>
        <w:ind w:firstLine="562" w:firstLineChars="200"/>
        <w:rPr>
          <w:rFonts w:hint="eastAsia" w:ascii="仿宋" w:hAnsi="仿宋" w:eastAsia="仿宋"/>
          <w:sz w:val="28"/>
          <w:szCs w:val="28"/>
          <w:lang w:eastAsia="zh-CN"/>
        </w:rPr>
      </w:pPr>
      <w:r>
        <w:rPr>
          <w:rFonts w:hint="eastAsia" w:ascii="仿宋" w:hAnsi="仿宋" w:eastAsia="仿宋"/>
          <w:b/>
          <w:bCs/>
          <w:sz w:val="28"/>
          <w:szCs w:val="28"/>
        </w:rPr>
        <w:t>重点开采区管理措施。</w:t>
      </w:r>
      <w:r>
        <w:rPr>
          <w:rFonts w:hint="eastAsia" w:ascii="仿宋" w:hAnsi="仿宋" w:eastAsia="仿宋"/>
          <w:sz w:val="28"/>
          <w:szCs w:val="28"/>
        </w:rPr>
        <w:t>重点开采区内加强统筹部署，优先出让采矿权，积极引导各类要素向重点开采区集聚。需要加强监督管理，促进区内资源开采规模化、集约化利用和有序开发</w:t>
      </w:r>
      <w:r>
        <w:rPr>
          <w:rFonts w:hint="eastAsia" w:ascii="仿宋" w:hAnsi="仿宋" w:eastAsia="仿宋"/>
          <w:sz w:val="28"/>
          <w:szCs w:val="28"/>
          <w:lang w:eastAsia="zh-CN"/>
        </w:rPr>
        <w:t>。</w:t>
      </w:r>
    </w:p>
    <w:p>
      <w:pPr>
        <w:pageBreakBefore w:val="0"/>
        <w:kinsoku/>
        <w:wordWrap/>
        <w:overflowPunct/>
        <w:topLinePunct w:val="0"/>
        <w:bidi w:val="0"/>
        <w:snapToGrid w:val="0"/>
        <w:spacing w:line="360" w:lineRule="auto"/>
        <w:ind w:firstLine="562" w:firstLineChars="200"/>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二、开采规划区块</w:t>
      </w:r>
    </w:p>
    <w:p>
      <w:pPr>
        <w:pageBreakBefore w:val="0"/>
        <w:kinsoku/>
        <w:wordWrap/>
        <w:overflowPunct/>
        <w:topLinePunct w:val="0"/>
        <w:bidi w:val="0"/>
        <w:snapToGrid w:val="0"/>
        <w:spacing w:line="360" w:lineRule="auto"/>
        <w:ind w:firstLine="562" w:firstLineChars="200"/>
        <w:rPr>
          <w:rFonts w:hint="eastAsia" w:ascii="仿宋" w:hAnsi="仿宋" w:eastAsia="仿宋"/>
          <w:color w:val="000000"/>
          <w:sz w:val="28"/>
          <w:szCs w:val="28"/>
          <w:lang w:eastAsia="zh-CN"/>
        </w:rPr>
      </w:pPr>
      <w:r>
        <w:rPr>
          <w:rFonts w:hint="eastAsia" w:ascii="仿宋" w:hAnsi="仿宋" w:eastAsia="仿宋"/>
          <w:b/>
          <w:bCs/>
          <w:sz w:val="28"/>
          <w:szCs w:val="28"/>
        </w:rPr>
        <w:t>开采规划区块设置原则：</w:t>
      </w:r>
      <w:r>
        <w:rPr>
          <w:rFonts w:hint="eastAsia" w:ascii="仿宋" w:hAnsi="仿宋" w:eastAsia="仿宋"/>
          <w:sz w:val="28"/>
          <w:szCs w:val="28"/>
        </w:rPr>
        <w:t>依据地质勘查工作程度，合理划定开采规划区块，引导采矿权有序投放。第一类矿产，达到详查以上（含详查）勘查程度的，划定开采规划区块；第二类矿产，依据资源赋存状况、地质构造条件和勘查程度等，划定开采规划区块。砂石土类矿产根据资源赋存条件、环境保护要求、市场需求和相关政策，划定集中开采区，明确区内矿业权投放数量、开采总量、最低开采规模、矿区生态保护修复措施等准入要求，引导集中开采、规模开采、绿色开采，达到开采规划区块划定条件的，划定开采规划区块，引导资源配置</w:t>
      </w:r>
      <w:r>
        <w:rPr>
          <w:rFonts w:hint="eastAsia" w:ascii="仿宋" w:hAnsi="仿宋" w:eastAsia="仿宋"/>
          <w:sz w:val="28"/>
          <w:szCs w:val="28"/>
          <w:lang w:eastAsia="zh-CN"/>
        </w:rPr>
        <w:t>。</w:t>
      </w:r>
    </w:p>
    <w:p>
      <w:pPr>
        <w:pageBreakBefore w:val="0"/>
        <w:kinsoku/>
        <w:wordWrap/>
        <w:overflowPunct/>
        <w:topLinePunct w:val="0"/>
        <w:bidi w:val="0"/>
        <w:snapToGrid w:val="0"/>
        <w:spacing w:line="360" w:lineRule="auto"/>
        <w:ind w:firstLine="562" w:firstLineChars="200"/>
        <w:rPr>
          <w:rFonts w:ascii="仿宋" w:hAnsi="仿宋" w:eastAsia="仿宋"/>
          <w:sz w:val="28"/>
          <w:szCs w:val="28"/>
        </w:rPr>
      </w:pPr>
      <w:r>
        <w:rPr>
          <w:rFonts w:hint="eastAsia" w:ascii="仿宋" w:hAnsi="仿宋" w:eastAsia="仿宋"/>
          <w:b/>
          <w:sz w:val="28"/>
          <w:szCs w:val="28"/>
        </w:rPr>
        <w:t>开采规划区块划分：</w:t>
      </w:r>
      <w:r>
        <w:rPr>
          <w:rFonts w:hint="eastAsia" w:ascii="仿宋" w:hAnsi="仿宋" w:eastAsia="仿宋"/>
          <w:sz w:val="28"/>
          <w:szCs w:val="28"/>
        </w:rPr>
        <w:t>全</w:t>
      </w:r>
      <w:r>
        <w:rPr>
          <w:rFonts w:hint="eastAsia" w:ascii="仿宋" w:hAnsi="仿宋" w:eastAsia="仿宋"/>
          <w:sz w:val="28"/>
          <w:szCs w:val="28"/>
          <w:lang w:eastAsia="zh-CN"/>
        </w:rPr>
        <w:t>县</w:t>
      </w:r>
      <w:r>
        <w:rPr>
          <w:rFonts w:hint="eastAsia" w:ascii="仿宋" w:hAnsi="仿宋" w:eastAsia="仿宋"/>
          <w:sz w:val="28"/>
          <w:szCs w:val="28"/>
        </w:rPr>
        <w:t>共新设置开采区块</w:t>
      </w:r>
      <w:r>
        <w:rPr>
          <w:rFonts w:hint="eastAsia" w:ascii="仿宋" w:hAnsi="仿宋" w:eastAsia="仿宋"/>
          <w:sz w:val="28"/>
          <w:szCs w:val="28"/>
          <w:lang w:val="en-US" w:eastAsia="zh-CN"/>
        </w:rPr>
        <w:t>11</w:t>
      </w:r>
      <w:r>
        <w:rPr>
          <w:rFonts w:hint="eastAsia" w:ascii="仿宋" w:hAnsi="仿宋" w:eastAsia="仿宋"/>
          <w:sz w:val="28"/>
          <w:szCs w:val="28"/>
          <w:lang w:eastAsia="zh-CN"/>
        </w:rPr>
        <w:t>个</w:t>
      </w:r>
      <w:r>
        <w:rPr>
          <w:rFonts w:hint="eastAsia" w:ascii="仿宋" w:hAnsi="仿宋" w:eastAsia="仿宋"/>
          <w:sz w:val="28"/>
          <w:szCs w:val="28"/>
        </w:rPr>
        <w:t>，</w:t>
      </w:r>
      <w:r>
        <w:rPr>
          <w:rFonts w:hint="eastAsia" w:ascii="仿宋" w:hAnsi="仿宋" w:eastAsia="仿宋"/>
          <w:sz w:val="28"/>
          <w:szCs w:val="28"/>
          <w:lang w:val="en-US" w:eastAsia="zh-CN"/>
        </w:rPr>
        <w:t>金矿1个、脉石英1个、矿泉水1个、大理岩（熔剂用）2个</w:t>
      </w:r>
      <w:r>
        <w:rPr>
          <w:rFonts w:hint="eastAsia" w:ascii="仿宋" w:hAnsi="仿宋" w:eastAsia="仿宋"/>
          <w:sz w:val="28"/>
          <w:szCs w:val="28"/>
          <w:lang w:eastAsia="zh-CN"/>
        </w:rPr>
        <w:t>、</w:t>
      </w:r>
      <w:r>
        <w:rPr>
          <w:rFonts w:hint="eastAsia" w:ascii="仿宋" w:hAnsi="仿宋" w:eastAsia="仿宋"/>
          <w:sz w:val="28"/>
          <w:szCs w:val="28"/>
          <w:lang w:val="en-US" w:eastAsia="zh-CN"/>
        </w:rPr>
        <w:t>大理岩3个、冶金用白云岩1个、</w:t>
      </w:r>
      <w:r>
        <w:rPr>
          <w:rFonts w:hint="eastAsia" w:ascii="仿宋" w:hAnsi="仿宋" w:eastAsia="仿宋"/>
          <w:sz w:val="28"/>
          <w:szCs w:val="28"/>
          <w:lang w:eastAsia="zh-CN"/>
        </w:rPr>
        <w:t>饰面用花岗岩</w:t>
      </w:r>
      <w:r>
        <w:rPr>
          <w:rFonts w:hint="eastAsia" w:ascii="仿宋" w:hAnsi="仿宋" w:eastAsia="仿宋"/>
          <w:sz w:val="28"/>
          <w:szCs w:val="28"/>
        </w:rPr>
        <w:t>开采区块</w:t>
      </w:r>
      <w:r>
        <w:rPr>
          <w:rFonts w:hint="eastAsia" w:ascii="仿宋" w:hAnsi="仿宋" w:eastAsia="仿宋"/>
          <w:sz w:val="28"/>
          <w:szCs w:val="28"/>
          <w:lang w:val="en-US" w:eastAsia="zh-CN"/>
        </w:rPr>
        <w:t>2</w:t>
      </w:r>
      <w:r>
        <w:rPr>
          <w:rFonts w:hint="eastAsia" w:ascii="仿宋" w:hAnsi="仿宋" w:eastAsia="仿宋"/>
          <w:sz w:val="28"/>
          <w:szCs w:val="28"/>
          <w:lang w:eastAsia="zh-CN"/>
        </w:rPr>
        <w:t>个。</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522" w:type="dxa"/>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kern w:val="0"/>
                <w:sz w:val="21"/>
                <w:szCs w:val="21"/>
                <w:highlight w:val="red"/>
              </w:rPr>
            </w:pPr>
            <w:r>
              <w:rPr>
                <w:rFonts w:hint="eastAsia" w:ascii="仿宋" w:hAnsi="仿宋" w:eastAsia="仿宋" w:cs="仿宋"/>
                <w:b/>
                <w:kern w:val="0"/>
                <w:sz w:val="21"/>
                <w:szCs w:val="21"/>
                <w:lang w:eastAsia="zh-CN"/>
              </w:rPr>
              <w:t>专栏</w:t>
            </w:r>
            <w:r>
              <w:rPr>
                <w:rFonts w:hint="eastAsia" w:ascii="仿宋" w:hAnsi="仿宋" w:eastAsia="仿宋" w:cs="仿宋"/>
                <w:b/>
                <w:kern w:val="0"/>
                <w:sz w:val="21"/>
                <w:szCs w:val="21"/>
                <w:lang w:val="en-US" w:eastAsia="zh-CN"/>
              </w:rPr>
              <w:t>4</w:t>
            </w:r>
            <w:r>
              <w:rPr>
                <w:rFonts w:hint="eastAsia" w:ascii="仿宋" w:hAnsi="仿宋" w:eastAsia="仿宋" w:cs="仿宋"/>
                <w:b/>
                <w:kern w:val="0"/>
                <w:sz w:val="21"/>
                <w:szCs w:val="21"/>
                <w:lang w:eastAsia="zh-CN"/>
              </w:rPr>
              <w:t xml:space="preserve"> 西峡县开采区块一览表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522" w:type="dxa"/>
            <w:vAlign w:val="top"/>
          </w:tcPr>
          <w:p>
            <w:pPr>
              <w:pageBreakBefore w:val="0"/>
              <w:kinsoku/>
              <w:wordWrap/>
              <w:overflowPunct/>
              <w:topLinePunct w:val="0"/>
              <w:bidi w:val="0"/>
              <w:snapToGrid w:val="0"/>
              <w:spacing w:line="240" w:lineRule="auto"/>
              <w:jc w:val="left"/>
              <w:rPr>
                <w:rFonts w:hint="eastAsia"/>
                <w:color w:val="auto"/>
                <w:lang w:eastAsia="zh-CN"/>
              </w:rPr>
            </w:pPr>
            <w:r>
              <w:rPr>
                <w:rFonts w:hint="eastAsia" w:ascii="仿宋" w:hAnsi="仿宋" w:eastAsia="仿宋" w:cs="仿宋"/>
                <w:kern w:val="0"/>
                <w:sz w:val="21"/>
                <w:szCs w:val="21"/>
                <w:lang w:val="en-US" w:eastAsia="zh-CN"/>
              </w:rPr>
              <w:t>西峡张坪头金矿、西峡县重阳镇水峡河矿泉水、西峡县罗圈沟黑色熔剂用大理岩、西峡县双龙镇白果树花岗岩矿、西峡县二郎坪镇大雨沟饰面用花岗岩矿、河南省西峡县二郎坪镇中坪脉石英、西峡县栗坪熔剂用大理岩、西峡县桑坪包沟-仓房大理岩、西峡县康庄大理岩、西峡县山根大理岩、西峡县土地岭根冶金用白云岩矿</w:t>
            </w:r>
          </w:p>
        </w:tc>
      </w:tr>
    </w:tbl>
    <w:p>
      <w:pPr>
        <w:pageBreakBefore w:val="0"/>
        <w:kinsoku/>
        <w:wordWrap/>
        <w:overflowPunct/>
        <w:topLinePunct w:val="0"/>
        <w:bidi w:val="0"/>
        <w:snapToGrid w:val="0"/>
        <w:spacing w:line="360" w:lineRule="auto"/>
        <w:ind w:firstLine="562" w:firstLineChars="200"/>
        <w:rPr>
          <w:rFonts w:hint="default" w:ascii="仿宋" w:hAnsi="仿宋" w:eastAsia="仿宋"/>
          <w:sz w:val="28"/>
          <w:szCs w:val="28"/>
          <w:lang w:val="en-US" w:eastAsia="zh-CN"/>
        </w:rPr>
      </w:pPr>
      <w:r>
        <w:rPr>
          <w:rFonts w:hint="eastAsia" w:ascii="仿宋" w:hAnsi="仿宋" w:eastAsia="仿宋"/>
          <w:b/>
          <w:bCs/>
          <w:sz w:val="28"/>
          <w:szCs w:val="28"/>
          <w:lang w:eastAsia="zh-CN"/>
        </w:rPr>
        <w:t>开采区块管理要求。</w:t>
      </w:r>
      <w:r>
        <w:rPr>
          <w:rFonts w:hint="eastAsia" w:ascii="仿宋" w:hAnsi="仿宋" w:eastAsia="仿宋" w:cs="仿宋"/>
          <w:color w:val="auto"/>
          <w:sz w:val="28"/>
          <w:szCs w:val="28"/>
          <w:lang w:val="en-US"/>
        </w:rPr>
        <w:t>按照开采规划区块设置出让采矿权，一个开采规划区块只设置一个开采主体，并符合本地采矿权总量控制和最低开采规模要求。已设探矿权转采矿权，范围不得超出已设探矿权勘查范围。新设采矿权投放要符合开采规划区块确定的开采矿种。</w:t>
      </w:r>
    </w:p>
    <w:p>
      <w:pPr>
        <w:pStyle w:val="4"/>
        <w:pageBreakBefore w:val="0"/>
        <w:kinsoku/>
        <w:wordWrap/>
        <w:overflowPunct/>
        <w:topLinePunct w:val="0"/>
        <w:bidi w:val="0"/>
        <w:adjustRightInd w:val="0"/>
        <w:snapToGrid w:val="0"/>
        <w:spacing w:beforeLines="0" w:afterLines="0" w:line="360" w:lineRule="auto"/>
        <w:rPr>
          <w:rFonts w:hint="eastAsia" w:ascii="黑体" w:hAnsi="黑体" w:eastAsia="黑体" w:cs="黑体"/>
          <w:color w:val="auto"/>
          <w:highlight w:val="none"/>
          <w:lang w:eastAsia="zh-CN"/>
        </w:rPr>
      </w:pPr>
      <w:bookmarkStart w:id="25" w:name="_Toc4628"/>
      <w:r>
        <w:rPr>
          <w:rFonts w:hint="eastAsia" w:ascii="黑体" w:hAnsi="黑体" w:eastAsia="黑体" w:cs="黑体"/>
          <w:color w:val="auto"/>
          <w:highlight w:val="none"/>
          <w:lang w:eastAsia="zh-CN"/>
        </w:rPr>
        <w:t>第</w:t>
      </w:r>
      <w:r>
        <w:rPr>
          <w:rFonts w:hint="eastAsia" w:ascii="黑体" w:hAnsi="黑体" w:eastAsia="黑体" w:cs="黑体"/>
          <w:color w:val="auto"/>
          <w:highlight w:val="none"/>
          <w:lang w:val="en-US" w:eastAsia="zh-CN"/>
        </w:rPr>
        <w:t>三</w:t>
      </w:r>
      <w:r>
        <w:rPr>
          <w:rFonts w:hint="eastAsia" w:ascii="黑体" w:hAnsi="黑体" w:eastAsia="黑体" w:cs="黑体"/>
          <w:color w:val="auto"/>
          <w:highlight w:val="none"/>
          <w:lang w:eastAsia="zh-CN"/>
        </w:rPr>
        <w:t>节</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lang w:eastAsia="zh-CN"/>
        </w:rPr>
        <w:t>提高资源节约集约与综合利用水平</w:t>
      </w:r>
      <w:bookmarkEnd w:id="25"/>
    </w:p>
    <w:p>
      <w:pPr>
        <w:pageBreakBefore w:val="0"/>
        <w:kinsoku/>
        <w:wordWrap/>
        <w:overflowPunct/>
        <w:topLinePunct w:val="0"/>
        <w:bidi w:val="0"/>
        <w:adjustRightInd w:val="0"/>
        <w:snapToGrid w:val="0"/>
        <w:spacing w:line="360" w:lineRule="auto"/>
        <w:ind w:firstLine="562" w:firstLineChars="200"/>
        <w:outlineLvl w:val="9"/>
        <w:rPr>
          <w:rFonts w:hint="eastAsia" w:ascii="仿宋" w:hAnsi="仿宋" w:eastAsia="仿宋"/>
          <w:sz w:val="28"/>
          <w:szCs w:val="28"/>
        </w:rPr>
      </w:pPr>
      <w:r>
        <w:rPr>
          <w:rFonts w:hint="eastAsia" w:ascii="仿宋" w:hAnsi="仿宋" w:eastAsia="仿宋"/>
          <w:b/>
          <w:bCs/>
          <w:sz w:val="28"/>
          <w:szCs w:val="28"/>
        </w:rPr>
        <w:t>严格</w:t>
      </w:r>
      <w:r>
        <w:rPr>
          <w:rFonts w:hint="default" w:ascii="仿宋" w:hAnsi="仿宋" w:eastAsia="仿宋"/>
          <w:b/>
          <w:bCs/>
          <w:sz w:val="28"/>
          <w:szCs w:val="28"/>
        </w:rPr>
        <w:t>“</w:t>
      </w:r>
      <w:r>
        <w:rPr>
          <w:rFonts w:hint="eastAsia" w:ascii="仿宋" w:hAnsi="仿宋" w:eastAsia="仿宋"/>
          <w:b/>
          <w:bCs/>
          <w:sz w:val="28"/>
          <w:szCs w:val="28"/>
        </w:rPr>
        <w:t>三率</w:t>
      </w:r>
      <w:r>
        <w:rPr>
          <w:rFonts w:hint="default" w:ascii="仿宋" w:hAnsi="仿宋" w:eastAsia="仿宋"/>
          <w:b/>
          <w:bCs/>
          <w:sz w:val="28"/>
          <w:szCs w:val="28"/>
        </w:rPr>
        <w:t>”</w:t>
      </w:r>
      <w:r>
        <w:rPr>
          <w:rFonts w:hint="eastAsia" w:ascii="仿宋" w:hAnsi="仿宋" w:eastAsia="仿宋"/>
          <w:b/>
          <w:bCs/>
          <w:sz w:val="28"/>
          <w:szCs w:val="28"/>
        </w:rPr>
        <w:t>指标要求。</w:t>
      </w:r>
      <w:r>
        <w:rPr>
          <w:rFonts w:hint="eastAsia" w:ascii="仿宋" w:hAnsi="仿宋" w:eastAsia="仿宋"/>
          <w:sz w:val="28"/>
          <w:szCs w:val="28"/>
        </w:rPr>
        <w:t>生产矿山应达到自然资源部和</w:t>
      </w:r>
      <w:r>
        <w:rPr>
          <w:rFonts w:hint="eastAsia" w:ascii="仿宋" w:hAnsi="仿宋" w:eastAsia="仿宋"/>
          <w:sz w:val="28"/>
          <w:szCs w:val="28"/>
          <w:lang w:val="en-US" w:eastAsia="zh-CN"/>
        </w:rPr>
        <w:t>河南</w:t>
      </w:r>
      <w:r>
        <w:rPr>
          <w:rFonts w:hint="eastAsia" w:ascii="仿宋" w:hAnsi="仿宋" w:eastAsia="仿宋"/>
          <w:sz w:val="28"/>
          <w:szCs w:val="28"/>
        </w:rPr>
        <w:t xml:space="preserve">省已经公布的最低 </w:t>
      </w:r>
      <w:r>
        <w:rPr>
          <w:rFonts w:hint="default" w:ascii="仿宋" w:hAnsi="仿宋" w:eastAsia="仿宋"/>
          <w:sz w:val="28"/>
          <w:szCs w:val="28"/>
        </w:rPr>
        <w:t>“</w:t>
      </w:r>
      <w:r>
        <w:rPr>
          <w:rFonts w:hint="eastAsia" w:ascii="仿宋" w:hAnsi="仿宋" w:eastAsia="仿宋"/>
          <w:sz w:val="28"/>
          <w:szCs w:val="28"/>
        </w:rPr>
        <w:t>三率</w:t>
      </w:r>
      <w:r>
        <w:rPr>
          <w:rFonts w:hint="default" w:ascii="仿宋" w:hAnsi="仿宋" w:eastAsia="仿宋"/>
          <w:sz w:val="28"/>
          <w:szCs w:val="28"/>
        </w:rPr>
        <w:t>”</w:t>
      </w:r>
      <w:r>
        <w:rPr>
          <w:rFonts w:hint="eastAsia" w:ascii="仿宋" w:hAnsi="仿宋" w:eastAsia="仿宋"/>
          <w:sz w:val="28"/>
          <w:szCs w:val="28"/>
        </w:rPr>
        <w:t>指标要求。到2025年，主要矿种所有正常生产矿山全部达到自然资源部及河南省制定的最低</w:t>
      </w:r>
      <w:r>
        <w:rPr>
          <w:rFonts w:hint="default" w:ascii="仿宋" w:hAnsi="仿宋" w:eastAsia="仿宋"/>
          <w:sz w:val="28"/>
          <w:szCs w:val="28"/>
        </w:rPr>
        <w:t>“</w:t>
      </w:r>
      <w:r>
        <w:rPr>
          <w:rFonts w:hint="eastAsia" w:ascii="仿宋" w:hAnsi="仿宋" w:eastAsia="仿宋"/>
          <w:sz w:val="28"/>
          <w:szCs w:val="28"/>
        </w:rPr>
        <w:t>三率</w:t>
      </w:r>
      <w:r>
        <w:rPr>
          <w:rFonts w:hint="default" w:ascii="仿宋" w:hAnsi="仿宋" w:eastAsia="仿宋"/>
          <w:sz w:val="28"/>
          <w:szCs w:val="28"/>
        </w:rPr>
        <w:t>”</w:t>
      </w:r>
      <w:r>
        <w:rPr>
          <w:rFonts w:hint="eastAsia" w:ascii="仿宋" w:hAnsi="仿宋" w:eastAsia="仿宋"/>
          <w:sz w:val="28"/>
          <w:szCs w:val="28"/>
        </w:rPr>
        <w:t xml:space="preserve">指标要求。 </w:t>
      </w:r>
    </w:p>
    <w:p>
      <w:pPr>
        <w:pageBreakBefore w:val="0"/>
        <w:kinsoku/>
        <w:wordWrap/>
        <w:overflowPunct/>
        <w:topLinePunct w:val="0"/>
        <w:bidi w:val="0"/>
        <w:adjustRightInd w:val="0"/>
        <w:snapToGrid w:val="0"/>
        <w:spacing w:line="360" w:lineRule="auto"/>
        <w:ind w:firstLine="562" w:firstLineChars="200"/>
        <w:rPr>
          <w:rFonts w:hint="eastAsia" w:ascii="仿宋" w:hAnsi="仿宋" w:eastAsia="仿宋"/>
          <w:sz w:val="28"/>
          <w:szCs w:val="28"/>
        </w:rPr>
      </w:pPr>
      <w:r>
        <w:rPr>
          <w:rFonts w:hint="eastAsia" w:ascii="仿宋" w:hAnsi="仿宋" w:eastAsia="仿宋"/>
          <w:b/>
          <w:bCs/>
          <w:sz w:val="28"/>
          <w:szCs w:val="28"/>
        </w:rPr>
        <w:t>实施节约与综合利用调查评价。</w:t>
      </w:r>
      <w:r>
        <w:rPr>
          <w:rFonts w:hint="eastAsia" w:ascii="仿宋" w:hAnsi="仿宋" w:eastAsia="仿宋"/>
          <w:sz w:val="28"/>
          <w:szCs w:val="28"/>
        </w:rPr>
        <w:t>鼓励矿山企业回收利用共伴生有益组分，达到开采减量而利用量并未减少的目的；研究尾矿和矿渣的再利用技术，提高矿山固体废弃物综合利用水平，实现矿山固体废弃物“资源化”。推动矿产资源循环经济示范工程，研究</w:t>
      </w:r>
      <w:r>
        <w:rPr>
          <w:rFonts w:hint="eastAsia" w:ascii="仿宋" w:hAnsi="仿宋" w:eastAsia="仿宋"/>
          <w:sz w:val="28"/>
          <w:szCs w:val="28"/>
          <w:lang w:val="en-US" w:eastAsia="zh-CN"/>
        </w:rPr>
        <w:t>重金属、有色金属</w:t>
      </w:r>
      <w:r>
        <w:rPr>
          <w:rFonts w:hint="eastAsia" w:ascii="仿宋" w:hAnsi="仿宋" w:eastAsia="仿宋"/>
          <w:sz w:val="28"/>
          <w:szCs w:val="28"/>
        </w:rPr>
        <w:t xml:space="preserve">、化工矿产以及建材类矿产的循环经济产业链模式，提高矿产资源的综合利用率。 </w:t>
      </w:r>
    </w:p>
    <w:p>
      <w:pPr>
        <w:pageBreakBefore w:val="0"/>
        <w:kinsoku/>
        <w:wordWrap/>
        <w:overflowPunct/>
        <w:topLinePunct w:val="0"/>
        <w:bidi w:val="0"/>
        <w:snapToGrid w:val="0"/>
        <w:spacing w:line="360" w:lineRule="auto"/>
        <w:ind w:firstLine="562" w:firstLineChars="200"/>
        <w:jc w:val="both"/>
        <w:rPr>
          <w:rFonts w:hint="eastAsia" w:ascii="仿宋" w:hAnsi="仿宋" w:eastAsia="仿宋"/>
          <w:sz w:val="28"/>
          <w:szCs w:val="28"/>
        </w:rPr>
      </w:pPr>
      <w:r>
        <w:rPr>
          <w:rFonts w:hint="eastAsia" w:ascii="仿宋" w:hAnsi="仿宋" w:eastAsia="仿宋"/>
          <w:b/>
          <w:bCs/>
          <w:sz w:val="28"/>
          <w:szCs w:val="28"/>
        </w:rPr>
        <w:t>开展关键技术攻关与关键设备研发。</w:t>
      </w:r>
      <w:r>
        <w:rPr>
          <w:rFonts w:hint="eastAsia" w:ascii="仿宋" w:hAnsi="仿宋" w:eastAsia="仿宋"/>
          <w:sz w:val="28"/>
          <w:szCs w:val="28"/>
        </w:rPr>
        <w:t>鼓励矿山企业加强关键技术攻关和设备研发，力争在</w:t>
      </w:r>
      <w:r>
        <w:rPr>
          <w:rFonts w:hint="eastAsia" w:ascii="仿宋" w:hAnsi="仿宋" w:eastAsia="仿宋"/>
          <w:sz w:val="28"/>
          <w:szCs w:val="28"/>
          <w:lang w:val="en-US" w:eastAsia="zh-CN"/>
        </w:rPr>
        <w:t>大理岩（石粉用、熔剂用）</w:t>
      </w:r>
      <w:r>
        <w:rPr>
          <w:rFonts w:hint="eastAsia" w:ascii="仿宋" w:hAnsi="仿宋" w:eastAsia="仿宋"/>
          <w:sz w:val="28"/>
          <w:szCs w:val="28"/>
        </w:rPr>
        <w:t>、</w:t>
      </w:r>
      <w:r>
        <w:rPr>
          <w:rFonts w:hint="eastAsia" w:ascii="仿宋" w:hAnsi="仿宋" w:eastAsia="仿宋"/>
          <w:sz w:val="28"/>
          <w:szCs w:val="28"/>
          <w:lang w:val="en-US" w:eastAsia="zh-CN"/>
        </w:rPr>
        <w:t>冶金用</w:t>
      </w:r>
      <w:r>
        <w:rPr>
          <w:rFonts w:hint="eastAsia" w:ascii="仿宋" w:hAnsi="仿宋" w:eastAsia="仿宋"/>
          <w:sz w:val="28"/>
          <w:szCs w:val="28"/>
        </w:rPr>
        <w:t xml:space="preserve">白云岩等优势资源矿产品深加工和高新技术应用方面有新突破，提高产品附加值，延长产业链条。 </w:t>
      </w:r>
    </w:p>
    <w:p>
      <w:pPr>
        <w:pageBreakBefore w:val="0"/>
        <w:kinsoku/>
        <w:wordWrap/>
        <w:overflowPunct/>
        <w:topLinePunct w:val="0"/>
        <w:bidi w:val="0"/>
        <w:adjustRightInd w:val="0"/>
        <w:snapToGrid w:val="0"/>
        <w:spacing w:line="360" w:lineRule="auto"/>
        <w:ind w:firstLine="562" w:firstLineChars="200"/>
        <w:outlineLvl w:val="9"/>
        <w:rPr>
          <w:rFonts w:hint="eastAsia" w:ascii="仿宋" w:hAnsi="仿宋" w:eastAsia="仿宋"/>
          <w:sz w:val="28"/>
          <w:szCs w:val="28"/>
        </w:rPr>
      </w:pPr>
      <w:r>
        <w:rPr>
          <w:rFonts w:hint="eastAsia" w:ascii="仿宋" w:hAnsi="仿宋" w:eastAsia="仿宋"/>
          <w:b/>
          <w:bCs/>
          <w:sz w:val="28"/>
          <w:szCs w:val="28"/>
        </w:rPr>
        <w:t>建立激励约束长效机制。</w:t>
      </w:r>
      <w:r>
        <w:rPr>
          <w:rFonts w:hint="eastAsia" w:ascii="仿宋" w:hAnsi="仿宋" w:eastAsia="仿宋"/>
          <w:sz w:val="28"/>
          <w:szCs w:val="28"/>
        </w:rPr>
        <w:t>强化关键技术推广应用，搭建信息共享平台；落实税费减免政策，鼓励矿山企业开展尾矿再选、固体废弃物再利用；鼓励建设无尾矿、无废弃物矿山，提高资源利用效率。</w:t>
      </w:r>
    </w:p>
    <w:p>
      <w:pPr>
        <w:pStyle w:val="4"/>
        <w:pageBreakBefore w:val="0"/>
        <w:kinsoku/>
        <w:wordWrap/>
        <w:overflowPunct/>
        <w:topLinePunct w:val="0"/>
        <w:bidi w:val="0"/>
        <w:adjustRightInd w:val="0"/>
        <w:snapToGrid w:val="0"/>
        <w:spacing w:beforeLines="0" w:afterLines="0" w:line="360" w:lineRule="auto"/>
        <w:rPr>
          <w:rFonts w:hint="eastAsia" w:ascii="黑体" w:hAnsi="黑体" w:eastAsia="黑体" w:cs="黑体"/>
          <w:color w:val="auto"/>
          <w:highlight w:val="none"/>
          <w:lang w:eastAsia="zh-CN"/>
        </w:rPr>
      </w:pPr>
      <w:bookmarkStart w:id="26" w:name="_Toc12702"/>
      <w:r>
        <w:rPr>
          <w:rFonts w:hint="eastAsia" w:ascii="黑体" w:hAnsi="黑体" w:eastAsia="黑体" w:cs="黑体"/>
          <w:color w:val="auto"/>
          <w:highlight w:val="none"/>
          <w:lang w:eastAsia="zh-CN"/>
        </w:rPr>
        <w:t>第</w:t>
      </w:r>
      <w:r>
        <w:rPr>
          <w:rFonts w:hint="eastAsia" w:ascii="黑体" w:hAnsi="黑体" w:eastAsia="黑体" w:cs="黑体"/>
          <w:color w:val="auto"/>
          <w:highlight w:val="none"/>
          <w:lang w:val="en-US" w:eastAsia="zh-CN"/>
        </w:rPr>
        <w:t>四</w:t>
      </w:r>
      <w:r>
        <w:rPr>
          <w:rFonts w:hint="eastAsia" w:ascii="黑体" w:hAnsi="黑体" w:eastAsia="黑体" w:cs="黑体"/>
          <w:color w:val="auto"/>
          <w:highlight w:val="none"/>
          <w:lang w:eastAsia="zh-CN"/>
        </w:rPr>
        <w:t>节</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lang w:eastAsia="zh-CN"/>
        </w:rPr>
        <w:t>矿产资源</w:t>
      </w:r>
      <w:r>
        <w:rPr>
          <w:rFonts w:hint="eastAsia" w:ascii="黑体" w:hAnsi="黑体" w:eastAsia="黑体" w:cs="黑体"/>
          <w:color w:val="auto"/>
          <w:highlight w:val="none"/>
          <w:lang w:val="en-US" w:eastAsia="zh-CN"/>
        </w:rPr>
        <w:t>开发</w:t>
      </w:r>
      <w:r>
        <w:rPr>
          <w:rFonts w:hint="eastAsia" w:ascii="黑体" w:hAnsi="黑体" w:eastAsia="黑体" w:cs="黑体"/>
          <w:color w:val="auto"/>
          <w:highlight w:val="none"/>
          <w:lang w:eastAsia="zh-CN"/>
        </w:rPr>
        <w:t>管理</w:t>
      </w:r>
      <w:bookmarkEnd w:id="26"/>
    </w:p>
    <w:p>
      <w:pPr>
        <w:pageBreakBefore w:val="0"/>
        <w:kinsoku/>
        <w:wordWrap/>
        <w:overflowPunct/>
        <w:topLinePunct w:val="0"/>
        <w:bidi w:val="0"/>
        <w:snapToGrid w:val="0"/>
        <w:spacing w:beforeLines="0" w:afterLines="0" w:line="360" w:lineRule="auto"/>
        <w:ind w:firstLine="562" w:firstLineChars="200"/>
        <w:jc w:val="left"/>
        <w:rPr>
          <w:rFonts w:hint="eastAsia" w:ascii="仿宋" w:hAnsi="仿宋" w:eastAsia="仿宋" w:cs="仿宋"/>
          <w:color w:val="000000"/>
          <w:sz w:val="28"/>
          <w:szCs w:val="22"/>
        </w:rPr>
      </w:pPr>
      <w:r>
        <w:rPr>
          <w:rFonts w:hint="eastAsia" w:ascii="仿宋" w:hAnsi="仿宋" w:eastAsia="仿宋" w:cs="仿宋"/>
          <w:b/>
          <w:bCs/>
          <w:color w:val="000000"/>
          <w:sz w:val="28"/>
          <w:szCs w:val="22"/>
        </w:rPr>
        <w:t>严格管控新设露天矿山采矿权。</w:t>
      </w:r>
      <w:r>
        <w:rPr>
          <w:rFonts w:hint="eastAsia" w:ascii="仿宋" w:hAnsi="仿宋" w:eastAsia="仿宋" w:cs="仿宋"/>
          <w:color w:val="000000"/>
          <w:sz w:val="28"/>
          <w:szCs w:val="22"/>
        </w:rPr>
        <w:t>新建露天矿山必须符合已批准的矿产资源规划和国家、部、省出台的关于露天矿山管理政策。禁止新设年产规模低于100万吨普通</w:t>
      </w:r>
      <w:r>
        <w:rPr>
          <w:rFonts w:hint="eastAsia" w:ascii="仿宋" w:hAnsi="仿宋" w:eastAsia="仿宋" w:cs="仿宋"/>
          <w:color w:val="000000"/>
          <w:sz w:val="28"/>
          <w:szCs w:val="22"/>
          <w:lang w:eastAsia="zh-CN"/>
        </w:rPr>
        <w:t>建筑用石料</w:t>
      </w:r>
      <w:r>
        <w:rPr>
          <w:rFonts w:hint="eastAsia" w:ascii="仿宋" w:hAnsi="仿宋" w:eastAsia="仿宋" w:cs="仿宋"/>
          <w:color w:val="000000"/>
          <w:sz w:val="28"/>
          <w:szCs w:val="22"/>
        </w:rPr>
        <w:t>矿山；禁止新设年</w:t>
      </w:r>
      <w:r>
        <w:rPr>
          <w:rFonts w:hint="eastAsia" w:ascii="仿宋" w:hAnsi="仿宋" w:eastAsia="仿宋" w:cs="仿宋"/>
          <w:color w:val="000000"/>
          <w:sz w:val="28"/>
          <w:szCs w:val="22"/>
          <w:lang w:val="en-US" w:eastAsia="zh-CN"/>
        </w:rPr>
        <w:t>生</w:t>
      </w:r>
      <w:r>
        <w:rPr>
          <w:rFonts w:hint="eastAsia" w:ascii="仿宋" w:hAnsi="仿宋" w:eastAsia="仿宋" w:cs="仿宋"/>
          <w:color w:val="000000"/>
          <w:sz w:val="28"/>
          <w:szCs w:val="22"/>
        </w:rPr>
        <w:t xml:space="preserve">产规模低于10万立方米的饰面用石材矿山；禁止新建零星分散规模的露天矿山项目。 </w:t>
      </w:r>
    </w:p>
    <w:p>
      <w:pPr>
        <w:pageBreakBefore w:val="0"/>
        <w:kinsoku/>
        <w:wordWrap/>
        <w:overflowPunct/>
        <w:topLinePunct w:val="0"/>
        <w:bidi w:val="0"/>
        <w:snapToGrid w:val="0"/>
        <w:spacing w:line="360" w:lineRule="auto"/>
        <w:ind w:firstLine="621" w:firstLineChars="221"/>
        <w:rPr>
          <w:rFonts w:hint="eastAsia" w:ascii="仿宋" w:hAnsi="仿宋" w:eastAsia="仿宋"/>
          <w:sz w:val="28"/>
          <w:szCs w:val="28"/>
          <w:lang w:eastAsia="zh-CN"/>
        </w:rPr>
      </w:pPr>
      <w:r>
        <w:rPr>
          <w:rFonts w:hint="eastAsia" w:ascii="Times New Roman" w:hAnsi="仿宋" w:eastAsia="仿宋" w:cs="Times New Roman"/>
          <w:b/>
          <w:bCs/>
          <w:sz w:val="28"/>
          <w:szCs w:val="28"/>
          <w:lang w:eastAsia="zh-CN"/>
        </w:rPr>
        <w:t>严格执行新建矿山最低开采规模要求。</w:t>
      </w:r>
      <w:r>
        <w:rPr>
          <w:rFonts w:hint="eastAsia" w:ascii="仿宋" w:hAnsi="仿宋" w:eastAsia="仿宋"/>
          <w:sz w:val="28"/>
          <w:szCs w:val="28"/>
          <w:lang w:eastAsia="zh-CN"/>
        </w:rPr>
        <w:t>矿山开采规模必须与矿山所占有的矿产资源储量规模相适应，引导矿山企业规模化开采，集约化经营，制定和完善重点矿种矿山最低开采规模，严禁大矿小开、一矿多开。产业政策准入门槛高于最低开采规模标准的，以产业政策为准。</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0"/>
        <w:gridCol w:w="2077"/>
        <w:gridCol w:w="1590"/>
        <w:gridCol w:w="1209"/>
        <w:gridCol w:w="1300"/>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0" w:type="auto"/>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color w:val="auto"/>
                <w:sz w:val="21"/>
                <w:szCs w:val="21"/>
                <w:lang w:eastAsia="zh-CN"/>
              </w:rPr>
              <w:t>专栏</w:t>
            </w:r>
            <w:r>
              <w:rPr>
                <w:rFonts w:hint="eastAsia" w:ascii="仿宋" w:hAnsi="仿宋" w:eastAsia="仿宋" w:cs="仿宋"/>
                <w:b/>
                <w:color w:val="auto"/>
                <w:sz w:val="21"/>
                <w:szCs w:val="21"/>
                <w:lang w:val="en-US" w:eastAsia="zh-CN"/>
              </w:rPr>
              <w:t>5 新建矿山最低开采规模标准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sz w:val="21"/>
                <w:szCs w:val="21"/>
                <w:u w:val="none"/>
                <w:lang w:val="en-US" w:eastAsia="zh-CN"/>
              </w:rPr>
              <w:t>序号</w:t>
            </w:r>
          </w:p>
        </w:tc>
        <w:tc>
          <w:tcPr>
            <w:tcW w:w="21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sz w:val="21"/>
                <w:szCs w:val="21"/>
                <w:u w:val="none"/>
                <w:lang w:val="en-US" w:eastAsia="zh-CN"/>
              </w:rPr>
              <w:t>矿产名称</w:t>
            </w:r>
          </w:p>
        </w:tc>
        <w:tc>
          <w:tcPr>
            <w:tcW w:w="15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sz w:val="21"/>
                <w:szCs w:val="21"/>
                <w:u w:val="none"/>
              </w:rPr>
              <w:t>矿山生产能力</w:t>
            </w:r>
          </w:p>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sz w:val="21"/>
                <w:szCs w:val="21"/>
                <w:u w:val="none"/>
              </w:rPr>
              <w:t>（单位/年）</w:t>
            </w:r>
          </w:p>
        </w:tc>
        <w:tc>
          <w:tcPr>
            <w:tcW w:w="37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sz w:val="21"/>
                <w:szCs w:val="21"/>
                <w:u w:val="none"/>
              </w:rPr>
              <w:t>最低开采规模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b/>
                <w:bCs/>
                <w:i w:val="0"/>
                <w:iCs w:val="0"/>
                <w:color w:val="000000"/>
                <w:sz w:val="21"/>
                <w:szCs w:val="21"/>
                <w:u w:val="none"/>
              </w:rPr>
            </w:pPr>
          </w:p>
        </w:tc>
        <w:tc>
          <w:tcPr>
            <w:tcW w:w="2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b/>
                <w:bCs/>
                <w:i w:val="0"/>
                <w:iCs w:val="0"/>
                <w:color w:val="000000"/>
                <w:sz w:val="21"/>
                <w:szCs w:val="21"/>
                <w:u w:val="none"/>
              </w:rPr>
            </w:pPr>
          </w:p>
        </w:tc>
        <w:tc>
          <w:tcPr>
            <w:tcW w:w="15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b/>
                <w:bCs/>
                <w:i w:val="0"/>
                <w:iCs w:val="0"/>
                <w:color w:val="000000"/>
                <w:sz w:val="21"/>
                <w:szCs w:val="21"/>
                <w:u w:val="none"/>
              </w:rPr>
            </w:pP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sz w:val="21"/>
                <w:szCs w:val="21"/>
                <w:u w:val="none"/>
                <w:lang w:val="en-US" w:eastAsia="zh-CN"/>
              </w:rPr>
              <w:t>大型</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sz w:val="21"/>
                <w:szCs w:val="21"/>
                <w:u w:val="none"/>
                <w:lang w:val="en-US" w:eastAsia="zh-CN"/>
              </w:rPr>
              <w:t>中型</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sz w:val="21"/>
                <w:szCs w:val="21"/>
                <w:u w:val="none"/>
                <w:lang w:val="en-US" w:eastAsia="zh-CN"/>
              </w:rPr>
              <w:t>小型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金矿（岩金）</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矿石万吨/年</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银矿</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矿石万吨/年</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铜矿</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矿石万吨/年</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铁矿（地下）</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矿石万吨/年</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铁矿（露天）</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矿石万吨/年</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硫铁矿</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矿石万吨/年</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铅矿</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矿石万吨/年</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锌矿</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矿石万吨/年</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b/>
                <w:bCs/>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9</w:t>
            </w: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大理岩</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矿石万吨/年</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b/>
                <w:bCs/>
                <w:i w:val="0"/>
                <w:iCs w:val="0"/>
                <w:color w:val="000000"/>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10</w:t>
            </w: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晶质石墨</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矿物万吨/年</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0.6</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3" w:hRule="atLeast"/>
        </w:trPr>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仿宋" w:hAnsi="仿宋" w:eastAsia="仿宋" w:cs="仿宋"/>
                <w:b/>
                <w:bCs/>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11</w:t>
            </w: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橄榄岩</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矿物万吨/年</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玻璃用石英岩</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矿石万吨/年</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饰面用石材</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万立方米/年</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建筑用石料</w:t>
            </w:r>
          </w:p>
        </w:tc>
        <w:tc>
          <w:tcPr>
            <w:tcW w:w="15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矿石万吨/年</w:t>
            </w:r>
          </w:p>
        </w:tc>
        <w:tc>
          <w:tcPr>
            <w:tcW w:w="1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300</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100</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0" w:type="auto"/>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overflowPunct/>
              <w:topLinePunct w:val="0"/>
              <w:bidi w:val="0"/>
              <w:snapToGrid w:val="0"/>
              <w:spacing w:line="240" w:lineRule="auto"/>
              <w:jc w:val="left"/>
              <w:textAlignment w:val="top"/>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注：大型、中型及小型为矿山占用资源储量规模，划分标准按原国土资源部2000年4月24日发布国土资发［2000］133号文执行，如有新文件，按新文件执行。</w:t>
            </w:r>
          </w:p>
        </w:tc>
      </w:tr>
    </w:tbl>
    <w:p>
      <w:pPr>
        <w:pageBreakBefore w:val="0"/>
        <w:kinsoku/>
        <w:wordWrap/>
        <w:overflowPunct/>
        <w:topLinePunct w:val="0"/>
        <w:bidi w:val="0"/>
        <w:snapToGrid w:val="0"/>
        <w:spacing w:beforeLines="0" w:afterLines="0" w:line="360" w:lineRule="auto"/>
        <w:ind w:firstLine="562" w:firstLineChars="200"/>
        <w:jc w:val="left"/>
        <w:rPr>
          <w:rFonts w:hint="eastAsia" w:ascii="仿宋" w:hAnsi="仿宋" w:eastAsia="仿宋" w:cs="仿宋"/>
          <w:color w:val="000000"/>
          <w:sz w:val="28"/>
          <w:szCs w:val="22"/>
        </w:rPr>
      </w:pPr>
      <w:r>
        <w:rPr>
          <w:rFonts w:hint="eastAsia" w:ascii="仿宋" w:hAnsi="仿宋" w:eastAsia="仿宋" w:cs="仿宋"/>
          <w:b/>
          <w:bCs/>
          <w:color w:val="000000"/>
          <w:sz w:val="28"/>
          <w:szCs w:val="22"/>
        </w:rPr>
        <w:t>积极推进采矿权“净矿”出让。</w:t>
      </w:r>
      <w:r>
        <w:rPr>
          <w:rFonts w:hint="eastAsia" w:ascii="仿宋" w:hAnsi="仿宋" w:eastAsia="仿宋" w:cs="仿宋"/>
          <w:color w:val="000000"/>
          <w:sz w:val="28"/>
          <w:szCs w:val="22"/>
        </w:rPr>
        <w:t xml:space="preserve">提高矿产资源配置效率，优化矿业营商环境，研究制定并实施采矿权“净矿”出让制度。构建“政府统筹、部门协同”的采矿权“净矿”出让机制，强化采矿权“净矿”出让社会监督机制。 </w:t>
      </w:r>
    </w:p>
    <w:p>
      <w:pPr>
        <w:pageBreakBefore w:val="0"/>
        <w:kinsoku/>
        <w:wordWrap/>
        <w:overflowPunct/>
        <w:topLinePunct w:val="0"/>
        <w:bidi w:val="0"/>
        <w:snapToGrid w:val="0"/>
        <w:spacing w:beforeLines="0" w:afterLines="0" w:line="360" w:lineRule="auto"/>
        <w:ind w:firstLine="562" w:firstLineChars="200"/>
        <w:jc w:val="left"/>
        <w:rPr>
          <w:rFonts w:hint="eastAsia" w:ascii="仿宋" w:hAnsi="仿宋" w:eastAsia="仿宋" w:cs="仿宋"/>
          <w:color w:val="000000"/>
          <w:sz w:val="28"/>
          <w:szCs w:val="22"/>
        </w:rPr>
      </w:pPr>
      <w:r>
        <w:rPr>
          <w:rFonts w:hint="eastAsia" w:ascii="仿宋" w:hAnsi="仿宋" w:eastAsia="仿宋" w:cs="仿宋"/>
          <w:b/>
          <w:bCs/>
          <w:color w:val="000000"/>
          <w:sz w:val="28"/>
          <w:szCs w:val="22"/>
        </w:rPr>
        <w:t>加强矿产资源开发利用监督管理。</w:t>
      </w:r>
      <w:r>
        <w:rPr>
          <w:rFonts w:hint="eastAsia" w:ascii="仿宋" w:hAnsi="仿宋" w:eastAsia="仿宋" w:cs="仿宋"/>
          <w:color w:val="000000"/>
          <w:sz w:val="28"/>
          <w:szCs w:val="22"/>
        </w:rPr>
        <w:t xml:space="preserve">充分利用“互联网+”系统、遥感卫星、无人机、大数据分析等科技手段，加大违法开采矿产资源行为的查处力度。 </w:t>
      </w:r>
    </w:p>
    <w:p>
      <w:pPr>
        <w:pageBreakBefore w:val="0"/>
        <w:kinsoku/>
        <w:wordWrap/>
        <w:overflowPunct/>
        <w:topLinePunct w:val="0"/>
        <w:bidi w:val="0"/>
        <w:snapToGrid w:val="0"/>
        <w:spacing w:beforeLines="0" w:afterLines="0" w:line="360" w:lineRule="auto"/>
        <w:ind w:firstLine="562" w:firstLineChars="200"/>
        <w:jc w:val="left"/>
        <w:rPr>
          <w:rFonts w:hint="eastAsia" w:ascii="仿宋" w:hAnsi="仿宋" w:eastAsia="仿宋" w:cs="仿宋"/>
          <w:color w:val="000000"/>
          <w:sz w:val="28"/>
          <w:szCs w:val="22"/>
        </w:rPr>
      </w:pPr>
      <w:r>
        <w:rPr>
          <w:rFonts w:hint="eastAsia" w:ascii="仿宋" w:hAnsi="仿宋" w:eastAsia="仿宋" w:cs="仿宋"/>
          <w:b/>
          <w:bCs/>
          <w:color w:val="000000"/>
          <w:sz w:val="28"/>
          <w:szCs w:val="22"/>
        </w:rPr>
        <w:t>规范非金属矿山开发管理。</w:t>
      </w:r>
      <w:r>
        <w:rPr>
          <w:rFonts w:hint="eastAsia" w:ascii="仿宋" w:hAnsi="仿宋" w:eastAsia="仿宋" w:cs="仿宋"/>
          <w:color w:val="000000"/>
          <w:sz w:val="28"/>
          <w:szCs w:val="22"/>
        </w:rPr>
        <w:t>鼓励非金属矿山集约节约、综合利用和规模开发。对于用途不同的同类矿种设置采矿权时，合理确定开采主矿种，严禁优矿劣用。对于共生资源，统筹安排开发顺序，实行综合利用。</w:t>
      </w:r>
    </w:p>
    <w:p>
      <w:pPr>
        <w:pageBreakBefore w:val="0"/>
        <w:kinsoku/>
        <w:wordWrap/>
        <w:overflowPunct/>
        <w:topLinePunct w:val="0"/>
        <w:bidi w:val="0"/>
        <w:snapToGrid w:val="0"/>
        <w:spacing w:line="360" w:lineRule="auto"/>
        <w:rPr>
          <w:rFonts w:hint="eastAsia" w:ascii="宋体" w:hAnsi="宋体" w:eastAsia="宋体"/>
          <w:color w:val="auto"/>
          <w:highlight w:val="none"/>
          <w:lang w:eastAsia="zh-CN"/>
        </w:rPr>
      </w:pPr>
      <w:r>
        <w:rPr>
          <w:rFonts w:hint="eastAsia" w:ascii="宋体" w:hAnsi="宋体" w:eastAsia="宋体"/>
          <w:color w:val="auto"/>
          <w:highlight w:val="none"/>
          <w:lang w:eastAsia="zh-CN"/>
        </w:rPr>
        <w:br w:type="page"/>
      </w:r>
    </w:p>
    <w:p>
      <w:pPr>
        <w:pStyle w:val="3"/>
        <w:pageBreakBefore w:val="0"/>
        <w:kinsoku/>
        <w:wordWrap/>
        <w:overflowPunct/>
        <w:topLinePunct w:val="0"/>
        <w:bidi w:val="0"/>
        <w:adjustRightInd w:val="0"/>
        <w:snapToGrid w:val="0"/>
        <w:spacing w:beforeLines="0" w:afterLines="0" w:line="360" w:lineRule="auto"/>
        <w:rPr>
          <w:rFonts w:hint="eastAsia" w:ascii="宋体" w:hAnsi="宋体" w:eastAsia="宋体"/>
          <w:color w:val="auto"/>
          <w:highlight w:val="none"/>
          <w:lang w:eastAsia="zh-CN"/>
        </w:rPr>
      </w:pPr>
      <w:bookmarkStart w:id="27" w:name="_Toc85132827"/>
      <w:bookmarkStart w:id="28" w:name="_Toc13612"/>
      <w:bookmarkStart w:id="29" w:name="_Toc6854"/>
      <w:r>
        <w:rPr>
          <w:rFonts w:hint="eastAsia" w:ascii="宋体" w:hAnsi="宋体" w:eastAsia="宋体"/>
          <w:color w:val="auto"/>
          <w:highlight w:val="none"/>
          <w:lang w:eastAsia="zh-CN"/>
        </w:rPr>
        <w:t>第六章</w:t>
      </w:r>
      <w:r>
        <w:rPr>
          <w:rFonts w:hint="eastAsia" w:ascii="宋体" w:hAnsi="宋体" w:eastAsia="宋体"/>
          <w:color w:val="auto"/>
          <w:highlight w:val="none"/>
          <w:lang w:val="en-US" w:eastAsia="zh-CN"/>
        </w:rPr>
        <w:t xml:space="preserve"> </w:t>
      </w:r>
      <w:r>
        <w:rPr>
          <w:rFonts w:hint="eastAsia" w:ascii="宋体" w:hAnsi="宋体" w:eastAsia="宋体"/>
          <w:color w:val="auto"/>
          <w:highlight w:val="none"/>
          <w:lang w:eastAsia="zh-CN"/>
        </w:rPr>
        <w:t>砂石土类矿产资源开发</w:t>
      </w:r>
      <w:bookmarkEnd w:id="27"/>
      <w:bookmarkEnd w:id="28"/>
      <w:bookmarkEnd w:id="29"/>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sz w:val="28"/>
          <w:szCs w:val="28"/>
          <w:lang w:val="en-US" w:eastAsia="zh-CN"/>
        </w:rPr>
      </w:pPr>
      <w:bookmarkStart w:id="30" w:name="_Toc85132828"/>
      <w:r>
        <w:rPr>
          <w:rFonts w:hint="eastAsia" w:ascii="仿宋" w:hAnsi="仿宋" w:eastAsia="仿宋"/>
          <w:sz w:val="28"/>
          <w:szCs w:val="28"/>
          <w:lang w:val="en-US" w:eastAsia="zh-CN"/>
        </w:rPr>
        <w:t>加强砂石土类矿产资源开发管理，调整砂石资源开发结构，做到统一规划、合理布局、安全生产，实现资源、环境、安全和经济效益相统一。</w:t>
      </w:r>
    </w:p>
    <w:p>
      <w:pPr>
        <w:pStyle w:val="4"/>
        <w:pageBreakBefore w:val="0"/>
        <w:kinsoku/>
        <w:wordWrap/>
        <w:overflowPunct/>
        <w:topLinePunct w:val="0"/>
        <w:bidi w:val="0"/>
        <w:adjustRightInd w:val="0"/>
        <w:snapToGrid w:val="0"/>
        <w:spacing w:beforeLines="0" w:afterLines="0" w:line="360" w:lineRule="auto"/>
        <w:rPr>
          <w:rFonts w:hint="eastAsia" w:ascii="黑体" w:hAnsi="黑体" w:eastAsia="黑体" w:cs="黑体"/>
          <w:color w:val="auto"/>
          <w:highlight w:val="none"/>
          <w:lang w:eastAsia="zh-CN"/>
        </w:rPr>
      </w:pPr>
      <w:bookmarkStart w:id="31" w:name="_Toc4210"/>
      <w:bookmarkStart w:id="32" w:name="_Toc20904"/>
      <w:r>
        <w:rPr>
          <w:rFonts w:hint="eastAsia" w:ascii="黑体" w:hAnsi="黑体" w:eastAsia="黑体" w:cs="黑体"/>
          <w:color w:val="auto"/>
          <w:highlight w:val="none"/>
          <w:lang w:eastAsia="zh-CN"/>
        </w:rPr>
        <w:t>第一节 合理调控开采总量</w:t>
      </w:r>
      <w:bookmarkEnd w:id="30"/>
      <w:bookmarkEnd w:id="31"/>
      <w:bookmarkEnd w:id="32"/>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2" w:firstLineChars="200"/>
        <w:jc w:val="left"/>
        <w:textAlignment w:val="auto"/>
        <w:rPr>
          <w:rFonts w:hint="eastAsia" w:ascii="仿宋" w:hAnsi="仿宋" w:eastAsia="仿宋" w:cs="仿宋"/>
          <w:color w:val="000000"/>
          <w:sz w:val="28"/>
          <w:szCs w:val="22"/>
        </w:rPr>
      </w:pPr>
      <w:r>
        <w:rPr>
          <w:rFonts w:hint="eastAsia" w:ascii="仿宋" w:hAnsi="仿宋" w:eastAsia="仿宋"/>
          <w:b/>
          <w:bCs/>
          <w:sz w:val="28"/>
          <w:szCs w:val="28"/>
          <w:lang w:val="en-US" w:eastAsia="zh-CN"/>
        </w:rPr>
        <w:t>严格矿山数量调控。</w:t>
      </w:r>
      <w:r>
        <w:rPr>
          <w:rFonts w:hint="eastAsia" w:ascii="仿宋" w:hAnsi="仿宋" w:eastAsia="仿宋"/>
          <w:sz w:val="28"/>
          <w:szCs w:val="28"/>
          <w:lang w:val="en-US" w:eastAsia="zh-CN"/>
        </w:rPr>
        <w:t>规划期内，按照集中开发原则，严格控制砂石土类矿山数量，禁止新设小型建筑石料类矿山，新建矿山必须满足大中型矿山生产建设规模。提高矿山规模化、集约化水平，不断提升砂石土类矿山集中度。</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2" w:firstLineChars="200"/>
        <w:jc w:val="left"/>
        <w:textAlignment w:val="auto"/>
        <w:rPr>
          <w:rFonts w:hint="eastAsia" w:ascii="仿宋" w:hAnsi="仿宋" w:eastAsia="仿宋" w:cs="仿宋"/>
          <w:color w:val="000000"/>
          <w:sz w:val="28"/>
          <w:szCs w:val="22"/>
        </w:rPr>
      </w:pPr>
      <w:r>
        <w:rPr>
          <w:rFonts w:hint="eastAsia" w:ascii="仿宋" w:hAnsi="仿宋" w:eastAsia="仿宋" w:cs="仿宋"/>
          <w:b/>
          <w:bCs/>
          <w:color w:val="000000"/>
          <w:sz w:val="28"/>
          <w:szCs w:val="22"/>
        </w:rPr>
        <w:t>严格砂石土类开采总量调控。</w:t>
      </w:r>
      <w:r>
        <w:rPr>
          <w:rFonts w:hint="eastAsia" w:ascii="仿宋" w:hAnsi="仿宋" w:eastAsia="仿宋"/>
          <w:sz w:val="28"/>
          <w:szCs w:val="28"/>
          <w:lang w:val="en-US" w:eastAsia="zh-CN"/>
        </w:rPr>
        <w:t xml:space="preserve">落实省规划定的“省级基地-区域中心-自给自足”三级砂石供应格局，西峡县内新设单个建筑石料矿山年开采规模不低于100万吨。 </w:t>
      </w:r>
    </w:p>
    <w:p>
      <w:pPr>
        <w:pStyle w:val="4"/>
        <w:pageBreakBefore w:val="0"/>
        <w:kinsoku/>
        <w:wordWrap/>
        <w:overflowPunct/>
        <w:topLinePunct w:val="0"/>
        <w:bidi w:val="0"/>
        <w:adjustRightInd w:val="0"/>
        <w:snapToGrid w:val="0"/>
        <w:spacing w:beforeLines="0" w:afterLines="0" w:line="360" w:lineRule="auto"/>
        <w:rPr>
          <w:rFonts w:hint="eastAsia" w:ascii="黑体" w:hAnsi="黑体" w:eastAsia="黑体" w:cs="黑体"/>
          <w:color w:val="auto"/>
          <w:highlight w:val="none"/>
          <w:lang w:eastAsia="zh-CN"/>
        </w:rPr>
      </w:pPr>
      <w:bookmarkStart w:id="33" w:name="_Toc85132829"/>
      <w:bookmarkStart w:id="34" w:name="_Toc14558"/>
      <w:bookmarkStart w:id="35" w:name="_Toc32414"/>
      <w:r>
        <w:rPr>
          <w:rFonts w:hint="eastAsia" w:ascii="黑体" w:hAnsi="黑体" w:eastAsia="黑体" w:cs="黑体"/>
          <w:color w:val="auto"/>
          <w:highlight w:val="none"/>
          <w:lang w:eastAsia="zh-CN"/>
        </w:rPr>
        <w:t>第二节 优化资源开采布局</w:t>
      </w:r>
      <w:bookmarkEnd w:id="33"/>
      <w:bookmarkEnd w:id="34"/>
      <w:bookmarkEnd w:id="35"/>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2" w:firstLineChars="200"/>
        <w:jc w:val="left"/>
        <w:textAlignment w:val="auto"/>
        <w:rPr>
          <w:rFonts w:hint="eastAsia" w:ascii="仿宋" w:hAnsi="仿宋" w:eastAsia="仿宋" w:cs="仿宋"/>
          <w:color w:val="000000"/>
          <w:sz w:val="28"/>
          <w:szCs w:val="22"/>
        </w:rPr>
      </w:pPr>
      <w:r>
        <w:rPr>
          <w:rFonts w:hint="eastAsia" w:ascii="仿宋" w:hAnsi="仿宋" w:eastAsia="仿宋" w:cs="仿宋"/>
          <w:b/>
          <w:bCs/>
          <w:color w:val="000000"/>
          <w:sz w:val="28"/>
          <w:szCs w:val="22"/>
        </w:rPr>
        <w:t>集中开采区划分原则：</w:t>
      </w:r>
      <w:r>
        <w:rPr>
          <w:rFonts w:hint="eastAsia" w:ascii="仿宋" w:hAnsi="仿宋" w:eastAsia="仿宋"/>
          <w:sz w:val="28"/>
          <w:szCs w:val="28"/>
          <w:lang w:val="en-US" w:eastAsia="zh-CN"/>
        </w:rPr>
        <w:t>按照第三类矿产或按规定调整为第三类的划分要求，在矿产集中分布，资源储量较大，开发利用条件、交通运输条件较好，方便建立大中型矿山，能够集中开发利用的区域，部署集中开采区。</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562" w:firstLineChars="200"/>
        <w:jc w:val="left"/>
        <w:textAlignment w:val="auto"/>
        <w:rPr>
          <w:rFonts w:hint="eastAsia" w:ascii="仿宋" w:hAnsi="仿宋" w:eastAsia="仿宋"/>
          <w:sz w:val="28"/>
          <w:szCs w:val="28"/>
          <w:lang w:val="en-US" w:eastAsia="zh-CN"/>
        </w:rPr>
      </w:pPr>
      <w:r>
        <w:rPr>
          <w:rFonts w:hint="eastAsia" w:ascii="仿宋" w:hAnsi="仿宋" w:eastAsia="仿宋" w:cs="仿宋"/>
          <w:b/>
          <w:bCs/>
          <w:color w:val="000000"/>
          <w:sz w:val="28"/>
          <w:szCs w:val="22"/>
        </w:rPr>
        <w:t>集中开采区划分：</w:t>
      </w:r>
      <w:r>
        <w:rPr>
          <w:rFonts w:hint="eastAsia" w:ascii="仿宋" w:hAnsi="仿宋" w:eastAsia="仿宋"/>
          <w:sz w:val="28"/>
          <w:szCs w:val="28"/>
          <w:lang w:val="en-US" w:eastAsia="zh-CN"/>
        </w:rPr>
        <w:t>根据全市第三类矿产资源赋存、开发利用情况，划分集中开采区2处.</w:t>
      </w:r>
    </w:p>
    <w:tbl>
      <w:tblPr>
        <w:tblStyle w:val="1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8522" w:type="dxa"/>
            <w:shd w:val="clear" w:color="auto" w:fill="auto"/>
            <w:noWrap w:val="0"/>
            <w:vAlign w:val="top"/>
          </w:tcPr>
          <w:p>
            <w:pPr>
              <w:adjustRightInd w:val="0"/>
              <w:spacing w:line="360" w:lineRule="auto"/>
              <w:jc w:val="center"/>
              <w:rPr>
                <w:rFonts w:hint="eastAsia" w:ascii="仿宋" w:hAnsi="仿宋" w:eastAsia="仿宋" w:cs="仿宋"/>
                <w:sz w:val="32"/>
                <w:szCs w:val="32"/>
              </w:rPr>
            </w:pPr>
            <w:r>
              <w:rPr>
                <w:rFonts w:hint="eastAsia" w:ascii="仿宋" w:hAnsi="仿宋" w:eastAsia="仿宋" w:cs="仿宋"/>
                <w:b/>
                <w:color w:val="auto"/>
                <w:kern w:val="0"/>
                <w:sz w:val="21"/>
                <w:szCs w:val="21"/>
                <w:lang w:val="en-US" w:eastAsia="zh-CN" w:bidi="ar-SA"/>
              </w:rPr>
              <w:t>专栏6  砂石粘土集中开采区一览表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shd w:val="clear" w:color="auto" w:fill="auto"/>
            <w:noWrap w:val="0"/>
            <w:vAlign w:val="top"/>
          </w:tcPr>
          <w:p>
            <w:pPr>
              <w:adjustRightInd w:val="0"/>
              <w:ind w:firstLine="495" w:firstLineChars="236"/>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1.西峡县彭家湾建筑用大理岩矿</w:t>
            </w:r>
          </w:p>
          <w:p>
            <w:pPr>
              <w:pStyle w:val="2"/>
              <w:ind w:left="0" w:leftChars="0" w:firstLine="420" w:firstLineChars="200"/>
              <w:rPr>
                <w:rFonts w:hint="default"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位于西峡县西坪镇，以建筑用大理岩为主，面积0.2884平方千米，资源储量为6500万吨。拟设开采规划区块1处。</w:t>
            </w:r>
          </w:p>
          <w:p>
            <w:pPr>
              <w:adjustRightInd w:val="0"/>
              <w:ind w:firstLine="495" w:firstLineChars="236"/>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2.西峡县回车镇回车堂（道砟）建筑用玄武岩</w:t>
            </w:r>
          </w:p>
          <w:p>
            <w:pPr>
              <w:pStyle w:val="2"/>
              <w:ind w:left="0" w:leftChars="0" w:firstLine="420" w:firstLineChars="200"/>
              <w:rPr>
                <w:rFonts w:hint="eastAsia" w:ascii="仿宋" w:hAnsi="仿宋" w:eastAsia="仿宋" w:cs="仿宋"/>
                <w:sz w:val="24"/>
                <w:szCs w:val="24"/>
              </w:rPr>
            </w:pPr>
            <w:r>
              <w:rPr>
                <w:rFonts w:hint="eastAsia" w:ascii="仿宋" w:hAnsi="仿宋" w:eastAsia="仿宋" w:cs="仿宋"/>
                <w:color w:val="auto"/>
                <w:kern w:val="0"/>
                <w:sz w:val="21"/>
                <w:szCs w:val="21"/>
                <w:lang w:val="en-US" w:eastAsia="zh-CN" w:bidi="ar-SA"/>
              </w:rPr>
              <w:t>位于西峡县回车镇，以建筑用玄武岩为主，面积2.6702平方千米，资源储量为6000万吨。拟设开采规划区块1处。</w:t>
            </w:r>
          </w:p>
        </w:tc>
      </w:tr>
    </w:tbl>
    <w:p>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jc w:val="both"/>
        <w:textAlignment w:val="auto"/>
        <w:rPr>
          <w:rFonts w:hint="eastAsia" w:ascii="仿宋" w:hAnsi="仿宋" w:eastAsia="仿宋" w:cs="仿宋"/>
          <w:sz w:val="32"/>
          <w:szCs w:val="32"/>
        </w:rPr>
      </w:pPr>
      <w:r>
        <w:rPr>
          <w:rFonts w:hint="eastAsia" w:ascii="仿宋" w:hAnsi="仿宋" w:eastAsia="仿宋" w:cs="仿宋"/>
          <w:b/>
          <w:bCs/>
          <w:color w:val="auto"/>
          <w:sz w:val="28"/>
          <w:szCs w:val="28"/>
        </w:rPr>
        <w:t>集中开采区管理措施：</w:t>
      </w:r>
      <w:r>
        <w:rPr>
          <w:rFonts w:hint="eastAsia" w:ascii="仿宋" w:hAnsi="仿宋" w:eastAsia="仿宋" w:cstheme="minorBidi"/>
          <w:color w:val="auto"/>
          <w:kern w:val="2"/>
          <w:sz w:val="28"/>
          <w:szCs w:val="28"/>
          <w:lang w:val="en-US" w:eastAsia="zh-CN" w:bidi="ar-SA"/>
        </w:rPr>
        <w:t>集中开采区内应以绿色开采和集中开采为主导，严格控制采矿权数量和投放时序。合理确定矿区范围，可以整体开发的不得分割，严禁大矿小开，开采尽量不留边坡，将资源开发利用和矿山地质环境保护进行有机统一。对区内已有采矿权不符合开采条件的应限期整改或进行整合；在集中开采区内新设的采矿权必须符合开采规划准入条件，必须集约节约开采矿产资源；矿山企业切实做好地质灾害防治、水土保持、矿山复绿等方面的工作。</w:t>
      </w:r>
    </w:p>
    <w:p>
      <w:pPr>
        <w:pStyle w:val="4"/>
        <w:pageBreakBefore w:val="0"/>
        <w:kinsoku/>
        <w:wordWrap/>
        <w:overflowPunct/>
        <w:topLinePunct w:val="0"/>
        <w:bidi w:val="0"/>
        <w:adjustRightInd w:val="0"/>
        <w:snapToGrid w:val="0"/>
        <w:spacing w:beforeLines="0" w:afterLines="0" w:line="360" w:lineRule="auto"/>
        <w:rPr>
          <w:rFonts w:hint="eastAsia" w:ascii="黑体" w:hAnsi="黑体" w:eastAsia="黑体" w:cs="黑体"/>
          <w:color w:val="auto"/>
          <w:highlight w:val="none"/>
          <w:lang w:eastAsia="zh-CN"/>
        </w:rPr>
      </w:pPr>
      <w:bookmarkStart w:id="36" w:name="_Toc30426"/>
      <w:bookmarkStart w:id="37" w:name="_Toc85132830"/>
      <w:bookmarkStart w:id="38" w:name="_Toc23314"/>
      <w:r>
        <w:rPr>
          <w:rFonts w:hint="eastAsia" w:ascii="黑体" w:hAnsi="黑体" w:eastAsia="黑体" w:cs="黑体"/>
          <w:color w:val="auto"/>
          <w:highlight w:val="none"/>
          <w:lang w:eastAsia="zh-CN"/>
        </w:rPr>
        <w:t>第三节 严格开采规划准入管理</w:t>
      </w:r>
      <w:bookmarkEnd w:id="36"/>
      <w:bookmarkEnd w:id="37"/>
      <w:bookmarkEnd w:id="38"/>
    </w:p>
    <w:p>
      <w:pPr>
        <w:pageBreakBefore w:val="0"/>
        <w:kinsoku/>
        <w:wordWrap/>
        <w:overflowPunct/>
        <w:topLinePunct w:val="0"/>
        <w:bidi w:val="0"/>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严格按照法律、法规文件要求规范三类矿产的审查、审批程序，原则上不再新建小型矿山。</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现有三类采矿权灭失注销后，再依规划设立新的矿权；若区块内原矿权未注销，则禁止设立新矿权。</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新建矿山应达到一定的地质工作程度，三类矿产应进行相应的地质调查和评价，根据评价结果设立新的矿权。</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新建矿山禁止重叠生态红线、基本农田及城市开发边界。</w:t>
      </w:r>
    </w:p>
    <w:p>
      <w:pPr>
        <w:pageBreakBefore w:val="0"/>
        <w:kinsoku/>
        <w:wordWrap/>
        <w:overflowPunct/>
        <w:topLinePunct w:val="0"/>
        <w:bidi w:val="0"/>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新建矿山需按照绿色矿山标准建设，并在规定的时间内建成绿色矿山。</w:t>
      </w:r>
    </w:p>
    <w:p>
      <w:pPr>
        <w:rPr>
          <w:rFonts w:hint="eastAsia" w:ascii="宋体" w:hAnsi="宋体" w:eastAsia="宋体"/>
          <w:color w:val="auto"/>
          <w:highlight w:val="none"/>
          <w:lang w:eastAsia="zh-CN"/>
        </w:rPr>
      </w:pPr>
      <w:r>
        <w:rPr>
          <w:rFonts w:hint="eastAsia" w:ascii="宋体" w:hAnsi="宋体" w:eastAsia="宋体"/>
          <w:color w:val="auto"/>
          <w:highlight w:val="none"/>
          <w:lang w:eastAsia="zh-CN"/>
        </w:rPr>
        <w:br w:type="page"/>
      </w:r>
    </w:p>
    <w:p>
      <w:pPr>
        <w:pStyle w:val="3"/>
        <w:pageBreakBefore w:val="0"/>
        <w:kinsoku/>
        <w:wordWrap/>
        <w:overflowPunct/>
        <w:topLinePunct w:val="0"/>
        <w:bidi w:val="0"/>
        <w:adjustRightInd w:val="0"/>
        <w:snapToGrid w:val="0"/>
        <w:spacing w:beforeLines="0" w:afterLines="0" w:line="360" w:lineRule="auto"/>
        <w:rPr>
          <w:rFonts w:hint="default" w:ascii="宋体" w:hAnsi="宋体" w:eastAsia="宋体" w:cs="宋体"/>
          <w:color w:val="auto"/>
          <w:highlight w:val="none"/>
          <w:lang w:val="en-US" w:eastAsia="zh-CN"/>
        </w:rPr>
      </w:pPr>
      <w:bookmarkStart w:id="39" w:name="_Toc23681"/>
      <w:r>
        <w:rPr>
          <w:rFonts w:hint="eastAsia" w:ascii="宋体" w:hAnsi="宋体" w:eastAsia="宋体"/>
          <w:color w:val="auto"/>
          <w:highlight w:val="none"/>
          <w:lang w:eastAsia="zh-CN"/>
        </w:rPr>
        <w:t>第</w:t>
      </w:r>
      <w:r>
        <w:rPr>
          <w:rFonts w:hint="eastAsia" w:ascii="宋体" w:hAnsi="宋体" w:eastAsia="宋体"/>
          <w:color w:val="auto"/>
          <w:highlight w:val="none"/>
          <w:lang w:val="en-US" w:eastAsia="zh-CN"/>
        </w:rPr>
        <w:t>七</w:t>
      </w:r>
      <w:r>
        <w:rPr>
          <w:rFonts w:hint="eastAsia" w:ascii="宋体" w:hAnsi="宋体" w:eastAsia="宋体"/>
          <w:color w:val="auto"/>
          <w:highlight w:val="none"/>
          <w:lang w:eastAsia="zh-CN"/>
        </w:rPr>
        <w:t>章</w:t>
      </w:r>
      <w:r>
        <w:rPr>
          <w:rFonts w:hint="eastAsia" w:ascii="宋体" w:hAnsi="宋体" w:eastAsia="宋体"/>
          <w:color w:val="auto"/>
          <w:highlight w:val="none"/>
          <w:lang w:val="en-US" w:eastAsia="zh-CN"/>
        </w:rPr>
        <w:t xml:space="preserve"> 矿业绿色发展和矿山生态保护修复</w:t>
      </w:r>
      <w:bookmarkEnd w:id="39"/>
    </w:p>
    <w:p>
      <w:pPr>
        <w:pageBreakBefore w:val="0"/>
        <w:kinsoku/>
        <w:wordWrap/>
        <w:overflowPunct/>
        <w:topLinePunct w:val="0"/>
        <w:bidi w:val="0"/>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坚持绿水青山就是金山银山，建立矿业绿色发展长效机制，提高资源节约集约与综合利用水平，加强矿区生态保护修复，践行矿业绿色发展。</w:t>
      </w:r>
    </w:p>
    <w:p>
      <w:pPr>
        <w:pStyle w:val="4"/>
        <w:pageBreakBefore w:val="0"/>
        <w:kinsoku/>
        <w:wordWrap/>
        <w:overflowPunct/>
        <w:topLinePunct w:val="0"/>
        <w:bidi w:val="0"/>
        <w:adjustRightInd w:val="0"/>
        <w:snapToGrid w:val="0"/>
        <w:spacing w:beforeLines="0" w:afterLines="0" w:line="360" w:lineRule="auto"/>
        <w:rPr>
          <w:rFonts w:hint="default" w:ascii="黑体" w:hAnsi="黑体" w:eastAsia="黑体" w:cs="黑体"/>
          <w:color w:val="auto"/>
          <w:highlight w:val="none"/>
          <w:lang w:val="en-US" w:eastAsia="zh-CN"/>
        </w:rPr>
      </w:pPr>
      <w:bookmarkStart w:id="40" w:name="_Toc7527"/>
      <w:bookmarkStart w:id="41" w:name="_Toc69972956"/>
      <w:r>
        <w:rPr>
          <w:rFonts w:hint="eastAsia" w:ascii="黑体" w:hAnsi="黑体" w:eastAsia="黑体" w:cs="黑体"/>
          <w:color w:val="auto"/>
          <w:highlight w:val="none"/>
          <w:lang w:eastAsia="zh-CN"/>
        </w:rPr>
        <w:t>第一节</w:t>
      </w:r>
      <w:r>
        <w:rPr>
          <w:rFonts w:hint="eastAsia" w:ascii="黑体" w:hAnsi="黑体" w:eastAsia="黑体" w:cs="黑体"/>
          <w:color w:val="auto"/>
          <w:highlight w:val="none"/>
          <w:lang w:val="en-US" w:eastAsia="zh-CN"/>
        </w:rPr>
        <w:t xml:space="preserve"> 绿色矿山建设</w:t>
      </w:r>
      <w:bookmarkEnd w:id="40"/>
    </w:p>
    <w:bookmarkEnd w:id="41"/>
    <w:p>
      <w:pPr>
        <w:pageBreakBefore w:val="0"/>
        <w:kinsoku/>
        <w:wordWrap/>
        <w:overflowPunct/>
        <w:topLinePunct w:val="0"/>
        <w:bidi w:val="0"/>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持续推进绿色矿山建设，减少矿产资源开发对生态扰动，将生态环境破坏控制在可控制范围内。矿山生态环境与当地生态环境保护相协调。将生态保护理念贯彻于整个矿产资源开发利用过程中，加强矿产资源开发全过程地质环境保护与监督，做到边开发边治理，做好生态环境的保护和治理恢复工作。</w:t>
      </w:r>
    </w:p>
    <w:p>
      <w:pPr>
        <w:pageBreakBefore w:val="0"/>
        <w:kinsoku/>
        <w:wordWrap/>
        <w:overflowPunct/>
        <w:topLinePunct w:val="0"/>
        <w:bidi w:val="0"/>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在全县范围内开展绿色矿山建设宣传，提高政治站位，牢固树立绿色发展理念，践行绿水青山就是金山银山理念，高度重视生态保护工作，从源头上解决矿山生态环境问题。</w:t>
      </w:r>
    </w:p>
    <w:p>
      <w:pPr>
        <w:pageBreakBefore w:val="0"/>
        <w:kinsoku/>
        <w:wordWrap/>
        <w:overflowPunct/>
        <w:topLinePunct w:val="0"/>
        <w:bidi w:val="0"/>
        <w:snapToGrid w:val="0"/>
        <w:spacing w:line="360" w:lineRule="auto"/>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积极推进绿色矿山建设与遴选工作。力争经过5年左右的时间，建成一批社会形象良好、引领功能强的智慧型绿色矿山，加强典型经验、先进模式的总结和推广，打造绿色矿山建设样板。</w:t>
      </w:r>
    </w:p>
    <w:p>
      <w:pPr>
        <w:pStyle w:val="4"/>
        <w:pageBreakBefore w:val="0"/>
        <w:kinsoku/>
        <w:wordWrap/>
        <w:overflowPunct/>
        <w:topLinePunct w:val="0"/>
        <w:bidi w:val="0"/>
        <w:adjustRightInd w:val="0"/>
        <w:snapToGrid w:val="0"/>
        <w:spacing w:beforeLines="0" w:afterLines="0" w:line="360" w:lineRule="auto"/>
        <w:rPr>
          <w:rFonts w:hint="eastAsia" w:ascii="黑体" w:hAnsi="黑体" w:eastAsia="黑体" w:cs="黑体"/>
          <w:color w:val="auto"/>
          <w:highlight w:val="none"/>
          <w:lang w:eastAsia="zh-CN"/>
        </w:rPr>
      </w:pPr>
      <w:bookmarkStart w:id="42" w:name="_Toc21269"/>
      <w:r>
        <w:rPr>
          <w:rFonts w:hint="eastAsia" w:ascii="黑体" w:hAnsi="黑体" w:eastAsia="黑体" w:cs="黑体"/>
          <w:color w:val="auto"/>
          <w:highlight w:val="none"/>
          <w:lang w:eastAsia="zh-CN"/>
        </w:rPr>
        <w:t>第</w:t>
      </w:r>
      <w:r>
        <w:rPr>
          <w:rFonts w:hint="eastAsia" w:ascii="黑体" w:hAnsi="黑体" w:eastAsia="黑体" w:cs="黑体"/>
          <w:color w:val="auto"/>
          <w:highlight w:val="none"/>
          <w:lang w:val="en-US" w:eastAsia="zh-CN"/>
        </w:rPr>
        <w:t>二</w:t>
      </w:r>
      <w:r>
        <w:rPr>
          <w:rFonts w:hint="eastAsia" w:ascii="黑体" w:hAnsi="黑体" w:eastAsia="黑体" w:cs="黑体"/>
          <w:color w:val="auto"/>
          <w:highlight w:val="none"/>
          <w:lang w:eastAsia="zh-CN"/>
        </w:rPr>
        <w:t>节</w:t>
      </w:r>
      <w:r>
        <w:rPr>
          <w:rFonts w:hint="eastAsia" w:ascii="黑体" w:hAnsi="黑体" w:eastAsia="黑体" w:cs="黑体"/>
          <w:color w:val="auto"/>
          <w:highlight w:val="none"/>
          <w:lang w:val="en-US" w:eastAsia="zh-CN"/>
        </w:rPr>
        <w:t xml:space="preserve"> </w:t>
      </w:r>
      <w:r>
        <w:rPr>
          <w:rFonts w:hint="eastAsia" w:ascii="黑体" w:hAnsi="黑体" w:eastAsia="黑体" w:cs="黑体"/>
          <w:color w:val="auto"/>
          <w:highlight w:val="none"/>
          <w:lang w:eastAsia="zh-CN"/>
        </w:rPr>
        <w:t>矿</w:t>
      </w:r>
      <w:r>
        <w:rPr>
          <w:rFonts w:hint="eastAsia" w:ascii="黑体" w:hAnsi="黑体" w:eastAsia="黑体" w:cs="黑体"/>
          <w:color w:val="auto"/>
          <w:highlight w:val="none"/>
          <w:lang w:val="en-US" w:eastAsia="zh-CN"/>
        </w:rPr>
        <w:t>山</w:t>
      </w:r>
      <w:r>
        <w:rPr>
          <w:rFonts w:hint="eastAsia" w:ascii="黑体" w:hAnsi="黑体" w:eastAsia="黑体" w:cs="黑体"/>
          <w:color w:val="auto"/>
          <w:highlight w:val="none"/>
          <w:lang w:eastAsia="zh-CN"/>
        </w:rPr>
        <w:t>生态保护修复</w:t>
      </w:r>
      <w:bookmarkEnd w:id="42"/>
    </w:p>
    <w:p>
      <w:pPr>
        <w:pStyle w:val="14"/>
        <w:ind w:left="0" w:leftChars="0" w:firstLine="562" w:firstLineChars="200"/>
        <w:rPr>
          <w:rFonts w:hint="eastAsia"/>
        </w:rPr>
      </w:pPr>
      <w:r>
        <w:rPr>
          <w:rFonts w:hint="eastAsia" w:ascii="仿宋" w:hAnsi="仿宋" w:eastAsia="仿宋" w:cs="仿宋"/>
          <w:b/>
          <w:bCs/>
          <w:sz w:val="28"/>
          <w:szCs w:val="28"/>
          <w:lang w:eastAsia="zh-CN"/>
        </w:rPr>
        <w:t>加强矿区生态环境保护。</w:t>
      </w:r>
      <w:r>
        <w:rPr>
          <w:rFonts w:hint="eastAsia" w:ascii="仿宋" w:hAnsi="仿宋" w:eastAsia="仿宋" w:cs="仿宋"/>
          <w:sz w:val="28"/>
          <w:szCs w:val="28"/>
          <w:lang w:eastAsia="zh-CN"/>
        </w:rPr>
        <w:t>按照“谁开采、谁保护、边开采、边治理”的原则，坚持“节约优先、保护优先、自然恢复”为主的方针，加大矿山环境保护和生态修复的力度，矿山地质环境治理恢复应因地制宜、分类施策，最终形成可自我维持的生态系统。</w:t>
      </w:r>
    </w:p>
    <w:p>
      <w:pPr>
        <w:keepNext w:val="0"/>
        <w:keepLines w:val="0"/>
        <w:pageBreakBefore w:val="0"/>
        <w:widowControl w:val="0"/>
        <w:kinsoku/>
        <w:wordWrap/>
        <w:overflowPunct/>
        <w:topLinePunct w:val="0"/>
        <w:autoSpaceDE/>
        <w:autoSpaceDN/>
        <w:bidi w:val="0"/>
        <w:adjustRightInd w:val="0"/>
        <w:snapToGrid/>
        <w:spacing w:line="240" w:lineRule="auto"/>
        <w:ind w:firstLine="562" w:firstLineChars="200"/>
        <w:textAlignment w:val="auto"/>
        <w:outlineLvl w:val="9"/>
        <w:rPr>
          <w:rFonts w:hint="eastAsia" w:ascii="仿宋" w:hAnsi="仿宋" w:eastAsia="仿宋" w:cs="仿宋"/>
          <w:sz w:val="28"/>
          <w:szCs w:val="28"/>
        </w:rPr>
      </w:pPr>
      <w:r>
        <w:rPr>
          <w:rFonts w:hint="eastAsia" w:ascii="仿宋" w:hAnsi="仿宋" w:eastAsia="仿宋" w:cs="仿宋"/>
          <w:b/>
          <w:bCs/>
          <w:sz w:val="28"/>
          <w:szCs w:val="28"/>
          <w:lang w:eastAsia="zh-CN"/>
        </w:rPr>
        <w:t>全面实行“三合一”方案。</w:t>
      </w:r>
      <w:r>
        <w:rPr>
          <w:rFonts w:hint="eastAsia" w:ascii="仿宋" w:hAnsi="仿宋" w:eastAsia="仿宋" w:cs="仿宋"/>
          <w:sz w:val="28"/>
          <w:szCs w:val="28"/>
        </w:rPr>
        <w:t>全面实行矿产资源开发利用方案、地质环境保护与治理恢复方案及土地复垦方案合并编制为矿山矿产资源开采与生态修复方案（简称“三合一”方案）。生产矿山必须严格按照“三合一”方案进行相关活动，切实履行矿山地质环境治理恢复和土地复垦义务。</w:t>
      </w:r>
    </w:p>
    <w:p>
      <w:pPr>
        <w:pStyle w:val="14"/>
        <w:ind w:left="0" w:leftChars="0" w:firstLine="562" w:firstLineChars="200"/>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落实矿山地质环境治理恢复主体责任。</w:t>
      </w:r>
      <w:r>
        <w:rPr>
          <w:rFonts w:hint="eastAsia" w:ascii="仿宋" w:hAnsi="仿宋" w:eastAsia="仿宋" w:cs="仿宋"/>
          <w:kern w:val="2"/>
          <w:sz w:val="28"/>
          <w:szCs w:val="28"/>
          <w:lang w:val="en-US" w:eastAsia="zh-CN" w:bidi="ar-SA"/>
        </w:rPr>
        <w:t>开展历史遗留矿山专项核查，明确矿山地质环境治理恢复主体责任，确保应保尽保、应治尽治、不欠新账。在建和生产矿山的地质环境保护与治理恢复由矿山企业负责，与矿产资源开采活动同步进行，严格执行矿山地质环境治理恢复基金制度，矿山关闭前必须完成矿山地质环境治理恢复与土地复垦义务；对经查确实无法追溯的责任主体灭失矿山，各级政府要有计划、分批次、有重点的进行矿山地质环境治理恢复。</w:t>
      </w:r>
    </w:p>
    <w:p>
      <w:pPr>
        <w:pStyle w:val="14"/>
        <w:ind w:left="0" w:leftChars="0" w:firstLine="562" w:firstLineChars="200"/>
        <w:rPr>
          <w:rFonts w:hint="eastAsia" w:ascii="仿宋" w:hAnsi="仿宋" w:eastAsia="仿宋"/>
          <w:sz w:val="28"/>
          <w:szCs w:val="28"/>
        </w:rPr>
      </w:pPr>
      <w:r>
        <w:rPr>
          <w:rFonts w:hint="eastAsia" w:ascii="仿宋" w:hAnsi="仿宋" w:eastAsia="仿宋" w:cs="仿宋"/>
          <w:b/>
          <w:bCs/>
          <w:kern w:val="2"/>
          <w:sz w:val="28"/>
          <w:szCs w:val="28"/>
          <w:lang w:val="en-US" w:eastAsia="zh-CN" w:bidi="ar-SA"/>
        </w:rPr>
        <w:t>完善矿山生态修复激励惩戒机制。</w:t>
      </w:r>
      <w:r>
        <w:rPr>
          <w:rFonts w:hint="eastAsia" w:ascii="仿宋" w:hAnsi="仿宋" w:eastAsia="仿宋" w:cs="仿宋"/>
          <w:kern w:val="2"/>
          <w:sz w:val="28"/>
          <w:szCs w:val="28"/>
          <w:lang w:val="en-US" w:eastAsia="zh-CN" w:bidi="ar-SA"/>
        </w:rPr>
        <w:t>强化对矿山企业履行矿山地质环境治理恢复与土地复垦义务监管，探索建立“源头预防、过程严管、后果严惩、损害赔偿”的矿山地质环境管理制度体系，进一步健全“双随机一公开”监管机制，督促生产矿山及时履行法定义务。引导社会资本参与矿山生态修复，建立健全政府、矿山企业、社会投资方、公众共同参与的矿山生态修复监督机制。对不履行生态修复义务的矿山企业依法依规进行惩戒</w:t>
      </w:r>
      <w:r>
        <w:rPr>
          <w:rFonts w:hint="eastAsia" w:ascii="仿宋" w:hAnsi="仿宋" w:eastAsia="仿宋"/>
          <w:sz w:val="28"/>
          <w:szCs w:val="28"/>
        </w:rPr>
        <w:t>。</w:t>
      </w:r>
    </w:p>
    <w:p>
      <w:pPr>
        <w:pageBreakBefore w:val="0"/>
        <w:kinsoku/>
        <w:wordWrap/>
        <w:overflowPunct/>
        <w:topLinePunct w:val="0"/>
        <w:bidi w:val="0"/>
        <w:snapToGrid w:val="0"/>
        <w:spacing w:line="360" w:lineRule="auto"/>
        <w:rPr>
          <w:rFonts w:hint="eastAsia" w:ascii="宋体" w:hAnsi="宋体" w:eastAsia="宋体"/>
          <w:color w:val="auto"/>
          <w:highlight w:val="none"/>
          <w:lang w:eastAsia="zh-CN"/>
        </w:rPr>
      </w:pPr>
      <w:r>
        <w:rPr>
          <w:rFonts w:hint="eastAsia" w:ascii="宋体" w:hAnsi="宋体" w:eastAsia="宋体"/>
          <w:color w:val="auto"/>
          <w:highlight w:val="none"/>
          <w:lang w:eastAsia="zh-CN"/>
        </w:rPr>
        <w:br w:type="page"/>
      </w:r>
    </w:p>
    <w:p>
      <w:pPr>
        <w:pStyle w:val="3"/>
        <w:pageBreakBefore w:val="0"/>
        <w:kinsoku/>
        <w:wordWrap/>
        <w:overflowPunct/>
        <w:topLinePunct w:val="0"/>
        <w:bidi w:val="0"/>
        <w:adjustRightInd w:val="0"/>
        <w:snapToGrid w:val="0"/>
        <w:spacing w:beforeLines="0" w:afterLines="0" w:line="360" w:lineRule="auto"/>
        <w:rPr>
          <w:rFonts w:hint="eastAsia" w:ascii="宋体" w:hAnsi="宋体" w:eastAsia="宋体"/>
          <w:color w:val="auto"/>
          <w:highlight w:val="none"/>
          <w:lang w:eastAsia="zh-CN"/>
        </w:rPr>
      </w:pPr>
      <w:bookmarkStart w:id="43" w:name="_Toc7965"/>
      <w:r>
        <w:rPr>
          <w:rFonts w:hint="eastAsia" w:ascii="宋体" w:hAnsi="宋体" w:eastAsia="宋体"/>
          <w:color w:val="auto"/>
          <w:highlight w:val="none"/>
          <w:lang w:eastAsia="zh-CN"/>
        </w:rPr>
        <w:t>第</w:t>
      </w:r>
      <w:r>
        <w:rPr>
          <w:rFonts w:hint="eastAsia" w:ascii="宋体" w:hAnsi="宋体" w:eastAsia="宋体"/>
          <w:color w:val="auto"/>
          <w:highlight w:val="none"/>
          <w:lang w:val="en-US" w:eastAsia="zh-CN"/>
        </w:rPr>
        <w:t>八</w:t>
      </w:r>
      <w:r>
        <w:rPr>
          <w:rFonts w:hint="eastAsia" w:ascii="宋体" w:hAnsi="宋体" w:eastAsia="宋体"/>
          <w:color w:val="auto"/>
          <w:highlight w:val="none"/>
          <w:lang w:eastAsia="zh-CN"/>
        </w:rPr>
        <w:t>章 规划实施与管理</w:t>
      </w:r>
      <w:bookmarkEnd w:id="43"/>
      <w:r>
        <w:rPr>
          <w:rFonts w:hint="eastAsia" w:ascii="宋体" w:hAnsi="宋体" w:eastAsia="宋体"/>
          <w:color w:val="auto"/>
          <w:highlight w:val="none"/>
          <w:lang w:eastAsia="zh-CN"/>
        </w:rPr>
        <w:t xml:space="preserve"> </w:t>
      </w:r>
    </w:p>
    <w:p>
      <w:pPr>
        <w:pageBreakBefore w:val="0"/>
        <w:kinsoku/>
        <w:wordWrap/>
        <w:overflowPunct/>
        <w:topLinePunct w:val="0"/>
        <w:bidi w:val="0"/>
        <w:snapToGrid w:val="0"/>
        <w:spacing w:line="360" w:lineRule="auto"/>
        <w:ind w:firstLine="560" w:firstLineChars="200"/>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 xml:space="preserve">严格执行规划，履行好职责，加强规划的实施管理，形成推进规划实施合力，确保规划的顺利实施。 </w:t>
      </w:r>
    </w:p>
    <w:p>
      <w:pPr>
        <w:pStyle w:val="4"/>
        <w:pageBreakBefore w:val="0"/>
        <w:kinsoku/>
        <w:wordWrap/>
        <w:overflowPunct/>
        <w:topLinePunct w:val="0"/>
        <w:bidi w:val="0"/>
        <w:adjustRightInd w:val="0"/>
        <w:snapToGrid w:val="0"/>
        <w:spacing w:beforeLines="0" w:afterLines="0" w:line="360" w:lineRule="auto"/>
        <w:rPr>
          <w:rFonts w:hint="eastAsia" w:ascii="黑体" w:hAnsi="黑体" w:eastAsia="黑体" w:cs="黑体"/>
          <w:color w:val="auto"/>
          <w:highlight w:val="none"/>
          <w:lang w:val="en-US" w:eastAsia="zh-CN"/>
        </w:rPr>
      </w:pPr>
      <w:bookmarkStart w:id="44" w:name="_Toc12610"/>
      <w:r>
        <w:rPr>
          <w:rFonts w:hint="eastAsia" w:ascii="黑体" w:hAnsi="黑体" w:eastAsia="黑体" w:cs="黑体"/>
          <w:color w:val="auto"/>
          <w:highlight w:val="none"/>
          <w:lang w:val="en-US" w:eastAsia="zh-CN"/>
        </w:rPr>
        <w:t>第一节 加强组织领导</w:t>
      </w:r>
      <w:bookmarkEnd w:id="44"/>
      <w:r>
        <w:rPr>
          <w:rFonts w:hint="eastAsia" w:ascii="黑体" w:hAnsi="黑体" w:eastAsia="黑体" w:cs="黑体"/>
          <w:color w:val="auto"/>
          <w:highlight w:val="none"/>
          <w:lang w:val="en-US" w:eastAsia="zh-CN"/>
        </w:rPr>
        <w:t xml:space="preserve"> </w:t>
      </w:r>
    </w:p>
    <w:p>
      <w:pPr>
        <w:pageBreakBefore w:val="0"/>
        <w:kinsoku/>
        <w:wordWrap/>
        <w:overflowPunct/>
        <w:topLinePunct w:val="0"/>
        <w:bidi w:val="0"/>
        <w:snapToGrid w:val="0"/>
        <w:spacing w:line="360" w:lineRule="auto"/>
        <w:ind w:firstLine="560" w:firstLineChars="200"/>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各有关部门要按照职能分工，加强协调配合，做好政策衔接，认真履行职责。县自然资源局牵头与县发改委、工信局、财政局、生态环境局、住建局、交通局、水利局、应急管理局和林业局等部门加强协调对接，做好政策衔接，及时解决规划实施中的重大问题，共同推进规划实施。涉及矿产资源开发利用活动的相关行业规划，应当与本《规划》做好衔接。</w:t>
      </w:r>
    </w:p>
    <w:p>
      <w:pPr>
        <w:pStyle w:val="4"/>
        <w:pageBreakBefore w:val="0"/>
        <w:kinsoku/>
        <w:wordWrap/>
        <w:overflowPunct/>
        <w:topLinePunct w:val="0"/>
        <w:bidi w:val="0"/>
        <w:adjustRightInd w:val="0"/>
        <w:snapToGrid w:val="0"/>
        <w:spacing w:beforeLines="0" w:afterLines="0" w:line="360" w:lineRule="auto"/>
        <w:rPr>
          <w:rFonts w:hint="eastAsia" w:ascii="黑体" w:hAnsi="黑体" w:eastAsia="黑体" w:cs="黑体"/>
          <w:color w:val="auto"/>
          <w:highlight w:val="none"/>
          <w:lang w:val="en-US" w:eastAsia="zh-CN"/>
        </w:rPr>
      </w:pPr>
      <w:bookmarkStart w:id="45" w:name="_Toc8135"/>
      <w:r>
        <w:rPr>
          <w:rFonts w:hint="eastAsia" w:ascii="黑体" w:hAnsi="黑体" w:eastAsia="黑体" w:cs="黑体"/>
          <w:color w:val="auto"/>
          <w:highlight w:val="none"/>
          <w:lang w:val="en-US" w:eastAsia="zh-CN"/>
        </w:rPr>
        <w:t>第二节 强化政策支持</w:t>
      </w:r>
      <w:bookmarkEnd w:id="45"/>
      <w:r>
        <w:rPr>
          <w:rFonts w:hint="eastAsia" w:ascii="黑体" w:hAnsi="黑体" w:eastAsia="黑体" w:cs="黑体"/>
          <w:color w:val="auto"/>
          <w:highlight w:val="none"/>
          <w:lang w:val="en-US" w:eastAsia="zh-CN"/>
        </w:rPr>
        <w:t xml:space="preserve"> </w:t>
      </w:r>
    </w:p>
    <w:p>
      <w:pPr>
        <w:pageBreakBefore w:val="0"/>
        <w:kinsoku/>
        <w:wordWrap/>
        <w:overflowPunct/>
        <w:topLinePunct w:val="0"/>
        <w:bidi w:val="0"/>
        <w:snapToGrid w:val="0"/>
        <w:spacing w:line="360" w:lineRule="auto"/>
        <w:ind w:firstLine="560" w:firstLineChars="200"/>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有关部门和单位要根据职责分工，制定规划实施配套的相关政策，在资金保障、项目安排和机制创新上给予积极支持，保障规划各项工作顺利实施。积极争取国家项目资金，加大地方财政投入，财政资金重点保障重点勘查区内的矿产资源勘查工作。坚持以市场为导向，积极引导社会资本投入重点开采区相关矿产的开发利用。积极探索构建矿区生态保护的新途径、新机制，制定实施配套的财政、税收、价格、政府采购等政策，加大历史遗留矿山生态保护修复的投入力度，健全多元化生态保护补偿制度，进一步加强绿色发展基金对生态保护修复工程项目的支撑。</w:t>
      </w:r>
    </w:p>
    <w:p>
      <w:pPr>
        <w:pStyle w:val="4"/>
        <w:pageBreakBefore w:val="0"/>
        <w:kinsoku/>
        <w:wordWrap/>
        <w:overflowPunct/>
        <w:topLinePunct w:val="0"/>
        <w:bidi w:val="0"/>
        <w:adjustRightInd w:val="0"/>
        <w:snapToGrid w:val="0"/>
        <w:spacing w:beforeLines="0" w:afterLines="0" w:line="360" w:lineRule="auto"/>
        <w:rPr>
          <w:rFonts w:hint="eastAsia" w:ascii="黑体" w:hAnsi="黑体" w:eastAsia="黑体" w:cs="黑体"/>
          <w:color w:val="auto"/>
          <w:highlight w:val="none"/>
          <w:lang w:val="en-US" w:eastAsia="zh-CN"/>
        </w:rPr>
      </w:pPr>
      <w:bookmarkStart w:id="46" w:name="_Toc3655"/>
      <w:r>
        <w:rPr>
          <w:rFonts w:hint="eastAsia" w:ascii="黑体" w:hAnsi="黑体" w:eastAsia="黑体" w:cs="黑体"/>
          <w:color w:val="auto"/>
          <w:highlight w:val="none"/>
          <w:lang w:val="en-US" w:eastAsia="zh-CN"/>
        </w:rPr>
        <w:t>第三节 注重实施监管</w:t>
      </w:r>
      <w:bookmarkEnd w:id="46"/>
      <w:r>
        <w:rPr>
          <w:rFonts w:hint="eastAsia" w:ascii="黑体" w:hAnsi="黑体" w:eastAsia="黑体" w:cs="黑体"/>
          <w:color w:val="auto"/>
          <w:highlight w:val="none"/>
          <w:lang w:val="en-US" w:eastAsia="zh-CN"/>
        </w:rPr>
        <w:t xml:space="preserve"> </w:t>
      </w:r>
    </w:p>
    <w:p>
      <w:pPr>
        <w:pStyle w:val="2"/>
        <w:ind w:left="0" w:leftChars="0" w:firstLine="560" w:firstLineChars="200"/>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各级人民政府要履行矿产资源规划管理职能，充实人员力量，强化规划实施监督管理。要定期开展规划实施情况评估，对规划实施情况进行调研、监测、统计、分析。严格矿产资源规划调整程序，确需调整的应由原编制单位向原批准机关提交相应材料，经原批准机关同意后进行规划调整。建立规划实施监督管理机制，在注重接受社会公众监督的同时，建立专项检查与经常性检查相结合的方式，有效加强规划重点区域矿产资源勘查开发保护的监督管理。</w:t>
      </w:r>
    </w:p>
    <w:p>
      <w:pPr>
        <w:pStyle w:val="2"/>
        <w:ind w:left="0" w:leftChars="0" w:firstLine="560" w:firstLineChars="200"/>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矿产资源调查评价与勘查、开发利用与保护，必须以矿产资源总体规划及有关的专项规划为依据，不符合《规划》不得审批设立探矿权和采矿权。总量控制的矿种，要层层分解指标，确保规划目标的实现。结构调整目标要分年度制定详细的调整计划。</w:t>
      </w:r>
    </w:p>
    <w:p>
      <w:pPr>
        <w:pStyle w:val="4"/>
        <w:pageBreakBefore w:val="0"/>
        <w:kinsoku/>
        <w:wordWrap/>
        <w:overflowPunct/>
        <w:topLinePunct w:val="0"/>
        <w:bidi w:val="0"/>
        <w:adjustRightInd w:val="0"/>
        <w:snapToGrid w:val="0"/>
        <w:spacing w:beforeLines="0" w:afterLines="0" w:line="360" w:lineRule="auto"/>
        <w:rPr>
          <w:rFonts w:hint="eastAsia" w:ascii="黑体" w:hAnsi="黑体" w:eastAsia="黑体" w:cs="黑体"/>
          <w:color w:val="auto"/>
          <w:highlight w:val="none"/>
          <w:lang w:val="en-US" w:eastAsia="zh-CN"/>
        </w:rPr>
      </w:pPr>
      <w:bookmarkStart w:id="47" w:name="_Toc100127611"/>
      <w:bookmarkStart w:id="48" w:name="_Toc22985"/>
      <w:r>
        <w:rPr>
          <w:rFonts w:hint="eastAsia" w:ascii="黑体" w:hAnsi="黑体" w:eastAsia="黑体" w:cs="黑体"/>
          <w:color w:val="auto"/>
          <w:highlight w:val="none"/>
          <w:lang w:val="en-US" w:eastAsia="zh-CN"/>
        </w:rPr>
        <w:t>第四节 加强规划信息系统建设</w:t>
      </w:r>
      <w:bookmarkEnd w:id="47"/>
      <w:bookmarkEnd w:id="48"/>
    </w:p>
    <w:p>
      <w:pPr>
        <w:adjustRightInd w:val="0"/>
        <w:spacing w:line="600" w:lineRule="exact"/>
        <w:ind w:firstLine="560" w:firstLineChars="200"/>
        <w:rPr>
          <w:rFonts w:hint="eastAsia"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建立矿产资源规划数据库，强化规划信息与数据融合。与国土空间规划“一张图”相衔接，做好规划管理信息数据与相关信息系统的衔接，实现在不同业务权限范围内进行数据的叠加与调用，加强数据可视化分析和深度挖掘，达到能及时、准确地掌握全县重点勘查区与重点开采区矿业权设置、变化和资源利用水平、矿山地质环境等动态变化情况，并能及时对《规划》实施情况进行检查和对有关内容进行充实更新，实现信息共享，提高规划管理效率和社会服务水平。</w:t>
      </w:r>
    </w:p>
    <w:p>
      <w:pPr>
        <w:pStyle w:val="4"/>
        <w:pageBreakBefore w:val="0"/>
        <w:kinsoku/>
        <w:wordWrap/>
        <w:overflowPunct/>
        <w:topLinePunct w:val="0"/>
        <w:bidi w:val="0"/>
        <w:adjustRightInd w:val="0"/>
        <w:snapToGrid w:val="0"/>
        <w:spacing w:beforeLines="0" w:afterLines="0" w:line="360" w:lineRule="auto"/>
        <w:rPr>
          <w:rFonts w:hint="eastAsia" w:ascii="黑体" w:hAnsi="黑体" w:eastAsia="黑体" w:cs="黑体"/>
          <w:color w:val="auto"/>
          <w:highlight w:val="none"/>
          <w:lang w:val="en-US" w:eastAsia="zh-CN"/>
        </w:rPr>
      </w:pPr>
      <w:bookmarkStart w:id="49" w:name="_Toc8879"/>
      <w:r>
        <w:rPr>
          <w:rFonts w:hint="eastAsia" w:ascii="黑体" w:hAnsi="黑体" w:eastAsia="黑体" w:cs="黑体"/>
          <w:color w:val="auto"/>
          <w:highlight w:val="none"/>
          <w:lang w:val="en-US" w:eastAsia="zh-CN"/>
        </w:rPr>
        <w:t>第五节 加大宣传培训</w:t>
      </w:r>
      <w:bookmarkEnd w:id="49"/>
      <w:r>
        <w:rPr>
          <w:rFonts w:hint="eastAsia" w:ascii="黑体" w:hAnsi="黑体" w:eastAsia="黑体" w:cs="黑体"/>
          <w:color w:val="auto"/>
          <w:highlight w:val="none"/>
          <w:lang w:val="en-US" w:eastAsia="zh-CN"/>
        </w:rPr>
        <w:t xml:space="preserve"> </w:t>
      </w:r>
    </w:p>
    <w:p>
      <w:pPr>
        <w:pageBreakBefore w:val="0"/>
        <w:kinsoku/>
        <w:wordWrap/>
        <w:overflowPunct/>
        <w:topLinePunct w:val="0"/>
        <w:bidi w:val="0"/>
        <w:snapToGrid w:val="0"/>
        <w:spacing w:line="360" w:lineRule="auto"/>
        <w:ind w:firstLine="560" w:firstLineChars="200"/>
        <w:rPr>
          <w:rFonts w:hint="eastAsia" w:ascii="Times New Roman" w:hAnsi="Times New Roman" w:eastAsia="仿宋_GB2312" w:cs="Times New Roman"/>
          <w:kern w:val="2"/>
          <w:sz w:val="28"/>
          <w:szCs w:val="28"/>
          <w:lang w:val="en-US" w:eastAsia="zh-CN"/>
        </w:rPr>
      </w:pPr>
      <w:r>
        <w:rPr>
          <w:rFonts w:hint="eastAsia" w:ascii="Times New Roman" w:hAnsi="Times New Roman" w:eastAsia="仿宋_GB2312" w:cs="Times New Roman"/>
          <w:kern w:val="2"/>
          <w:sz w:val="28"/>
          <w:szCs w:val="28"/>
          <w:lang w:val="en-US" w:eastAsia="zh-CN"/>
        </w:rPr>
        <w:t>各级自然资源管理部门要做好规划的宣传工作，提高社会各界对规划重要性的认识，热情回应公众关切的热点问题，形成全社会关心支持矿业发展的浓厚氛围。加快培养规划实施管理及技术专业人才，加强后备队伍建设，积极开展相关规划培训指导，提升规划实施人员业务素质，营造良好规划实施社会环境。</w:t>
      </w:r>
    </w:p>
    <w:p>
      <w:pPr>
        <w:pageBreakBefore w:val="0"/>
        <w:numPr>
          <w:ilvl w:val="0"/>
          <w:numId w:val="0"/>
        </w:numPr>
        <w:kinsoku/>
        <w:wordWrap/>
        <w:overflowPunct/>
        <w:topLinePunct w:val="0"/>
        <w:bidi w:val="0"/>
        <w:snapToGrid w:val="0"/>
        <w:spacing w:line="360" w:lineRule="auto"/>
        <w:outlineLvl w:val="9"/>
        <w:rPr>
          <w:rFonts w:hint="eastAsia"/>
          <w:lang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9"/>
      <w:lvlText w:val="第%1章　"/>
      <w:lvlJc w:val="left"/>
      <w:pPr>
        <w:tabs>
          <w:tab w:val="left" w:pos="1440"/>
        </w:tabs>
        <w:ind w:left="720" w:hanging="720"/>
      </w:pPr>
      <w:rPr>
        <w:rFonts w:hint="eastAsia" w:cs="Times New Roman"/>
        <w:sz w:val="32"/>
      </w:rPr>
    </w:lvl>
    <w:lvl w:ilvl="1" w:tentative="0">
      <w:start w:val="1"/>
      <w:numFmt w:val="lowerRoman"/>
      <w:lvlText w:val="(%2)"/>
      <w:lvlJc w:val="left"/>
      <w:pPr>
        <w:tabs>
          <w:tab w:val="left" w:pos="861"/>
        </w:tabs>
        <w:ind w:left="861" w:hanging="720"/>
      </w:pPr>
      <w:rPr>
        <w:rFonts w:hint="eastAsia" w:cs="Times New Roman"/>
      </w:rPr>
    </w:lvl>
    <w:lvl w:ilvl="2" w:tentative="0">
      <w:start w:val="1"/>
      <w:numFmt w:val="lowerLetter"/>
      <w:lvlText w:val="(%3)"/>
      <w:lvlJc w:val="left"/>
      <w:pPr>
        <w:tabs>
          <w:tab w:val="left" w:pos="1335"/>
        </w:tabs>
        <w:ind w:left="1335" w:hanging="495"/>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iYjY5ODAyMDA2MzU1ZjI2M2QyMDlhYzQ0ODZlMDUifQ=="/>
  </w:docVars>
  <w:rsids>
    <w:rsidRoot w:val="00172A27"/>
    <w:rsid w:val="006E72AC"/>
    <w:rsid w:val="00837E5A"/>
    <w:rsid w:val="00BC23D5"/>
    <w:rsid w:val="01155B37"/>
    <w:rsid w:val="011A0053"/>
    <w:rsid w:val="012232CE"/>
    <w:rsid w:val="01915850"/>
    <w:rsid w:val="01D93FB3"/>
    <w:rsid w:val="033D0C00"/>
    <w:rsid w:val="0357159A"/>
    <w:rsid w:val="037C0467"/>
    <w:rsid w:val="03803ED1"/>
    <w:rsid w:val="03873740"/>
    <w:rsid w:val="039447DF"/>
    <w:rsid w:val="04A21EAA"/>
    <w:rsid w:val="04CE0039"/>
    <w:rsid w:val="0558082F"/>
    <w:rsid w:val="056C5742"/>
    <w:rsid w:val="058209B7"/>
    <w:rsid w:val="05E87609"/>
    <w:rsid w:val="067364B9"/>
    <w:rsid w:val="06774DCA"/>
    <w:rsid w:val="06876C93"/>
    <w:rsid w:val="07017839"/>
    <w:rsid w:val="070179FE"/>
    <w:rsid w:val="0741129F"/>
    <w:rsid w:val="07563A47"/>
    <w:rsid w:val="07832EBC"/>
    <w:rsid w:val="07AE14E7"/>
    <w:rsid w:val="07B94814"/>
    <w:rsid w:val="07ED2AA5"/>
    <w:rsid w:val="081B5A60"/>
    <w:rsid w:val="08484AB9"/>
    <w:rsid w:val="084C7C65"/>
    <w:rsid w:val="08EF292D"/>
    <w:rsid w:val="092A7769"/>
    <w:rsid w:val="094506AC"/>
    <w:rsid w:val="09AF708D"/>
    <w:rsid w:val="09B83973"/>
    <w:rsid w:val="0A1A7FE2"/>
    <w:rsid w:val="0A395443"/>
    <w:rsid w:val="0A3A1EA2"/>
    <w:rsid w:val="0A966A83"/>
    <w:rsid w:val="0AB45767"/>
    <w:rsid w:val="0AF85654"/>
    <w:rsid w:val="0B1E1D0A"/>
    <w:rsid w:val="0B784E28"/>
    <w:rsid w:val="0B9802F2"/>
    <w:rsid w:val="0BC51971"/>
    <w:rsid w:val="0C074401"/>
    <w:rsid w:val="0C551ED7"/>
    <w:rsid w:val="0C5D79F0"/>
    <w:rsid w:val="0C9C1571"/>
    <w:rsid w:val="0CA03531"/>
    <w:rsid w:val="0CA57635"/>
    <w:rsid w:val="0CAE6C6A"/>
    <w:rsid w:val="0CB63382"/>
    <w:rsid w:val="0CB952B6"/>
    <w:rsid w:val="0CF732AB"/>
    <w:rsid w:val="0D4E2719"/>
    <w:rsid w:val="0D553BCE"/>
    <w:rsid w:val="0D772569"/>
    <w:rsid w:val="0DCF4457"/>
    <w:rsid w:val="0DFA26A5"/>
    <w:rsid w:val="0E207C45"/>
    <w:rsid w:val="0E5A755D"/>
    <w:rsid w:val="0E847F74"/>
    <w:rsid w:val="0EDF322C"/>
    <w:rsid w:val="0F3B4999"/>
    <w:rsid w:val="0F4E3F9F"/>
    <w:rsid w:val="0F763231"/>
    <w:rsid w:val="1004770A"/>
    <w:rsid w:val="101C3B92"/>
    <w:rsid w:val="109154F8"/>
    <w:rsid w:val="1136471A"/>
    <w:rsid w:val="117A1736"/>
    <w:rsid w:val="11826A79"/>
    <w:rsid w:val="11AD75CB"/>
    <w:rsid w:val="11D64AA9"/>
    <w:rsid w:val="125C471A"/>
    <w:rsid w:val="12AC6431"/>
    <w:rsid w:val="12DD7D1A"/>
    <w:rsid w:val="1306157B"/>
    <w:rsid w:val="13285647"/>
    <w:rsid w:val="13293093"/>
    <w:rsid w:val="13674EE7"/>
    <w:rsid w:val="14206F02"/>
    <w:rsid w:val="142F38C7"/>
    <w:rsid w:val="14414227"/>
    <w:rsid w:val="1443125B"/>
    <w:rsid w:val="149A6390"/>
    <w:rsid w:val="149C1746"/>
    <w:rsid w:val="14C25DE1"/>
    <w:rsid w:val="14C53C34"/>
    <w:rsid w:val="158B2557"/>
    <w:rsid w:val="15FF1257"/>
    <w:rsid w:val="16053F57"/>
    <w:rsid w:val="160A26DF"/>
    <w:rsid w:val="16223ECC"/>
    <w:rsid w:val="16306D10"/>
    <w:rsid w:val="1652062D"/>
    <w:rsid w:val="16791DB9"/>
    <w:rsid w:val="16F23667"/>
    <w:rsid w:val="17460F5D"/>
    <w:rsid w:val="17815CD9"/>
    <w:rsid w:val="17947A02"/>
    <w:rsid w:val="17DE59AC"/>
    <w:rsid w:val="18927233"/>
    <w:rsid w:val="18BB5330"/>
    <w:rsid w:val="191B0418"/>
    <w:rsid w:val="195126C9"/>
    <w:rsid w:val="19564C87"/>
    <w:rsid w:val="197E58BE"/>
    <w:rsid w:val="199C424E"/>
    <w:rsid w:val="19F16D2F"/>
    <w:rsid w:val="1AB91A70"/>
    <w:rsid w:val="1ABB55E8"/>
    <w:rsid w:val="1AD30921"/>
    <w:rsid w:val="1AFB48AC"/>
    <w:rsid w:val="1B300E3A"/>
    <w:rsid w:val="1B4245BF"/>
    <w:rsid w:val="1BC143F6"/>
    <w:rsid w:val="1BC615F1"/>
    <w:rsid w:val="1BD4303B"/>
    <w:rsid w:val="1BDF1964"/>
    <w:rsid w:val="1C0C4EA5"/>
    <w:rsid w:val="1C4E5CF2"/>
    <w:rsid w:val="1C8D28EE"/>
    <w:rsid w:val="1C8F7FDA"/>
    <w:rsid w:val="1CC15766"/>
    <w:rsid w:val="1D204758"/>
    <w:rsid w:val="1D2710C1"/>
    <w:rsid w:val="1D295A04"/>
    <w:rsid w:val="1DE73213"/>
    <w:rsid w:val="1DF42CC1"/>
    <w:rsid w:val="1E8A2C83"/>
    <w:rsid w:val="1EBA0BEA"/>
    <w:rsid w:val="1F216BC3"/>
    <w:rsid w:val="1F461674"/>
    <w:rsid w:val="1F655A94"/>
    <w:rsid w:val="201168B8"/>
    <w:rsid w:val="20A730E0"/>
    <w:rsid w:val="20C448B5"/>
    <w:rsid w:val="216C2354"/>
    <w:rsid w:val="21A57D1B"/>
    <w:rsid w:val="21F92CFC"/>
    <w:rsid w:val="21FD0829"/>
    <w:rsid w:val="22964708"/>
    <w:rsid w:val="22A57BBE"/>
    <w:rsid w:val="22DB2627"/>
    <w:rsid w:val="23524AF1"/>
    <w:rsid w:val="235D6743"/>
    <w:rsid w:val="236C1977"/>
    <w:rsid w:val="23961BEE"/>
    <w:rsid w:val="240E566C"/>
    <w:rsid w:val="249F2D5C"/>
    <w:rsid w:val="24A5429E"/>
    <w:rsid w:val="24C22B02"/>
    <w:rsid w:val="24E750B6"/>
    <w:rsid w:val="256102CB"/>
    <w:rsid w:val="2615022D"/>
    <w:rsid w:val="26844B51"/>
    <w:rsid w:val="27396375"/>
    <w:rsid w:val="27800087"/>
    <w:rsid w:val="27806CA5"/>
    <w:rsid w:val="27C47F80"/>
    <w:rsid w:val="282F16CE"/>
    <w:rsid w:val="28447ADD"/>
    <w:rsid w:val="29061FDF"/>
    <w:rsid w:val="29B72FEA"/>
    <w:rsid w:val="29CC6F65"/>
    <w:rsid w:val="2A014610"/>
    <w:rsid w:val="2A0712EE"/>
    <w:rsid w:val="2A5F01E9"/>
    <w:rsid w:val="2AB7478C"/>
    <w:rsid w:val="2ADC2AFC"/>
    <w:rsid w:val="2B110010"/>
    <w:rsid w:val="2B3541C5"/>
    <w:rsid w:val="2B48396A"/>
    <w:rsid w:val="2B66100B"/>
    <w:rsid w:val="2BC90EF1"/>
    <w:rsid w:val="2BE6418A"/>
    <w:rsid w:val="2C190755"/>
    <w:rsid w:val="2C6B26FD"/>
    <w:rsid w:val="2C9B5D9D"/>
    <w:rsid w:val="2CA37EE1"/>
    <w:rsid w:val="2CA91FDA"/>
    <w:rsid w:val="2CD61F5D"/>
    <w:rsid w:val="2D0976FA"/>
    <w:rsid w:val="2D13220D"/>
    <w:rsid w:val="2E3958BA"/>
    <w:rsid w:val="2F550663"/>
    <w:rsid w:val="2F9C76D3"/>
    <w:rsid w:val="30007A16"/>
    <w:rsid w:val="302249DF"/>
    <w:rsid w:val="306455CC"/>
    <w:rsid w:val="306B7868"/>
    <w:rsid w:val="308D611F"/>
    <w:rsid w:val="31024DFC"/>
    <w:rsid w:val="311F0FC4"/>
    <w:rsid w:val="317B4AC7"/>
    <w:rsid w:val="318B097D"/>
    <w:rsid w:val="31E304FE"/>
    <w:rsid w:val="31F65C2F"/>
    <w:rsid w:val="32673A99"/>
    <w:rsid w:val="32675204"/>
    <w:rsid w:val="335B4F1E"/>
    <w:rsid w:val="336646CB"/>
    <w:rsid w:val="337A0D6D"/>
    <w:rsid w:val="33B35402"/>
    <w:rsid w:val="33E621AB"/>
    <w:rsid w:val="34027FCA"/>
    <w:rsid w:val="34046AC4"/>
    <w:rsid w:val="345C0152"/>
    <w:rsid w:val="345D5527"/>
    <w:rsid w:val="3479178D"/>
    <w:rsid w:val="34A21A38"/>
    <w:rsid w:val="34E24D89"/>
    <w:rsid w:val="34F74DB1"/>
    <w:rsid w:val="35395919"/>
    <w:rsid w:val="3630053A"/>
    <w:rsid w:val="36331196"/>
    <w:rsid w:val="363D4A5B"/>
    <w:rsid w:val="365F1976"/>
    <w:rsid w:val="37272EB1"/>
    <w:rsid w:val="37821907"/>
    <w:rsid w:val="37891C25"/>
    <w:rsid w:val="37960691"/>
    <w:rsid w:val="38162570"/>
    <w:rsid w:val="382C6DEA"/>
    <w:rsid w:val="38505A06"/>
    <w:rsid w:val="38720C44"/>
    <w:rsid w:val="38DD4B80"/>
    <w:rsid w:val="38F204EA"/>
    <w:rsid w:val="391A54C5"/>
    <w:rsid w:val="39C944DB"/>
    <w:rsid w:val="3A232F1C"/>
    <w:rsid w:val="3A473B9F"/>
    <w:rsid w:val="3A77574F"/>
    <w:rsid w:val="3AC758FD"/>
    <w:rsid w:val="3AFB10F8"/>
    <w:rsid w:val="3B23674D"/>
    <w:rsid w:val="3B4958F5"/>
    <w:rsid w:val="3B512FAB"/>
    <w:rsid w:val="3C722620"/>
    <w:rsid w:val="3D4D7ED1"/>
    <w:rsid w:val="3D7B789B"/>
    <w:rsid w:val="3D822FBF"/>
    <w:rsid w:val="3DD54712"/>
    <w:rsid w:val="3DD929B4"/>
    <w:rsid w:val="3E3E5E81"/>
    <w:rsid w:val="3E6F702B"/>
    <w:rsid w:val="3EAD0F67"/>
    <w:rsid w:val="3EBA75AD"/>
    <w:rsid w:val="3EDE5830"/>
    <w:rsid w:val="3F4F3F06"/>
    <w:rsid w:val="3F801E45"/>
    <w:rsid w:val="3FC41290"/>
    <w:rsid w:val="40043C3B"/>
    <w:rsid w:val="409032E7"/>
    <w:rsid w:val="40AE2FC9"/>
    <w:rsid w:val="40B56B5E"/>
    <w:rsid w:val="40BF3C06"/>
    <w:rsid w:val="40C44A5B"/>
    <w:rsid w:val="40EE0BC4"/>
    <w:rsid w:val="40EE0C26"/>
    <w:rsid w:val="414923F9"/>
    <w:rsid w:val="41690C54"/>
    <w:rsid w:val="419634F6"/>
    <w:rsid w:val="419D360F"/>
    <w:rsid w:val="41CA200B"/>
    <w:rsid w:val="42120087"/>
    <w:rsid w:val="426A00E1"/>
    <w:rsid w:val="42AA21B1"/>
    <w:rsid w:val="433345FF"/>
    <w:rsid w:val="43340C18"/>
    <w:rsid w:val="435D1B8A"/>
    <w:rsid w:val="445C0413"/>
    <w:rsid w:val="44AE5D2C"/>
    <w:rsid w:val="44DE49F4"/>
    <w:rsid w:val="4641654C"/>
    <w:rsid w:val="4698692D"/>
    <w:rsid w:val="47393E75"/>
    <w:rsid w:val="47622F7D"/>
    <w:rsid w:val="481E0146"/>
    <w:rsid w:val="482C45B3"/>
    <w:rsid w:val="48804037"/>
    <w:rsid w:val="49431BB4"/>
    <w:rsid w:val="496D230A"/>
    <w:rsid w:val="49882928"/>
    <w:rsid w:val="49A8338E"/>
    <w:rsid w:val="49AE0B99"/>
    <w:rsid w:val="4A6716B1"/>
    <w:rsid w:val="4A8C5D91"/>
    <w:rsid w:val="4AAA7B6D"/>
    <w:rsid w:val="4AF4055F"/>
    <w:rsid w:val="4AF86DAB"/>
    <w:rsid w:val="4B0974EA"/>
    <w:rsid w:val="4B2E0D3A"/>
    <w:rsid w:val="4B4E3E71"/>
    <w:rsid w:val="4B86222C"/>
    <w:rsid w:val="4BA626A8"/>
    <w:rsid w:val="4BAA0B90"/>
    <w:rsid w:val="4BB445C7"/>
    <w:rsid w:val="4BB9153C"/>
    <w:rsid w:val="4C0D22FF"/>
    <w:rsid w:val="4C2B0669"/>
    <w:rsid w:val="4C82206C"/>
    <w:rsid w:val="4CD76580"/>
    <w:rsid w:val="4D022FF6"/>
    <w:rsid w:val="4D305B1B"/>
    <w:rsid w:val="4D370C96"/>
    <w:rsid w:val="4D386B7D"/>
    <w:rsid w:val="4D6048B6"/>
    <w:rsid w:val="4D7F1F83"/>
    <w:rsid w:val="4DCB2DEE"/>
    <w:rsid w:val="4DDB0FD2"/>
    <w:rsid w:val="4DF2028E"/>
    <w:rsid w:val="4E514D1D"/>
    <w:rsid w:val="4E656EA0"/>
    <w:rsid w:val="4EB526BE"/>
    <w:rsid w:val="4EFF4818"/>
    <w:rsid w:val="4F127646"/>
    <w:rsid w:val="4F2658E6"/>
    <w:rsid w:val="4F4817D7"/>
    <w:rsid w:val="4F507AB3"/>
    <w:rsid w:val="4F546F67"/>
    <w:rsid w:val="4FC24E73"/>
    <w:rsid w:val="4FD3745D"/>
    <w:rsid w:val="5023163A"/>
    <w:rsid w:val="512852F7"/>
    <w:rsid w:val="513B6058"/>
    <w:rsid w:val="516C6AE1"/>
    <w:rsid w:val="517B1D2D"/>
    <w:rsid w:val="517B2107"/>
    <w:rsid w:val="5181382D"/>
    <w:rsid w:val="51985502"/>
    <w:rsid w:val="51AE75E4"/>
    <w:rsid w:val="51E5538B"/>
    <w:rsid w:val="51F400D2"/>
    <w:rsid w:val="5204285E"/>
    <w:rsid w:val="52670DFD"/>
    <w:rsid w:val="52785534"/>
    <w:rsid w:val="528A37CD"/>
    <w:rsid w:val="52BD258C"/>
    <w:rsid w:val="52D203BA"/>
    <w:rsid w:val="531063F7"/>
    <w:rsid w:val="535B7AFB"/>
    <w:rsid w:val="536A3B35"/>
    <w:rsid w:val="538C34E6"/>
    <w:rsid w:val="53B5450E"/>
    <w:rsid w:val="53E75837"/>
    <w:rsid w:val="53FE6AAC"/>
    <w:rsid w:val="541019E4"/>
    <w:rsid w:val="54162CB9"/>
    <w:rsid w:val="54364BD1"/>
    <w:rsid w:val="5495037A"/>
    <w:rsid w:val="54CB4FB3"/>
    <w:rsid w:val="553414E8"/>
    <w:rsid w:val="5552317F"/>
    <w:rsid w:val="5556544E"/>
    <w:rsid w:val="556F0AE2"/>
    <w:rsid w:val="558579B0"/>
    <w:rsid w:val="55EE18CD"/>
    <w:rsid w:val="561B299F"/>
    <w:rsid w:val="5664556E"/>
    <w:rsid w:val="569F63B1"/>
    <w:rsid w:val="56C27928"/>
    <w:rsid w:val="56F36FE3"/>
    <w:rsid w:val="570D36DB"/>
    <w:rsid w:val="57120E85"/>
    <w:rsid w:val="571B76A9"/>
    <w:rsid w:val="572C7FC5"/>
    <w:rsid w:val="577142C6"/>
    <w:rsid w:val="57796B15"/>
    <w:rsid w:val="57DB3900"/>
    <w:rsid w:val="57E74053"/>
    <w:rsid w:val="57F624E8"/>
    <w:rsid w:val="58686630"/>
    <w:rsid w:val="588C3589"/>
    <w:rsid w:val="593178E3"/>
    <w:rsid w:val="59B57B4E"/>
    <w:rsid w:val="59C67D23"/>
    <w:rsid w:val="5A2623B3"/>
    <w:rsid w:val="5A4157B1"/>
    <w:rsid w:val="5A7C5747"/>
    <w:rsid w:val="5ACC0278"/>
    <w:rsid w:val="5AD10313"/>
    <w:rsid w:val="5B0D03FB"/>
    <w:rsid w:val="5B8A2737"/>
    <w:rsid w:val="5BB07937"/>
    <w:rsid w:val="5BBC0D30"/>
    <w:rsid w:val="5BD91EEC"/>
    <w:rsid w:val="5BF051ED"/>
    <w:rsid w:val="5C6D2645"/>
    <w:rsid w:val="5C720ED8"/>
    <w:rsid w:val="5C9851D0"/>
    <w:rsid w:val="5C9D6604"/>
    <w:rsid w:val="5CCD639B"/>
    <w:rsid w:val="5CD1439B"/>
    <w:rsid w:val="5D237B88"/>
    <w:rsid w:val="5D7B70DE"/>
    <w:rsid w:val="5DD53219"/>
    <w:rsid w:val="5E4B2F28"/>
    <w:rsid w:val="5E960B07"/>
    <w:rsid w:val="5E9E1FD1"/>
    <w:rsid w:val="5F5C5326"/>
    <w:rsid w:val="5FB91982"/>
    <w:rsid w:val="60901FD5"/>
    <w:rsid w:val="609229A2"/>
    <w:rsid w:val="60B96500"/>
    <w:rsid w:val="60DF0E81"/>
    <w:rsid w:val="613642A1"/>
    <w:rsid w:val="618F4AE0"/>
    <w:rsid w:val="625C0670"/>
    <w:rsid w:val="62751016"/>
    <w:rsid w:val="629C1A2A"/>
    <w:rsid w:val="62C76D4E"/>
    <w:rsid w:val="62E83FAD"/>
    <w:rsid w:val="62EC1B41"/>
    <w:rsid w:val="62FA63B7"/>
    <w:rsid w:val="63675A5B"/>
    <w:rsid w:val="63FF57A5"/>
    <w:rsid w:val="6445000F"/>
    <w:rsid w:val="644F0DF1"/>
    <w:rsid w:val="64530E3E"/>
    <w:rsid w:val="64B13109"/>
    <w:rsid w:val="64BB3F60"/>
    <w:rsid w:val="64BF104C"/>
    <w:rsid w:val="64E51253"/>
    <w:rsid w:val="65217819"/>
    <w:rsid w:val="65A85197"/>
    <w:rsid w:val="674738A3"/>
    <w:rsid w:val="67491A44"/>
    <w:rsid w:val="68162E4B"/>
    <w:rsid w:val="69317714"/>
    <w:rsid w:val="69462B95"/>
    <w:rsid w:val="699B77F3"/>
    <w:rsid w:val="69D43937"/>
    <w:rsid w:val="69FC0183"/>
    <w:rsid w:val="69FD0F36"/>
    <w:rsid w:val="6A090F32"/>
    <w:rsid w:val="6A5D1F52"/>
    <w:rsid w:val="6A7A15FA"/>
    <w:rsid w:val="6A9726A7"/>
    <w:rsid w:val="6ACD1491"/>
    <w:rsid w:val="6B0C230E"/>
    <w:rsid w:val="6B147775"/>
    <w:rsid w:val="6B275ABF"/>
    <w:rsid w:val="6B911426"/>
    <w:rsid w:val="6BBE270F"/>
    <w:rsid w:val="6BF665EC"/>
    <w:rsid w:val="6C0442F4"/>
    <w:rsid w:val="6C61541D"/>
    <w:rsid w:val="6C7F29FD"/>
    <w:rsid w:val="6C866F2A"/>
    <w:rsid w:val="6CB157D6"/>
    <w:rsid w:val="6D443CEF"/>
    <w:rsid w:val="6E0B2405"/>
    <w:rsid w:val="6E186452"/>
    <w:rsid w:val="6E7663A9"/>
    <w:rsid w:val="6EF265F1"/>
    <w:rsid w:val="6EF56AEC"/>
    <w:rsid w:val="6F0E46F1"/>
    <w:rsid w:val="6F0F0FE4"/>
    <w:rsid w:val="6F162AC9"/>
    <w:rsid w:val="6F516FA1"/>
    <w:rsid w:val="6FDD1FDB"/>
    <w:rsid w:val="6FFC5415"/>
    <w:rsid w:val="701863F3"/>
    <w:rsid w:val="704D5ED8"/>
    <w:rsid w:val="70700401"/>
    <w:rsid w:val="70FD6340"/>
    <w:rsid w:val="7115223B"/>
    <w:rsid w:val="7120443D"/>
    <w:rsid w:val="71333A0D"/>
    <w:rsid w:val="71600E88"/>
    <w:rsid w:val="72BF19FE"/>
    <w:rsid w:val="733D49C7"/>
    <w:rsid w:val="73942E89"/>
    <w:rsid w:val="745361EF"/>
    <w:rsid w:val="748A706D"/>
    <w:rsid w:val="74CA671D"/>
    <w:rsid w:val="74DF579C"/>
    <w:rsid w:val="75015B2D"/>
    <w:rsid w:val="751E6156"/>
    <w:rsid w:val="75204FF0"/>
    <w:rsid w:val="758A7EE8"/>
    <w:rsid w:val="76420391"/>
    <w:rsid w:val="76AD1575"/>
    <w:rsid w:val="76B746FC"/>
    <w:rsid w:val="76F31C17"/>
    <w:rsid w:val="77472598"/>
    <w:rsid w:val="779944AF"/>
    <w:rsid w:val="779E04A9"/>
    <w:rsid w:val="77CE05A6"/>
    <w:rsid w:val="77DA0E3D"/>
    <w:rsid w:val="78096351"/>
    <w:rsid w:val="78593167"/>
    <w:rsid w:val="787C31BE"/>
    <w:rsid w:val="791E1C5F"/>
    <w:rsid w:val="794266E2"/>
    <w:rsid w:val="79432F5E"/>
    <w:rsid w:val="794874CE"/>
    <w:rsid w:val="79CE2AB8"/>
    <w:rsid w:val="7A5441CC"/>
    <w:rsid w:val="7A5D209E"/>
    <w:rsid w:val="7A5D73D7"/>
    <w:rsid w:val="7B5226A9"/>
    <w:rsid w:val="7B8E1BD1"/>
    <w:rsid w:val="7BA56508"/>
    <w:rsid w:val="7BDB65A8"/>
    <w:rsid w:val="7C4B255E"/>
    <w:rsid w:val="7C6F11CF"/>
    <w:rsid w:val="7C742A29"/>
    <w:rsid w:val="7C9D339B"/>
    <w:rsid w:val="7D7E303B"/>
    <w:rsid w:val="7DE37680"/>
    <w:rsid w:val="7E1552F8"/>
    <w:rsid w:val="7E2648D3"/>
    <w:rsid w:val="7E2A45E6"/>
    <w:rsid w:val="7E4D381D"/>
    <w:rsid w:val="7E7E072A"/>
    <w:rsid w:val="7E8D5101"/>
    <w:rsid w:val="7E9544D5"/>
    <w:rsid w:val="7F177257"/>
    <w:rsid w:val="7F463C62"/>
    <w:rsid w:val="7F62336B"/>
    <w:rsid w:val="7F8A7140"/>
    <w:rsid w:val="7F8A784D"/>
    <w:rsid w:val="7FAD4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360" w:lineRule="auto"/>
      <w:jc w:val="center"/>
      <w:outlineLvl w:val="0"/>
    </w:pPr>
    <w:rPr>
      <w:rFonts w:ascii="Cambria" w:hAnsi="Cambria" w:cs="宋体"/>
      <w:b/>
      <w:color w:val="000000"/>
      <w:kern w:val="0"/>
      <w:sz w:val="36"/>
      <w:szCs w:val="36"/>
    </w:rPr>
  </w:style>
  <w:style w:type="paragraph" w:styleId="4">
    <w:name w:val="heading 2"/>
    <w:basedOn w:val="1"/>
    <w:next w:val="1"/>
    <w:qFormat/>
    <w:uiPriority w:val="0"/>
    <w:pPr>
      <w:keepNext/>
      <w:keepLines/>
      <w:snapToGrid w:val="0"/>
      <w:spacing w:line="360" w:lineRule="auto"/>
      <w:jc w:val="center"/>
      <w:outlineLvl w:val="1"/>
    </w:pPr>
    <w:rPr>
      <w:rFonts w:ascii="宋体" w:hAnsi="宋体"/>
      <w:b/>
      <w:color w:val="000000"/>
      <w:kern w:val="0"/>
      <w:sz w:val="32"/>
      <w:szCs w:val="32"/>
    </w:rPr>
  </w:style>
  <w:style w:type="paragraph" w:styleId="5">
    <w:name w:val="heading 3"/>
    <w:basedOn w:val="1"/>
    <w:next w:val="1"/>
    <w:qFormat/>
    <w:uiPriority w:val="9"/>
    <w:pPr>
      <w:keepNext/>
      <w:keepLines/>
      <w:spacing w:before="260" w:after="260" w:line="416" w:lineRule="auto"/>
      <w:outlineLvl w:val="2"/>
    </w:pPr>
    <w:rPr>
      <w:rFonts w:hAnsi="Times New Roman" w:cs="Times New Roman"/>
      <w:b/>
      <w:bCs/>
      <w:sz w:val="32"/>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spacing w:line="360" w:lineRule="auto"/>
      <w:ind w:left="200" w:leftChars="200" w:hanging="200" w:hangingChars="200"/>
    </w:pPr>
    <w:rPr>
      <w:rFonts w:ascii="Calibri" w:hAnsi="Calibri" w:eastAsia="宋体" w:cs="Times New Roman"/>
      <w:sz w:val="32"/>
    </w:rPr>
  </w:style>
  <w:style w:type="paragraph" w:styleId="6">
    <w:name w:val="Body Text"/>
    <w:basedOn w:val="1"/>
    <w:next w:val="1"/>
    <w:qFormat/>
    <w:uiPriority w:val="0"/>
    <w:rPr>
      <w:rFonts w:hAnsi="等线" w:eastAsia="等线"/>
      <w:szCs w:val="30"/>
    </w:rPr>
  </w:style>
  <w:style w:type="paragraph" w:styleId="7">
    <w:name w:val="Body Text Indent"/>
    <w:basedOn w:val="1"/>
    <w:qFormat/>
    <w:uiPriority w:val="99"/>
    <w:pPr>
      <w:spacing w:after="120"/>
      <w:ind w:left="420" w:leftChars="200"/>
    </w:pPr>
    <w:rPr>
      <w:kern w:val="0"/>
      <w:sz w:val="20"/>
      <w:szCs w:val="20"/>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footnote text"/>
    <w:basedOn w:val="1"/>
    <w:unhideWhenUsed/>
    <w:qFormat/>
    <w:uiPriority w:val="99"/>
    <w:pPr>
      <w:snapToGrid w:val="0"/>
      <w:jc w:val="left"/>
    </w:pPr>
    <w:rPr>
      <w:sz w:val="18"/>
      <w:szCs w:val="18"/>
    </w:rPr>
  </w:style>
  <w:style w:type="paragraph" w:styleId="13">
    <w:name w:val="toc 2"/>
    <w:basedOn w:val="1"/>
    <w:next w:val="1"/>
    <w:qFormat/>
    <w:uiPriority w:val="0"/>
    <w:pPr>
      <w:ind w:left="420" w:leftChars="200"/>
    </w:pPr>
  </w:style>
  <w:style w:type="paragraph" w:styleId="14">
    <w:name w:val="Body Text First Indent"/>
    <w:basedOn w:val="6"/>
    <w:next w:val="15"/>
    <w:qFormat/>
    <w:uiPriority w:val="0"/>
    <w:pPr>
      <w:ind w:firstLine="420" w:firstLineChars="100"/>
    </w:pPr>
  </w:style>
  <w:style w:type="paragraph" w:styleId="15">
    <w:name w:val="Body Text First Indent 2"/>
    <w:basedOn w:val="7"/>
    <w:qFormat/>
    <w:uiPriority w:val="0"/>
    <w:pPr>
      <w:widowControl w:val="0"/>
      <w:spacing w:after="0"/>
      <w:ind w:firstLine="420"/>
      <w:jc w:val="both"/>
    </w:pPr>
    <w:rPr>
      <w:rFonts w:ascii="Calibri" w:hAnsi="Calibri" w:eastAsia="宋体" w:cs="Times New Roman"/>
      <w:kern w:val="2"/>
      <w:szCs w:val="24"/>
    </w:rPr>
  </w:style>
  <w:style w:type="table" w:styleId="17">
    <w:name w:val="Table Grid"/>
    <w:basedOn w:val="16"/>
    <w:qFormat/>
    <w:uiPriority w:val="0"/>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9">
    <w:name w:val="Strong"/>
    <w:basedOn w:val="18"/>
    <w:qFormat/>
    <w:uiPriority w:val="0"/>
    <w:rPr>
      <w:b/>
    </w:rPr>
  </w:style>
  <w:style w:type="paragraph" w:customStyle="1" w:styleId="20">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 w:type="paragraph" w:customStyle="1" w:styleId="23">
    <w:name w:val="Default"/>
    <w:unhideWhenUsed/>
    <w:qFormat/>
    <w:uiPriority w:val="99"/>
    <w:pPr>
      <w:widowControl w:val="0"/>
      <w:autoSpaceDE w:val="0"/>
      <w:autoSpaceDN w:val="0"/>
      <w:adjustRightInd w:val="0"/>
      <w:spacing w:beforeLines="0" w:afterLines="0"/>
    </w:pPr>
    <w:rPr>
      <w:rFonts w:hint="eastAsia" w:ascii="Times New Roman" w:hAnsi="Times New Roman" w:eastAsia="Times New Roman" w:cs="Times New Roman"/>
      <w:color w:val="000000"/>
      <w:sz w:val="24"/>
      <w:szCs w:val="24"/>
    </w:rPr>
  </w:style>
  <w:style w:type="paragraph" w:customStyle="1" w:styleId="24">
    <w:name w:val="铝土矿正文"/>
    <w:basedOn w:val="1"/>
    <w:qFormat/>
    <w:uiPriority w:val="0"/>
    <w:pPr>
      <w:spacing w:line="500" w:lineRule="exact"/>
      <w:ind w:firstLine="480" w:firstLineChars="200"/>
    </w:pPr>
    <w:rPr>
      <w:rFonts w:ascii="仿宋_GB2312" w:eastAsia="仿宋_GB2312"/>
      <w:sz w:val="24"/>
      <w:szCs w:val="24"/>
    </w:rPr>
  </w:style>
  <w:style w:type="character" w:customStyle="1" w:styleId="25">
    <w:name w:val="font31"/>
    <w:basedOn w:val="18"/>
    <w:qFormat/>
    <w:uiPriority w:val="0"/>
    <w:rPr>
      <w:rFonts w:hint="eastAsia" w:ascii="仿宋" w:hAnsi="仿宋" w:eastAsia="仿宋" w:cs="仿宋"/>
      <w:color w:val="000000"/>
      <w:sz w:val="21"/>
      <w:szCs w:val="21"/>
      <w:u w:val="none"/>
    </w:rPr>
  </w:style>
  <w:style w:type="character" w:customStyle="1" w:styleId="26">
    <w:name w:val="font51"/>
    <w:basedOn w:val="18"/>
    <w:qFormat/>
    <w:uiPriority w:val="0"/>
    <w:rPr>
      <w:rFonts w:hint="eastAsia" w:ascii="仿宋" w:hAnsi="仿宋" w:eastAsia="仿宋" w:cs="仿宋"/>
      <w:color w:val="000000"/>
      <w:sz w:val="21"/>
      <w:szCs w:val="21"/>
      <w:u w:val="none"/>
      <w:vertAlign w:val="subscript"/>
    </w:rPr>
  </w:style>
  <w:style w:type="paragraph" w:customStyle="1" w:styleId="27">
    <w:name w:val="BodyText1I"/>
    <w:basedOn w:val="28"/>
    <w:next w:val="30"/>
    <w:qFormat/>
    <w:uiPriority w:val="0"/>
    <w:pPr>
      <w:spacing w:before="0" w:after="120"/>
      <w:ind w:firstLine="420" w:firstLineChars="100"/>
    </w:pPr>
    <w:rPr>
      <w:sz w:val="20"/>
      <w:szCs w:val="22"/>
    </w:rPr>
  </w:style>
  <w:style w:type="paragraph" w:customStyle="1" w:styleId="28">
    <w:name w:val="BodyText"/>
    <w:basedOn w:val="1"/>
    <w:next w:val="29"/>
    <w:qFormat/>
    <w:uiPriority w:val="0"/>
    <w:pPr>
      <w:spacing w:before="120" w:after="240"/>
      <w:textAlignment w:val="baseline"/>
    </w:pPr>
    <w:rPr>
      <w:rFonts w:ascii="Calibri" w:hAnsi="Calibri" w:eastAsia="宋体"/>
      <w:szCs w:val="20"/>
    </w:rPr>
  </w:style>
  <w:style w:type="paragraph" w:customStyle="1" w:styleId="29">
    <w:name w:val="BodyText2"/>
    <w:basedOn w:val="1"/>
    <w:qFormat/>
    <w:uiPriority w:val="0"/>
    <w:pPr>
      <w:widowControl/>
      <w:numPr>
        <w:ilvl w:val="0"/>
        <w:numId w:val="1"/>
      </w:numPr>
      <w:spacing w:before="156" w:line="336" w:lineRule="auto"/>
      <w:ind w:left="0" w:firstLine="0"/>
      <w:textAlignment w:val="baseline"/>
    </w:pPr>
    <w:rPr>
      <w:rFonts w:ascii="Times New Roman" w:hAnsi="Times New Roman" w:eastAsia="黑体"/>
      <w:szCs w:val="20"/>
      <w:lang w:val="en-GB"/>
    </w:rPr>
  </w:style>
  <w:style w:type="paragraph" w:customStyle="1" w:styleId="30">
    <w:name w:val="BodyText1I2"/>
    <w:basedOn w:val="31"/>
    <w:qFormat/>
    <w:uiPriority w:val="0"/>
    <w:pPr>
      <w:ind w:firstLine="420"/>
    </w:pPr>
  </w:style>
  <w:style w:type="paragraph" w:customStyle="1" w:styleId="31">
    <w:name w:val="BodyTextIndent"/>
    <w:basedOn w:val="1"/>
    <w:qFormat/>
    <w:uiPriority w:val="0"/>
    <w:pPr>
      <w:spacing w:line="560" w:lineRule="atLeast"/>
      <w:ind w:firstLine="560" w:firstLineChars="200"/>
      <w:textAlignment w:val="baseline"/>
    </w:pPr>
    <w:rPr>
      <w:rFonts w:ascii="Calibri" w:hAnsi="Calibri" w:eastAsia="宋体"/>
    </w:rPr>
  </w:style>
  <w:style w:type="character" w:customStyle="1" w:styleId="32">
    <w:name w:val="font11"/>
    <w:basedOn w:val="18"/>
    <w:qFormat/>
    <w:uiPriority w:val="0"/>
    <w:rPr>
      <w:rFonts w:hint="eastAsia" w:ascii="仿宋" w:hAnsi="仿宋" w:eastAsia="仿宋" w:cs="仿宋"/>
      <w:color w:val="000000"/>
      <w:sz w:val="21"/>
      <w:szCs w:val="21"/>
      <w:u w:val="none"/>
      <w:vertAlign w:val="sub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13051</Words>
  <Characters>13531</Characters>
  <Lines>0</Lines>
  <Paragraphs>0</Paragraphs>
  <TotalTime>5</TotalTime>
  <ScaleCrop>false</ScaleCrop>
  <LinksUpToDate>false</LinksUpToDate>
  <CharactersWithSpaces>13760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2021-03-15T06:57:00Z</dcterms:created>
  <dc:creator>Administrator</dc:creator>
  <cp:lastModifiedBy>Dean.J</cp:lastModifiedBy>
  <cp:lastPrinted>2022-07-27T01:09:00Z</cp:lastPrinted>
  <dcterms:modified xsi:type="dcterms:W3CDTF">2023-03-01T00:46:26Z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B2839977F0004BFAABA7051D549AB4F8</vt:lpwstr>
  </property>
</Properties>
</file>