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西峡县定价目录</w:t>
      </w:r>
    </w:p>
    <w:p>
      <w:pPr>
        <w:rPr>
          <w:rFonts w:hint="eastAsia"/>
          <w:lang w:val="en-US" w:eastAsia="zh-CN"/>
        </w:rPr>
      </w:pPr>
    </w:p>
    <w:tbl>
      <w:tblPr>
        <w:tblStyle w:val="3"/>
        <w:tblW w:w="14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04"/>
        <w:gridCol w:w="1578"/>
        <w:gridCol w:w="180"/>
        <w:gridCol w:w="1175"/>
        <w:gridCol w:w="1975"/>
        <w:gridCol w:w="2730"/>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Align w:val="center"/>
          </w:tcPr>
          <w:p>
            <w:pPr>
              <w:bidi w:val="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序号</w:t>
            </w:r>
          </w:p>
        </w:tc>
        <w:tc>
          <w:tcPr>
            <w:tcW w:w="2104"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项目</w:t>
            </w:r>
          </w:p>
        </w:tc>
        <w:tc>
          <w:tcPr>
            <w:tcW w:w="4908" w:type="dxa"/>
            <w:gridSpan w:val="4"/>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定价内容</w:t>
            </w:r>
          </w:p>
        </w:tc>
        <w:tc>
          <w:tcPr>
            <w:tcW w:w="2730"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定价部门</w:t>
            </w:r>
          </w:p>
        </w:tc>
        <w:tc>
          <w:tcPr>
            <w:tcW w:w="4005"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5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104"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油气管道运输和燃气</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管道燃气配气价格和销售价格</w:t>
            </w:r>
          </w:p>
        </w:tc>
        <w:tc>
          <w:tcPr>
            <w:tcW w:w="2730"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850" w:type="dxa"/>
            <w:vMerge w:val="restart"/>
            <w:vAlign w:val="center"/>
          </w:tcPr>
          <w:p>
            <w:pPr>
              <w:jc w:val="center"/>
              <w:rPr>
                <w:rFonts w:hint="eastAsia" w:eastAsiaTheme="minorEastAsia"/>
                <w:lang w:val="en-US" w:eastAsia="zh-CN"/>
              </w:rPr>
            </w:pPr>
            <w:r>
              <w:rPr>
                <w:rFonts w:hint="eastAsia"/>
                <w:sz w:val="28"/>
                <w:szCs w:val="28"/>
                <w:vertAlign w:val="baseline"/>
                <w:lang w:val="en-US" w:eastAsia="zh-CN"/>
              </w:rPr>
              <w:t>2</w:t>
            </w:r>
          </w:p>
        </w:tc>
        <w:tc>
          <w:tcPr>
            <w:tcW w:w="2104" w:type="dxa"/>
            <w:vMerge w:val="restart"/>
            <w:vAlign w:val="center"/>
          </w:tcPr>
          <w:p>
            <w:pPr>
              <w:jc w:val="center"/>
              <w:rPr>
                <w:rFonts w:hint="default" w:eastAsiaTheme="minorEastAsia"/>
                <w:lang w:val="en-US" w:eastAsia="zh-CN"/>
              </w:rPr>
            </w:pPr>
            <w:r>
              <w:rPr>
                <w:rFonts w:hint="eastAsia" w:ascii="仿宋" w:hAnsi="仿宋" w:eastAsia="仿宋" w:cs="仿宋"/>
                <w:sz w:val="28"/>
                <w:szCs w:val="28"/>
                <w:vertAlign w:val="baseline"/>
                <w:lang w:val="en-US" w:eastAsia="zh-CN"/>
              </w:rPr>
              <w:t>供水</w:t>
            </w:r>
          </w:p>
        </w:tc>
        <w:tc>
          <w:tcPr>
            <w:tcW w:w="1578" w:type="dxa"/>
            <w:vAlign w:val="center"/>
          </w:tcPr>
          <w:p>
            <w:pPr>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水利工程供水</w:t>
            </w:r>
          </w:p>
        </w:tc>
        <w:tc>
          <w:tcPr>
            <w:tcW w:w="3330" w:type="dxa"/>
            <w:gridSpan w:val="3"/>
            <w:vAlign w:val="center"/>
          </w:tcPr>
          <w:p>
            <w:pP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县属水利工程的供水价格</w:t>
            </w:r>
          </w:p>
        </w:tc>
        <w:tc>
          <w:tcPr>
            <w:tcW w:w="2730" w:type="dxa"/>
            <w:vAlign w:val="center"/>
          </w:tcPr>
          <w:p>
            <w:r>
              <w:rPr>
                <w:rFonts w:hint="eastAsia" w:ascii="仿宋" w:hAnsi="仿宋" w:eastAsia="仿宋" w:cs="仿宋"/>
                <w:sz w:val="28"/>
                <w:szCs w:val="28"/>
                <w:vertAlign w:val="baseline"/>
                <w:lang w:val="en-US" w:eastAsia="zh-CN"/>
              </w:rPr>
              <w:t>授权县人民政府</w:t>
            </w:r>
          </w:p>
        </w:tc>
        <w:tc>
          <w:tcPr>
            <w:tcW w:w="4005" w:type="dxa"/>
            <w:vAlign w:val="center"/>
          </w:tcPr>
          <w:p>
            <w:pPr>
              <w:rPr>
                <w:rFonts w:hint="default" w:eastAsiaTheme="minorEastAsia"/>
                <w:lang w:val="en-US" w:eastAsia="zh-CN"/>
              </w:rPr>
            </w:pPr>
            <w:r>
              <w:rPr>
                <w:rFonts w:hint="eastAsia" w:ascii="仿宋" w:hAnsi="仿宋" w:eastAsia="仿宋" w:cs="仿宋"/>
                <w:sz w:val="28"/>
                <w:szCs w:val="28"/>
                <w:vertAlign w:val="baseline"/>
                <w:lang w:val="en-US" w:eastAsia="zh-CN"/>
              </w:rPr>
              <w:t>水利工程由用户自建自用和通过协议明确由供需双方协商定价的部分除外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50" w:type="dxa"/>
            <w:vMerge w:val="continue"/>
            <w:vAlign w:val="center"/>
          </w:tcPr>
          <w:p>
            <w:pPr>
              <w:jc w:val="center"/>
              <w:rPr>
                <w:rFonts w:hint="default"/>
                <w:sz w:val="28"/>
                <w:szCs w:val="28"/>
                <w:vertAlign w:val="baseline"/>
                <w:lang w:val="en-US" w:eastAsia="zh-CN"/>
              </w:rPr>
            </w:pPr>
          </w:p>
        </w:tc>
        <w:tc>
          <w:tcPr>
            <w:tcW w:w="2104" w:type="dxa"/>
            <w:vMerge w:val="continue"/>
            <w:vAlign w:val="center"/>
          </w:tcPr>
          <w:p>
            <w:pPr>
              <w:rPr>
                <w:rFonts w:hint="eastAsia" w:ascii="仿宋" w:hAnsi="仿宋" w:eastAsia="仿宋" w:cs="仿宋"/>
                <w:sz w:val="28"/>
                <w:szCs w:val="28"/>
                <w:vertAlign w:val="baseline"/>
                <w:lang w:val="en-US" w:eastAsia="zh-CN"/>
              </w:rPr>
            </w:pP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辖区内城乡公共管网供应的自来水价格</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3</w:t>
            </w:r>
          </w:p>
        </w:tc>
        <w:tc>
          <w:tcPr>
            <w:tcW w:w="2104"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供热</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集中供热价格</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50" w:type="dxa"/>
            <w:vMerge w:val="restart"/>
            <w:vAlign w:val="center"/>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default"/>
                <w:sz w:val="28"/>
                <w:szCs w:val="28"/>
                <w:vertAlign w:val="baseline"/>
                <w:lang w:val="en-US" w:eastAsia="zh-CN"/>
              </w:rPr>
            </w:pPr>
            <w:r>
              <w:rPr>
                <w:rFonts w:hint="eastAsia"/>
                <w:sz w:val="28"/>
                <w:szCs w:val="28"/>
                <w:vertAlign w:val="baseline"/>
                <w:lang w:val="en-US" w:eastAsia="zh-CN"/>
              </w:rPr>
              <w:t>4</w:t>
            </w:r>
          </w:p>
          <w:p>
            <w:pPr>
              <w:rPr>
                <w:rFonts w:hint="default" w:ascii="仿宋" w:hAnsi="仿宋" w:eastAsia="仿宋" w:cs="仿宋"/>
                <w:sz w:val="28"/>
                <w:szCs w:val="28"/>
                <w:vertAlign w:val="baseline"/>
                <w:lang w:val="en-US" w:eastAsia="zh-CN"/>
              </w:rPr>
            </w:pPr>
          </w:p>
        </w:tc>
        <w:tc>
          <w:tcPr>
            <w:tcW w:w="2104" w:type="dxa"/>
            <w:vMerge w:val="restart"/>
            <w:vAlign w:val="center"/>
          </w:tcPr>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交通运输</w:t>
            </w:r>
          </w:p>
        </w:tc>
        <w:tc>
          <w:tcPr>
            <w:tcW w:w="1758" w:type="dxa"/>
            <w:gridSpan w:val="2"/>
            <w:vMerge w:val="restart"/>
            <w:vAlign w:val="center"/>
          </w:tcPr>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道路交通</w:t>
            </w:r>
          </w:p>
        </w:tc>
        <w:tc>
          <w:tcPr>
            <w:tcW w:w="3150" w:type="dxa"/>
            <w:gridSpan w:val="2"/>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道路班车客运价格</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定价范围为同一方向运输方式单一且同业竞争不充的班车客运价格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50" w:type="dxa"/>
            <w:vMerge w:val="continue"/>
            <w:vAlign w:val="center"/>
          </w:tcPr>
          <w:p/>
        </w:tc>
        <w:tc>
          <w:tcPr>
            <w:tcW w:w="2104" w:type="dxa"/>
            <w:vMerge w:val="continue"/>
            <w:vAlign w:val="center"/>
          </w:tcPr>
          <w:p/>
        </w:tc>
        <w:tc>
          <w:tcPr>
            <w:tcW w:w="1758" w:type="dxa"/>
            <w:gridSpan w:val="2"/>
            <w:vMerge w:val="continue"/>
            <w:vAlign w:val="center"/>
          </w:tcPr>
          <w:p/>
        </w:tc>
        <w:tc>
          <w:tcPr>
            <w:tcW w:w="3150" w:type="dxa"/>
            <w:gridSpan w:val="2"/>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农村道路客运价格</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定价范围为取得道路客运经营许可、按照固定线路运行或实行区域经营的农村客运价格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50" w:type="dxa"/>
            <w:vMerge w:val="continue"/>
            <w:vAlign w:val="center"/>
          </w:tcPr>
          <w:p/>
        </w:tc>
        <w:tc>
          <w:tcPr>
            <w:tcW w:w="2104" w:type="dxa"/>
            <w:vMerge w:val="continue"/>
            <w:vAlign w:val="center"/>
          </w:tcPr>
          <w:p/>
        </w:tc>
        <w:tc>
          <w:tcPr>
            <w:tcW w:w="1758" w:type="dxa"/>
            <w:gridSpan w:val="2"/>
            <w:vMerge w:val="continue"/>
            <w:vAlign w:val="center"/>
          </w:tcPr>
          <w:p/>
        </w:tc>
        <w:tc>
          <w:tcPr>
            <w:tcW w:w="3150" w:type="dxa"/>
            <w:gridSpan w:val="2"/>
            <w:vAlign w:val="center"/>
          </w:tcPr>
          <w:p>
            <w:pPr>
              <w:rPr>
                <w:rFonts w:hint="default" w:eastAsiaTheme="minorEastAsia"/>
                <w:lang w:val="en-US" w:eastAsia="zh-CN"/>
              </w:rPr>
            </w:pPr>
            <w:r>
              <w:rPr>
                <w:rFonts w:hint="eastAsia" w:ascii="仿宋" w:hAnsi="仿宋" w:eastAsia="仿宋" w:cs="仿宋"/>
                <w:sz w:val="28"/>
                <w:szCs w:val="28"/>
                <w:vertAlign w:val="baseline"/>
                <w:lang w:val="en-US" w:eastAsia="zh-CN"/>
              </w:rPr>
              <w:t>汽车客运站服务收费标准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定价范围为汽车客运站提供的客运代理、客车发班、车辆安全例行检查等车辆站务基本服务，以及退票、站务等旅客基本服务收费。可由班车客运经营者、旅客自主选择的汽车客运站提供的服务收费外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0" w:type="dxa"/>
            <w:vMerge w:val="continue"/>
            <w:vAlign w:val="center"/>
          </w:tcPr>
          <w:p>
            <w:pPr>
              <w:rPr>
                <w:rFonts w:hint="eastAsia" w:ascii="仿宋" w:hAnsi="仿宋" w:eastAsia="仿宋" w:cs="仿宋"/>
                <w:sz w:val="28"/>
                <w:szCs w:val="28"/>
                <w:vertAlign w:val="baseline"/>
                <w:lang w:val="en-US" w:eastAsia="zh-CN"/>
              </w:rPr>
            </w:pPr>
          </w:p>
        </w:tc>
        <w:tc>
          <w:tcPr>
            <w:tcW w:w="2104" w:type="dxa"/>
            <w:vMerge w:val="continue"/>
            <w:vAlign w:val="center"/>
          </w:tcPr>
          <w:p>
            <w:pPr>
              <w:rPr>
                <w:rFonts w:hint="eastAsia" w:ascii="仿宋" w:hAnsi="仿宋" w:eastAsia="仿宋" w:cs="仿宋"/>
                <w:sz w:val="28"/>
                <w:szCs w:val="28"/>
                <w:vertAlign w:val="baseline"/>
                <w:lang w:val="en-US" w:eastAsia="zh-CN"/>
              </w:rPr>
            </w:pPr>
          </w:p>
        </w:tc>
        <w:tc>
          <w:tcPr>
            <w:tcW w:w="1758" w:type="dxa"/>
            <w:gridSpan w:val="2"/>
            <w:vMerge w:val="restart"/>
            <w:vAlign w:val="center"/>
          </w:tcPr>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eastAsia" w:ascii="仿宋" w:hAnsi="仿宋" w:eastAsia="仿宋" w:cs="仿宋"/>
                <w:sz w:val="28"/>
                <w:szCs w:val="28"/>
                <w:vertAlign w:val="baseline"/>
                <w:lang w:val="en-US" w:eastAsia="zh-CN"/>
              </w:rPr>
            </w:pPr>
          </w:p>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城市交通</w:t>
            </w:r>
          </w:p>
        </w:tc>
        <w:tc>
          <w:tcPr>
            <w:tcW w:w="3150" w:type="dxa"/>
            <w:gridSpan w:val="2"/>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城市公共汽（电）车、轨道交通票价</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0" w:type="dxa"/>
            <w:vMerge w:val="continue"/>
            <w:vAlign w:val="center"/>
          </w:tcPr>
          <w:p/>
        </w:tc>
        <w:tc>
          <w:tcPr>
            <w:tcW w:w="2104" w:type="dxa"/>
            <w:vMerge w:val="continue"/>
            <w:vAlign w:val="center"/>
          </w:tcPr>
          <w:p/>
        </w:tc>
        <w:tc>
          <w:tcPr>
            <w:tcW w:w="1758" w:type="dxa"/>
            <w:gridSpan w:val="2"/>
            <w:vMerge w:val="continue"/>
            <w:vAlign w:val="center"/>
          </w:tcPr>
          <w:p/>
        </w:tc>
        <w:tc>
          <w:tcPr>
            <w:tcW w:w="3150" w:type="dxa"/>
            <w:gridSpan w:val="2"/>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客运出租车运价、燃油附加费标准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网络预约出租车除外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0" w:type="dxa"/>
            <w:vMerge w:val="continue"/>
            <w:vAlign w:val="center"/>
          </w:tcPr>
          <w:p/>
        </w:tc>
        <w:tc>
          <w:tcPr>
            <w:tcW w:w="2104" w:type="dxa"/>
            <w:vMerge w:val="continue"/>
            <w:vAlign w:val="center"/>
          </w:tcPr>
          <w:p/>
        </w:tc>
        <w:tc>
          <w:tcPr>
            <w:tcW w:w="1758" w:type="dxa"/>
            <w:gridSpan w:val="2"/>
            <w:vMerge w:val="continue"/>
            <w:vAlign w:val="center"/>
          </w:tcPr>
          <w:p/>
        </w:tc>
        <w:tc>
          <w:tcPr>
            <w:tcW w:w="3150" w:type="dxa"/>
            <w:gridSpan w:val="2"/>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具有自然垄断经营和公益性特征的机动车停放服务收费标准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定价范围为公共文化、交通、体育、医疗、教育等公共设施配套停车场（库、泊位），具有垄断性经营特征停车场（库、泊位），政府投资建设（设立）的停车场（库、泊位）。住宅小区停车服务除外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5</w:t>
            </w:r>
          </w:p>
        </w:tc>
        <w:tc>
          <w:tcPr>
            <w:tcW w:w="2104" w:type="dxa"/>
            <w:vMerge w:val="restart"/>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教育</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公办普通高中、义务教育收费标准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其中，省管公办高中中外合作办学收费标准由省价格主管部门会同省财政部门、教育主管部门制定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Merge w:val="continue"/>
            <w:tcBorders/>
            <w:vAlign w:val="center"/>
          </w:tcPr>
          <w:p>
            <w:pPr>
              <w:jc w:val="center"/>
              <w:rPr>
                <w:rFonts w:hint="default"/>
                <w:sz w:val="28"/>
                <w:szCs w:val="28"/>
                <w:vertAlign w:val="baseline"/>
                <w:lang w:val="en-US" w:eastAsia="zh-CN"/>
              </w:rPr>
            </w:pPr>
          </w:p>
        </w:tc>
        <w:tc>
          <w:tcPr>
            <w:tcW w:w="2104" w:type="dxa"/>
            <w:vMerge w:val="continue"/>
            <w:tcBorders/>
            <w:vAlign w:val="center"/>
          </w:tcPr>
          <w:p>
            <w:pPr>
              <w:rPr>
                <w:rFonts w:hint="eastAsia" w:ascii="仿宋" w:hAnsi="仿宋" w:eastAsia="仿宋" w:cs="仿宋"/>
                <w:sz w:val="28"/>
                <w:szCs w:val="28"/>
                <w:vertAlign w:val="baseline"/>
                <w:lang w:val="en-US" w:eastAsia="zh-CN"/>
              </w:rPr>
            </w:pPr>
          </w:p>
        </w:tc>
        <w:tc>
          <w:tcPr>
            <w:tcW w:w="2933" w:type="dxa"/>
            <w:gridSpan w:val="3"/>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公办幼儿园和非营利性民办幼儿园（包括普惠性民办幼儿园）</w:t>
            </w:r>
          </w:p>
        </w:tc>
        <w:tc>
          <w:tcPr>
            <w:tcW w:w="197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非省管幼儿园收费标准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Merge w:val="continue"/>
            <w:tcBorders/>
            <w:vAlign w:val="center"/>
          </w:tcPr>
          <w:p>
            <w:pPr>
              <w:jc w:val="center"/>
              <w:rPr>
                <w:rFonts w:hint="default"/>
                <w:sz w:val="28"/>
                <w:szCs w:val="28"/>
                <w:vertAlign w:val="baseline"/>
                <w:lang w:val="en-US" w:eastAsia="zh-CN"/>
              </w:rPr>
            </w:pPr>
          </w:p>
        </w:tc>
        <w:tc>
          <w:tcPr>
            <w:tcW w:w="2104" w:type="dxa"/>
            <w:vMerge w:val="continue"/>
            <w:tcBorders/>
            <w:vAlign w:val="center"/>
          </w:tcPr>
          <w:p>
            <w:pPr>
              <w:rPr>
                <w:rFonts w:hint="eastAsia" w:ascii="仿宋" w:hAnsi="仿宋" w:eastAsia="仿宋" w:cs="仿宋"/>
                <w:sz w:val="28"/>
                <w:szCs w:val="28"/>
                <w:vertAlign w:val="baseline"/>
                <w:lang w:val="en-US" w:eastAsia="zh-CN"/>
              </w:rPr>
            </w:pPr>
          </w:p>
        </w:tc>
        <w:tc>
          <w:tcPr>
            <w:tcW w:w="2933" w:type="dxa"/>
            <w:gridSpan w:val="3"/>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非营利性民办学习学历教育</w:t>
            </w:r>
          </w:p>
        </w:tc>
        <w:tc>
          <w:tcPr>
            <w:tcW w:w="197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非省管民办学习收费标准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6</w:t>
            </w:r>
          </w:p>
        </w:tc>
        <w:tc>
          <w:tcPr>
            <w:tcW w:w="2104"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保障性住房及物业服务</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保障性住房及物业管理费标准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7</w:t>
            </w:r>
          </w:p>
        </w:tc>
        <w:tc>
          <w:tcPr>
            <w:tcW w:w="2104"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文化旅游</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利用公共资源建设的景区门票以及景区内交通运输服务价格</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其中，龙门石窟、云台山、少林寺、小浪底景区门票价格由省价格主管部门制定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8</w:t>
            </w:r>
          </w:p>
        </w:tc>
        <w:tc>
          <w:tcPr>
            <w:tcW w:w="2104" w:type="dxa"/>
            <w:vMerge w:val="restart"/>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环境保护</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污水处理收费标准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0" w:type="dxa"/>
            <w:vMerge w:val="continue"/>
            <w:tcBorders/>
            <w:vAlign w:val="center"/>
          </w:tcPr>
          <w:p>
            <w:pPr>
              <w:jc w:val="center"/>
              <w:rPr>
                <w:rFonts w:hint="default"/>
                <w:sz w:val="28"/>
                <w:szCs w:val="28"/>
                <w:vertAlign w:val="baseline"/>
                <w:lang w:val="en-US" w:eastAsia="zh-CN"/>
              </w:rPr>
            </w:pPr>
          </w:p>
        </w:tc>
        <w:tc>
          <w:tcPr>
            <w:tcW w:w="2104" w:type="dxa"/>
            <w:vMerge w:val="continue"/>
            <w:tcBorders/>
            <w:vAlign w:val="center"/>
          </w:tcPr>
          <w:p>
            <w:pPr>
              <w:rPr>
                <w:rFonts w:hint="eastAsia" w:ascii="仿宋" w:hAnsi="仿宋" w:eastAsia="仿宋" w:cs="仿宋"/>
                <w:sz w:val="28"/>
                <w:szCs w:val="28"/>
                <w:vertAlign w:val="baseline"/>
                <w:lang w:val="en-US" w:eastAsia="zh-CN"/>
              </w:rPr>
            </w:pP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生活垃圾处理收费标准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50" w:type="dxa"/>
            <w:vMerge w:val="continue"/>
            <w:tcBorders/>
            <w:vAlign w:val="center"/>
          </w:tcPr>
          <w:p>
            <w:pPr>
              <w:jc w:val="center"/>
              <w:rPr>
                <w:rFonts w:hint="default"/>
                <w:sz w:val="28"/>
                <w:szCs w:val="28"/>
                <w:vertAlign w:val="baseline"/>
                <w:lang w:val="en-US" w:eastAsia="zh-CN"/>
              </w:rPr>
            </w:pPr>
          </w:p>
        </w:tc>
        <w:tc>
          <w:tcPr>
            <w:tcW w:w="2104" w:type="dxa"/>
            <w:vMerge w:val="continue"/>
            <w:tcBorders/>
            <w:vAlign w:val="center"/>
          </w:tcPr>
          <w:p>
            <w:pPr>
              <w:rPr>
                <w:rFonts w:hint="eastAsia" w:ascii="仿宋" w:hAnsi="仿宋" w:eastAsia="仿宋" w:cs="仿宋"/>
                <w:sz w:val="28"/>
                <w:szCs w:val="28"/>
                <w:vertAlign w:val="baseline"/>
                <w:lang w:val="en-US" w:eastAsia="zh-CN"/>
              </w:rPr>
            </w:pP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医疗废物处置收费标准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5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9</w:t>
            </w:r>
          </w:p>
        </w:tc>
        <w:tc>
          <w:tcPr>
            <w:tcW w:w="2104" w:type="dxa"/>
            <w:tcBorders/>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养老服务</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政府投资兴办的养老机构床位费、护理费等基本服务收费标准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50"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10</w:t>
            </w:r>
          </w:p>
        </w:tc>
        <w:tc>
          <w:tcPr>
            <w:tcW w:w="2104" w:type="dxa"/>
            <w:vMerge w:val="restart"/>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殡葬</w:t>
            </w: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殡葬基本服务收费、殡葬延伸服务收费标准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50" w:type="dxa"/>
            <w:vMerge w:val="continue"/>
            <w:tcBorders/>
            <w:vAlign w:val="center"/>
          </w:tcPr>
          <w:p>
            <w:pPr>
              <w:jc w:val="center"/>
              <w:rPr>
                <w:rFonts w:hint="default"/>
                <w:sz w:val="28"/>
                <w:szCs w:val="28"/>
                <w:vertAlign w:val="baseline"/>
                <w:lang w:val="en-US" w:eastAsia="zh-CN"/>
              </w:rPr>
            </w:pPr>
          </w:p>
        </w:tc>
        <w:tc>
          <w:tcPr>
            <w:tcW w:w="2104" w:type="dxa"/>
            <w:vMerge w:val="continue"/>
            <w:tcBorders/>
            <w:vAlign w:val="center"/>
          </w:tcPr>
          <w:p>
            <w:pPr>
              <w:rPr>
                <w:rFonts w:hint="eastAsia" w:ascii="仿宋" w:hAnsi="仿宋" w:eastAsia="仿宋" w:cs="仿宋"/>
                <w:sz w:val="28"/>
                <w:szCs w:val="28"/>
                <w:vertAlign w:val="baseline"/>
                <w:lang w:val="en-US" w:eastAsia="zh-CN"/>
              </w:rPr>
            </w:pPr>
          </w:p>
        </w:tc>
        <w:tc>
          <w:tcPr>
            <w:tcW w:w="4908" w:type="dxa"/>
            <w:gridSpan w:val="4"/>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公墓收费、公墓维护管理费标准</w:t>
            </w:r>
          </w:p>
        </w:tc>
        <w:tc>
          <w:tcPr>
            <w:tcW w:w="2730" w:type="dxa"/>
            <w:vAlign w:val="center"/>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授权市、县人民政府</w:t>
            </w:r>
          </w:p>
        </w:tc>
        <w:tc>
          <w:tcPr>
            <w:tcW w:w="4005"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公墓收费、公墓维护管理费只含公益性公墓；公墓收费包括公墓墓位和骨灰堂格位收费</w:t>
            </w:r>
            <w:bookmarkStart w:id="0" w:name="_GoBack"/>
            <w:bookmarkEnd w:id="0"/>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TQ5MjdhOTk0YjFiMmRjY2EyOGUwOTg5MzEwNTMifQ=="/>
  </w:docVars>
  <w:rsids>
    <w:rsidRoot w:val="430961CA"/>
    <w:rsid w:val="03490045"/>
    <w:rsid w:val="37524ECB"/>
    <w:rsid w:val="38A762A9"/>
    <w:rsid w:val="430961CA"/>
    <w:rsid w:val="47EB4098"/>
    <w:rsid w:val="5BF8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875</Words>
  <Characters>875</Characters>
  <Lines>0</Lines>
  <Paragraphs>0</Paragraphs>
  <TotalTime>2</TotalTime>
  <ScaleCrop>false</ScaleCrop>
  <LinksUpToDate>false</LinksUpToDate>
  <CharactersWithSpaces>875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2022-07-25T09:15:00Z</dcterms:created>
  <dc:creator>lenovo</dc:creator>
  <cp:lastModifiedBy>lenovo</cp:lastModifiedBy>
  <dcterms:modified xsi:type="dcterms:W3CDTF">2022-07-29T03:45:37Z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E81361EF2F37449EA8A13D5F19061598</vt:lpwstr>
  </property>
</Properties>
</file>