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rPr>
          <w:rFonts w:hint="eastAsia" w:ascii="黑体" w:hAnsi="黑体" w:eastAsia="黑体" w:cs="黑体"/>
          <w:b/>
          <w:bCs w:val="0"/>
        </w:rPr>
      </w:pPr>
      <w:bookmarkStart w:id="0" w:name="_Toc45118081"/>
      <w:r>
        <w:rPr>
          <w:rFonts w:hint="eastAsia" w:ascii="黑体" w:hAnsi="黑体" w:eastAsia="黑体" w:cs="黑体"/>
          <w:b/>
          <w:bCs w:val="0"/>
          <w:lang w:val="en-US" w:eastAsia="zh-CN"/>
        </w:rPr>
        <w:t>西峡县</w:t>
      </w:r>
      <w:r>
        <w:rPr>
          <w:rFonts w:hint="eastAsia" w:ascii="黑体" w:hAnsi="黑体" w:eastAsia="黑体" w:cs="黑体"/>
          <w:b/>
          <w:bCs w:val="0"/>
        </w:rPr>
        <w:t>安全生产领域基层政务公开标准目录</w:t>
      </w:r>
      <w:bookmarkEnd w:id="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316"/>
        <w:gridCol w:w="1014"/>
        <w:gridCol w:w="1928"/>
        <w:gridCol w:w="1875"/>
        <w:gridCol w:w="1259"/>
        <w:gridCol w:w="1062"/>
        <w:gridCol w:w="2795"/>
        <w:gridCol w:w="542"/>
        <w:gridCol w:w="426"/>
        <w:gridCol w:w="412"/>
        <w:gridCol w:w="426"/>
        <w:gridCol w:w="407"/>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5" w:type="pct"/>
            <w:gridSpan w:val="3"/>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公开事项</w:t>
            </w:r>
          </w:p>
        </w:tc>
        <w:tc>
          <w:tcPr>
            <w:tcW w:w="683"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公开内容</w:t>
            </w:r>
          </w:p>
        </w:tc>
        <w:tc>
          <w:tcPr>
            <w:tcW w:w="66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公开依据</w:t>
            </w:r>
          </w:p>
        </w:tc>
        <w:tc>
          <w:tcPr>
            <w:tcW w:w="446"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公开时限</w:t>
            </w:r>
          </w:p>
        </w:tc>
        <w:tc>
          <w:tcPr>
            <w:tcW w:w="376"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公开主体</w:t>
            </w:r>
          </w:p>
        </w:tc>
        <w:tc>
          <w:tcPr>
            <w:tcW w:w="990"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公开渠道和载体</w:t>
            </w:r>
          </w:p>
        </w:tc>
        <w:tc>
          <w:tcPr>
            <w:tcW w:w="343" w:type="pct"/>
            <w:gridSpan w:val="2"/>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公开对象</w:t>
            </w:r>
          </w:p>
        </w:tc>
        <w:tc>
          <w:tcPr>
            <w:tcW w:w="297" w:type="pct"/>
            <w:gridSpan w:val="2"/>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w:t>
            </w:r>
          </w:p>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方式</w:t>
            </w:r>
          </w:p>
        </w:tc>
        <w:tc>
          <w:tcPr>
            <w:tcW w:w="292" w:type="pct"/>
            <w:gridSpan w:val="2"/>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公开</w:t>
            </w:r>
          </w:p>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34"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一级事项</w:t>
            </w:r>
          </w:p>
        </w:tc>
        <w:tc>
          <w:tcPr>
            <w:tcW w:w="471" w:type="pct"/>
            <w:gridSpan w:val="2"/>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二级事项</w:t>
            </w:r>
          </w:p>
        </w:tc>
        <w:tc>
          <w:tcPr>
            <w:tcW w:w="683" w:type="pct"/>
            <w:vMerge w:val="continue"/>
            <w:vAlign w:val="center"/>
          </w:tcPr>
          <w:p>
            <w:pPr>
              <w:spacing w:line="240" w:lineRule="exact"/>
              <w:rPr>
                <w:rFonts w:hint="eastAsia" w:ascii="黑体" w:hAnsi="黑体" w:eastAsia="黑体" w:cs="黑体"/>
                <w:b/>
                <w:bCs w:val="0"/>
                <w:color w:val="000000"/>
                <w:sz w:val="18"/>
                <w:szCs w:val="18"/>
              </w:rPr>
            </w:pPr>
          </w:p>
        </w:tc>
        <w:tc>
          <w:tcPr>
            <w:tcW w:w="664" w:type="pct"/>
            <w:vMerge w:val="continue"/>
            <w:vAlign w:val="center"/>
          </w:tcPr>
          <w:p>
            <w:pPr>
              <w:spacing w:line="240" w:lineRule="exact"/>
              <w:rPr>
                <w:rFonts w:hint="eastAsia" w:ascii="黑体" w:hAnsi="黑体" w:eastAsia="黑体" w:cs="黑体"/>
                <w:b/>
                <w:bCs w:val="0"/>
                <w:color w:val="000000"/>
                <w:sz w:val="18"/>
                <w:szCs w:val="18"/>
              </w:rPr>
            </w:pPr>
          </w:p>
        </w:tc>
        <w:tc>
          <w:tcPr>
            <w:tcW w:w="446" w:type="pct"/>
            <w:vMerge w:val="continue"/>
            <w:vAlign w:val="center"/>
          </w:tcPr>
          <w:p>
            <w:pPr>
              <w:spacing w:line="240" w:lineRule="exact"/>
              <w:rPr>
                <w:rFonts w:hint="eastAsia" w:ascii="黑体" w:hAnsi="黑体" w:eastAsia="黑体" w:cs="黑体"/>
                <w:b/>
                <w:bCs w:val="0"/>
                <w:color w:val="000000"/>
                <w:sz w:val="18"/>
                <w:szCs w:val="18"/>
              </w:rPr>
            </w:pPr>
          </w:p>
        </w:tc>
        <w:tc>
          <w:tcPr>
            <w:tcW w:w="376" w:type="pct"/>
            <w:vMerge w:val="continue"/>
            <w:vAlign w:val="center"/>
          </w:tcPr>
          <w:p>
            <w:pPr>
              <w:spacing w:line="240" w:lineRule="exact"/>
              <w:rPr>
                <w:rFonts w:hint="eastAsia" w:ascii="黑体" w:hAnsi="黑体" w:eastAsia="黑体" w:cs="黑体"/>
                <w:b/>
                <w:bCs w:val="0"/>
                <w:color w:val="000000"/>
                <w:sz w:val="18"/>
                <w:szCs w:val="18"/>
              </w:rPr>
            </w:pPr>
          </w:p>
        </w:tc>
        <w:tc>
          <w:tcPr>
            <w:tcW w:w="990" w:type="pct"/>
            <w:vMerge w:val="continue"/>
            <w:vAlign w:val="center"/>
          </w:tcPr>
          <w:p>
            <w:pPr>
              <w:spacing w:line="240" w:lineRule="exact"/>
              <w:rPr>
                <w:rFonts w:hint="eastAsia" w:ascii="黑体" w:hAnsi="黑体" w:eastAsia="黑体" w:cs="黑体"/>
                <w:b/>
                <w:bCs w:val="0"/>
                <w:color w:val="000000"/>
                <w:sz w:val="18"/>
                <w:szCs w:val="18"/>
              </w:rPr>
            </w:pPr>
          </w:p>
        </w:tc>
        <w:tc>
          <w:tcPr>
            <w:tcW w:w="192"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全社会</w:t>
            </w:r>
          </w:p>
        </w:tc>
        <w:tc>
          <w:tcPr>
            <w:tcW w:w="150"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特定群体</w:t>
            </w:r>
          </w:p>
        </w:tc>
        <w:tc>
          <w:tcPr>
            <w:tcW w:w="146"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主动</w:t>
            </w:r>
          </w:p>
        </w:tc>
        <w:tc>
          <w:tcPr>
            <w:tcW w:w="150"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依申请</w:t>
            </w:r>
          </w:p>
        </w:tc>
        <w:tc>
          <w:tcPr>
            <w:tcW w:w="144"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县级</w:t>
            </w:r>
          </w:p>
        </w:tc>
        <w:tc>
          <w:tcPr>
            <w:tcW w:w="147"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政策文件</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1</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法律法规</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与安全生产有关的法律、法规</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vMerge w:val="restar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                          □社区/企事业单位、村公示栏（电子屏）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2</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部门和地方规章</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与安全生产有关的部门和地方规章</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vMerge w:val="continue"/>
            <w:vAlign w:val="center"/>
          </w:tcPr>
          <w:p>
            <w:pPr>
              <w:spacing w:line="240" w:lineRule="exact"/>
              <w:rPr>
                <w:rFonts w:hint="eastAsia" w:ascii="黑体" w:hAnsi="黑体" w:eastAsia="黑体" w:cs="黑体"/>
                <w:b/>
                <w:bCs w:val="0"/>
                <w:sz w:val="18"/>
                <w:szCs w:val="18"/>
              </w:rPr>
            </w:pP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3</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其他政策文件</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其他可以公开的与安全生产有关的政策文件，包括改革方案、发展规划、专项规划、工作计划等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vMerge w:val="continue"/>
            <w:vAlign w:val="center"/>
          </w:tcPr>
          <w:p>
            <w:pPr>
              <w:spacing w:line="240" w:lineRule="exact"/>
              <w:rPr>
                <w:rFonts w:hint="eastAsia" w:ascii="黑体" w:hAnsi="黑体" w:eastAsia="黑体" w:cs="黑体"/>
                <w:b/>
                <w:bCs w:val="0"/>
                <w:sz w:val="18"/>
                <w:szCs w:val="18"/>
              </w:rPr>
            </w:pP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4</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标准</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安全生产领域有关的国家标准、行业标准、地方标准等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vMerge w:val="continue"/>
            <w:vAlign w:val="center"/>
          </w:tcPr>
          <w:p>
            <w:pPr>
              <w:spacing w:line="240" w:lineRule="exact"/>
              <w:rPr>
                <w:rFonts w:hint="eastAsia" w:ascii="黑体" w:hAnsi="黑体" w:eastAsia="黑体" w:cs="黑体"/>
                <w:b/>
                <w:bCs w:val="0"/>
                <w:sz w:val="18"/>
                <w:szCs w:val="18"/>
              </w:rPr>
            </w:pP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5</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重大决策草案</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涉及管理相对人切身利益、需社会广泛知晓的重要改革方案等重大决策，决策前向社会公开决策草案、决策依据</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434" w:type="pct"/>
            <w:vMerge w:val="restart"/>
            <w:shd w:val="clear" w:color="auto" w:fill="auto"/>
            <w:noWrap/>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政策文件</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6</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重大政策解读及回应</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有关重大政策的解读与回应，安全生产相关热点问题的解读与回应</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《中华人民共和国政府信息公开条例》(国务院令第711号）、中办国办《关于全面推进政务公开工作的意见》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重大决策作出后及时公开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7</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重要会议</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通过会议讨论作出重要改革方案等重大决策时，经党组研究认为有必要公开讨论决策过程的会议</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提前一周发通知邀请</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8</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征集采纳社会公众意见情况</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重大决策草案公布后征集到的社会公众意见情况、采纳与否情况及理由等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《中华人民共和国政府信息公开条例》(国务院令第711号），中央办公厅、国务院办公厅《关于全面推进政务公开工作的意见》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征求意见时对外公布的时限内公开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依法行政</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1</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行政许可</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办理行政许可和其他对外管理服务事项的依据、条件、程序</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2</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行政处罚</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办理行政处罚的依据、条件、程序以及本级行政机关认为具有一定社会影响的行政处罚决定</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3</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行政强制</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办理行政强制的依据、条件、程序</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行政管理</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1</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隐患管理</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重大隐患排查、挂牌督办及其整改情况，安全生产举报电话等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2</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应急管理</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xml:space="preserve">承担处置主责、非敏感的应急信息，包括事故灾害类预警信息、事故信息、事故后采取的应急处置措施和应对结果等  </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《中华人民共和国政府信息公开条例》(国务院令第711号），《中华人民共和国突发事件应对法》，中央办公厅、国务院办公厅《关于全面加强政务公开工作的意见》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434"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行政管理</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3</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黑名单管理</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列入或撤销纳入安全生产黑名单管理的企业信息，具体企业名称、证照编号、经营地址、负责人姓名等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《中华人民共和国政府信息公开条例》（国务院令第711号）、《社会信用体系建设规划纲要（2014-2020年）》</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信息形成或变更之日起20个工作日内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9" w:hRule="atLeast"/>
        </w:trPr>
        <w:tc>
          <w:tcPr>
            <w:tcW w:w="43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行政管理</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4</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事故通报</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《安全生产法》、《中华人民共和国政府信息公开条例》(国务院令第711号）、《中共中央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按照中央有关要求公开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434" w:type="pct"/>
            <w:vMerge w:val="continue"/>
            <w:shd w:val="clear" w:color="auto" w:fill="auto"/>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5</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动态信息</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●业务工作动态           ●安全生产执法检查动态</w:t>
            </w:r>
          </w:p>
        </w:tc>
        <w:tc>
          <w:tcPr>
            <w:tcW w:w="66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行政管理</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6</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安全生产预警提示信息</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●气象及灾害预警信息            ●不同时段、不同领域安全生产提示信息</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信息形成后及时公开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公共服务</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1</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政务公开目录</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政务公开事项的索引、名称、内容概述、生成日期等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2</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政务公开标准</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政府信息公开指南等流程性信息</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shd w:val="clear" w:color="auto" w:fill="auto"/>
            <w:vAlign w:val="center"/>
          </w:tcPr>
          <w:p>
            <w:pPr>
              <w:spacing w:line="240" w:lineRule="exact"/>
              <w:jc w:val="center"/>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3</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权力清单及责任清单</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同级政府审批通过的行政执法主体信息和行政许可、行政处罚、行政强制、行政检查、行政确认、行政奖励及其他行政职权等行政执法职权职责清单</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信息形成或者变更20个工作日内，如有更新，及时公开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434" w:type="pct"/>
            <w:vMerge w:val="restar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公共服务</w:t>
            </w:r>
          </w:p>
        </w:tc>
        <w:tc>
          <w:tcPr>
            <w:tcW w:w="112" w:type="pct"/>
            <w:shd w:val="clear" w:color="auto" w:fill="auto"/>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4</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主要业务办事指南</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主要业务工作的办事依据、程序、时限，办事时间、地点、部门、联系方式及相关办理结果</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信息形成或者变更之日起20个工作日内</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434" w:type="pct"/>
            <w:vMerge w:val="continue"/>
            <w:shd w:val="clear" w:color="auto" w:fill="auto"/>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5</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年度报告</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政府信息公开年度报告及相关统计报表</w:t>
            </w:r>
          </w:p>
        </w:tc>
        <w:tc>
          <w:tcPr>
            <w:tcW w:w="66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《中华人民共和国政府信息公开条例》(国务院令第711号）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每年1月31日前</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434" w:type="pct"/>
            <w:shd w:val="clear" w:color="auto" w:fill="auto"/>
            <w:vAlign w:val="center"/>
          </w:tcPr>
          <w:p>
            <w:pPr>
              <w:spacing w:line="240" w:lineRule="exact"/>
              <w:jc w:val="center"/>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重点领域信息公开</w:t>
            </w:r>
          </w:p>
        </w:tc>
        <w:tc>
          <w:tcPr>
            <w:tcW w:w="112" w:type="pct"/>
            <w:shd w:val="clear" w:color="000000" w:fill="FFFFFF"/>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1</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财政资金信息</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●预算、决算                       ●“三公”经费                     ●安全生产专项资金使用等财政资金信息</w:t>
            </w:r>
          </w:p>
        </w:tc>
        <w:tc>
          <w:tcPr>
            <w:tcW w:w="66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《中华人民共和国政府信息公开条例》(国务院令第711号）、《国务院关于深化预算管理制度改革的决定》、《国务院办公厅关于进一步推进预算公开工作意见的通知》</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按中央要求时限公开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434" w:type="pct"/>
            <w:vMerge w:val="restar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重点领域信息公开</w:t>
            </w:r>
          </w:p>
        </w:tc>
        <w:tc>
          <w:tcPr>
            <w:tcW w:w="112" w:type="pct"/>
            <w:shd w:val="clear" w:color="000000" w:fill="FFFFFF"/>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2</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政府采购信息</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本单位采购实施情况相关信息</w:t>
            </w:r>
          </w:p>
        </w:tc>
        <w:tc>
          <w:tcPr>
            <w:tcW w:w="66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《中华人民共和国政府信息公开条例》(国务院令第711号）,《国务院关于深化预算管理制度改革的决定》(国发〔2014〕45号),中办、国办印发《关于进一步推进预算公开工作的意见》的通知</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434" w:type="pct"/>
            <w:vMerge w:val="continue"/>
            <w:shd w:val="clear" w:color="auto" w:fill="auto"/>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sz w:val="18"/>
                <w:szCs w:val="18"/>
              </w:rPr>
            </w:pPr>
            <w:r>
              <w:rPr>
                <w:rFonts w:hint="eastAsia" w:ascii="黑体" w:hAnsi="黑体" w:eastAsia="黑体" w:cs="黑体"/>
                <w:b/>
                <w:bCs w:val="0"/>
                <w:sz w:val="18"/>
                <w:szCs w:val="18"/>
              </w:rPr>
              <w:t>3</w:t>
            </w:r>
          </w:p>
        </w:tc>
        <w:tc>
          <w:tcPr>
            <w:tcW w:w="359"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办事纪律和监督管理</w:t>
            </w:r>
          </w:p>
        </w:tc>
        <w:tc>
          <w:tcPr>
            <w:tcW w:w="683"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本单位的办事纪律,受理投诉、举报、信访的途径等内容</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shd w:val="clear" w:color="auto" w:fill="auto"/>
            <w:vAlign w:val="center"/>
          </w:tcPr>
          <w:p>
            <w:pPr>
              <w:spacing w:line="240" w:lineRule="exact"/>
              <w:jc w:val="center"/>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4</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重大工程项目信息</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项目名称、执行措施、责任分工、取得成效、后续举措等</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《中华人民共和国政府信息公开条例》(国务院令第711号）、《国务院办公厅关于推进重大建设项目批准和实施领域政府信息公开的意见》（国办发〔2017〕94号）</w:t>
            </w:r>
          </w:p>
        </w:tc>
        <w:tc>
          <w:tcPr>
            <w:tcW w:w="446"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按照中央有关要求公开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page"/>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page"/>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page"/>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page"/>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page"/>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page"/>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restar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重点领域信息公开</w:t>
            </w: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5</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检查和巡查发现安全监管监察问题</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检查和巡查发现的、并要求向社会公开的问题及整改落实情况</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《中华人民共和国政府信息公开条例》(国务院令第711号）、《中共中央 国务院关于推进安全生产领域改革发展的意见》</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按进展情况及时公开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4" w:type="pct"/>
            <w:vMerge w:val="continue"/>
            <w:shd w:val="clear" w:color="auto" w:fill="auto"/>
            <w:vAlign w:val="center"/>
          </w:tcPr>
          <w:p>
            <w:pPr>
              <w:spacing w:line="240" w:lineRule="exact"/>
              <w:rPr>
                <w:rFonts w:hint="eastAsia" w:ascii="黑体" w:hAnsi="黑体" w:eastAsia="黑体" w:cs="黑体"/>
                <w:b/>
                <w:bCs w:val="0"/>
                <w:color w:val="000000"/>
                <w:sz w:val="18"/>
                <w:szCs w:val="18"/>
              </w:rPr>
            </w:pPr>
          </w:p>
        </w:tc>
        <w:tc>
          <w:tcPr>
            <w:tcW w:w="112" w:type="pct"/>
            <w:shd w:val="clear" w:color="auto" w:fill="auto"/>
            <w:vAlign w:val="center"/>
          </w:tcPr>
          <w:p>
            <w:pPr>
              <w:spacing w:line="240" w:lineRule="exact"/>
              <w:jc w:val="righ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6</w:t>
            </w:r>
          </w:p>
        </w:tc>
        <w:tc>
          <w:tcPr>
            <w:tcW w:w="359"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建议提案办理</w:t>
            </w:r>
          </w:p>
        </w:tc>
        <w:tc>
          <w:tcPr>
            <w:tcW w:w="683"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●办理制度与推进情况            ●人大代表建议办理              ●政协委员提案办理</w:t>
            </w:r>
          </w:p>
        </w:tc>
        <w:tc>
          <w:tcPr>
            <w:tcW w:w="664"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《中华人民共和国政府信息公开条例》(国务院令第711号）、《国务院办公厅关于做好全国人大代表建议和全国政协委员提案办理结果公开工作的通知》（国办发〔2014〕46号）</w:t>
            </w:r>
          </w:p>
        </w:tc>
        <w:tc>
          <w:tcPr>
            <w:tcW w:w="4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按照中央有关要求公开</w:t>
            </w:r>
          </w:p>
        </w:tc>
        <w:tc>
          <w:tcPr>
            <w:tcW w:w="37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应急管理部门</w:t>
            </w:r>
          </w:p>
        </w:tc>
        <w:tc>
          <w:tcPr>
            <w:tcW w:w="990"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■政府网站   □政府公报</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□两微一端   □发布会</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□广播电视   □纸质媒体</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■公开查阅点 ■政务服务中心</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■便民服务站 □入户/现场</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□社区/企事业单位、村公示栏（电子屏）</w:t>
            </w:r>
            <w:r>
              <w:rPr>
                <w:rFonts w:hint="eastAsia" w:ascii="黑体" w:hAnsi="黑体" w:eastAsia="黑体" w:cs="黑体"/>
                <w:b/>
                <w:bCs w:val="0"/>
                <w:sz w:val="18"/>
                <w:szCs w:val="18"/>
              </w:rPr>
              <w:br w:type="textWrapping"/>
            </w:r>
            <w:r>
              <w:rPr>
                <w:rFonts w:hint="eastAsia" w:ascii="黑体" w:hAnsi="黑体" w:eastAsia="黑体" w:cs="黑体"/>
                <w:b/>
                <w:bCs w:val="0"/>
                <w:sz w:val="18"/>
                <w:szCs w:val="18"/>
              </w:rPr>
              <w:t>□精准推送   □其他</w:t>
            </w:r>
          </w:p>
        </w:tc>
        <w:tc>
          <w:tcPr>
            <w:tcW w:w="192"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6"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50"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c>
          <w:tcPr>
            <w:tcW w:w="144" w:type="pct"/>
            <w:shd w:val="clear" w:color="auto" w:fill="auto"/>
            <w:vAlign w:val="center"/>
          </w:tcPr>
          <w:p>
            <w:pPr>
              <w:spacing w:line="240" w:lineRule="exact"/>
              <w:rPr>
                <w:rFonts w:hint="eastAsia" w:ascii="黑体" w:hAnsi="黑体" w:eastAsia="黑体" w:cs="黑体"/>
                <w:b/>
                <w:bCs w:val="0"/>
                <w:sz w:val="18"/>
                <w:szCs w:val="18"/>
              </w:rPr>
            </w:pPr>
            <w:r>
              <w:rPr>
                <w:rFonts w:hint="eastAsia" w:ascii="黑体" w:hAnsi="黑体" w:eastAsia="黑体" w:cs="黑体"/>
                <w:b/>
                <w:bCs w:val="0"/>
                <w:sz w:val="18"/>
                <w:szCs w:val="18"/>
              </w:rPr>
              <w:t>√</w:t>
            </w:r>
          </w:p>
        </w:tc>
        <w:tc>
          <w:tcPr>
            <w:tcW w:w="147" w:type="pct"/>
            <w:shd w:val="clear" w:color="auto" w:fill="auto"/>
            <w:vAlign w:val="center"/>
          </w:tcPr>
          <w:p>
            <w:pPr>
              <w:spacing w:line="240" w:lineRule="exact"/>
              <w:rPr>
                <w:rFonts w:hint="eastAsia" w:ascii="黑体" w:hAnsi="黑体" w:eastAsia="黑体" w:cs="黑体"/>
                <w:b/>
                <w:bCs w:val="0"/>
                <w:color w:val="000000"/>
                <w:sz w:val="18"/>
                <w:szCs w:val="18"/>
              </w:rPr>
            </w:pPr>
            <w:r>
              <w:rPr>
                <w:rFonts w:hint="eastAsia" w:ascii="黑体" w:hAnsi="黑体" w:eastAsia="黑体" w:cs="黑体"/>
                <w:b/>
                <w:bCs w:val="0"/>
                <w:color w:val="000000"/>
                <w:sz w:val="18"/>
                <w:szCs w:val="18"/>
              </w:rPr>
              <w:t>　</w:t>
            </w:r>
          </w:p>
        </w:tc>
      </w:tr>
    </w:tbl>
    <w:p>
      <w:pPr>
        <w:ind w:firstLine="410"/>
        <w:rPr>
          <w:rFonts w:hint="eastAsia" w:ascii="黑体" w:hAnsi="黑体" w:eastAsia="黑体" w:cs="黑体"/>
          <w:b/>
          <w:bCs w:val="0"/>
        </w:rPr>
      </w:pPr>
    </w:p>
    <w:p>
      <w:pPr>
        <w:spacing w:line="580" w:lineRule="exact"/>
        <w:outlineLvl w:val="0"/>
        <w:rPr>
          <w:rFonts w:hint="eastAsia" w:ascii="黑体" w:hAnsi="黑体" w:eastAsia="黑体" w:cs="黑体"/>
          <w:b/>
          <w:bCs w:val="0"/>
        </w:rPr>
      </w:pPr>
      <w:bookmarkStart w:id="1" w:name="_GoBack"/>
      <w:bookmarkEnd w:id="1"/>
    </w:p>
    <w:sectPr>
      <w:footerReference r:id="rId3" w:type="default"/>
      <w:footerReference r:id="rId4" w:type="even"/>
      <w:pgSz w:w="16838" w:h="11906" w:orient="landscape"/>
      <w:pgMar w:top="1474" w:right="1247" w:bottom="1474" w:left="1701" w:header="1985" w:footer="1134" w:gutter="0"/>
      <w:pgNumType w:start="1"/>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文星标宋">
    <w:altName w:val="微软雅黑"/>
    <w:panose1 w:val="02010604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757</w:t>
    </w:r>
    <w:r>
      <w:rPr>
        <w:rFonts w:hint="eastAsia" w:ascii="仿宋_GB2312" w:eastAsia="仿宋_GB2312"/>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6</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5CF"/>
    <w:rsid w:val="00081513"/>
    <w:rsid w:val="000E728F"/>
    <w:rsid w:val="00124DEC"/>
    <w:rsid w:val="00151586"/>
    <w:rsid w:val="00172A27"/>
    <w:rsid w:val="00181CE0"/>
    <w:rsid w:val="001A4668"/>
    <w:rsid w:val="001B79F3"/>
    <w:rsid w:val="00287025"/>
    <w:rsid w:val="00291F2A"/>
    <w:rsid w:val="002A1C3D"/>
    <w:rsid w:val="002D6BD7"/>
    <w:rsid w:val="003016A6"/>
    <w:rsid w:val="003C4A45"/>
    <w:rsid w:val="003E78AB"/>
    <w:rsid w:val="00403ACF"/>
    <w:rsid w:val="00407CB9"/>
    <w:rsid w:val="004128A6"/>
    <w:rsid w:val="004168D2"/>
    <w:rsid w:val="00441589"/>
    <w:rsid w:val="004862D3"/>
    <w:rsid w:val="004F18CA"/>
    <w:rsid w:val="005121DB"/>
    <w:rsid w:val="00524CFF"/>
    <w:rsid w:val="005A2DB3"/>
    <w:rsid w:val="005B1639"/>
    <w:rsid w:val="005C17D8"/>
    <w:rsid w:val="005C6A5B"/>
    <w:rsid w:val="005F4652"/>
    <w:rsid w:val="00634B40"/>
    <w:rsid w:val="00666095"/>
    <w:rsid w:val="00686652"/>
    <w:rsid w:val="00692AD3"/>
    <w:rsid w:val="006A27F6"/>
    <w:rsid w:val="006E690A"/>
    <w:rsid w:val="00767274"/>
    <w:rsid w:val="00797764"/>
    <w:rsid w:val="007A3263"/>
    <w:rsid w:val="007B17D3"/>
    <w:rsid w:val="007E0CD8"/>
    <w:rsid w:val="007E488C"/>
    <w:rsid w:val="008B51E7"/>
    <w:rsid w:val="00917903"/>
    <w:rsid w:val="00947DEA"/>
    <w:rsid w:val="009632DD"/>
    <w:rsid w:val="00976C0E"/>
    <w:rsid w:val="00A00A82"/>
    <w:rsid w:val="00A04D5F"/>
    <w:rsid w:val="00A12BBA"/>
    <w:rsid w:val="00A21ECC"/>
    <w:rsid w:val="00A41A12"/>
    <w:rsid w:val="00A66ECD"/>
    <w:rsid w:val="00AF3EE8"/>
    <w:rsid w:val="00B37486"/>
    <w:rsid w:val="00B44C29"/>
    <w:rsid w:val="00B6355F"/>
    <w:rsid w:val="00BA48EF"/>
    <w:rsid w:val="00C51791"/>
    <w:rsid w:val="00D42C22"/>
    <w:rsid w:val="00D65B3A"/>
    <w:rsid w:val="00D85AB0"/>
    <w:rsid w:val="00DF5AA0"/>
    <w:rsid w:val="00E071FF"/>
    <w:rsid w:val="00E265EF"/>
    <w:rsid w:val="00E3467C"/>
    <w:rsid w:val="00E400F2"/>
    <w:rsid w:val="00E85185"/>
    <w:rsid w:val="00E95CB6"/>
    <w:rsid w:val="00EB6DFF"/>
    <w:rsid w:val="00FE1FC2"/>
    <w:rsid w:val="01642B7B"/>
    <w:rsid w:val="021D7741"/>
    <w:rsid w:val="022C206A"/>
    <w:rsid w:val="04312566"/>
    <w:rsid w:val="06553F55"/>
    <w:rsid w:val="067323FA"/>
    <w:rsid w:val="07D2322E"/>
    <w:rsid w:val="0841692B"/>
    <w:rsid w:val="08EF74F7"/>
    <w:rsid w:val="0A477CD4"/>
    <w:rsid w:val="0A8F75A1"/>
    <w:rsid w:val="0CCD06E5"/>
    <w:rsid w:val="0DF21C20"/>
    <w:rsid w:val="10CB4D9E"/>
    <w:rsid w:val="11356859"/>
    <w:rsid w:val="14C740AE"/>
    <w:rsid w:val="1840460D"/>
    <w:rsid w:val="19DC58E2"/>
    <w:rsid w:val="1CCA34FA"/>
    <w:rsid w:val="1F2A58FF"/>
    <w:rsid w:val="212B39E5"/>
    <w:rsid w:val="24A83A4A"/>
    <w:rsid w:val="26C54C83"/>
    <w:rsid w:val="2B08617B"/>
    <w:rsid w:val="2BD41710"/>
    <w:rsid w:val="2C1D3995"/>
    <w:rsid w:val="2C6259B9"/>
    <w:rsid w:val="2D0D685B"/>
    <w:rsid w:val="326710A5"/>
    <w:rsid w:val="32855598"/>
    <w:rsid w:val="332340F8"/>
    <w:rsid w:val="3C005C81"/>
    <w:rsid w:val="3E166C00"/>
    <w:rsid w:val="405829B9"/>
    <w:rsid w:val="443C4368"/>
    <w:rsid w:val="44787E48"/>
    <w:rsid w:val="4B0F3303"/>
    <w:rsid w:val="4C4C11A5"/>
    <w:rsid w:val="4C717DB1"/>
    <w:rsid w:val="4D7A4FD4"/>
    <w:rsid w:val="513375BE"/>
    <w:rsid w:val="52A02645"/>
    <w:rsid w:val="55637454"/>
    <w:rsid w:val="56B50A95"/>
    <w:rsid w:val="56CC5ED9"/>
    <w:rsid w:val="5BB00ED0"/>
    <w:rsid w:val="5F4F1EDD"/>
    <w:rsid w:val="60840A2F"/>
    <w:rsid w:val="62546928"/>
    <w:rsid w:val="649F25D7"/>
    <w:rsid w:val="64D80287"/>
    <w:rsid w:val="659576E5"/>
    <w:rsid w:val="68103CA5"/>
    <w:rsid w:val="6BBC2A72"/>
    <w:rsid w:val="6DBB50B5"/>
    <w:rsid w:val="6F1D017B"/>
    <w:rsid w:val="713D3924"/>
    <w:rsid w:val="757E3C37"/>
    <w:rsid w:val="75FD3827"/>
    <w:rsid w:val="76A32406"/>
    <w:rsid w:val="76C73A76"/>
    <w:rsid w:val="776F154C"/>
    <w:rsid w:val="7ADF73EA"/>
    <w:rsid w:val="7B20068B"/>
    <w:rsid w:val="7C14005F"/>
    <w:rsid w:val="7C1703FE"/>
    <w:rsid w:val="7C7F513A"/>
    <w:rsid w:val="7E402845"/>
    <w:rsid w:val="7E8D1B3C"/>
    <w:rsid w:val="7ECE19B9"/>
    <w:rsid w:val="7FA64CEB"/>
    <w:rsid w:val="7FD2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b/>
      <w:bCs/>
      <w:kern w:val="44"/>
      <w:sz w:val="44"/>
      <w:szCs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40"/>
    <w:qFormat/>
    <w:uiPriority w:val="0"/>
    <w:pPr>
      <w:spacing w:after="120"/>
    </w:pPr>
    <w:rPr>
      <w:szCs w:val="24"/>
    </w:rPr>
  </w:style>
  <w:style w:type="paragraph" w:styleId="4">
    <w:name w:val="Plain Text"/>
    <w:basedOn w:val="1"/>
    <w:link w:val="33"/>
    <w:qFormat/>
    <w:uiPriority w:val="0"/>
    <w:rPr>
      <w:rFonts w:ascii="宋体" w:hAnsi="Courier New" w:cs="宋体"/>
      <w:szCs w:val="21"/>
    </w:rPr>
  </w:style>
  <w:style w:type="paragraph" w:styleId="5">
    <w:name w:val="Date"/>
    <w:basedOn w:val="1"/>
    <w:next w:val="1"/>
    <w:link w:val="35"/>
    <w:qFormat/>
    <w:uiPriority w:val="0"/>
    <w:pPr>
      <w:ind w:left="100" w:leftChars="2500"/>
    </w:pPr>
    <w:rPr>
      <w:szCs w:val="22"/>
    </w:rPr>
  </w:style>
  <w:style w:type="paragraph" w:styleId="6">
    <w:name w:val="Balloon Text"/>
    <w:basedOn w:val="1"/>
    <w:link w:val="34"/>
    <w:qFormat/>
    <w:uiPriority w:val="0"/>
    <w:rPr>
      <w:sz w:val="18"/>
      <w:szCs w:val="18"/>
    </w:rPr>
  </w:style>
  <w:style w:type="paragraph" w:styleId="7">
    <w:name w:val="footer"/>
    <w:basedOn w:val="1"/>
    <w:link w:val="29"/>
    <w:qFormat/>
    <w:uiPriority w:val="0"/>
    <w:pPr>
      <w:tabs>
        <w:tab w:val="center" w:pos="4153"/>
        <w:tab w:val="right" w:pos="8306"/>
      </w:tabs>
      <w:snapToGrid w:val="0"/>
      <w:jc w:val="left"/>
    </w:pPr>
    <w:rPr>
      <w:sz w:val="18"/>
    </w:rPr>
  </w:style>
  <w:style w:type="paragraph" w:styleId="8">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Normal (Web)"/>
    <w:basedOn w:val="1"/>
    <w:qFormat/>
    <w:uiPriority w:val="0"/>
    <w:pPr>
      <w:jc w:val="left"/>
    </w:pPr>
    <w:rPr>
      <w:rFonts w:ascii="Calibri" w:hAnsi="Calibri"/>
      <w:kern w:val="0"/>
      <w:sz w:val="24"/>
      <w:szCs w:val="24"/>
    </w:rPr>
  </w:style>
  <w:style w:type="paragraph" w:styleId="11">
    <w:name w:val="Title"/>
    <w:basedOn w:val="1"/>
    <w:next w:val="1"/>
    <w:link w:val="31"/>
    <w:qFormat/>
    <w:uiPriority w:val="0"/>
    <w:pPr>
      <w:spacing w:line="600" w:lineRule="exact"/>
      <w:contextualSpacing/>
      <w:jc w:val="center"/>
      <w:outlineLvl w:val="0"/>
    </w:pPr>
    <w:rPr>
      <w:rFonts w:ascii="Cambria" w:hAnsi="Cambria" w:eastAsia="文星标宋"/>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rFonts w:ascii="Calibri" w:hAnsi="Calibri" w:eastAsia="宋体"/>
      <w:sz w:val="21"/>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标题 1 Char"/>
    <w:link w:val="2"/>
    <w:qFormat/>
    <w:uiPriority w:val="0"/>
    <w:rPr>
      <w:rFonts w:ascii="Calibri" w:hAnsi="Calibri"/>
      <w:b/>
      <w:bCs/>
      <w:kern w:val="44"/>
      <w:sz w:val="44"/>
      <w:szCs w:val="44"/>
    </w:rPr>
  </w:style>
  <w:style w:type="character" w:customStyle="1" w:styleId="19">
    <w:name w:val="font41"/>
    <w:uiPriority w:val="0"/>
    <w:rPr>
      <w:rFonts w:hint="eastAsia" w:ascii="宋体" w:hAnsi="宋体" w:eastAsia="宋体" w:cs="宋体"/>
      <w:color w:val="000000"/>
      <w:sz w:val="24"/>
      <w:szCs w:val="24"/>
      <w:u w:val="none"/>
    </w:rPr>
  </w:style>
  <w:style w:type="character" w:customStyle="1" w:styleId="20">
    <w:name w:val="font21"/>
    <w:qFormat/>
    <w:uiPriority w:val="0"/>
    <w:rPr>
      <w:rFonts w:hint="eastAsia" w:ascii="宋体" w:hAnsi="宋体" w:eastAsia="宋体" w:cs="宋体"/>
      <w:color w:val="0D0D0D"/>
      <w:sz w:val="28"/>
      <w:szCs w:val="28"/>
      <w:u w:val="none"/>
    </w:rPr>
  </w:style>
  <w:style w:type="character" w:customStyle="1" w:styleId="21">
    <w:name w:val="font11"/>
    <w:qFormat/>
    <w:uiPriority w:val="0"/>
    <w:rPr>
      <w:rFonts w:hint="eastAsia" w:ascii="仿宋_GB2312" w:eastAsia="仿宋_GB2312" w:cs="仿宋_GB2312"/>
      <w:b/>
      <w:color w:val="000000"/>
      <w:sz w:val="18"/>
      <w:szCs w:val="18"/>
      <w:u w:val="none"/>
    </w:rPr>
  </w:style>
  <w:style w:type="character" w:customStyle="1" w:styleId="22">
    <w:name w:val="font81"/>
    <w:qFormat/>
    <w:uiPriority w:val="0"/>
    <w:rPr>
      <w:rFonts w:hint="eastAsia" w:ascii="仿宋" w:hAnsi="仿宋" w:eastAsia="仿宋" w:cs="仿宋"/>
      <w:color w:val="000000"/>
      <w:sz w:val="22"/>
      <w:szCs w:val="22"/>
      <w:u w:val="none"/>
    </w:rPr>
  </w:style>
  <w:style w:type="character" w:customStyle="1" w:styleId="23">
    <w:name w:val="font31"/>
    <w:qFormat/>
    <w:uiPriority w:val="0"/>
    <w:rPr>
      <w:rFonts w:hint="eastAsia" w:ascii="宋体" w:hAnsi="宋体" w:eastAsia="宋体" w:cs="宋体"/>
      <w:color w:val="000000"/>
      <w:sz w:val="28"/>
      <w:szCs w:val="28"/>
      <w:u w:val="none"/>
    </w:rPr>
  </w:style>
  <w:style w:type="character" w:customStyle="1" w:styleId="24">
    <w:name w:val="font61"/>
    <w:qFormat/>
    <w:uiPriority w:val="0"/>
    <w:rPr>
      <w:rFonts w:hint="eastAsia" w:ascii="宋体" w:hAnsi="宋体" w:eastAsia="宋体" w:cs="宋体"/>
      <w:color w:val="000000"/>
      <w:sz w:val="24"/>
      <w:szCs w:val="24"/>
      <w:u w:val="single"/>
    </w:rPr>
  </w:style>
  <w:style w:type="character" w:customStyle="1" w:styleId="25">
    <w:name w:val="font01"/>
    <w:qFormat/>
    <w:uiPriority w:val="0"/>
    <w:rPr>
      <w:rFonts w:hint="default" w:ascii="东文宋体" w:hAnsi="东文宋体" w:eastAsia="东文宋体" w:cs="东文宋体"/>
      <w:color w:val="000000"/>
      <w:sz w:val="18"/>
      <w:szCs w:val="18"/>
      <w:u w:val="none"/>
    </w:rPr>
  </w:style>
  <w:style w:type="character" w:customStyle="1" w:styleId="26">
    <w:name w:val="font51"/>
    <w:qFormat/>
    <w:uiPriority w:val="0"/>
    <w:rPr>
      <w:rFonts w:hint="eastAsia" w:ascii="宋体" w:hAnsi="宋体" w:eastAsia="宋体" w:cs="宋体"/>
      <w:color w:val="000000"/>
      <w:sz w:val="18"/>
      <w:szCs w:val="18"/>
      <w:u w:val="none"/>
    </w:rPr>
  </w:style>
  <w:style w:type="character" w:customStyle="1" w:styleId="27">
    <w:name w:val="font71"/>
    <w:qFormat/>
    <w:uiPriority w:val="0"/>
    <w:rPr>
      <w:rFonts w:hint="eastAsia" w:ascii="仿宋_GB2312" w:eastAsia="仿宋_GB2312" w:cs="仿宋_GB2312"/>
      <w:b/>
      <w:color w:val="000000"/>
      <w:sz w:val="18"/>
      <w:szCs w:val="18"/>
      <w:u w:val="none"/>
    </w:rPr>
  </w:style>
  <w:style w:type="character" w:customStyle="1" w:styleId="28">
    <w:name w:val="页眉 Char"/>
    <w:link w:val="8"/>
    <w:qFormat/>
    <w:uiPriority w:val="0"/>
    <w:rPr>
      <w:kern w:val="2"/>
      <w:sz w:val="18"/>
    </w:rPr>
  </w:style>
  <w:style w:type="character" w:customStyle="1" w:styleId="29">
    <w:name w:val="页脚 Char"/>
    <w:link w:val="7"/>
    <w:qFormat/>
    <w:uiPriority w:val="0"/>
    <w:rPr>
      <w:kern w:val="2"/>
      <w:sz w:val="18"/>
    </w:rPr>
  </w:style>
  <w:style w:type="paragraph" w:customStyle="1" w:styleId="30">
    <w:name w:val="WPSOffice手动目录 1"/>
    <w:uiPriority w:val="0"/>
    <w:rPr>
      <w:rFonts w:ascii="Times New Roman" w:hAnsi="Times New Roman" w:eastAsia="宋体" w:cs="Times New Roman"/>
      <w:lang w:val="en-US" w:eastAsia="zh-CN" w:bidi="ar-SA"/>
    </w:rPr>
  </w:style>
  <w:style w:type="character" w:customStyle="1" w:styleId="31">
    <w:name w:val="标题 Char"/>
    <w:link w:val="11"/>
    <w:qFormat/>
    <w:uiPriority w:val="0"/>
    <w:rPr>
      <w:rFonts w:ascii="Cambria" w:hAnsi="Cambria" w:eastAsia="文星标宋" w:cs="Times New Roman"/>
      <w:bCs/>
      <w:kern w:val="2"/>
      <w:sz w:val="44"/>
      <w:szCs w:val="32"/>
    </w:rPr>
  </w:style>
  <w:style w:type="character" w:customStyle="1" w:styleId="32">
    <w:name w:val="标题1"/>
    <w:uiPriority w:val="0"/>
  </w:style>
  <w:style w:type="character" w:customStyle="1" w:styleId="33">
    <w:name w:val="纯文本 Char"/>
    <w:link w:val="4"/>
    <w:qFormat/>
    <w:locked/>
    <w:uiPriority w:val="0"/>
    <w:rPr>
      <w:rFonts w:ascii="宋体" w:hAnsi="Courier New" w:cs="宋体"/>
      <w:kern w:val="2"/>
      <w:sz w:val="21"/>
      <w:szCs w:val="21"/>
    </w:rPr>
  </w:style>
  <w:style w:type="character" w:customStyle="1" w:styleId="34">
    <w:name w:val="批注框文本 Char"/>
    <w:link w:val="6"/>
    <w:qFormat/>
    <w:locked/>
    <w:uiPriority w:val="0"/>
    <w:rPr>
      <w:kern w:val="2"/>
      <w:sz w:val="18"/>
      <w:szCs w:val="18"/>
    </w:rPr>
  </w:style>
  <w:style w:type="character" w:customStyle="1" w:styleId="35">
    <w:name w:val="日期 Char"/>
    <w:link w:val="5"/>
    <w:qFormat/>
    <w:locked/>
    <w:uiPriority w:val="0"/>
    <w:rPr>
      <w:kern w:val="2"/>
      <w:sz w:val="21"/>
      <w:szCs w:val="22"/>
    </w:rPr>
  </w:style>
  <w:style w:type="character" w:customStyle="1" w:styleId="36">
    <w:name w:val="纯文本 Char1"/>
    <w:basedOn w:val="14"/>
    <w:uiPriority w:val="0"/>
    <w:rPr>
      <w:rFonts w:ascii="宋体" w:hAnsi="Courier New" w:cs="Courier New"/>
      <w:kern w:val="2"/>
      <w:sz w:val="21"/>
      <w:szCs w:val="21"/>
    </w:rPr>
  </w:style>
  <w:style w:type="character" w:customStyle="1" w:styleId="37">
    <w:name w:val="日期 Char1"/>
    <w:basedOn w:val="14"/>
    <w:uiPriority w:val="0"/>
    <w:rPr>
      <w:kern w:val="2"/>
      <w:sz w:val="21"/>
    </w:rPr>
  </w:style>
  <w:style w:type="paragraph" w:customStyle="1" w:styleId="38">
    <w:name w:val="Char Char Char Char"/>
    <w:basedOn w:val="1"/>
    <w:qFormat/>
    <w:uiPriority w:val="0"/>
    <w:rPr>
      <w:szCs w:val="24"/>
    </w:rPr>
  </w:style>
  <w:style w:type="character" w:customStyle="1" w:styleId="39">
    <w:name w:val="批注框文本 Char1"/>
    <w:basedOn w:val="14"/>
    <w:uiPriority w:val="0"/>
    <w:rPr>
      <w:kern w:val="2"/>
      <w:sz w:val="18"/>
      <w:szCs w:val="18"/>
    </w:rPr>
  </w:style>
  <w:style w:type="character" w:customStyle="1" w:styleId="40">
    <w:name w:val="正文文本 Char"/>
    <w:basedOn w:val="14"/>
    <w:link w:val="3"/>
    <w:qFormat/>
    <w:uiPriority w:val="0"/>
    <w:rPr>
      <w:kern w:val="2"/>
      <w:sz w:val="21"/>
      <w:szCs w:val="24"/>
    </w:rPr>
  </w:style>
  <w:style w:type="paragraph" w:customStyle="1" w:styleId="41">
    <w:name w:val="Char Char Char Char1"/>
    <w:basedOn w:val="1"/>
    <w:uiPriority w:val="0"/>
    <w:rPr>
      <w:szCs w:val="24"/>
    </w:rPr>
  </w:style>
  <w:style w:type="paragraph" w:customStyle="1" w:styleId="42">
    <w:name w:val="样式"/>
    <w:uiPriority w:val="0"/>
    <w:pPr>
      <w:widowControl w:val="0"/>
      <w:autoSpaceDE w:val="0"/>
      <w:autoSpaceDN w:val="0"/>
      <w:adjustRightInd w:val="0"/>
    </w:pPr>
    <w:rPr>
      <w:rFonts w:ascii="Times New Roman" w:hAnsi="Times New Roman" w:eastAsia="仿宋_GB2312" w:cs="宋体"/>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89460</Words>
  <Characters>509925</Characters>
  <Lines>4249</Lines>
  <Paragraphs>1196</Paragraphs>
  <TotalTime>122</TotalTime>
  <ScaleCrop>false</ScaleCrop>
  <LinksUpToDate>false</LinksUpToDate>
  <CharactersWithSpaces>598189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2020-07-08T06:55:00Z</dcterms:created>
  <dc:creator>lenovo</dc:creator>
  <cp:lastModifiedBy>星星点灯1394502312</cp:lastModifiedBy>
  <cp:lastPrinted>2020-10-22T08:16:00Z</cp:lastPrinted>
  <dcterms:modified xsi:type="dcterms:W3CDTF">2020-10-28T03:00:18Z</dcterms:modified>
  <dc:title>河南省试点领域基层政务公开标准目录汇编</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