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tbl>
      <w:tblPr>
        <w:tblStyle w:val="5"/>
        <w:tblW w:w="10350"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50" w:type="dxa"/>
            <w:gridSpan w:val="10"/>
            <w:shd w:val="clear" w:color="auto" w:fill="auto"/>
            <w:vAlign w:val="center"/>
          </w:tcPr>
          <w:p>
            <w:pPr>
              <w:jc w:val="center"/>
              <w:rPr>
                <w:rFonts w:ascii="方正小标宋简体" w:hAnsi="方正小标宋简体" w:eastAsia="方正小标宋简体" w:cs="Times New Roman"/>
                <w:sz w:val="52"/>
                <w:szCs w:val="52"/>
              </w:rPr>
            </w:pPr>
          </w:p>
          <w:p>
            <w:pPr>
              <w:jc w:val="center"/>
              <w:rPr>
                <w:rFonts w:ascii="方正小标宋简体" w:hAnsi="方正小标宋简体" w:eastAsia="方正小标宋简体" w:cs="Times New Roman"/>
                <w:sz w:val="52"/>
                <w:szCs w:val="52"/>
              </w:rPr>
            </w:pPr>
          </w:p>
          <w:p>
            <w:pPr>
              <w:jc w:val="center"/>
              <w:rPr>
                <w:rFonts w:ascii="方正小标宋简体" w:hAnsi="方正小标宋简体" w:eastAsia="方正小标宋简体" w:cs="Times New Roman"/>
                <w:sz w:val="52"/>
                <w:szCs w:val="52"/>
              </w:rPr>
            </w:pPr>
          </w:p>
          <w:p>
            <w:pPr>
              <w:jc w:val="center"/>
              <w:rPr>
                <w:rFonts w:ascii="方正小标宋简体" w:hAnsi="方正小标宋简体" w:eastAsia="方正小标宋简体" w:cs="Times New Roman"/>
                <w:sz w:val="52"/>
                <w:szCs w:val="52"/>
              </w:rPr>
            </w:pPr>
          </w:p>
          <w:p>
            <w:pPr>
              <w:jc w:val="center"/>
              <w:rPr>
                <w:rFonts w:hint="eastAsia" w:ascii="仿宋_GB2312" w:hAnsi="仿宋_GB2312" w:eastAsia="隶书" w:cs="Times New Roman"/>
                <w:sz w:val="44"/>
                <w:szCs w:val="44"/>
                <w:lang w:eastAsia="zh-CN"/>
              </w:rPr>
            </w:pPr>
            <w:r>
              <w:rPr>
                <w:rFonts w:hint="eastAsia" w:ascii="隶书" w:hAnsi="隶书" w:eastAsia="隶书" w:cs="隶书"/>
                <w:sz w:val="52"/>
                <w:szCs w:val="52"/>
              </w:rPr>
              <w:t>卧龙区林业局</w:t>
            </w:r>
          </w:p>
          <w:p>
            <w:pPr>
              <w:jc w:val="center"/>
              <w:rPr>
                <w:rFonts w:ascii="黑体" w:hAnsi="黑体" w:eastAsia="黑体" w:cs="Times New Roman"/>
                <w:sz w:val="52"/>
                <w:szCs w:val="52"/>
              </w:rPr>
            </w:pPr>
          </w:p>
          <w:p>
            <w:pPr>
              <w:jc w:val="center"/>
              <w:rPr>
                <w:rFonts w:hint="eastAsia" w:ascii="隶书" w:hAnsi="隶书" w:eastAsia="隶书" w:cs="隶书"/>
                <w:sz w:val="52"/>
                <w:szCs w:val="52"/>
              </w:rPr>
            </w:pPr>
            <w:r>
              <w:rPr>
                <w:rFonts w:ascii="隶书" w:hAnsi="隶书" w:eastAsia="隶书" w:cs="隶书"/>
                <w:sz w:val="52"/>
                <w:szCs w:val="52"/>
              </w:rPr>
              <w:t>201</w:t>
            </w:r>
            <w:r>
              <w:rPr>
                <w:rFonts w:hint="eastAsia" w:ascii="隶书" w:hAnsi="隶书" w:eastAsia="隶书" w:cs="隶书"/>
                <w:sz w:val="52"/>
                <w:szCs w:val="52"/>
                <w:lang w:val="en-US" w:eastAsia="zh-CN"/>
              </w:rPr>
              <w:t>7</w:t>
            </w:r>
            <w:r>
              <w:rPr>
                <w:rFonts w:hint="eastAsia" w:ascii="隶书" w:hAnsi="隶书" w:eastAsia="隶书" w:cs="隶书"/>
                <w:sz w:val="52"/>
                <w:szCs w:val="52"/>
              </w:rPr>
              <w:t>年度部门决算</w:t>
            </w:r>
          </w:p>
          <w:p>
            <w:pPr>
              <w:ind w:firstLine="6240" w:firstLineChars="1200"/>
              <w:jc w:val="both"/>
              <w:rPr>
                <w:rFonts w:hint="eastAsia" w:ascii="隶书" w:hAnsi="隶书" w:eastAsia="隶书" w:cs="隶书"/>
                <w:sz w:val="52"/>
                <w:szCs w:val="52"/>
              </w:rPr>
            </w:pPr>
          </w:p>
          <w:p>
            <w:pPr>
              <w:ind w:firstLine="6240" w:firstLineChars="1200"/>
              <w:jc w:val="both"/>
              <w:rPr>
                <w:rFonts w:hint="eastAsia" w:ascii="隶书" w:hAnsi="隶书" w:eastAsia="隶书" w:cs="隶书"/>
                <w:sz w:val="52"/>
                <w:szCs w:val="52"/>
              </w:rPr>
            </w:pPr>
          </w:p>
          <w:p>
            <w:pPr>
              <w:ind w:firstLine="6240" w:firstLineChars="1200"/>
              <w:jc w:val="both"/>
              <w:rPr>
                <w:rFonts w:hint="eastAsia" w:ascii="隶书" w:hAnsi="隶书" w:eastAsia="隶书" w:cs="隶书"/>
                <w:sz w:val="52"/>
                <w:szCs w:val="52"/>
              </w:rPr>
            </w:pPr>
          </w:p>
          <w:p>
            <w:pPr>
              <w:ind w:firstLine="6240" w:firstLineChars="1200"/>
              <w:jc w:val="both"/>
              <w:rPr>
                <w:rFonts w:hint="eastAsia" w:ascii="隶书" w:hAnsi="隶书" w:eastAsia="隶书" w:cs="隶书"/>
                <w:sz w:val="52"/>
                <w:szCs w:val="52"/>
              </w:rPr>
            </w:pPr>
          </w:p>
          <w:p>
            <w:pPr>
              <w:ind w:firstLine="4320" w:firstLineChars="1200"/>
              <w:jc w:val="both"/>
              <w:rPr>
                <w:rFonts w:ascii="黑体" w:hAnsi="黑体" w:eastAsia="黑体" w:cs="Times New Roman"/>
                <w:sz w:val="36"/>
                <w:szCs w:val="36"/>
              </w:rPr>
            </w:pPr>
            <w:r>
              <w:rPr>
                <w:rFonts w:hint="eastAsia" w:ascii="黑体" w:hAnsi="黑体" w:eastAsia="黑体" w:cs="黑体"/>
                <w:sz w:val="36"/>
                <w:szCs w:val="36"/>
              </w:rPr>
              <w:t>目　　录</w:t>
            </w:r>
          </w:p>
          <w:p>
            <w:pPr>
              <w:jc w:val="left"/>
              <w:rPr>
                <w:rFonts w:ascii="黑体" w:hAnsi="黑体" w:eastAsia="黑体" w:cs="Times New Roman"/>
                <w:sz w:val="32"/>
                <w:szCs w:val="32"/>
              </w:rPr>
            </w:pPr>
            <w:r>
              <w:rPr>
                <w:rFonts w:hint="eastAsia" w:ascii="黑体" w:hAnsi="黑体" w:eastAsia="黑体" w:cs="黑体"/>
                <w:sz w:val="32"/>
                <w:szCs w:val="32"/>
              </w:rPr>
              <w:t>第一部分　　卧龙区林业局概况</w:t>
            </w:r>
          </w:p>
          <w:p>
            <w:pPr>
              <w:numPr>
                <w:ilvl w:val="0"/>
                <w:numId w:val="1"/>
              </w:numPr>
              <w:jc w:val="left"/>
              <w:rPr>
                <w:rFonts w:ascii="宋体" w:cs="Times New Roman"/>
                <w:sz w:val="32"/>
                <w:szCs w:val="32"/>
              </w:rPr>
            </w:pPr>
            <w:r>
              <w:rPr>
                <w:rFonts w:hint="eastAsia" w:ascii="宋体" w:hAnsi="宋体" w:cs="宋体"/>
                <w:sz w:val="32"/>
                <w:szCs w:val="32"/>
              </w:rPr>
              <w:t>主要职责</w:t>
            </w:r>
          </w:p>
          <w:p>
            <w:pPr>
              <w:numPr>
                <w:ilvl w:val="0"/>
                <w:numId w:val="1"/>
              </w:numPr>
              <w:jc w:val="left"/>
              <w:rPr>
                <w:rFonts w:ascii="宋体" w:cs="Times New Roman"/>
                <w:sz w:val="32"/>
                <w:szCs w:val="32"/>
              </w:rPr>
            </w:pPr>
            <w:r>
              <w:rPr>
                <w:rFonts w:hint="eastAsia" w:ascii="宋体" w:hAnsi="宋体" w:cs="宋体"/>
                <w:sz w:val="32"/>
                <w:szCs w:val="32"/>
              </w:rPr>
              <w:t>部门决算单位构成</w:t>
            </w:r>
          </w:p>
          <w:p>
            <w:pPr>
              <w:jc w:val="left"/>
              <w:rPr>
                <w:rFonts w:ascii="黑体" w:hAnsi="黑体" w:eastAsia="黑体" w:cs="Times New Roman"/>
                <w:sz w:val="32"/>
                <w:szCs w:val="32"/>
              </w:rPr>
            </w:pPr>
            <w:r>
              <w:rPr>
                <w:rFonts w:hint="eastAsia" w:ascii="黑体" w:hAnsi="黑体" w:eastAsia="黑体" w:cs="黑体"/>
                <w:sz w:val="32"/>
                <w:szCs w:val="32"/>
              </w:rPr>
              <w:t>第二部分　　卧龙区林业局</w:t>
            </w:r>
            <w:r>
              <w:rPr>
                <w:rFonts w:ascii="黑体" w:hAnsi="黑体" w:eastAsia="黑体" w:cs="黑体"/>
                <w:sz w:val="32"/>
                <w:szCs w:val="32"/>
              </w:rPr>
              <w:t>201</w:t>
            </w:r>
            <w:r>
              <w:rPr>
                <w:rFonts w:hint="eastAsia" w:ascii="黑体" w:hAnsi="黑体" w:eastAsia="黑体" w:cs="黑体"/>
                <w:sz w:val="32"/>
                <w:szCs w:val="32"/>
                <w:lang w:val="en-US" w:eastAsia="zh-CN"/>
              </w:rPr>
              <w:t>7</w:t>
            </w:r>
            <w:r>
              <w:rPr>
                <w:rFonts w:hint="eastAsia" w:ascii="黑体" w:hAnsi="黑体" w:eastAsia="黑体" w:cs="黑体"/>
                <w:sz w:val="32"/>
                <w:szCs w:val="32"/>
              </w:rPr>
              <w:t>年度部门决算表</w:t>
            </w:r>
          </w:p>
          <w:p>
            <w:pPr>
              <w:jc w:val="left"/>
              <w:rPr>
                <w:rFonts w:ascii="宋体" w:cs="Times New Roman"/>
                <w:sz w:val="32"/>
                <w:szCs w:val="32"/>
              </w:rPr>
            </w:pPr>
            <w:r>
              <w:rPr>
                <w:rFonts w:hint="eastAsia" w:ascii="宋体" w:hAnsi="宋体" w:cs="宋体"/>
                <w:sz w:val="32"/>
                <w:szCs w:val="32"/>
              </w:rPr>
              <w:t>一、收入支出决算总表</w:t>
            </w:r>
          </w:p>
          <w:p>
            <w:pPr>
              <w:jc w:val="left"/>
              <w:rPr>
                <w:rFonts w:ascii="宋体" w:cs="Times New Roman"/>
                <w:sz w:val="32"/>
                <w:szCs w:val="32"/>
              </w:rPr>
            </w:pPr>
            <w:r>
              <w:rPr>
                <w:rFonts w:hint="eastAsia" w:ascii="宋体" w:hAnsi="宋体" w:cs="宋体"/>
                <w:sz w:val="32"/>
                <w:szCs w:val="32"/>
              </w:rPr>
              <w:t>二、收入决算表</w:t>
            </w:r>
          </w:p>
          <w:p>
            <w:pPr>
              <w:jc w:val="left"/>
              <w:rPr>
                <w:rFonts w:ascii="宋体" w:cs="Times New Roman"/>
                <w:sz w:val="32"/>
                <w:szCs w:val="32"/>
              </w:rPr>
            </w:pPr>
            <w:r>
              <w:rPr>
                <w:rFonts w:hint="eastAsia" w:ascii="宋体" w:hAnsi="宋体" w:cs="宋体"/>
                <w:sz w:val="32"/>
                <w:szCs w:val="32"/>
              </w:rPr>
              <w:t>三、支出决算表</w:t>
            </w:r>
          </w:p>
          <w:p>
            <w:pPr>
              <w:jc w:val="left"/>
              <w:rPr>
                <w:rFonts w:ascii="宋体" w:cs="Times New Roman"/>
                <w:sz w:val="32"/>
                <w:szCs w:val="32"/>
              </w:rPr>
            </w:pPr>
            <w:r>
              <w:rPr>
                <w:rFonts w:hint="eastAsia" w:ascii="宋体" w:hAnsi="宋体" w:cs="宋体"/>
                <w:sz w:val="32"/>
                <w:szCs w:val="32"/>
              </w:rPr>
              <w:t>四、财政拨款收入支出决算总表</w:t>
            </w:r>
          </w:p>
          <w:p>
            <w:pPr>
              <w:jc w:val="left"/>
              <w:rPr>
                <w:rFonts w:ascii="宋体" w:cs="Times New Roman"/>
                <w:sz w:val="32"/>
                <w:szCs w:val="32"/>
              </w:rPr>
            </w:pPr>
            <w:r>
              <w:rPr>
                <w:rFonts w:hint="eastAsia" w:ascii="宋体" w:hAnsi="宋体" w:cs="宋体"/>
                <w:sz w:val="32"/>
                <w:szCs w:val="32"/>
              </w:rPr>
              <w:t>五、一般公共预算财政拨款支出决算表</w:t>
            </w:r>
          </w:p>
          <w:p>
            <w:pPr>
              <w:jc w:val="left"/>
              <w:rPr>
                <w:rFonts w:ascii="宋体" w:cs="Times New Roman"/>
                <w:sz w:val="32"/>
                <w:szCs w:val="32"/>
              </w:rPr>
            </w:pPr>
            <w:r>
              <w:rPr>
                <w:rFonts w:hint="eastAsia" w:ascii="宋体" w:hAnsi="宋体" w:cs="宋体"/>
                <w:sz w:val="32"/>
                <w:szCs w:val="32"/>
              </w:rPr>
              <w:t>六、一般公共预算财政拨款基本支出决算表</w:t>
            </w:r>
          </w:p>
          <w:p>
            <w:pPr>
              <w:jc w:val="left"/>
              <w:rPr>
                <w:rFonts w:ascii="宋体" w:cs="Times New Roman"/>
                <w:sz w:val="32"/>
                <w:szCs w:val="32"/>
              </w:rPr>
            </w:pPr>
            <w:r>
              <w:rPr>
                <w:rFonts w:hint="eastAsia" w:ascii="宋体" w:hAnsi="宋体" w:cs="宋体"/>
                <w:sz w:val="32"/>
                <w:szCs w:val="32"/>
              </w:rPr>
              <w:t>七、一般公共预算财政拨款“三公”经费支出决算表</w:t>
            </w:r>
          </w:p>
          <w:p>
            <w:pPr>
              <w:jc w:val="left"/>
              <w:rPr>
                <w:rFonts w:ascii="宋体" w:cs="Times New Roman"/>
                <w:sz w:val="32"/>
                <w:szCs w:val="32"/>
              </w:rPr>
            </w:pPr>
            <w:r>
              <w:rPr>
                <w:rFonts w:hint="eastAsia" w:ascii="宋体" w:hAnsi="宋体" w:cs="宋体"/>
                <w:sz w:val="32"/>
                <w:szCs w:val="32"/>
              </w:rPr>
              <w:t>八、政府性基金预算财政拨款收入支出决算表</w:t>
            </w:r>
          </w:p>
          <w:p>
            <w:pPr>
              <w:jc w:val="left"/>
              <w:rPr>
                <w:rFonts w:ascii="黑体" w:hAnsi="黑体" w:eastAsia="黑体" w:cs="Times New Roman"/>
                <w:sz w:val="32"/>
                <w:szCs w:val="32"/>
              </w:rPr>
            </w:pPr>
            <w:r>
              <w:rPr>
                <w:rFonts w:hint="eastAsia" w:ascii="黑体" w:hAnsi="黑体" w:eastAsia="黑体" w:cs="黑体"/>
                <w:sz w:val="32"/>
                <w:szCs w:val="32"/>
              </w:rPr>
              <w:t>第三部分　　卧龙区林业局</w:t>
            </w:r>
            <w:r>
              <w:rPr>
                <w:rFonts w:ascii="黑体" w:hAnsi="黑体" w:eastAsia="黑体" w:cs="黑体"/>
                <w:sz w:val="32"/>
                <w:szCs w:val="32"/>
              </w:rPr>
              <w:t>201</w:t>
            </w:r>
            <w:r>
              <w:rPr>
                <w:rFonts w:hint="eastAsia" w:ascii="黑体" w:hAnsi="黑体" w:eastAsia="黑体" w:cs="黑体"/>
                <w:sz w:val="32"/>
                <w:szCs w:val="32"/>
                <w:lang w:val="en-US" w:eastAsia="zh-CN"/>
              </w:rPr>
              <w:t>7</w:t>
            </w:r>
            <w:r>
              <w:rPr>
                <w:rFonts w:hint="eastAsia" w:ascii="黑体" w:hAnsi="黑体" w:eastAsia="黑体" w:cs="黑体"/>
                <w:sz w:val="32"/>
                <w:szCs w:val="32"/>
              </w:rPr>
              <w:t>年度部门决算情况说明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numPr>
                <w:ilvl w:val="0"/>
                <w:numId w:val="2"/>
              </w:numPr>
              <w:spacing w:line="360" w:lineRule="auto"/>
              <w:ind w:firstLine="960" w:firstLineChars="200"/>
              <w:jc w:val="left"/>
              <w:outlineLvl w:val="1"/>
              <w:rPr>
                <w:rFonts w:ascii="黑体" w:hAnsi="黑体" w:eastAsia="黑体" w:cs="Times New Roman"/>
                <w:sz w:val="32"/>
                <w:szCs w:val="32"/>
              </w:rPr>
            </w:pPr>
            <w:r>
              <w:rPr>
                <w:rFonts w:hint="eastAsia" w:ascii="隶书" w:hAnsi="隶书" w:eastAsia="隶书" w:cs="隶书"/>
                <w:sz w:val="48"/>
                <w:szCs w:val="48"/>
              </w:rPr>
              <w:t>第一部分　　卧龙区林业局概况</w:t>
            </w: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widowControl w:val="0"/>
              <w:numPr>
                <w:ilvl w:val="0"/>
                <w:numId w:val="0"/>
              </w:numPr>
              <w:spacing w:line="360" w:lineRule="auto"/>
              <w:jc w:val="left"/>
              <w:outlineLvl w:val="1"/>
              <w:rPr>
                <w:rFonts w:hint="eastAsia" w:ascii="隶书" w:hAnsi="隶书" w:eastAsia="隶书" w:cs="隶书"/>
                <w:sz w:val="48"/>
                <w:szCs w:val="48"/>
              </w:rPr>
            </w:pPr>
          </w:p>
          <w:p>
            <w:pPr>
              <w:numPr>
                <w:ilvl w:val="0"/>
                <w:numId w:val="0"/>
              </w:numPr>
              <w:spacing w:line="360" w:lineRule="auto"/>
              <w:ind w:leftChars="200"/>
              <w:jc w:val="left"/>
              <w:outlineLvl w:val="1"/>
              <w:rPr>
                <w:rFonts w:ascii="黑体" w:hAnsi="黑体" w:eastAsia="黑体" w:cs="Times New Roman"/>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主要职责</w:t>
            </w:r>
          </w:p>
          <w:p>
            <w:pPr>
              <w:spacing w:before="100" w:beforeAutospacing="1" w:after="100" w:afterAutospacing="1" w:line="560" w:lineRule="atLeast"/>
              <w:ind w:firstLine="600"/>
              <w:rPr>
                <w:rFonts w:hint="eastAsia" w:ascii="仿宋_GB2312" w:hAnsi="宋体" w:cs="宋体"/>
                <w:color w:val="333333"/>
                <w:kern w:val="0"/>
                <w:sz w:val="30"/>
                <w:szCs w:val="30"/>
              </w:rPr>
            </w:pPr>
            <w:r>
              <w:rPr>
                <w:rFonts w:hint="eastAsia" w:ascii="楷体_GB2312" w:hAnsi="宋体" w:eastAsia="楷体_GB2312" w:cs="楷体_GB2312"/>
                <w:kern w:val="0"/>
                <w:sz w:val="30"/>
                <w:szCs w:val="30"/>
              </w:rPr>
              <w:t>（一）</w:t>
            </w:r>
            <w:r>
              <w:rPr>
                <w:rFonts w:hint="eastAsia" w:ascii="仿宋_GB2312" w:hAnsi="宋体" w:cs="宋体"/>
                <w:color w:val="333333"/>
                <w:kern w:val="0"/>
                <w:sz w:val="30"/>
                <w:szCs w:val="30"/>
              </w:rPr>
              <w:t>负责全区林业及其生态建设监督管理。拟订林业及其生态建设的发展战略、中长期规划并监督实施。参与拟订有关地方标准和规程并指导实施。组织开展森林资源、陆生野生动植物资源、湿地和荒漠调查、林业有害生物普查、动态监测和评估</w:t>
            </w:r>
            <w:r>
              <w:rPr>
                <w:rFonts w:ascii="仿宋_GB2312" w:hAnsi="宋体" w:cs="仿宋_GB2312"/>
                <w:color w:val="333333"/>
                <w:kern w:val="0"/>
                <w:sz w:val="30"/>
                <w:szCs w:val="30"/>
              </w:rPr>
              <w:t>,</w:t>
            </w:r>
            <w:r>
              <w:rPr>
                <w:rFonts w:hint="eastAsia" w:ascii="仿宋_GB2312" w:hAnsi="宋体" w:cs="宋体"/>
                <w:color w:val="333333"/>
                <w:kern w:val="0"/>
                <w:sz w:val="30"/>
                <w:szCs w:val="30"/>
              </w:rPr>
              <w:t>并发布相关信息。承担林业生态文明建设有关工作。</w:t>
            </w:r>
          </w:p>
          <w:p>
            <w:pPr>
              <w:spacing w:before="100" w:beforeAutospacing="1" w:after="100" w:afterAutospacing="1" w:line="560" w:lineRule="atLeast"/>
              <w:ind w:firstLine="600"/>
              <w:rPr>
                <w:rFonts w:ascii="宋体" w:cs="Times New Roman"/>
                <w:color w:val="333333"/>
                <w:kern w:val="0"/>
                <w:sz w:val="30"/>
                <w:szCs w:val="30"/>
              </w:rPr>
            </w:pPr>
            <w:r>
              <w:rPr>
                <w:rFonts w:hint="eastAsia" w:ascii="仿宋_GB2312" w:hAnsi="宋体" w:cs="宋体"/>
                <w:color w:val="333333"/>
                <w:kern w:val="0"/>
                <w:sz w:val="30"/>
                <w:szCs w:val="30"/>
              </w:rPr>
              <w:t>（二）组织、协调、指导和监督全区造林绿化工作。制定全区造林绿化指导性计划</w:t>
            </w:r>
            <w:r>
              <w:rPr>
                <w:rFonts w:ascii="仿宋_GB2312" w:hAnsi="宋体" w:cs="仿宋_GB2312"/>
                <w:color w:val="333333"/>
                <w:kern w:val="0"/>
                <w:sz w:val="30"/>
                <w:szCs w:val="30"/>
              </w:rPr>
              <w:t>,</w:t>
            </w:r>
            <w:r>
              <w:rPr>
                <w:rFonts w:hint="eastAsia" w:ascii="仿宋_GB2312" w:hAnsi="宋体" w:cs="宋体"/>
                <w:color w:val="333333"/>
                <w:kern w:val="0"/>
                <w:sz w:val="30"/>
                <w:szCs w:val="30"/>
              </w:rPr>
              <w:t>拟订相关地方标准和规程并监督执行</w:t>
            </w:r>
            <w:r>
              <w:rPr>
                <w:rFonts w:ascii="仿宋_GB2312" w:hAnsi="宋体" w:cs="仿宋_GB2312"/>
                <w:color w:val="333333"/>
                <w:kern w:val="0"/>
                <w:sz w:val="30"/>
                <w:szCs w:val="30"/>
              </w:rPr>
              <w:t>,</w:t>
            </w:r>
            <w:r>
              <w:rPr>
                <w:rFonts w:hint="eastAsia" w:ascii="仿宋_GB2312" w:hAnsi="宋体" w:cs="宋体"/>
                <w:color w:val="333333"/>
                <w:kern w:val="0"/>
                <w:sz w:val="30"/>
                <w:szCs w:val="30"/>
              </w:rPr>
              <w:t>指导各类公益林和商品林</w:t>
            </w:r>
            <w:r>
              <w:rPr>
                <w:rFonts w:ascii="仿宋_GB2312" w:hAnsi="宋体" w:cs="仿宋_GB2312"/>
                <w:color w:val="333333"/>
                <w:kern w:val="0"/>
                <w:sz w:val="30"/>
                <w:szCs w:val="30"/>
              </w:rPr>
              <w:t>(</w:t>
            </w:r>
            <w:r>
              <w:rPr>
                <w:rFonts w:hint="eastAsia" w:ascii="仿宋_GB2312" w:hAnsi="宋体" w:cs="宋体"/>
                <w:color w:val="333333"/>
                <w:kern w:val="0"/>
                <w:sz w:val="30"/>
                <w:szCs w:val="30"/>
              </w:rPr>
              <w:t>包括用材林、经济林、薪炭林、药用林、竹林、特种用途林</w:t>
            </w:r>
            <w:r>
              <w:rPr>
                <w:rFonts w:ascii="仿宋_GB2312" w:hAnsi="宋体" w:cs="仿宋_GB2312"/>
                <w:color w:val="333333"/>
                <w:kern w:val="0"/>
                <w:sz w:val="30"/>
                <w:szCs w:val="30"/>
              </w:rPr>
              <w:t>)</w:t>
            </w:r>
            <w:r>
              <w:rPr>
                <w:rFonts w:hint="eastAsia" w:ascii="仿宋_GB2312" w:hAnsi="宋体" w:cs="宋体"/>
                <w:color w:val="333333"/>
                <w:kern w:val="0"/>
                <w:sz w:val="30"/>
                <w:szCs w:val="30"/>
              </w:rPr>
              <w:t>培育</w:t>
            </w:r>
            <w:r>
              <w:rPr>
                <w:rFonts w:ascii="仿宋_GB2312" w:hAnsi="宋体" w:cs="仿宋_GB2312"/>
                <w:color w:val="333333"/>
                <w:kern w:val="0"/>
                <w:sz w:val="30"/>
                <w:szCs w:val="30"/>
              </w:rPr>
              <w:t>,</w:t>
            </w:r>
            <w:r>
              <w:rPr>
                <w:rFonts w:hint="eastAsia" w:ascii="仿宋_GB2312" w:hAnsi="宋体" w:cs="宋体"/>
                <w:color w:val="333333"/>
                <w:kern w:val="0"/>
                <w:sz w:val="30"/>
                <w:szCs w:val="30"/>
              </w:rPr>
              <w:t>指导植树造林、封山育林和采用植树种草等生物措施防治水土流失工作</w:t>
            </w:r>
            <w:r>
              <w:rPr>
                <w:rFonts w:ascii="仿宋_GB2312" w:hAnsi="宋体" w:cs="仿宋_GB2312"/>
                <w:color w:val="333333"/>
                <w:kern w:val="0"/>
                <w:sz w:val="30"/>
                <w:szCs w:val="30"/>
              </w:rPr>
              <w:t>;</w:t>
            </w:r>
            <w:r>
              <w:rPr>
                <w:rFonts w:hint="eastAsia" w:ascii="仿宋_GB2312" w:hAnsi="宋体" w:cs="宋体"/>
                <w:color w:val="333333"/>
                <w:kern w:val="0"/>
                <w:sz w:val="30"/>
                <w:szCs w:val="30"/>
              </w:rPr>
              <w:t>指导、监督全民义务植树、造林绿化工作；承担林业应对气候变化相关工作；承担全区花卉管理和林木种子工作。承担卧龙区绿化委员会的具体工作。</w:t>
            </w:r>
          </w:p>
          <w:p>
            <w:pPr>
              <w:widowControl/>
              <w:spacing w:before="100" w:beforeAutospacing="1" w:after="100" w:afterAutospacing="1" w:line="560" w:lineRule="atLeast"/>
              <w:jc w:val="left"/>
              <w:rPr>
                <w:rFonts w:ascii="宋体" w:cs="Times New Roman"/>
                <w:color w:val="333333"/>
                <w:kern w:val="0"/>
                <w:sz w:val="30"/>
                <w:szCs w:val="30"/>
              </w:rPr>
            </w:pPr>
            <w:r>
              <w:rPr>
                <w:rFonts w:hint="eastAsia" w:ascii="仿宋_GB2312" w:hAnsi="宋体" w:cs="宋体"/>
                <w:color w:val="333333"/>
                <w:kern w:val="0"/>
                <w:sz w:val="30"/>
                <w:szCs w:val="30"/>
              </w:rPr>
              <w:t>　　（三）承担全区森林资源保护发展、监督管理责任。组织编制并监督执行全区森林采伐限额</w:t>
            </w:r>
            <w:r>
              <w:rPr>
                <w:rFonts w:ascii="仿宋_GB2312" w:hAnsi="宋体" w:cs="仿宋_GB2312"/>
                <w:color w:val="333333"/>
                <w:kern w:val="0"/>
                <w:sz w:val="30"/>
                <w:szCs w:val="30"/>
              </w:rPr>
              <w:t>,</w:t>
            </w:r>
            <w:r>
              <w:rPr>
                <w:rFonts w:hint="eastAsia" w:ascii="仿宋_GB2312" w:hAnsi="宋体" w:cs="宋体"/>
                <w:color w:val="333333"/>
                <w:kern w:val="0"/>
                <w:sz w:val="30"/>
                <w:szCs w:val="30"/>
              </w:rPr>
              <w:t>监督检查林木凭证采伐、运输；</w:t>
            </w:r>
            <w:r>
              <w:rPr>
                <w:rFonts w:ascii="仿宋_GB2312" w:hAnsi="宋体" w:cs="仿宋_GB2312"/>
                <w:color w:val="000000" w:themeColor="text1"/>
                <w:kern w:val="0"/>
                <w:sz w:val="30"/>
                <w:szCs w:val="30"/>
                <w14:textFill>
                  <w14:solidFill>
                    <w14:schemeClr w14:val="tx1"/>
                  </w14:solidFill>
                </w14:textFill>
              </w:rPr>
              <w:t>(</w:t>
            </w:r>
            <w:r>
              <w:rPr>
                <w:rFonts w:hint="eastAsia" w:ascii="仿宋_GB2312" w:hAnsi="宋体" w:cs="宋体"/>
                <w:color w:val="000000" w:themeColor="text1"/>
                <w:kern w:val="0"/>
                <w:sz w:val="30"/>
                <w:szCs w:val="30"/>
                <w14:textFill>
                  <w14:solidFill>
                    <w14:schemeClr w14:val="tx1"/>
                  </w14:solidFill>
                </w14:textFill>
              </w:rPr>
              <w:t>组织、指导林地、林权管理</w:t>
            </w:r>
            <w:r>
              <w:rPr>
                <w:rFonts w:ascii="仿宋_GB2312" w:hAnsi="宋体" w:cs="仿宋_GB2312"/>
                <w:color w:val="000000" w:themeColor="text1"/>
                <w:kern w:val="0"/>
                <w:sz w:val="30"/>
                <w:szCs w:val="30"/>
                <w14:textFill>
                  <w14:solidFill>
                    <w14:schemeClr w14:val="tx1"/>
                  </w14:solidFill>
                </w14:textFill>
              </w:rPr>
              <w:t>,</w:t>
            </w:r>
            <w:r>
              <w:rPr>
                <w:rFonts w:hint="eastAsia" w:ascii="仿宋_GB2312" w:hAnsi="宋体" w:cs="宋体"/>
                <w:color w:val="000000" w:themeColor="text1"/>
                <w:kern w:val="0"/>
                <w:sz w:val="30"/>
                <w:szCs w:val="30"/>
                <w14:textFill>
                  <w14:solidFill>
                    <w14:schemeClr w14:val="tx1"/>
                  </w14:solidFill>
                </w14:textFill>
              </w:rPr>
              <w:t>组织开展林权登记、发证工作</w:t>
            </w:r>
            <w:r>
              <w:rPr>
                <w:rFonts w:ascii="仿宋_GB2312" w:hAnsi="宋体" w:cs="仿宋_GB2312"/>
                <w:color w:val="000000" w:themeColor="text1"/>
                <w:kern w:val="0"/>
                <w:sz w:val="30"/>
                <w:szCs w:val="30"/>
                <w14:textFill>
                  <w14:solidFill>
                    <w14:schemeClr w14:val="tx1"/>
                  </w14:solidFill>
                </w14:textFill>
              </w:rPr>
              <w:t>,)</w:t>
            </w:r>
            <w:r>
              <w:rPr>
                <w:rFonts w:hint="eastAsia" w:ascii="仿宋_GB2312" w:hAnsi="宋体" w:cs="宋体"/>
                <w:color w:val="333333"/>
                <w:kern w:val="0"/>
                <w:sz w:val="30"/>
                <w:szCs w:val="30"/>
              </w:rPr>
              <w:t>组织拟订林地保护利用规划并指导实施</w:t>
            </w:r>
            <w:r>
              <w:rPr>
                <w:rFonts w:ascii="仿宋_GB2312" w:hAnsi="宋体" w:cs="仿宋_GB2312"/>
                <w:color w:val="333333"/>
                <w:kern w:val="0"/>
                <w:sz w:val="30"/>
                <w:szCs w:val="30"/>
              </w:rPr>
              <w:t>,</w:t>
            </w:r>
            <w:r>
              <w:rPr>
                <w:rFonts w:hint="eastAsia" w:ascii="仿宋_GB2312" w:hAnsi="宋体" w:cs="宋体"/>
                <w:color w:val="333333"/>
                <w:kern w:val="0"/>
                <w:sz w:val="30"/>
                <w:szCs w:val="30"/>
              </w:rPr>
              <w:t>依法承担应由区政府批准的林地征用、占用的初审工作</w:t>
            </w:r>
            <w:r>
              <w:rPr>
                <w:rFonts w:ascii="仿宋_GB2312" w:hAnsi="宋体" w:cs="仿宋_GB2312"/>
                <w:color w:val="333333"/>
                <w:kern w:val="0"/>
                <w:sz w:val="30"/>
                <w:szCs w:val="30"/>
              </w:rPr>
              <w:t>,</w:t>
            </w:r>
            <w:r>
              <w:rPr>
                <w:rFonts w:hint="eastAsia" w:ascii="仿宋_GB2312" w:hAnsi="宋体" w:cs="宋体"/>
                <w:color w:val="333333"/>
                <w:kern w:val="0"/>
                <w:sz w:val="30"/>
                <w:szCs w:val="30"/>
              </w:rPr>
              <w:t>管理国有林场</w:t>
            </w:r>
            <w:r>
              <w:rPr>
                <w:rFonts w:ascii="仿宋_GB2312" w:hAnsi="宋体" w:cs="仿宋_GB2312"/>
                <w:color w:val="333333"/>
                <w:kern w:val="0"/>
                <w:sz w:val="30"/>
                <w:szCs w:val="30"/>
              </w:rPr>
              <w:t>(</w:t>
            </w:r>
            <w:r>
              <w:rPr>
                <w:rFonts w:hint="eastAsia" w:ascii="仿宋_GB2312" w:hAnsi="宋体" w:cs="宋体"/>
                <w:color w:val="333333"/>
                <w:kern w:val="0"/>
                <w:sz w:val="30"/>
                <w:szCs w:val="30"/>
              </w:rPr>
              <w:t>苗圃</w:t>
            </w:r>
            <w:r>
              <w:rPr>
                <w:rFonts w:ascii="仿宋_GB2312" w:hAnsi="宋体" w:cs="仿宋_GB2312"/>
                <w:color w:val="333333"/>
                <w:kern w:val="0"/>
                <w:sz w:val="30"/>
                <w:szCs w:val="30"/>
              </w:rPr>
              <w:t>)</w:t>
            </w:r>
            <w:r>
              <w:rPr>
                <w:rFonts w:hint="eastAsia" w:ascii="仿宋_GB2312" w:hAnsi="宋体" w:cs="宋体"/>
                <w:color w:val="333333"/>
                <w:kern w:val="0"/>
                <w:sz w:val="30"/>
                <w:szCs w:val="30"/>
              </w:rPr>
              <w:t>的国有森林资源</w:t>
            </w:r>
            <w:r>
              <w:rPr>
                <w:rFonts w:ascii="仿宋_GB2312" w:hAnsi="宋体" w:cs="仿宋_GB2312"/>
                <w:color w:val="333333"/>
                <w:kern w:val="0"/>
                <w:sz w:val="30"/>
                <w:szCs w:val="30"/>
              </w:rPr>
              <w:t>,</w:t>
            </w:r>
            <w:r>
              <w:rPr>
                <w:rFonts w:hint="eastAsia" w:ascii="仿宋_GB2312" w:hAnsi="宋体" w:cs="宋体"/>
                <w:color w:val="333333"/>
                <w:kern w:val="0"/>
                <w:sz w:val="30"/>
                <w:szCs w:val="30"/>
              </w:rPr>
              <w:t>承担国有林场</w:t>
            </w:r>
            <w:r>
              <w:rPr>
                <w:rFonts w:ascii="仿宋_GB2312" w:hAnsi="宋体" w:cs="仿宋_GB2312"/>
                <w:color w:val="333333"/>
                <w:kern w:val="0"/>
                <w:sz w:val="30"/>
                <w:szCs w:val="30"/>
              </w:rPr>
              <w:t>(</w:t>
            </w:r>
            <w:r>
              <w:rPr>
                <w:rFonts w:hint="eastAsia" w:ascii="仿宋_GB2312" w:hAnsi="宋体" w:cs="宋体"/>
                <w:color w:val="333333"/>
                <w:kern w:val="0"/>
                <w:sz w:val="30"/>
                <w:szCs w:val="30"/>
              </w:rPr>
              <w:t>苗圃</w:t>
            </w:r>
            <w:r>
              <w:rPr>
                <w:rFonts w:ascii="仿宋_GB2312" w:hAnsi="宋体" w:cs="仿宋_GB2312"/>
                <w:color w:val="333333"/>
                <w:kern w:val="0"/>
                <w:sz w:val="30"/>
                <w:szCs w:val="30"/>
              </w:rPr>
              <w:t>)</w:t>
            </w:r>
            <w:r>
              <w:rPr>
                <w:rFonts w:hint="eastAsia" w:ascii="仿宋_GB2312" w:hAnsi="宋体" w:cs="宋体"/>
                <w:color w:val="333333"/>
                <w:kern w:val="0"/>
                <w:sz w:val="30"/>
                <w:szCs w:val="30"/>
              </w:rPr>
              <w:t>的国有森林资源资产产权变动审核工作。</w:t>
            </w:r>
          </w:p>
          <w:p>
            <w:pPr>
              <w:widowControl/>
              <w:spacing w:before="100" w:beforeAutospacing="1" w:after="100" w:afterAutospacing="1" w:line="560" w:lineRule="atLeast"/>
              <w:jc w:val="left"/>
              <w:rPr>
                <w:rFonts w:ascii="宋体" w:cs="Times New Roman"/>
                <w:color w:val="333333"/>
                <w:kern w:val="0"/>
                <w:sz w:val="30"/>
                <w:szCs w:val="30"/>
              </w:rPr>
            </w:pPr>
            <w:r>
              <w:rPr>
                <w:rFonts w:ascii="仿宋_GB2312" w:hAnsi="宋体" w:cs="Times New Roman"/>
                <w:color w:val="FF0000"/>
                <w:kern w:val="0"/>
                <w:sz w:val="30"/>
                <w:szCs w:val="30"/>
              </w:rPr>
              <w:t> </w:t>
            </w:r>
            <w:r>
              <w:rPr>
                <w:rFonts w:hint="eastAsia" w:ascii="仿宋_GB2312" w:hAnsi="宋体" w:cs="宋体"/>
                <w:color w:val="333333"/>
                <w:kern w:val="0"/>
                <w:sz w:val="30"/>
                <w:szCs w:val="30"/>
              </w:rPr>
              <w:t>　（四）组织、协调、指导和监督全区湿地保护工作。拟订全区湿地保护规划和有关地方标准及规定，组织开展湿地保护小区、湿地公园等保护管理工作</w:t>
            </w:r>
            <w:r>
              <w:rPr>
                <w:rFonts w:ascii="仿宋_GB2312" w:hAnsi="宋体" w:cs="仿宋_GB2312"/>
                <w:color w:val="333333"/>
                <w:kern w:val="0"/>
                <w:sz w:val="30"/>
                <w:szCs w:val="30"/>
              </w:rPr>
              <w:t>,</w:t>
            </w:r>
            <w:r>
              <w:rPr>
                <w:rFonts w:hint="eastAsia" w:ascii="仿宋_GB2312" w:hAnsi="宋体" w:cs="宋体"/>
                <w:color w:val="333333"/>
                <w:kern w:val="0"/>
                <w:sz w:val="30"/>
                <w:szCs w:val="30"/>
              </w:rPr>
              <w:t>监督湿地的合理利用</w:t>
            </w:r>
            <w:r>
              <w:rPr>
                <w:rFonts w:ascii="仿宋_GB2312" w:hAnsi="宋体" w:cs="仿宋_GB2312"/>
                <w:color w:val="333333"/>
                <w:kern w:val="0"/>
                <w:sz w:val="30"/>
                <w:szCs w:val="30"/>
              </w:rPr>
              <w:t>,</w:t>
            </w:r>
            <w:r>
              <w:rPr>
                <w:rFonts w:hint="eastAsia" w:ascii="仿宋_GB2312" w:hAnsi="宋体" w:cs="宋体"/>
                <w:color w:val="333333"/>
                <w:kern w:val="0"/>
                <w:sz w:val="30"/>
                <w:szCs w:val="30"/>
              </w:rPr>
              <w:t>组织、协调有关国际《湿地公约》的履约工作。</w:t>
            </w:r>
          </w:p>
          <w:p>
            <w:pPr>
              <w:widowControl/>
              <w:spacing w:before="100" w:beforeAutospacing="1" w:after="100" w:afterAutospacing="1" w:line="560" w:lineRule="atLeast"/>
              <w:jc w:val="left"/>
              <w:rPr>
                <w:rFonts w:ascii="宋体" w:cs="Times New Roman"/>
                <w:color w:val="333333"/>
                <w:kern w:val="0"/>
                <w:sz w:val="30"/>
                <w:szCs w:val="30"/>
              </w:rPr>
            </w:pPr>
            <w:r>
              <w:rPr>
                <w:rFonts w:ascii="仿宋_GB2312" w:hAnsi="宋体" w:cs="Times New Roman"/>
                <w:color w:val="FF0000"/>
                <w:kern w:val="0"/>
                <w:sz w:val="30"/>
                <w:szCs w:val="30"/>
              </w:rPr>
              <w:t> </w:t>
            </w:r>
            <w:r>
              <w:rPr>
                <w:rFonts w:hint="eastAsia" w:ascii="仿宋_GB2312" w:hAnsi="宋体" w:cs="宋体"/>
                <w:color w:val="333333"/>
                <w:kern w:val="0"/>
                <w:sz w:val="30"/>
                <w:szCs w:val="30"/>
              </w:rPr>
              <w:t>　（五）组织、协调、指导和监督全区荒漠化防治工作。组织拟订全区防沙治沙、石漠化防治及沙化土地封禁保护区建设规划</w:t>
            </w:r>
            <w:r>
              <w:rPr>
                <w:rFonts w:ascii="仿宋_GB2312" w:hAnsi="宋体" w:cs="仿宋_GB2312"/>
                <w:color w:val="333333"/>
                <w:kern w:val="0"/>
                <w:sz w:val="30"/>
                <w:szCs w:val="30"/>
              </w:rPr>
              <w:t>,</w:t>
            </w:r>
            <w:r>
              <w:rPr>
                <w:rFonts w:hint="eastAsia" w:ascii="仿宋_GB2312" w:hAnsi="宋体" w:cs="宋体"/>
                <w:color w:val="333333"/>
                <w:kern w:val="0"/>
                <w:sz w:val="30"/>
                <w:szCs w:val="30"/>
              </w:rPr>
              <w:t>参与拟订相关地方标准和规定并监督实施</w:t>
            </w:r>
            <w:r>
              <w:rPr>
                <w:rFonts w:ascii="仿宋_GB2312" w:hAnsi="宋体" w:cs="仿宋_GB2312"/>
                <w:color w:val="333333"/>
                <w:kern w:val="0"/>
                <w:sz w:val="30"/>
                <w:szCs w:val="30"/>
              </w:rPr>
              <w:t>,</w:t>
            </w:r>
            <w:r>
              <w:rPr>
                <w:rFonts w:hint="eastAsia" w:ascii="仿宋_GB2312" w:hAnsi="宋体" w:cs="宋体"/>
                <w:color w:val="333333"/>
                <w:kern w:val="0"/>
                <w:sz w:val="30"/>
                <w:szCs w:val="30"/>
              </w:rPr>
              <w:t>监督沙化土地的合理利用</w:t>
            </w:r>
            <w:r>
              <w:rPr>
                <w:rFonts w:ascii="仿宋_GB2312" w:hAnsi="宋体" w:cs="仿宋_GB2312"/>
                <w:color w:val="333333"/>
                <w:kern w:val="0"/>
                <w:sz w:val="30"/>
                <w:szCs w:val="30"/>
              </w:rPr>
              <w:t>,</w:t>
            </w:r>
            <w:r>
              <w:rPr>
                <w:rFonts w:hint="eastAsia" w:ascii="仿宋_GB2312" w:hAnsi="宋体" w:cs="宋体"/>
                <w:color w:val="333333"/>
                <w:kern w:val="0"/>
                <w:sz w:val="30"/>
                <w:szCs w:val="30"/>
              </w:rPr>
              <w:t>组织、指导建设项目对土地沙化影响的审核</w:t>
            </w:r>
            <w:r>
              <w:rPr>
                <w:rFonts w:ascii="仿宋_GB2312" w:hAnsi="宋体" w:cs="仿宋_GB2312"/>
                <w:color w:val="333333"/>
                <w:kern w:val="0"/>
                <w:sz w:val="30"/>
                <w:szCs w:val="30"/>
              </w:rPr>
              <w:t>,</w:t>
            </w:r>
            <w:r>
              <w:rPr>
                <w:rFonts w:hint="eastAsia" w:ascii="仿宋_GB2312" w:hAnsi="宋体" w:cs="宋体"/>
                <w:color w:val="333333"/>
                <w:kern w:val="0"/>
                <w:sz w:val="30"/>
                <w:szCs w:val="30"/>
              </w:rPr>
              <w:t>组织、协调有关《联合国防治荒漠化公约》的履约工作。组织、协调、指导全区长江防护林体系工程建设。</w:t>
            </w:r>
          </w:p>
          <w:p>
            <w:pPr>
              <w:widowControl/>
              <w:spacing w:before="100" w:beforeAutospacing="1" w:after="100" w:afterAutospacing="1" w:line="560" w:lineRule="atLeast"/>
              <w:jc w:val="left"/>
              <w:rPr>
                <w:rFonts w:ascii="宋体" w:cs="Times New Roman"/>
                <w:color w:val="333333"/>
                <w:kern w:val="0"/>
                <w:sz w:val="30"/>
                <w:szCs w:val="30"/>
              </w:rPr>
            </w:pPr>
            <w:r>
              <w:rPr>
                <w:rFonts w:hint="eastAsia" w:ascii="仿宋_GB2312" w:hAnsi="宋体" w:cs="宋体"/>
                <w:color w:val="333333"/>
                <w:kern w:val="0"/>
                <w:sz w:val="30"/>
                <w:szCs w:val="30"/>
              </w:rPr>
              <w:t>　　（六）组织、指导全区陆生野生动植物资源的保护和合理开发利用。依法组织、指导陆生野生动植物救护繁育、栖息地恢复发展、疫源疫病监测</w:t>
            </w:r>
            <w:r>
              <w:rPr>
                <w:rFonts w:ascii="仿宋_GB2312" w:hAnsi="宋体" w:cs="仿宋_GB2312"/>
                <w:color w:val="333333"/>
                <w:kern w:val="0"/>
                <w:sz w:val="30"/>
                <w:szCs w:val="30"/>
              </w:rPr>
              <w:t>,</w:t>
            </w:r>
            <w:r>
              <w:rPr>
                <w:rFonts w:hint="eastAsia" w:ascii="仿宋_GB2312" w:hAnsi="宋体" w:cs="宋体"/>
                <w:color w:val="333333"/>
                <w:kern w:val="0"/>
                <w:sz w:val="30"/>
                <w:szCs w:val="30"/>
              </w:rPr>
              <w:t>监督管理全区陆生野生动植物猎捕或采集、驯养繁殖或培植、经营利用，监督管理陆生野生动植物进出口。承担全区濒危物种进出口和国家保护的陆生野生动物、珍稀树种、珍稀野生植物及其产品出口的上报审核工作。</w:t>
            </w:r>
          </w:p>
          <w:p>
            <w:pPr>
              <w:widowControl/>
              <w:spacing w:before="100" w:beforeAutospacing="1" w:after="100" w:afterAutospacing="1" w:line="560" w:lineRule="atLeast"/>
              <w:jc w:val="left"/>
              <w:rPr>
                <w:rFonts w:ascii="宋体" w:cs="Times New Roman"/>
                <w:color w:val="333333"/>
                <w:kern w:val="0"/>
                <w:sz w:val="30"/>
                <w:szCs w:val="30"/>
              </w:rPr>
            </w:pPr>
            <w:r>
              <w:rPr>
                <w:rFonts w:ascii="仿宋_GB2312" w:hAnsi="宋体" w:cs="Times New Roman"/>
                <w:color w:val="333333"/>
                <w:kern w:val="0"/>
                <w:sz w:val="30"/>
                <w:szCs w:val="30"/>
              </w:rPr>
              <w:t>  </w:t>
            </w:r>
            <w:r>
              <w:rPr>
                <w:rFonts w:hint="eastAsia" w:ascii="仿宋_GB2312" w:hAnsi="宋体" w:cs="宋体"/>
                <w:color w:val="333333"/>
                <w:kern w:val="0"/>
                <w:sz w:val="30"/>
                <w:szCs w:val="30"/>
              </w:rPr>
              <w:t>（七）负责全区林业系统自然保护区监督管理。在国家级和省级自然保护区区划、规划原则的指导下</w:t>
            </w:r>
            <w:r>
              <w:rPr>
                <w:rFonts w:ascii="仿宋_GB2312" w:hAnsi="宋体" w:cs="仿宋_GB2312"/>
                <w:color w:val="333333"/>
                <w:kern w:val="0"/>
                <w:sz w:val="30"/>
                <w:szCs w:val="30"/>
              </w:rPr>
              <w:t>,</w:t>
            </w:r>
            <w:r>
              <w:rPr>
                <w:rFonts w:hint="eastAsia" w:ascii="仿宋_GB2312" w:hAnsi="宋体" w:cs="宋体"/>
                <w:color w:val="333333"/>
                <w:kern w:val="0"/>
                <w:sz w:val="30"/>
                <w:szCs w:val="30"/>
              </w:rPr>
              <w:t>依法指导森林、湿地、荒漠化和陆生野生动物类型自然保护区建设和管理</w:t>
            </w:r>
            <w:r>
              <w:rPr>
                <w:rFonts w:ascii="仿宋_GB2312" w:hAnsi="宋体" w:cs="仿宋_GB2312"/>
                <w:color w:val="333333"/>
                <w:kern w:val="0"/>
                <w:sz w:val="30"/>
                <w:szCs w:val="30"/>
              </w:rPr>
              <w:t>,</w:t>
            </w:r>
            <w:r>
              <w:rPr>
                <w:rFonts w:hint="eastAsia" w:ascii="仿宋_GB2312" w:hAnsi="宋体" w:cs="宋体"/>
                <w:color w:val="333333"/>
                <w:kern w:val="0"/>
                <w:sz w:val="30"/>
                <w:szCs w:val="30"/>
              </w:rPr>
              <w:t>监督管理林业生物种质资源、转基因生物安全、植物新品种保护</w:t>
            </w:r>
            <w:r>
              <w:rPr>
                <w:rFonts w:ascii="仿宋_GB2312" w:hAnsi="宋体" w:cs="仿宋_GB2312"/>
                <w:color w:val="333333"/>
                <w:kern w:val="0"/>
                <w:sz w:val="30"/>
                <w:szCs w:val="30"/>
              </w:rPr>
              <w:t>,</w:t>
            </w:r>
            <w:r>
              <w:rPr>
                <w:rFonts w:hint="eastAsia" w:ascii="仿宋_GB2312" w:hAnsi="宋体" w:cs="宋体"/>
                <w:color w:val="333333"/>
                <w:kern w:val="0"/>
                <w:sz w:val="30"/>
                <w:szCs w:val="30"/>
              </w:rPr>
              <w:t>组织、协调有关国际公约履约工作。按分工负责生物多样性保护有关工作。</w:t>
            </w:r>
          </w:p>
          <w:p>
            <w:pPr>
              <w:widowControl/>
              <w:spacing w:before="100" w:beforeAutospacing="1" w:after="100" w:afterAutospacing="1" w:line="560" w:lineRule="atLeast"/>
              <w:jc w:val="left"/>
              <w:rPr>
                <w:rFonts w:ascii="宋体" w:cs="Times New Roman"/>
                <w:color w:val="333333"/>
                <w:kern w:val="0"/>
                <w:sz w:val="30"/>
                <w:szCs w:val="30"/>
              </w:rPr>
            </w:pPr>
            <w:r>
              <w:rPr>
                <w:rFonts w:ascii="仿宋_GB2312" w:hAnsi="宋体" w:cs="Times New Roman"/>
                <w:color w:val="FF0000"/>
                <w:kern w:val="0"/>
                <w:sz w:val="30"/>
                <w:szCs w:val="30"/>
              </w:rPr>
              <w:t> </w:t>
            </w:r>
            <w:r>
              <w:rPr>
                <w:rFonts w:hint="eastAsia" w:ascii="仿宋_GB2312" w:hAnsi="宋体" w:cs="宋体"/>
                <w:color w:val="333333"/>
                <w:kern w:val="0"/>
                <w:sz w:val="30"/>
                <w:szCs w:val="30"/>
              </w:rPr>
              <w:t>（八）承担推进全区林业改革、维护农民经营林业合法权益的责任。拟订全区集体林权制度、国有林场等重大林业改革意见并指导监督实施。拟订全区农村林业发展、维护农民经营林业合法权益的措施</w:t>
            </w:r>
            <w:r>
              <w:rPr>
                <w:rFonts w:ascii="仿宋_GB2312" w:hAnsi="宋体" w:cs="仿宋_GB2312"/>
                <w:color w:val="333333"/>
                <w:kern w:val="0"/>
                <w:sz w:val="30"/>
                <w:szCs w:val="30"/>
              </w:rPr>
              <w:t>,</w:t>
            </w:r>
            <w:r>
              <w:rPr>
                <w:rFonts w:hint="eastAsia" w:ascii="仿宋_GB2312" w:hAnsi="宋体" w:cs="宋体"/>
                <w:color w:val="333333"/>
                <w:kern w:val="0"/>
                <w:sz w:val="30"/>
                <w:szCs w:val="30"/>
              </w:rPr>
              <w:t>指导、监督农村林地承包经营和林权流转</w:t>
            </w:r>
            <w:r>
              <w:rPr>
                <w:rFonts w:ascii="仿宋_GB2312" w:hAnsi="宋体" w:cs="仿宋_GB2312"/>
                <w:color w:val="333333"/>
                <w:kern w:val="0"/>
                <w:sz w:val="30"/>
                <w:szCs w:val="30"/>
              </w:rPr>
              <w:t>,</w:t>
            </w:r>
            <w:r>
              <w:rPr>
                <w:rFonts w:hint="eastAsia" w:ascii="仿宋_GB2312" w:hAnsi="宋体" w:cs="宋体"/>
                <w:color w:val="333333"/>
                <w:kern w:val="0"/>
                <w:sz w:val="30"/>
                <w:szCs w:val="30"/>
              </w:rPr>
              <w:t>指导林权纠纷调处和林地承包合同纠纷仲裁。指导农民林业专业合作组织建设</w:t>
            </w:r>
            <w:r>
              <w:rPr>
                <w:rFonts w:ascii="仿宋_GB2312" w:hAnsi="宋体" w:cs="仿宋_GB2312"/>
                <w:color w:val="333333"/>
                <w:kern w:val="0"/>
                <w:sz w:val="30"/>
                <w:szCs w:val="30"/>
              </w:rPr>
              <w:t>,</w:t>
            </w:r>
            <w:r>
              <w:rPr>
                <w:rFonts w:hint="eastAsia" w:ascii="仿宋_GB2312" w:hAnsi="宋体" w:cs="宋体"/>
                <w:color w:val="333333"/>
                <w:kern w:val="0"/>
                <w:sz w:val="30"/>
                <w:szCs w:val="30"/>
              </w:rPr>
              <w:t>组织、协调全区林下经济发展工作。依法负责退耕还林工作。指导国有林场（苗圃）、湿地公园、森林公园和基层林业工作机构建设和管理。</w:t>
            </w:r>
          </w:p>
          <w:p>
            <w:pPr>
              <w:widowControl/>
              <w:spacing w:before="100" w:beforeAutospacing="1" w:after="100" w:afterAutospacing="1" w:line="560" w:lineRule="atLeast"/>
              <w:ind w:firstLine="640"/>
              <w:jc w:val="left"/>
              <w:rPr>
                <w:rFonts w:ascii="宋体" w:cs="Times New Roman"/>
                <w:color w:val="333333"/>
                <w:kern w:val="0"/>
                <w:sz w:val="30"/>
                <w:szCs w:val="30"/>
              </w:rPr>
            </w:pPr>
            <w:r>
              <w:rPr>
                <w:rFonts w:ascii="仿宋_GB2312" w:hAnsi="宋体" w:cs="仿宋_GB2312"/>
                <w:color w:val="333333"/>
                <w:kern w:val="0"/>
                <w:sz w:val="30"/>
                <w:szCs w:val="30"/>
              </w:rPr>
              <w:t>(</w:t>
            </w:r>
            <w:r>
              <w:rPr>
                <w:rFonts w:hint="eastAsia" w:ascii="仿宋_GB2312" w:hAnsi="宋体" w:cs="宋体"/>
                <w:color w:val="333333"/>
                <w:kern w:val="0"/>
                <w:sz w:val="30"/>
                <w:szCs w:val="30"/>
              </w:rPr>
              <w:t>九）负责全区林业产业工作。对全区森林、湿地、荒漠和陆生野生动植物资源的开发利用进行监督检查。拟订林业产业发展规划、全区林业资源优化配置措施、林业产业地方标准并监督实施</w:t>
            </w:r>
            <w:r>
              <w:rPr>
                <w:rFonts w:ascii="仿宋_GB2312" w:hAnsi="宋体" w:cs="仿宋_GB2312"/>
                <w:color w:val="333333"/>
                <w:kern w:val="0"/>
                <w:sz w:val="30"/>
                <w:szCs w:val="30"/>
              </w:rPr>
              <w:t>,</w:t>
            </w:r>
            <w:r>
              <w:rPr>
                <w:rFonts w:hint="eastAsia" w:ascii="仿宋_GB2312" w:hAnsi="宋体" w:cs="宋体"/>
                <w:color w:val="333333"/>
                <w:kern w:val="0"/>
                <w:sz w:val="30"/>
                <w:szCs w:val="30"/>
              </w:rPr>
              <w:t>组织指导全区林产品质量监督。指导全区山区综合开发；拟订蚕、茶业发展规划。</w:t>
            </w:r>
          </w:p>
          <w:p>
            <w:pPr>
              <w:widowControl/>
              <w:spacing w:before="100" w:beforeAutospacing="1" w:after="100" w:afterAutospacing="1" w:line="560" w:lineRule="atLeast"/>
              <w:jc w:val="left"/>
              <w:rPr>
                <w:rFonts w:ascii="宋体" w:cs="Times New Roman"/>
                <w:color w:val="333333"/>
                <w:kern w:val="0"/>
                <w:sz w:val="30"/>
                <w:szCs w:val="30"/>
              </w:rPr>
            </w:pPr>
            <w:r>
              <w:rPr>
                <w:rFonts w:hint="eastAsia" w:ascii="仿宋_GB2312" w:hAnsi="宋体" w:cs="宋体"/>
                <w:color w:val="333333"/>
                <w:kern w:val="0"/>
                <w:sz w:val="30"/>
                <w:szCs w:val="30"/>
              </w:rPr>
              <w:t>　　（十）组织、协调、指导、监督全区森林防火工作</w:t>
            </w:r>
            <w:r>
              <w:rPr>
                <w:rFonts w:ascii="仿宋_GB2312" w:hAnsi="宋体" w:cs="仿宋_GB2312"/>
                <w:color w:val="333333"/>
                <w:kern w:val="0"/>
                <w:sz w:val="30"/>
                <w:szCs w:val="30"/>
              </w:rPr>
              <w:t>,</w:t>
            </w:r>
            <w:r>
              <w:rPr>
                <w:rFonts w:hint="eastAsia" w:ascii="仿宋_GB2312" w:hAnsi="宋体" w:cs="宋体"/>
                <w:color w:val="333333"/>
                <w:kern w:val="0"/>
                <w:sz w:val="30"/>
                <w:szCs w:val="30"/>
              </w:rPr>
              <w:t>组织、协调、指导专业森林扑火队伍防扑火工作。承担区政府护林防火指挥部的具体工作。承担林业行政执法，查处破坏森林和野生动植物资源的行政案件。做好检疫性有害生物的普查监测工作，指导林业有害生物测报、防治、检疫工作。</w:t>
            </w:r>
          </w:p>
          <w:p>
            <w:pPr>
              <w:widowControl/>
              <w:spacing w:before="100" w:beforeAutospacing="1" w:after="100" w:afterAutospacing="1" w:line="560" w:lineRule="atLeast"/>
              <w:jc w:val="left"/>
              <w:rPr>
                <w:rFonts w:ascii="宋体" w:cs="Times New Roman"/>
                <w:color w:val="333333"/>
                <w:kern w:val="0"/>
                <w:sz w:val="24"/>
                <w:szCs w:val="24"/>
              </w:rPr>
            </w:pPr>
            <w:r>
              <w:rPr>
                <w:rFonts w:ascii="仿宋_GB2312" w:hAnsi="宋体" w:cs="Times New Roman"/>
                <w:color w:val="FF0000"/>
                <w:kern w:val="0"/>
                <w:sz w:val="30"/>
                <w:szCs w:val="30"/>
              </w:rPr>
              <w:t> </w:t>
            </w:r>
            <w:r>
              <w:rPr>
                <w:rFonts w:hint="eastAsia" w:ascii="仿宋_GB2312" w:hAnsi="宋体" w:cs="宋体"/>
                <w:color w:val="333333"/>
                <w:kern w:val="0"/>
                <w:sz w:val="30"/>
                <w:szCs w:val="30"/>
              </w:rPr>
              <w:t>　</w:t>
            </w:r>
            <w:r>
              <w:rPr>
                <w:rFonts w:ascii="仿宋_GB2312" w:hAnsi="宋体" w:cs="仿宋_GB2312"/>
                <w:color w:val="333333"/>
                <w:kern w:val="0"/>
                <w:sz w:val="30"/>
                <w:szCs w:val="30"/>
              </w:rPr>
              <w:t>(</w:t>
            </w:r>
            <w:r>
              <w:rPr>
                <w:rFonts w:hint="eastAsia" w:ascii="仿宋_GB2312" w:hAnsi="宋体" w:cs="宋体"/>
                <w:color w:val="333333"/>
                <w:kern w:val="0"/>
                <w:sz w:val="30"/>
                <w:szCs w:val="30"/>
              </w:rPr>
              <w:t>十一</w:t>
            </w:r>
            <w:r>
              <w:rPr>
                <w:rFonts w:ascii="仿宋_GB2312" w:hAnsi="宋体" w:cs="仿宋_GB2312"/>
                <w:color w:val="333333"/>
                <w:kern w:val="0"/>
                <w:sz w:val="30"/>
                <w:szCs w:val="30"/>
              </w:rPr>
              <w:t>)</w:t>
            </w:r>
            <w:r>
              <w:rPr>
                <w:rFonts w:hint="eastAsia" w:ascii="仿宋_GB2312" w:hAnsi="宋体" w:cs="宋体"/>
                <w:color w:val="333333"/>
                <w:kern w:val="0"/>
                <w:sz w:val="30"/>
                <w:szCs w:val="30"/>
              </w:rPr>
              <w:t>参与拟订全区林业及其生态建设的财政、金融、价格、贸易等经济调节措施</w:t>
            </w:r>
            <w:r>
              <w:rPr>
                <w:rFonts w:ascii="仿宋_GB2312" w:hAnsi="宋体" w:cs="仿宋_GB2312"/>
                <w:color w:val="333333"/>
                <w:kern w:val="0"/>
                <w:sz w:val="30"/>
                <w:szCs w:val="30"/>
              </w:rPr>
              <w:t>,</w:t>
            </w:r>
            <w:r>
              <w:rPr>
                <w:rFonts w:hint="eastAsia" w:ascii="仿宋_GB2312" w:hAnsi="宋体" w:cs="宋体"/>
                <w:color w:val="333333"/>
                <w:kern w:val="0"/>
                <w:sz w:val="30"/>
                <w:szCs w:val="30"/>
              </w:rPr>
              <w:t>组织、指导全区林业及其生态建设生态补偿制度的建立和实施。编制部门预算并组织实施</w:t>
            </w:r>
            <w:r>
              <w:rPr>
                <w:rFonts w:ascii="仿宋_GB2312" w:hAnsi="宋体" w:cs="仿宋_GB2312"/>
                <w:color w:val="333333"/>
                <w:kern w:val="0"/>
                <w:sz w:val="30"/>
                <w:szCs w:val="30"/>
              </w:rPr>
              <w:t>,</w:t>
            </w:r>
            <w:r>
              <w:rPr>
                <w:rFonts w:hint="eastAsia" w:ascii="仿宋_GB2312" w:hAnsi="宋体" w:cs="宋体"/>
                <w:color w:val="333333"/>
                <w:kern w:val="0"/>
                <w:sz w:val="30"/>
                <w:szCs w:val="30"/>
              </w:rPr>
              <w:t>提出区级财政林业专项转移支付资金的预算建议</w:t>
            </w:r>
            <w:r>
              <w:rPr>
                <w:rFonts w:ascii="仿宋_GB2312" w:hAnsi="宋体" w:cs="仿宋_GB2312"/>
                <w:color w:val="333333"/>
                <w:kern w:val="0"/>
                <w:sz w:val="30"/>
                <w:szCs w:val="30"/>
              </w:rPr>
              <w:t>,</w:t>
            </w:r>
            <w:r>
              <w:rPr>
                <w:rFonts w:hint="eastAsia" w:ascii="仿宋_GB2312" w:hAnsi="宋体" w:cs="宋体"/>
                <w:color w:val="333333"/>
                <w:kern w:val="0"/>
                <w:sz w:val="30"/>
                <w:szCs w:val="30"/>
              </w:rPr>
              <w:t>管理监督区级林业资金</w:t>
            </w:r>
            <w:r>
              <w:rPr>
                <w:rFonts w:ascii="仿宋_GB2312" w:hAnsi="宋体" w:cs="仿宋_GB2312"/>
                <w:color w:val="333333"/>
                <w:kern w:val="0"/>
                <w:sz w:val="30"/>
                <w:szCs w:val="30"/>
              </w:rPr>
              <w:t>,</w:t>
            </w:r>
            <w:r>
              <w:rPr>
                <w:rFonts w:hint="eastAsia" w:ascii="仿宋_GB2312" w:hAnsi="宋体" w:cs="宋体"/>
                <w:color w:val="333333"/>
                <w:kern w:val="0"/>
                <w:sz w:val="30"/>
                <w:szCs w:val="30"/>
              </w:rPr>
              <w:t>管理区级林业国有资产</w:t>
            </w:r>
            <w:r>
              <w:rPr>
                <w:rFonts w:ascii="仿宋_GB2312" w:hAnsi="宋体" w:cs="仿宋_GB2312"/>
                <w:color w:val="333333"/>
                <w:kern w:val="0"/>
                <w:sz w:val="30"/>
                <w:szCs w:val="30"/>
              </w:rPr>
              <w:t>,</w:t>
            </w:r>
            <w:r>
              <w:rPr>
                <w:rFonts w:hint="eastAsia" w:ascii="仿宋_GB2312" w:hAnsi="宋体" w:cs="宋体"/>
                <w:color w:val="333333"/>
                <w:kern w:val="0"/>
                <w:sz w:val="30"/>
                <w:szCs w:val="30"/>
              </w:rPr>
              <w:t>负责提出林业固定资产投资规模和方向、区级财政性资金使</w:t>
            </w:r>
            <w:r>
              <w:rPr>
                <w:rFonts w:hint="eastAsia" w:ascii="仿宋_GB2312" w:hAnsi="宋体" w:cs="宋体"/>
                <w:color w:val="333333"/>
                <w:kern w:val="0"/>
              </w:rPr>
              <w:t>用意见</w:t>
            </w:r>
            <w:r>
              <w:rPr>
                <w:rFonts w:ascii="仿宋_GB2312" w:hAnsi="宋体" w:cs="仿宋_GB2312"/>
                <w:color w:val="333333"/>
                <w:kern w:val="0"/>
              </w:rPr>
              <w:t>;</w:t>
            </w:r>
            <w:r>
              <w:rPr>
                <w:rFonts w:hint="eastAsia" w:ascii="仿宋_GB2312" w:hAnsi="宋体" w:cs="宋体"/>
                <w:color w:val="333333"/>
                <w:kern w:val="0"/>
              </w:rPr>
              <w:t>按照规定权限</w:t>
            </w:r>
            <w:r>
              <w:rPr>
                <w:rFonts w:ascii="仿宋_GB2312" w:hAnsi="宋体" w:cs="仿宋_GB2312"/>
                <w:color w:val="333333"/>
                <w:kern w:val="0"/>
              </w:rPr>
              <w:t>,</w:t>
            </w:r>
            <w:r>
              <w:rPr>
                <w:rFonts w:hint="eastAsia" w:ascii="仿宋_GB2312" w:hAnsi="宋体" w:cs="宋体"/>
                <w:color w:val="333333"/>
                <w:kern w:val="0"/>
              </w:rPr>
              <w:t>对规划内和年度计划内固定资产投资项目进行初审。编制全区林业及其生态建设的年度生产计划。</w:t>
            </w:r>
          </w:p>
          <w:p>
            <w:pPr>
              <w:widowControl/>
              <w:spacing w:before="100" w:beforeAutospacing="1" w:after="100" w:afterAutospacing="1" w:line="560" w:lineRule="atLeast"/>
              <w:jc w:val="left"/>
              <w:rPr>
                <w:rFonts w:ascii="宋体" w:cs="Times New Roman"/>
                <w:color w:val="333333"/>
                <w:kern w:val="0"/>
                <w:sz w:val="30"/>
                <w:szCs w:val="30"/>
              </w:rPr>
            </w:pPr>
            <w:r>
              <w:rPr>
                <w:rFonts w:ascii="仿宋_GB2312" w:hAnsi="宋体" w:cs="Times New Roman"/>
                <w:color w:val="FF0000"/>
                <w:kern w:val="0"/>
              </w:rPr>
              <w:t> </w:t>
            </w:r>
            <w:r>
              <w:rPr>
                <w:rFonts w:ascii="仿宋_GB2312" w:hAnsi="宋体" w:cs="仿宋_GB2312"/>
                <w:color w:val="333333"/>
                <w:kern w:val="0"/>
                <w:sz w:val="30"/>
                <w:szCs w:val="30"/>
              </w:rPr>
              <w:t>(</w:t>
            </w:r>
            <w:r>
              <w:rPr>
                <w:rFonts w:hint="eastAsia" w:ascii="仿宋_GB2312" w:hAnsi="宋体" w:cs="宋体"/>
                <w:color w:val="333333"/>
                <w:kern w:val="0"/>
                <w:sz w:val="30"/>
                <w:szCs w:val="30"/>
              </w:rPr>
              <w:t>十二</w:t>
            </w:r>
            <w:r>
              <w:rPr>
                <w:rFonts w:ascii="仿宋_GB2312" w:hAnsi="宋体" w:cs="仿宋_GB2312"/>
                <w:color w:val="333333"/>
                <w:kern w:val="0"/>
                <w:sz w:val="30"/>
                <w:szCs w:val="30"/>
              </w:rPr>
              <w:t>)</w:t>
            </w:r>
            <w:r>
              <w:rPr>
                <w:rFonts w:hint="eastAsia" w:ascii="仿宋_GB2312" w:hAnsi="宋体" w:cs="宋体"/>
                <w:color w:val="333333"/>
                <w:kern w:val="0"/>
                <w:sz w:val="30"/>
                <w:szCs w:val="30"/>
              </w:rPr>
              <w:t>组织、指导全区林业及其生态建设的科技、教育和外事工作</w:t>
            </w:r>
            <w:r>
              <w:rPr>
                <w:rFonts w:ascii="仿宋_GB2312" w:hAnsi="宋体" w:cs="仿宋_GB2312"/>
                <w:color w:val="333333"/>
                <w:kern w:val="0"/>
                <w:sz w:val="30"/>
                <w:szCs w:val="30"/>
              </w:rPr>
              <w:t>,</w:t>
            </w:r>
            <w:r>
              <w:rPr>
                <w:rFonts w:hint="eastAsia" w:ascii="仿宋_GB2312" w:hAnsi="宋体" w:cs="宋体"/>
                <w:color w:val="333333"/>
                <w:kern w:val="0"/>
                <w:sz w:val="30"/>
                <w:szCs w:val="30"/>
              </w:rPr>
              <w:t>指导全区林业队伍建设。</w:t>
            </w:r>
          </w:p>
          <w:p>
            <w:pPr>
              <w:widowControl/>
              <w:spacing w:before="100" w:beforeAutospacing="1" w:after="100" w:afterAutospacing="1" w:line="600" w:lineRule="atLeast"/>
              <w:jc w:val="left"/>
              <w:rPr>
                <w:rFonts w:ascii="宋体" w:cs="Times New Roman"/>
                <w:color w:val="333333"/>
                <w:kern w:val="0"/>
                <w:sz w:val="30"/>
                <w:szCs w:val="30"/>
              </w:rPr>
            </w:pPr>
            <w:r>
              <w:rPr>
                <w:rFonts w:ascii="仿宋_GB2312" w:hAnsi="宋体" w:cs="仿宋_GB2312"/>
                <w:color w:val="333333"/>
                <w:kern w:val="0"/>
                <w:sz w:val="30"/>
                <w:szCs w:val="30"/>
              </w:rPr>
              <w:t>(</w:t>
            </w:r>
            <w:r>
              <w:rPr>
                <w:rFonts w:hint="eastAsia" w:ascii="仿宋_GB2312" w:hAnsi="宋体" w:cs="宋体"/>
                <w:color w:val="333333"/>
                <w:kern w:val="0"/>
                <w:sz w:val="30"/>
                <w:szCs w:val="30"/>
              </w:rPr>
              <w:t>十三</w:t>
            </w:r>
            <w:r>
              <w:rPr>
                <w:rFonts w:ascii="仿宋_GB2312" w:hAnsi="宋体" w:cs="仿宋_GB2312"/>
                <w:color w:val="333333"/>
                <w:kern w:val="0"/>
                <w:sz w:val="30"/>
                <w:szCs w:val="30"/>
              </w:rPr>
              <w:t>)</w:t>
            </w:r>
            <w:r>
              <w:rPr>
                <w:rFonts w:hint="eastAsia" w:ascii="仿宋_GB2312" w:hAnsi="宋体" w:cs="宋体"/>
                <w:color w:val="333333"/>
                <w:kern w:val="0"/>
                <w:sz w:val="30"/>
                <w:szCs w:val="30"/>
              </w:rPr>
              <w:t>承办区政府交办的其他事项。</w:t>
            </w:r>
          </w:p>
          <w:p>
            <w:pPr>
              <w:numPr>
                <w:ilvl w:val="0"/>
                <w:numId w:val="3"/>
              </w:numPr>
              <w:spacing w:line="360" w:lineRule="auto"/>
              <w:ind w:firstLine="640" w:firstLineChars="200"/>
              <w:jc w:val="left"/>
              <w:outlineLvl w:val="1"/>
              <w:rPr>
                <w:rFonts w:ascii="黑体" w:hAnsi="黑体" w:eastAsia="黑体" w:cs="Times New Roman"/>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纳入卧龙区林业局</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年度部门决算编制范围的单位包括：</w:t>
            </w:r>
          </w:p>
          <w:p>
            <w:pPr>
              <w:spacing w:line="360" w:lineRule="auto"/>
              <w:ind w:firstLine="800" w:firstLineChars="25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卧龙区林业局</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本级</w:t>
            </w:r>
          </w:p>
          <w:p>
            <w:pPr>
              <w:spacing w:line="360" w:lineRule="auto"/>
              <w:ind w:firstLine="800" w:firstLineChars="250"/>
              <w:jc w:val="left"/>
              <w:rPr>
                <w:rFonts w:hint="eastAsia" w:ascii="仿宋_GB2312" w:hAnsi="仿宋_GB2312" w:eastAsia="仿宋_GB2312" w:cs="仿宋_GB2312"/>
                <w:sz w:val="32"/>
                <w:szCs w:val="32"/>
              </w:rPr>
            </w:pPr>
          </w:p>
          <w:p>
            <w:pPr>
              <w:ind w:firstLine="4320" w:firstLineChars="900"/>
              <w:jc w:val="both"/>
              <w:outlineLvl w:val="0"/>
              <w:rPr>
                <w:rFonts w:ascii="隶书" w:hAnsi="隶书" w:eastAsia="隶书" w:cs="Times New Roman"/>
                <w:sz w:val="48"/>
                <w:szCs w:val="48"/>
              </w:rPr>
            </w:pPr>
            <w:r>
              <w:rPr>
                <w:rFonts w:hint="eastAsia" w:ascii="隶书" w:hAnsi="隶书" w:eastAsia="隶书" w:cs="隶书"/>
                <w:sz w:val="48"/>
                <w:szCs w:val="48"/>
              </w:rPr>
              <w:t>第二部分</w:t>
            </w:r>
          </w:p>
          <w:p>
            <w:pPr>
              <w:keepNext w:val="0"/>
              <w:keepLines w:val="0"/>
              <w:widowControl/>
              <w:suppressLineNumbers w:val="0"/>
              <w:jc w:val="center"/>
              <w:textAlignment w:val="center"/>
              <w:rPr>
                <w:rFonts w:hint="eastAsia" w:ascii="隶书" w:hAnsi="隶书" w:eastAsia="隶书" w:cs="隶书"/>
                <w:sz w:val="48"/>
                <w:szCs w:val="48"/>
              </w:rPr>
            </w:pPr>
            <w:r>
              <w:rPr>
                <w:rFonts w:hint="eastAsia" w:ascii="隶书" w:hAnsi="隶书" w:eastAsia="隶书" w:cs="隶书"/>
                <w:sz w:val="48"/>
                <w:szCs w:val="48"/>
              </w:rPr>
              <w:t>卧龙区林业局</w:t>
            </w:r>
            <w:r>
              <w:rPr>
                <w:rFonts w:ascii="隶书" w:hAnsi="隶书" w:eastAsia="隶书" w:cs="隶书"/>
                <w:sz w:val="48"/>
                <w:szCs w:val="48"/>
              </w:rPr>
              <w:t>201</w:t>
            </w:r>
            <w:r>
              <w:rPr>
                <w:rFonts w:hint="eastAsia" w:ascii="隶书" w:hAnsi="隶书" w:eastAsia="隶书" w:cs="隶书"/>
                <w:sz w:val="48"/>
                <w:szCs w:val="48"/>
                <w:lang w:val="en-US" w:eastAsia="zh-CN"/>
              </w:rPr>
              <w:t>7</w:t>
            </w:r>
            <w:r>
              <w:rPr>
                <w:rFonts w:hint="eastAsia" w:ascii="隶书" w:hAnsi="隶书" w:eastAsia="隶书" w:cs="隶书"/>
                <w:sz w:val="48"/>
                <w:szCs w:val="48"/>
              </w:rPr>
              <w:t>年度部门决算表</w:t>
            </w:r>
          </w:p>
          <w:p>
            <w:pPr>
              <w:keepNext w:val="0"/>
              <w:keepLines w:val="0"/>
              <w:widowControl/>
              <w:suppressLineNumbers w:val="0"/>
              <w:jc w:val="center"/>
              <w:textAlignment w:val="center"/>
              <w:rPr>
                <w:rFonts w:hint="eastAsia" w:ascii="隶书" w:hAnsi="隶书" w:eastAsia="隶书" w:cs="隶书"/>
                <w:sz w:val="48"/>
                <w:szCs w:val="48"/>
              </w:rPr>
            </w:pPr>
          </w:p>
          <w:p>
            <w:pPr>
              <w:keepNext w:val="0"/>
              <w:keepLines w:val="0"/>
              <w:widowControl/>
              <w:suppressLineNumbers w:val="0"/>
              <w:jc w:val="center"/>
              <w:textAlignment w:val="center"/>
              <w:rPr>
                <w:rFonts w:hint="eastAsia" w:ascii="隶书" w:hAnsi="隶书" w:eastAsia="隶书" w:cs="隶书"/>
                <w:sz w:val="48"/>
                <w:szCs w:val="48"/>
              </w:rPr>
            </w:pPr>
          </w:p>
          <w:p>
            <w:pPr>
              <w:keepNext w:val="0"/>
              <w:keepLines w:val="0"/>
              <w:widowControl/>
              <w:suppressLineNumbers w:val="0"/>
              <w:jc w:val="center"/>
              <w:textAlignment w:val="center"/>
              <w:rPr>
                <w:rFonts w:hint="eastAsia" w:ascii="隶书" w:hAnsi="隶书" w:eastAsia="隶书" w:cs="隶书"/>
                <w:sz w:val="48"/>
                <w:szCs w:val="48"/>
              </w:rPr>
            </w:pPr>
          </w:p>
          <w:p>
            <w:pPr>
              <w:keepNext w:val="0"/>
              <w:keepLines w:val="0"/>
              <w:widowControl/>
              <w:suppressLineNumbers w:val="0"/>
              <w:jc w:val="center"/>
              <w:textAlignment w:val="center"/>
              <w:rPr>
                <w:rFonts w:hint="eastAsia" w:ascii="隶书" w:hAnsi="隶书" w:eastAsia="隶书" w:cs="隶书"/>
                <w:sz w:val="48"/>
                <w:szCs w:val="48"/>
              </w:rPr>
            </w:pPr>
          </w:p>
          <w:p>
            <w:pPr>
              <w:keepNext w:val="0"/>
              <w:keepLines w:val="0"/>
              <w:widowControl/>
              <w:suppressLineNumbers w:val="0"/>
              <w:jc w:val="center"/>
              <w:textAlignment w:val="center"/>
              <w:rPr>
                <w:rFonts w:hint="eastAsia" w:ascii="隶书" w:hAnsi="隶书" w:eastAsia="隶书" w:cs="隶书"/>
                <w:sz w:val="48"/>
                <w:szCs w:val="48"/>
              </w:rPr>
            </w:pPr>
          </w:p>
          <w:p>
            <w:pPr>
              <w:keepNext w:val="0"/>
              <w:keepLines w:val="0"/>
              <w:widowControl/>
              <w:suppressLineNumbers w:val="0"/>
              <w:jc w:val="center"/>
              <w:textAlignment w:val="center"/>
              <w:rPr>
                <w:rFonts w:hint="eastAsia" w:ascii="隶书" w:hAnsi="隶书" w:eastAsia="隶书" w:cs="隶书"/>
                <w:sz w:val="48"/>
                <w:szCs w:val="48"/>
              </w:rPr>
            </w:pPr>
          </w:p>
          <w:p>
            <w:pPr>
              <w:keepNext w:val="0"/>
              <w:keepLines w:val="0"/>
              <w:widowControl/>
              <w:suppressLineNumbers w:val="0"/>
              <w:jc w:val="center"/>
              <w:textAlignment w:val="center"/>
              <w:rPr>
                <w:rFonts w:hint="eastAsia" w:ascii="隶书" w:hAnsi="隶书" w:eastAsia="隶书" w:cs="隶书"/>
                <w:sz w:val="48"/>
                <w:szCs w:val="48"/>
              </w:rPr>
            </w:pPr>
          </w:p>
          <w:p>
            <w:pPr>
              <w:keepNext w:val="0"/>
              <w:keepLines w:val="0"/>
              <w:widowControl/>
              <w:suppressLineNumbers w:val="0"/>
              <w:jc w:val="center"/>
              <w:textAlignment w:val="center"/>
              <w:rPr>
                <w:rFonts w:hint="eastAsia" w:ascii="隶书" w:hAnsi="隶书" w:eastAsia="隶书" w:cs="隶书"/>
                <w:sz w:val="48"/>
                <w:szCs w:val="48"/>
              </w:rPr>
            </w:pPr>
          </w:p>
          <w:p>
            <w:pPr>
              <w:keepNext w:val="0"/>
              <w:keepLines w:val="0"/>
              <w:widowControl/>
              <w:suppressLineNumbers w:val="0"/>
              <w:jc w:val="center"/>
              <w:textAlignment w:val="center"/>
              <w:rPr>
                <w:rFonts w:hint="eastAsia" w:ascii="隶书" w:hAnsi="隶书" w:eastAsia="隶书" w:cs="隶书"/>
                <w:sz w:val="48"/>
                <w:szCs w:val="48"/>
              </w:rPr>
            </w:pPr>
          </w:p>
          <w:p>
            <w:pPr>
              <w:keepNext w:val="0"/>
              <w:keepLines w:val="0"/>
              <w:widowControl/>
              <w:suppressLineNumbers w:val="0"/>
              <w:jc w:val="center"/>
              <w:textAlignment w:val="center"/>
              <w:rPr>
                <w:rFonts w:hint="eastAsia" w:ascii="隶书" w:hAnsi="隶书" w:eastAsia="隶书" w:cs="隶书"/>
                <w:sz w:val="48"/>
                <w:szCs w:val="48"/>
              </w:rPr>
            </w:pPr>
          </w:p>
          <w:p>
            <w:pPr>
              <w:keepNext w:val="0"/>
              <w:keepLines w:val="0"/>
              <w:widowControl/>
              <w:suppressLineNumbers w:val="0"/>
              <w:jc w:val="both"/>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ind w:firstLine="4200" w:firstLineChars="1500"/>
              <w:jc w:val="both"/>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ind w:firstLine="4200" w:firstLineChars="1500"/>
              <w:jc w:val="both"/>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ind w:firstLine="4200" w:firstLineChars="1500"/>
              <w:jc w:val="both"/>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.单位：南阳市卧龙区林业局本级</w:t>
            </w: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3282" w:type="dxa"/>
            <w:gridSpan w:val="3"/>
            <w:shd w:val="clear" w:color="auto" w:fill="auto"/>
            <w:vAlign w:val="center"/>
          </w:tcPr>
          <w:p>
            <w:pPr>
              <w:rPr>
                <w:rFonts w:hint="eastAsia" w:ascii="宋体" w:hAnsi="宋体" w:eastAsia="宋体" w:cs="宋体"/>
                <w:i w:val="0"/>
                <w:color w:val="000000"/>
                <w:sz w:val="16"/>
                <w:szCs w:val="16"/>
                <w:u w:val="none"/>
              </w:rPr>
            </w:pPr>
          </w:p>
        </w:tc>
        <w:tc>
          <w:tcPr>
            <w:tcW w:w="472" w:type="dxa"/>
            <w:shd w:val="clear" w:color="auto" w:fill="auto"/>
            <w:vAlign w:val="center"/>
          </w:tcPr>
          <w:p>
            <w:pPr>
              <w:rPr>
                <w:rFonts w:hint="eastAsia" w:ascii="宋体" w:hAnsi="宋体" w:eastAsia="宋体" w:cs="宋体"/>
                <w:i w:val="0"/>
                <w:color w:val="000000"/>
                <w:sz w:val="16"/>
                <w:szCs w:val="16"/>
                <w:u w:val="none"/>
              </w:rPr>
            </w:pPr>
          </w:p>
        </w:tc>
        <w:tc>
          <w:tcPr>
            <w:tcW w:w="1316" w:type="dxa"/>
            <w:shd w:val="clear" w:color="auto" w:fill="auto"/>
            <w:vAlign w:val="center"/>
          </w:tcPr>
          <w:p>
            <w:pPr>
              <w:rPr>
                <w:rFonts w:hint="eastAsia" w:ascii="宋体" w:hAnsi="宋体" w:eastAsia="宋体" w:cs="宋体"/>
                <w:i w:val="0"/>
                <w:color w:val="000000"/>
                <w:sz w:val="16"/>
                <w:szCs w:val="16"/>
                <w:u w:val="none"/>
              </w:rPr>
            </w:pPr>
          </w:p>
        </w:tc>
        <w:tc>
          <w:tcPr>
            <w:tcW w:w="3144" w:type="dxa"/>
            <w:gridSpan w:val="3"/>
            <w:shd w:val="clear" w:color="auto" w:fill="auto"/>
            <w:vAlign w:val="center"/>
          </w:tcPr>
          <w:p>
            <w:pPr>
              <w:rPr>
                <w:rFonts w:hint="eastAsia" w:ascii="宋体" w:hAnsi="宋体" w:eastAsia="宋体" w:cs="宋体"/>
                <w:i w:val="0"/>
                <w:color w:val="000000"/>
                <w:sz w:val="16"/>
                <w:szCs w:val="16"/>
                <w:u w:val="none"/>
              </w:rPr>
            </w:pPr>
          </w:p>
        </w:tc>
        <w:tc>
          <w:tcPr>
            <w:tcW w:w="527" w:type="dxa"/>
            <w:shd w:val="clear" w:color="auto" w:fill="auto"/>
            <w:vAlign w:val="center"/>
          </w:tcPr>
          <w:p>
            <w:pPr>
              <w:rPr>
                <w:rFonts w:hint="eastAsia" w:ascii="宋体" w:hAnsi="宋体" w:eastAsia="宋体" w:cs="宋体"/>
                <w:i w:val="0"/>
                <w:color w:val="000000"/>
                <w:sz w:val="16"/>
                <w:szCs w:val="16"/>
                <w:u w:val="none"/>
              </w:rPr>
            </w:pPr>
          </w:p>
        </w:tc>
        <w:tc>
          <w:tcPr>
            <w:tcW w:w="1609"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收　　入</w:t>
            </w:r>
          </w:p>
        </w:tc>
        <w:tc>
          <w:tcPr>
            <w:tcW w:w="5280"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行次</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行次</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　　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14,789,527.43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一、一般公共服务支出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128,552.14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二、外交支出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三、事业收入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三、国防支出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四、经营收入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四、公共安全支出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五、附属单位上缴收入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五、教育支出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六、其他收入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六、科学技术支出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七、文化体育与传媒支出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八、社会保障和就业支出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913,480.70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83,574.00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十、节能环保支出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十一、城乡社区支出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十二、农林水支出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8,037,500.53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十三、交通运输支出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十五、商业服务业等支出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十六、金融支出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十七、援助其他地区支出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2"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十九、住房保障支出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二十、粮油物资储备支出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49</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二十一、其他支出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二十二、债务还本支出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51</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二十三、债务付息支出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52</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5"/>
                <w:szCs w:val="15"/>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53</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14,789,527.43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本年支出合计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54</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lang w:val="en-US" w:eastAsia="zh-CN"/>
              </w:rPr>
            </w:pPr>
            <w:r>
              <w:rPr>
                <w:rFonts w:hint="eastAsia" w:ascii="宋体" w:hAnsi="宋体" w:eastAsia="宋体" w:cs="宋体"/>
                <w:i w:val="0"/>
                <w:color w:val="000000"/>
                <w:kern w:val="0"/>
                <w:sz w:val="15"/>
                <w:szCs w:val="15"/>
                <w:u w:val="none"/>
                <w:lang w:val="en-US" w:eastAsia="zh-CN" w:bidi="ar"/>
              </w:rPr>
              <w:t>9,173,107.37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结余分配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55</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年初结转和结余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1,658,470.43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年末结转和结余</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56</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7,274,890.49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5"/>
                <w:szCs w:val="15"/>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5"/>
                <w:szCs w:val="15"/>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57</w:t>
            </w:r>
          </w:p>
        </w:tc>
        <w:tc>
          <w:tcPr>
            <w:tcW w:w="24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29</w:t>
            </w:r>
          </w:p>
        </w:tc>
        <w:tc>
          <w:tcPr>
            <w:tcW w:w="243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16,447,997.86</w:t>
            </w:r>
          </w:p>
        </w:tc>
        <w:tc>
          <w:tcPr>
            <w:tcW w:w="232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总计</w:t>
            </w:r>
          </w:p>
        </w:tc>
        <w:tc>
          <w:tcPr>
            <w:tcW w:w="49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58</w:t>
            </w:r>
          </w:p>
        </w:tc>
        <w:tc>
          <w:tcPr>
            <w:tcW w:w="246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lang w:val="en-US" w:eastAsia="zh-CN"/>
              </w:rPr>
            </w:pPr>
            <w:r>
              <w:rPr>
                <w:rFonts w:hint="eastAsia" w:ascii="宋体" w:hAnsi="宋体" w:eastAsia="宋体" w:cs="宋体"/>
                <w:i w:val="0"/>
                <w:color w:val="000000"/>
                <w:kern w:val="0"/>
                <w:sz w:val="15"/>
                <w:szCs w:val="15"/>
                <w:u w:val="none"/>
                <w:lang w:val="en-US" w:eastAsia="zh-CN" w:bidi="ar"/>
              </w:rPr>
              <w:t>16,447,997.86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0350"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注：本表反映部门本年度的总收支和年末结转结余情况。</w:t>
            </w:r>
          </w:p>
        </w:tc>
      </w:tr>
    </w:tbl>
    <w:p>
      <w:pPr>
        <w:spacing w:line="360" w:lineRule="auto"/>
        <w:jc w:val="both"/>
        <w:rPr>
          <w:rFonts w:ascii="隶书" w:hAnsi="隶书" w:eastAsia="隶书" w:cs="隶书"/>
          <w:sz w:val="52"/>
          <w:szCs w:val="52"/>
        </w:rPr>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5"/>
        <w:tblW w:w="10337" w:type="dxa"/>
        <w:tblInd w:w="-8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198"/>
        <w:gridCol w:w="1800"/>
        <w:gridCol w:w="1094"/>
        <w:gridCol w:w="810"/>
        <w:gridCol w:w="284"/>
        <w:gridCol w:w="676"/>
        <w:gridCol w:w="418"/>
        <w:gridCol w:w="542"/>
        <w:gridCol w:w="552"/>
        <w:gridCol w:w="408"/>
        <w:gridCol w:w="686"/>
        <w:gridCol w:w="274"/>
        <w:gridCol w:w="820"/>
        <w:gridCol w:w="14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337" w:type="dxa"/>
            <w:gridSpan w:val="16"/>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bottom w:val="nil"/>
            </w:tcBorders>
            <w:shd w:val="clear" w:color="auto" w:fill="auto"/>
            <w:vAlign w:val="center"/>
          </w:tcPr>
          <w:p>
            <w:pP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.单位：南阳市卧龙区林业局本级</w:t>
            </w:r>
          </w:p>
        </w:tc>
        <w:tc>
          <w:tcPr>
            <w:tcW w:w="1904" w:type="dxa"/>
            <w:gridSpan w:val="2"/>
            <w:tcBorders>
              <w:bottom w:val="nil"/>
            </w:tcBorders>
            <w:shd w:val="clear" w:color="auto" w:fill="auto"/>
            <w:vAlign w:val="center"/>
          </w:tcPr>
          <w:p>
            <w:pPr>
              <w:rPr>
                <w:rFonts w:hint="eastAsia" w:ascii="宋体" w:hAnsi="宋体" w:eastAsia="宋体" w:cs="宋体"/>
                <w:i w:val="0"/>
                <w:color w:val="000000"/>
                <w:sz w:val="16"/>
                <w:szCs w:val="16"/>
                <w:u w:val="none"/>
              </w:rPr>
            </w:pPr>
          </w:p>
        </w:tc>
        <w:tc>
          <w:tcPr>
            <w:tcW w:w="960" w:type="dxa"/>
            <w:gridSpan w:val="2"/>
            <w:tcBorders>
              <w:bottom w:val="nil"/>
            </w:tcBorders>
            <w:shd w:val="clear" w:color="auto" w:fill="auto"/>
            <w:vAlign w:val="center"/>
          </w:tcPr>
          <w:p>
            <w:pPr>
              <w:rPr>
                <w:rFonts w:hint="eastAsia" w:ascii="宋体" w:hAnsi="宋体" w:eastAsia="宋体" w:cs="宋体"/>
                <w:i w:val="0"/>
                <w:color w:val="000000"/>
                <w:sz w:val="16"/>
                <w:szCs w:val="16"/>
                <w:u w:val="none"/>
              </w:rPr>
            </w:pPr>
          </w:p>
        </w:tc>
        <w:tc>
          <w:tcPr>
            <w:tcW w:w="960" w:type="dxa"/>
            <w:gridSpan w:val="2"/>
            <w:tcBorders>
              <w:bottom w:val="nil"/>
            </w:tcBorders>
            <w:shd w:val="clear" w:color="auto" w:fill="auto"/>
            <w:vAlign w:val="center"/>
          </w:tcPr>
          <w:p>
            <w:pPr>
              <w:rPr>
                <w:rFonts w:hint="eastAsia" w:ascii="宋体" w:hAnsi="宋体" w:eastAsia="宋体" w:cs="宋体"/>
                <w:i w:val="0"/>
                <w:color w:val="000000"/>
                <w:sz w:val="16"/>
                <w:szCs w:val="16"/>
                <w:u w:val="none"/>
              </w:rPr>
            </w:pPr>
          </w:p>
        </w:tc>
        <w:tc>
          <w:tcPr>
            <w:tcW w:w="960" w:type="dxa"/>
            <w:gridSpan w:val="2"/>
            <w:tcBorders>
              <w:bottom w:val="nil"/>
            </w:tcBorders>
            <w:shd w:val="clear" w:color="auto" w:fill="auto"/>
            <w:vAlign w:val="center"/>
          </w:tcPr>
          <w:p>
            <w:pPr>
              <w:rPr>
                <w:rFonts w:hint="eastAsia" w:ascii="宋体" w:hAnsi="宋体" w:eastAsia="宋体" w:cs="宋体"/>
                <w:i w:val="0"/>
                <w:color w:val="000000"/>
                <w:sz w:val="16"/>
                <w:szCs w:val="16"/>
                <w:u w:val="none"/>
              </w:rPr>
            </w:pPr>
          </w:p>
        </w:tc>
        <w:tc>
          <w:tcPr>
            <w:tcW w:w="960" w:type="dxa"/>
            <w:gridSpan w:val="2"/>
            <w:tcBorders>
              <w:bottom w:val="nil"/>
            </w:tcBorders>
            <w:shd w:val="clear" w:color="auto" w:fill="auto"/>
            <w:vAlign w:val="center"/>
          </w:tcPr>
          <w:p>
            <w:pPr>
              <w:rPr>
                <w:rFonts w:hint="eastAsia" w:ascii="宋体" w:hAnsi="宋体" w:eastAsia="宋体" w:cs="宋体"/>
                <w:i w:val="0"/>
                <w:color w:val="000000"/>
                <w:sz w:val="16"/>
                <w:szCs w:val="16"/>
                <w:u w:val="none"/>
              </w:rPr>
            </w:pPr>
          </w:p>
        </w:tc>
        <w:tc>
          <w:tcPr>
            <w:tcW w:w="960" w:type="dxa"/>
            <w:gridSpan w:val="2"/>
            <w:tcBorders>
              <w:bottom w:val="nil"/>
            </w:tcBorders>
            <w:shd w:val="clear" w:color="auto" w:fill="auto"/>
            <w:vAlign w:val="center"/>
          </w:tcPr>
          <w:p>
            <w:pPr>
              <w:rPr>
                <w:rFonts w:hint="eastAsia" w:ascii="宋体" w:hAnsi="宋体" w:eastAsia="宋体" w:cs="宋体"/>
                <w:i w:val="0"/>
                <w:color w:val="000000"/>
                <w:sz w:val="16"/>
                <w:szCs w:val="16"/>
                <w:u w:val="none"/>
              </w:rPr>
            </w:pPr>
          </w:p>
        </w:tc>
        <w:tc>
          <w:tcPr>
            <w:tcW w:w="960" w:type="dxa"/>
            <w:tcBorders>
              <w:bottom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0337" w:type="dxa"/>
            <w:gridSpan w:val="16"/>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 目</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本年收入合计</w:t>
            </w:r>
          </w:p>
        </w:tc>
        <w:tc>
          <w:tcPr>
            <w:tcW w:w="1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财政拨款收入</w:t>
            </w:r>
          </w:p>
        </w:tc>
        <w:tc>
          <w:tcPr>
            <w:tcW w:w="1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上级补助收入</w:t>
            </w:r>
          </w:p>
        </w:tc>
        <w:tc>
          <w:tcPr>
            <w:tcW w:w="1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事业收入</w:t>
            </w:r>
          </w:p>
        </w:tc>
        <w:tc>
          <w:tcPr>
            <w:tcW w:w="1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经营收入</w:t>
            </w:r>
          </w:p>
        </w:tc>
        <w:tc>
          <w:tcPr>
            <w:tcW w:w="1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附属单位</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上缴收入</w:t>
            </w:r>
          </w:p>
        </w:tc>
        <w:tc>
          <w:tcPr>
            <w:tcW w:w="1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功能分类</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科目编码</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科目名称</w:t>
            </w: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1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栏次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4</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5</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6</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14,789,527.43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14,789,527.43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2"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201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一般公共服务支出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650,000.00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650,000.00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其他一般公共服务支出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650,000.00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650,000.00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2019999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其他一般公共服务支出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650,000.00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650,000.00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社会保障和就业支出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899,787.90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899,787.90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行政事业单位离退休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716,515.90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716,515.90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2080501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归口管理的行政单位离退休</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514,977.90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514,977.90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2080505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机关事业单位基本养老保险缴费支出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201,538.00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201,538.00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20808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抚恤</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183,272.00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183,272.00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2080801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死亡抚恤</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183,272.00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183,272.00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医疗卫生与计划生育支出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83,574.00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83,574.00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21011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行政事业单位医疗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83,574.00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83,574.00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2101101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行政单位医疗</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83,574.00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83,574.00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农林水支出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13,146,165.53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13,146,165.53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农业</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320,000.00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320,000.00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2130199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其他农业支出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320,000.00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320,000.00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林业</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12,526,165.53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12,526,165.53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行政运行</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1,694,590.53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1,694,590.53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2130205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森林培育</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5,626,975.00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5,626,975.00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森林生态效益补偿</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66,300.00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cs="宋体"/>
                <w:color w:val="000000"/>
                <w:sz w:val="15"/>
                <w:szCs w:val="15"/>
              </w:rPr>
            </w:pPr>
            <w:r>
              <w:rPr>
                <w:rFonts w:hint="eastAsia" w:ascii="宋体" w:hAnsi="宋体" w:eastAsia="宋体" w:cs="宋体"/>
                <w:i w:val="0"/>
                <w:color w:val="000000"/>
                <w:kern w:val="0"/>
                <w:sz w:val="15"/>
                <w:szCs w:val="15"/>
                <w:u w:val="none"/>
                <w:lang w:val="en-US" w:eastAsia="zh-CN" w:bidi="ar"/>
              </w:rPr>
              <w:t>66,300.00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林业防灾减灾</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600,000.00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600,000.00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其他林业支出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4,538,300.00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4,538,300.00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水利</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2130301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行政运行</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22999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2299901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其他支出</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337"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rtlGutter w:val="0"/>
          <w:docGrid w:type="lines" w:linePitch="317" w:charSpace="0"/>
        </w:sectPr>
      </w:pPr>
    </w:p>
    <w:tbl>
      <w:tblPr>
        <w:tblStyle w:val="5"/>
        <w:tblW w:w="10350" w:type="dxa"/>
        <w:tblInd w:w="-821" w:type="dxa"/>
        <w:tblLayout w:type="fixed"/>
        <w:tblCellMar>
          <w:top w:w="15" w:type="dxa"/>
          <w:left w:w="15" w:type="dxa"/>
          <w:bottom w:w="15" w:type="dxa"/>
          <w:right w:w="15" w:type="dxa"/>
        </w:tblCellMar>
      </w:tblPr>
      <w:tblGrid>
        <w:gridCol w:w="723"/>
        <w:gridCol w:w="12"/>
        <w:gridCol w:w="747"/>
        <w:gridCol w:w="1935"/>
        <w:gridCol w:w="745"/>
        <w:gridCol w:w="290"/>
        <w:gridCol w:w="709"/>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486" w:hRule="atLeast"/>
        </w:trPr>
        <w:tc>
          <w:tcPr>
            <w:tcW w:w="10350" w:type="dxa"/>
            <w:gridSpan w:val="15"/>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3417" w:type="dxa"/>
            <w:gridSpan w:val="4"/>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bidi="ar"/>
              </w:rPr>
              <w:t>单位：南阳市卧龙区林业局本级</w:t>
            </w:r>
          </w:p>
        </w:tc>
        <w:tc>
          <w:tcPr>
            <w:tcW w:w="745"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258" w:hRule="atLeast"/>
        </w:trPr>
        <w:tc>
          <w:tcPr>
            <w:tcW w:w="1482" w:type="dxa"/>
            <w:gridSpan w:val="3"/>
            <w:shd w:val="clear" w:color="auto" w:fill="auto"/>
            <w:vAlign w:val="center"/>
          </w:tcPr>
          <w:p>
            <w:pPr>
              <w:rPr>
                <w:rFonts w:ascii="宋体" w:hAnsi="宋体" w:eastAsia="宋体" w:cs="宋体"/>
                <w:color w:val="000000"/>
                <w:sz w:val="16"/>
                <w:szCs w:val="16"/>
              </w:rPr>
            </w:pPr>
          </w:p>
        </w:tc>
        <w:tc>
          <w:tcPr>
            <w:tcW w:w="1935" w:type="dxa"/>
            <w:shd w:val="clear" w:color="auto" w:fill="auto"/>
            <w:vAlign w:val="center"/>
          </w:tcPr>
          <w:p>
            <w:pPr>
              <w:rPr>
                <w:rFonts w:ascii="宋体" w:hAnsi="宋体" w:eastAsia="宋体" w:cs="宋体"/>
                <w:color w:val="000000"/>
                <w:sz w:val="16"/>
                <w:szCs w:val="16"/>
              </w:rPr>
            </w:pPr>
          </w:p>
        </w:tc>
        <w:tc>
          <w:tcPr>
            <w:tcW w:w="745"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3417"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03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078"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03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78"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417"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417"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cs="宋体"/>
                <w:b/>
                <w:bCs/>
                <w:color w:val="000000"/>
                <w:kern w:val="0"/>
                <w:sz w:val="16"/>
                <w:szCs w:val="16"/>
              </w:rPr>
              <w:t>合计</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9,173,107.37</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3,450,197.37</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5,722,910.00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201</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一般公共服务支出</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20199</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其他一般公共服务支出</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2019999</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其他一般公共服务支出</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社会保障和就业支出</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913,480.70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913,480.70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行政事业单位离退休</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730,208.70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730,208.70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2080501</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归口管理的行政单位离退休</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528,670.70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528,670.70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2080505</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机关事业单位基本养老保险缴费支出</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201,538.00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201,538.00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20808</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抚恤</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183,272.00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183,272.00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2080801</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死亡抚恤</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183,272.00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183,272.00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210</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医疗卫生与计划生育支出</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21011</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行政事业单位医疗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2101101</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行政单位医疗</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农林水支出</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8,037,500.53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2,314,590.53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5,722,910.00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21301</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农业</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320,000.00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320,000.00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2130199</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其他农业支出</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320,000.00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320,000.00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21302</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林业</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7,417,500.53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1,694,590.53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5,722,910.00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2130201</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 xml:space="preserve">  行政运行</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1,694,590.53</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1,694,590.53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2130205</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 xml:space="preserve">  森林培育</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4,780,165.34</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4,780,165.34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2130209</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森林生态效益补偿</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66,300.00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66,300.00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2130234</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林业防灾减灾</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217,080.00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217,080.00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2130299</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其他林业支出</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659,364.66</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659,364.66</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21303</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水利</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2130301</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行政运行</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229</w:t>
            </w:r>
          </w:p>
        </w:tc>
        <w:tc>
          <w:tcPr>
            <w:tcW w:w="2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其他支出</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22999</w:t>
            </w:r>
          </w:p>
        </w:tc>
        <w:tc>
          <w:tcPr>
            <w:tcW w:w="2694"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其他支出</w:t>
            </w:r>
          </w:p>
        </w:tc>
        <w:tc>
          <w:tcPr>
            <w:tcW w:w="103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10,000.00</w:t>
            </w:r>
          </w:p>
        </w:tc>
        <w:tc>
          <w:tcPr>
            <w:tcW w:w="107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10,000.00</w:t>
            </w: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23"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2299901</w:t>
            </w:r>
          </w:p>
        </w:tc>
        <w:tc>
          <w:tcPr>
            <w:tcW w:w="2694"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其他支出</w:t>
            </w:r>
          </w:p>
        </w:tc>
        <w:tc>
          <w:tcPr>
            <w:tcW w:w="103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107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60" w:hRule="atLeast"/>
        </w:trPr>
        <w:tc>
          <w:tcPr>
            <w:tcW w:w="10350" w:type="dxa"/>
            <w:gridSpan w:val="15"/>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rtlGutter w:val="0"/>
          <w:docGrid w:type="lines" w:linePitch="318" w:charSpace="0"/>
        </w:sectPr>
      </w:pPr>
    </w:p>
    <w:tbl>
      <w:tblPr>
        <w:tblStyle w:val="5"/>
        <w:tblW w:w="11728"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gridCol w:w="1303"/>
      </w:tblGrid>
      <w:tr>
        <w:tblPrEx>
          <w:tblLayout w:type="fixed"/>
          <w:tblCellMar>
            <w:top w:w="15" w:type="dxa"/>
            <w:left w:w="15" w:type="dxa"/>
            <w:bottom w:w="15" w:type="dxa"/>
            <w:right w:w="15" w:type="dxa"/>
          </w:tblCellMar>
        </w:tblPrEx>
        <w:trPr>
          <w:gridAfter w:val="1"/>
          <w:wAfter w:w="1303" w:type="dxa"/>
          <w:trHeight w:val="169" w:hRule="atLeast"/>
        </w:trPr>
        <w:tc>
          <w:tcPr>
            <w:tcW w:w="10425" w:type="dxa"/>
            <w:gridSpan w:val="14"/>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gridAfter w:val="1"/>
          <w:wAfter w:w="1303" w:type="dxa"/>
          <w:trHeight w:val="107" w:hRule="atLeast"/>
        </w:trPr>
        <w:tc>
          <w:tcPr>
            <w:tcW w:w="2604" w:type="dxa"/>
            <w:gridSpan w:val="4"/>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bidi="ar"/>
              </w:rPr>
              <w:t>单位：南阳市卧龙区林业局会本级</w:t>
            </w: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gridAfter w:val="1"/>
          <w:wAfter w:w="1303" w:type="dxa"/>
          <w:trHeight w:val="90"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gridAfter w:val="1"/>
          <w:wAfter w:w="1303" w:type="dxa"/>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gridAfter w:val="1"/>
          <w:wAfter w:w="1303" w:type="dxa"/>
          <w:trHeight w:val="480"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14,789,527.43</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307"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92"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77"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47"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77"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913,480.70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913,480.70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83,574.00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83,574.00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8,037,500.53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8,037,500.53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10,000.00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10,000.00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14,789,527.43</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9,173,107.37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9,173,107.37</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1,658,470.43</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7,274,890.49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7,274,890.49</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1,658,470.43</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p>
        </w:tc>
        <w:tc>
          <w:tcPr>
            <w:tcW w:w="1303" w:type="dxa"/>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p>
        </w:tc>
        <w:tc>
          <w:tcPr>
            <w:tcW w:w="1303" w:type="dxa"/>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90" w:hRule="atLeast"/>
        </w:trPr>
        <w:tc>
          <w:tcPr>
            <w:tcW w:w="214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16,447,997.86</w:t>
            </w:r>
          </w:p>
        </w:tc>
        <w:tc>
          <w:tcPr>
            <w:tcW w:w="208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16,447,997.86</w:t>
            </w:r>
          </w:p>
        </w:tc>
        <w:tc>
          <w:tcPr>
            <w:tcW w:w="130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16,447,997.86</w:t>
            </w:r>
          </w:p>
        </w:tc>
        <w:tc>
          <w:tcPr>
            <w:tcW w:w="130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1303" w:type="dxa"/>
          <w:trHeight w:val="495" w:hRule="atLeast"/>
        </w:trPr>
        <w:tc>
          <w:tcPr>
            <w:tcW w:w="10425"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spacing w:line="360" w:lineRule="auto"/>
        <w:jc w:val="center"/>
        <w:rPr>
          <w:rFonts w:ascii="隶书" w:hAnsi="隶书" w:eastAsia="隶书" w:cs="隶书"/>
          <w:sz w:val="52"/>
          <w:szCs w:val="52"/>
        </w:rPr>
      </w:pPr>
      <w:r>
        <w:rPr>
          <w:rFonts w:hint="eastAsia" w:ascii="隶书" w:hAnsi="隶书" w:eastAsia="隶书" w:cs="隶书"/>
          <w:sz w:val="52"/>
          <w:szCs w:val="52"/>
        </w:rPr>
        <w:br w:type="page"/>
      </w:r>
    </w:p>
    <w:tbl>
      <w:tblPr>
        <w:tblStyle w:val="5"/>
        <w:tblW w:w="10440" w:type="dxa"/>
        <w:tblInd w:w="-902" w:type="dxa"/>
        <w:tblLayout w:type="fixed"/>
        <w:tblCellMar>
          <w:top w:w="15" w:type="dxa"/>
          <w:left w:w="15" w:type="dxa"/>
          <w:bottom w:w="15" w:type="dxa"/>
          <w:right w:w="15" w:type="dxa"/>
        </w:tblCellMar>
      </w:tblPr>
      <w:tblGrid>
        <w:gridCol w:w="1205"/>
        <w:gridCol w:w="11"/>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3691" w:type="dxa"/>
            <w:gridSpan w:val="4"/>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bidi="ar"/>
              </w:rPr>
              <w:t>单位：南阳市卧龙区林业局本级</w:t>
            </w: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trHeight w:val="270" w:hRule="atLeast"/>
        </w:trPr>
        <w:tc>
          <w:tcPr>
            <w:tcW w:w="1891" w:type="dxa"/>
            <w:gridSpan w:val="3"/>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3691"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6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cs="宋体"/>
                <w:b/>
                <w:bCs/>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9,173,107.37</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3,450,197.37</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5,722,910.00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201</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一般公共服务支出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20199</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其他一般公共服务支出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2019999</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其他一般公共服务支出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128,552.14</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社会保障和就业支出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913,480.70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913,480.70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行政事业单位离退休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730,208.70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730,208.70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2080501</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归口管理的行政单位离退休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528,670.70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528,670.70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2080505</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机关事业单位基本养老保险缴费支出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201,538.00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201,538.00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20808</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抚恤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183,272.00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183,272.00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2080801</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死亡抚恤</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183,272.00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183,272.00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210</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医疗卫生与计划生育支出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21011</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行政事业单位医疗</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2101101</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行政单位医疗</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83,574.00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213</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农林水支出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8,037,500.53</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2,314,590.53</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5,722,910.00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21301</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cs="宋体"/>
                <w:color w:val="000000"/>
                <w:sz w:val="15"/>
                <w:szCs w:val="15"/>
              </w:rPr>
            </w:pPr>
            <w:r>
              <w:rPr>
                <w:rFonts w:hint="eastAsia" w:ascii="宋体" w:hAnsi="宋体" w:eastAsia="宋体" w:cs="宋体"/>
                <w:i w:val="0"/>
                <w:color w:val="000000"/>
                <w:kern w:val="0"/>
                <w:sz w:val="15"/>
                <w:szCs w:val="15"/>
                <w:u w:val="none"/>
                <w:lang w:val="en-US" w:eastAsia="zh-CN" w:bidi="ar"/>
              </w:rPr>
              <w:t>农业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320,000.00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320,000.00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2130199</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其他农业支出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320,000.00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320,000.00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21302</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林业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7,417,500.53</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1,694,590.53</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5,722,910.00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2130201</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行政运行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1,694,590.53</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1,694,590.53</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2130205</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森林培育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4,780,165.34</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4,780,165.34</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2130209</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森林生态效益补偿</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66,300.00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66,300.00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2130234</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林业防灾减灾</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217,080.00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217,080.00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2130299</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其他林业支出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659,364.66</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659,364.66</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21303</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水利</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2130301</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行政运行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300,000.00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229</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10,000.00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22999</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其他支出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10,000.00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10,000.00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0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2299901</w:t>
            </w:r>
          </w:p>
        </w:tc>
        <w:tc>
          <w:tcPr>
            <w:tcW w:w="2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其他支出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10,000.00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10,000.00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600" w:hRule="atLeast"/>
        </w:trPr>
        <w:tc>
          <w:tcPr>
            <w:tcW w:w="10440" w:type="dxa"/>
            <w:gridSpan w:val="9"/>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3444" w:type="dxa"/>
            <w:gridSpan w:val="3"/>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bidi="ar"/>
              </w:rPr>
              <w:t>单位：南阳市卧龙区林业局本级</w:t>
            </w: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trHeight w:val="270"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1,758,629.56</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896,051.11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758,953.00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176,938.50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661,883.56</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136,255.00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201,538.00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350.00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1,038.00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6,080.00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795,516.70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100,470.10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152,188.10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54,060.00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376,482.60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183,272.00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131,374.00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83,574.00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89,400.00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12,607.00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96,928.31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226,805.20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b/>
                <w:i w:val="0"/>
                <w:color w:val="000000"/>
                <w:kern w:val="0"/>
                <w:sz w:val="15"/>
                <w:szCs w:val="15"/>
                <w:u w:val="none"/>
                <w:lang w:val="en-US" w:eastAsia="zh-CN" w:bidi="ar"/>
              </w:rPr>
              <w:t>304</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b/>
                <w:i w:val="0"/>
                <w:color w:val="000000"/>
                <w:kern w:val="0"/>
                <w:sz w:val="15"/>
                <w:szCs w:val="15"/>
                <w:u w:val="none"/>
                <w:lang w:val="en-US" w:eastAsia="zh-CN" w:bidi="ar"/>
              </w:rPr>
              <w:t>对企事业单位的补贴</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30401</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 xml:space="preserve">  企业政策性补贴</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30402</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 xml:space="preserve">  事业单位补贴</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30403</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 xml:space="preserve">  财政贴息</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30499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 xml:space="preserve">  其他对企事业单位的补贴</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b/>
                <w:i w:val="0"/>
                <w:color w:val="000000"/>
                <w:kern w:val="0"/>
                <w:sz w:val="15"/>
                <w:szCs w:val="15"/>
                <w:u w:val="none"/>
                <w:lang w:val="en-US" w:eastAsia="zh-CN" w:bidi="ar"/>
              </w:rPr>
              <w:t>307</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b/>
                <w:i w:val="0"/>
                <w:color w:val="000000"/>
                <w:kern w:val="0"/>
                <w:sz w:val="15"/>
                <w:szCs w:val="15"/>
                <w:u w:val="none"/>
                <w:lang w:val="en-US" w:eastAsia="zh-CN" w:bidi="ar"/>
              </w:rPr>
              <w:t>债务利息支出</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30701</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 xml:space="preserve">  国内债务付息</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30707</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 xml:space="preserve">  国外债务付息</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b/>
                <w:i w:val="0"/>
                <w:color w:val="000000"/>
                <w:kern w:val="0"/>
                <w:sz w:val="15"/>
                <w:szCs w:val="15"/>
                <w:u w:val="none"/>
                <w:lang w:val="en-US" w:eastAsia="zh-CN" w:bidi="ar"/>
              </w:rPr>
              <w:t>399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b/>
                <w:i w:val="0"/>
                <w:color w:val="000000"/>
                <w:kern w:val="0"/>
                <w:sz w:val="15"/>
                <w:szCs w:val="15"/>
                <w:u w:val="none"/>
                <w:lang w:val="en-US" w:eastAsia="zh-CN" w:bidi="ar"/>
              </w:rPr>
              <w:t>其他支出</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39906</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 xml:space="preserve">  赠与</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b/>
                <w:i w:val="0"/>
                <w:color w:val="000000"/>
                <w:kern w:val="0"/>
                <w:sz w:val="15"/>
                <w:szCs w:val="15"/>
                <w:u w:val="none"/>
                <w:lang w:val="en-US" w:eastAsia="zh-CN" w:bidi="ar"/>
              </w:rPr>
              <w:t>304</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b/>
                <w:i w:val="0"/>
                <w:color w:val="000000"/>
                <w:kern w:val="0"/>
                <w:sz w:val="15"/>
                <w:szCs w:val="15"/>
                <w:u w:val="none"/>
                <w:lang w:val="en-US" w:eastAsia="zh-CN" w:bidi="ar"/>
              </w:rPr>
              <w:t>对企事业单位的补贴</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30401</w:t>
            </w:r>
          </w:p>
        </w:tc>
        <w:tc>
          <w:tcPr>
            <w:tcW w:w="2840" w:type="dxa"/>
            <w:gridSpan w:val="2"/>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left"/>
              <w:textAlignment w:val="center"/>
              <w:rPr>
                <w:rFonts w:hint="eastAsia"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 xml:space="preserve">  企业政策性补贴</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3444"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15"/>
                <w:szCs w:val="15"/>
              </w:rPr>
            </w:pPr>
            <w:r>
              <w:rPr>
                <w:rFonts w:hint="eastAsia" w:ascii="宋体" w:hAnsi="宋体" w:eastAsia="宋体" w:cs="宋体"/>
                <w:b/>
                <w:i w:val="0"/>
                <w:color w:val="000000"/>
                <w:kern w:val="0"/>
                <w:sz w:val="15"/>
                <w:szCs w:val="15"/>
                <w:u w:val="none"/>
                <w:shd w:val="clear" w:fill="FFFFFF" w:themeFill="background1"/>
                <w:lang w:val="en-US" w:eastAsia="zh-CN" w:bidi="ar"/>
              </w:rPr>
              <w:t>人员经费合计</w:t>
            </w: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2,554,146.26</w:t>
            </w:r>
          </w:p>
        </w:tc>
        <w:tc>
          <w:tcPr>
            <w:tcW w:w="3711" w:type="dxa"/>
            <w:gridSpan w:val="4"/>
            <w:tcBorders>
              <w:top w:val="single" w:color="000000" w:sz="4" w:space="0"/>
              <w:left w:val="single" w:color="000000" w:sz="4" w:space="0"/>
              <w:bottom w:val="single" w:color="000000" w:sz="12" w:space="0"/>
              <w:right w:val="single" w:color="000000" w:sz="4" w:space="0"/>
            </w:tcBorders>
            <w:shd w:val="clear" w:color="FFFFFF" w:fill="FFFFFF" w:themeFill="background1"/>
            <w:vAlign w:val="center"/>
          </w:tcPr>
          <w:p>
            <w:pPr>
              <w:keepNext w:val="0"/>
              <w:keepLines w:val="0"/>
              <w:widowControl/>
              <w:suppressLineNumbers w:val="0"/>
              <w:jc w:val="center"/>
              <w:textAlignment w:val="center"/>
              <w:rPr>
                <w:rFonts w:hint="eastAsia" w:ascii="宋体" w:hAnsi="宋体" w:eastAsia="宋体" w:cs="宋体"/>
                <w:color w:val="000000"/>
                <w:kern w:val="0"/>
                <w:sz w:val="15"/>
                <w:szCs w:val="15"/>
              </w:rPr>
            </w:pPr>
            <w:r>
              <w:rPr>
                <w:rFonts w:hint="eastAsia" w:ascii="宋体" w:hAnsi="宋体" w:eastAsia="宋体" w:cs="宋体"/>
                <w:b/>
                <w:i w:val="0"/>
                <w:color w:val="000000"/>
                <w:kern w:val="0"/>
                <w:sz w:val="15"/>
                <w:szCs w:val="15"/>
                <w:u w:val="none"/>
                <w:lang w:val="en-US" w:eastAsia="zh-CN" w:bidi="ar"/>
              </w:rPr>
              <w:t>公用经费合计</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896,051.11</w:t>
            </w:r>
          </w:p>
        </w:tc>
      </w:tr>
      <w:tr>
        <w:tblPrEx>
          <w:tblLayout w:type="fixed"/>
          <w:tblCellMar>
            <w:top w:w="15" w:type="dxa"/>
            <w:left w:w="15" w:type="dxa"/>
            <w:bottom w:w="15" w:type="dxa"/>
            <w:right w:w="15" w:type="dxa"/>
          </w:tblCellMar>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0485"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2"/>
        <w:gridCol w:w="861"/>
        <w:gridCol w:w="62"/>
        <w:gridCol w:w="585"/>
        <w:gridCol w:w="200"/>
        <w:gridCol w:w="429"/>
        <w:gridCol w:w="336"/>
        <w:gridCol w:w="294"/>
        <w:gridCol w:w="629"/>
        <w:gridCol w:w="77"/>
        <w:gridCol w:w="915"/>
        <w:gridCol w:w="509"/>
        <w:gridCol w:w="413"/>
        <w:gridCol w:w="234"/>
        <w:gridCol w:w="630"/>
        <w:gridCol w:w="59"/>
        <w:gridCol w:w="571"/>
        <w:gridCol w:w="249"/>
        <w:gridCol w:w="381"/>
        <w:gridCol w:w="439"/>
        <w:gridCol w:w="820"/>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10485" w:type="dxa"/>
            <w:gridSpan w:val="22"/>
            <w:shd w:val="clear" w:color="auto" w:fill="auto"/>
            <w:vAlign w:val="bottom"/>
          </w:tcPr>
          <w:p>
            <w:pPr>
              <w:keepNext w:val="0"/>
              <w:keepLines w:val="0"/>
              <w:widowControl/>
              <w:suppressLineNumbers w:val="0"/>
              <w:jc w:val="center"/>
              <w:textAlignment w:val="bottom"/>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430" w:type="dxa"/>
            <w:gridSpan w:val="4"/>
            <w:shd w:val="clear" w:color="auto" w:fill="auto"/>
            <w:vAlign w:val="center"/>
          </w:tcPr>
          <w:p>
            <w:pP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单位：南阳市卧龙区林业局本级</w:t>
            </w:r>
          </w:p>
        </w:tc>
        <w:tc>
          <w:tcPr>
            <w:tcW w:w="629"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shd w:val="clear" w:color="auto" w:fill="auto"/>
            <w:vAlign w:val="center"/>
          </w:tcPr>
          <w:p>
            <w:pPr>
              <w:rPr>
                <w:rFonts w:hint="eastAsia" w:ascii="宋体" w:hAnsi="宋体" w:eastAsia="宋体" w:cs="宋体"/>
                <w:i w:val="0"/>
                <w:color w:val="000000"/>
                <w:sz w:val="16"/>
                <w:szCs w:val="16"/>
                <w:u w:val="none"/>
              </w:rPr>
            </w:pPr>
          </w:p>
        </w:tc>
        <w:tc>
          <w:tcPr>
            <w:tcW w:w="992" w:type="dxa"/>
            <w:gridSpan w:val="2"/>
            <w:shd w:val="clear" w:color="auto" w:fill="auto"/>
            <w:vAlign w:val="center"/>
          </w:tcPr>
          <w:p>
            <w:pPr>
              <w:rPr>
                <w:rFonts w:hint="eastAsia" w:ascii="宋体" w:hAnsi="宋体" w:eastAsia="宋体" w:cs="宋体"/>
                <w:i w:val="0"/>
                <w:color w:val="000000"/>
                <w:sz w:val="16"/>
                <w:szCs w:val="16"/>
                <w:u w:val="none"/>
              </w:rPr>
            </w:pPr>
          </w:p>
        </w:tc>
        <w:tc>
          <w:tcPr>
            <w:tcW w:w="509" w:type="dxa"/>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2129"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783" w:type="dxa"/>
            <w:gridSpan w:val="2"/>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29" w:type="dxa"/>
            <w:shd w:val="clear" w:color="auto" w:fill="auto"/>
            <w:vAlign w:val="center"/>
          </w:tcPr>
          <w:p>
            <w:pPr>
              <w:rPr>
                <w:rFonts w:hint="eastAsia" w:ascii="宋体" w:hAnsi="宋体" w:eastAsia="宋体" w:cs="宋体"/>
                <w:i w:val="0"/>
                <w:color w:val="000000"/>
                <w:sz w:val="16"/>
                <w:szCs w:val="16"/>
                <w:u w:val="none"/>
              </w:rPr>
            </w:pPr>
          </w:p>
        </w:tc>
        <w:tc>
          <w:tcPr>
            <w:tcW w:w="992" w:type="dxa"/>
            <w:gridSpan w:val="2"/>
            <w:shd w:val="clear" w:color="auto" w:fill="auto"/>
            <w:vAlign w:val="center"/>
          </w:tcPr>
          <w:p>
            <w:pPr>
              <w:rPr>
                <w:rFonts w:hint="eastAsia" w:ascii="宋体" w:hAnsi="宋体" w:eastAsia="宋体" w:cs="宋体"/>
                <w:i w:val="0"/>
                <w:color w:val="000000"/>
                <w:sz w:val="16"/>
                <w:szCs w:val="16"/>
                <w:u w:val="none"/>
              </w:rPr>
            </w:pPr>
          </w:p>
        </w:tc>
        <w:tc>
          <w:tcPr>
            <w:tcW w:w="509" w:type="dxa"/>
            <w:shd w:val="clear" w:color="auto" w:fill="auto"/>
            <w:vAlign w:val="center"/>
          </w:tcPr>
          <w:p>
            <w:pPr>
              <w:rPr>
                <w:rFonts w:hint="eastAsia" w:ascii="宋体" w:hAnsi="宋体" w:eastAsia="宋体" w:cs="宋体"/>
                <w:i w:val="0"/>
                <w:color w:val="000000"/>
                <w:sz w:val="16"/>
                <w:szCs w:val="16"/>
                <w:u w:val="none"/>
              </w:rPr>
            </w:pPr>
          </w:p>
        </w:tc>
        <w:tc>
          <w:tcPr>
            <w:tcW w:w="647"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630" w:type="dxa"/>
            <w:gridSpan w:val="2"/>
            <w:shd w:val="clear" w:color="auto" w:fill="auto"/>
            <w:vAlign w:val="center"/>
          </w:tcPr>
          <w:p>
            <w:pPr>
              <w:rPr>
                <w:rFonts w:hint="eastAsia" w:ascii="宋体" w:hAnsi="宋体" w:eastAsia="宋体" w:cs="宋体"/>
                <w:i w:val="0"/>
                <w:color w:val="000000"/>
                <w:sz w:val="16"/>
                <w:szCs w:val="16"/>
                <w:u w:val="none"/>
              </w:rPr>
            </w:pPr>
          </w:p>
        </w:tc>
        <w:tc>
          <w:tcPr>
            <w:tcW w:w="2129" w:type="dxa"/>
            <w:gridSpan w:val="3"/>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2016年度决算数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购置费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公务用车</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运行费</w:t>
            </w:r>
          </w:p>
        </w:tc>
        <w:tc>
          <w:tcPr>
            <w:tcW w:w="870"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7</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lang w:val="en-US" w:eastAsia="zh-CN"/>
              </w:rPr>
            </w:pPr>
            <w:r>
              <w:rPr>
                <w:rFonts w:hint="eastAsia" w:ascii="宋体" w:hAnsi="宋体" w:eastAsia="宋体" w:cs="宋体"/>
                <w:i w:val="0"/>
                <w:color w:val="000000"/>
                <w:kern w:val="0"/>
                <w:sz w:val="15"/>
                <w:szCs w:val="15"/>
                <w:u w:val="none"/>
                <w:lang w:val="en-US" w:eastAsia="zh-CN" w:bidi="ar"/>
              </w:rPr>
              <w:t>305,000.00</w:t>
            </w:r>
          </w:p>
        </w:tc>
        <w:tc>
          <w:tcPr>
            <w:tcW w:w="923"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55,000.00</w:t>
            </w:r>
          </w:p>
        </w:tc>
        <w:tc>
          <w:tcPr>
            <w:tcW w:w="78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kern w:val="0"/>
                <w:sz w:val="15"/>
                <w:szCs w:val="15"/>
                <w:u w:val="none"/>
                <w:lang w:val="en-US" w:eastAsia="zh-CN" w:bidi="ar"/>
              </w:rPr>
              <w:t>100,000.00</w:t>
            </w:r>
          </w:p>
        </w:tc>
        <w:tc>
          <w:tcPr>
            <w:tcW w:w="76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0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kern w:val="0"/>
                <w:sz w:val="15"/>
                <w:szCs w:val="15"/>
                <w:u w:val="none"/>
                <w:lang w:val="en-US" w:eastAsia="zh-CN" w:bidi="ar"/>
              </w:rPr>
              <w:t>100,000.00</w:t>
            </w: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150,000.00</w:t>
            </w:r>
          </w:p>
        </w:tc>
        <w:tc>
          <w:tcPr>
            <w:tcW w:w="9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5"/>
                <w:szCs w:val="15"/>
                <w:u w:val="none"/>
                <w:lang w:val="en-US" w:eastAsia="zh-CN"/>
              </w:rPr>
            </w:pPr>
            <w:r>
              <w:rPr>
                <w:rFonts w:hint="eastAsia" w:ascii="宋体" w:hAnsi="宋体" w:eastAsia="宋体" w:cs="宋体"/>
                <w:i w:val="0"/>
                <w:color w:val="000000"/>
                <w:kern w:val="0"/>
                <w:sz w:val="15"/>
                <w:szCs w:val="15"/>
                <w:u w:val="none"/>
                <w:lang w:val="en-US" w:eastAsia="zh-CN" w:bidi="ar"/>
              </w:rPr>
              <w:t>282,362.31</w:t>
            </w:r>
          </w:p>
        </w:tc>
        <w:tc>
          <w:tcPr>
            <w:tcW w:w="923"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54,060.00</w:t>
            </w: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kern w:val="0"/>
                <w:sz w:val="15"/>
                <w:szCs w:val="15"/>
                <w:u w:val="none"/>
                <w:lang w:val="en-US" w:eastAsia="zh-CN" w:bidi="ar"/>
              </w:rPr>
              <w:t>96,928.31</w:t>
            </w: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82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kern w:val="0"/>
                <w:sz w:val="15"/>
                <w:szCs w:val="15"/>
                <w:u w:val="none"/>
                <w:lang w:val="en-US" w:eastAsia="zh-CN" w:bidi="ar"/>
              </w:rPr>
              <w:t>96,928.31</w:t>
            </w: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131,374.00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485" w:type="dxa"/>
            <w:gridSpan w:val="2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tbl>
      <w:tblPr>
        <w:tblStyle w:val="5"/>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3027" w:type="dxa"/>
            <w:gridSpan w:val="3"/>
            <w:shd w:val="clear" w:color="auto" w:fill="auto"/>
            <w:vAlign w:val="center"/>
          </w:tcPr>
          <w:p>
            <w:pPr>
              <w:rPr>
                <w:rFonts w:ascii="宋体" w:hAnsi="宋体" w:eastAsia="宋体" w:cs="宋体"/>
                <w:color w:val="000000"/>
                <w:sz w:val="16"/>
                <w:szCs w:val="16"/>
              </w:rPr>
            </w:pPr>
            <w:r>
              <w:rPr>
                <w:rFonts w:hint="eastAsia" w:ascii="宋体" w:hAnsi="宋体" w:eastAsia="宋体" w:cs="宋体"/>
                <w:i w:val="0"/>
                <w:color w:val="000000"/>
                <w:kern w:val="0"/>
                <w:sz w:val="16"/>
                <w:szCs w:val="16"/>
                <w:u w:val="none"/>
                <w:lang w:val="en-US" w:eastAsia="zh-CN" w:bidi="ar"/>
              </w:rPr>
              <w:t>单位：南阳市卧龙区林业局本级</w:t>
            </w: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Layout w:type="fixed"/>
          <w:tblCellMar>
            <w:top w:w="15" w:type="dxa"/>
            <w:left w:w="15" w:type="dxa"/>
            <w:bottom w:w="15" w:type="dxa"/>
            <w:right w:w="15" w:type="dxa"/>
          </w:tblCellMar>
        </w:tblPrEx>
        <w:trPr>
          <w:trHeight w:val="270" w:hRule="atLeast"/>
        </w:trPr>
        <w:tc>
          <w:tcPr>
            <w:tcW w:w="1591"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资助城市影院</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b/>
                <w:color w:val="FF0000"/>
                <w:sz w:val="20"/>
                <w:szCs w:val="20"/>
              </w:rPr>
            </w:pPr>
            <w:r>
              <w:rPr>
                <w:rFonts w:hint="eastAsia" w:ascii="宋体" w:hAnsi="宋体" w:eastAsia="宋体" w:cs="宋体"/>
                <w:b/>
                <w:color w:val="000000" w:themeColor="text1"/>
                <w:kern w:val="0"/>
                <w:sz w:val="20"/>
                <w:szCs w:val="20"/>
                <w14:textFill>
                  <w14:solidFill>
                    <w14:schemeClr w14:val="tx1"/>
                  </w14:solidFill>
                </w14:textFill>
              </w:rPr>
              <w:t>说明：</w:t>
            </w:r>
            <w:r>
              <w:rPr>
                <w:rFonts w:hint="eastAsia" w:ascii="宋体" w:hAnsi="宋体" w:eastAsia="宋体" w:cs="宋体"/>
                <w:b/>
                <w:color w:val="000000" w:themeColor="text1"/>
                <w:kern w:val="0"/>
                <w:sz w:val="20"/>
                <w:szCs w:val="20"/>
                <w:lang w:eastAsia="zh-CN"/>
                <w14:textFill>
                  <w14:solidFill>
                    <w14:schemeClr w14:val="tx1"/>
                  </w14:solidFill>
                </w14:textFill>
              </w:rPr>
              <w:t>卧龙区林业局</w:t>
            </w:r>
            <w:r>
              <w:rPr>
                <w:rFonts w:hint="eastAsia" w:ascii="宋体" w:hAnsi="宋体" w:eastAsia="宋体" w:cs="宋体"/>
                <w:b/>
                <w:color w:val="000000" w:themeColor="text1"/>
                <w:kern w:val="0"/>
                <w:sz w:val="20"/>
                <w:szCs w:val="20"/>
                <w14:textFill>
                  <w14:solidFill>
                    <w14:schemeClr w14:val="tx1"/>
                  </w14:solidFill>
                </w14:textFill>
              </w:rPr>
              <w:t>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rtlGutter w:val="0"/>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Times New Roman"/>
          <w:sz w:val="48"/>
          <w:szCs w:val="48"/>
        </w:rPr>
      </w:pPr>
      <w:r>
        <w:rPr>
          <w:rFonts w:hint="eastAsia" w:ascii="隶书" w:hAnsi="隶书" w:eastAsia="隶书" w:cs="隶书"/>
          <w:sz w:val="48"/>
          <w:szCs w:val="48"/>
        </w:rPr>
        <w:t>第三部分</w:t>
      </w:r>
    </w:p>
    <w:p>
      <w:pPr>
        <w:jc w:val="center"/>
        <w:rPr>
          <w:rFonts w:ascii="隶书" w:hAnsi="隶书" w:eastAsia="隶书" w:cs="Times New Roman"/>
          <w:sz w:val="48"/>
          <w:szCs w:val="48"/>
        </w:rPr>
      </w:pPr>
      <w:r>
        <w:rPr>
          <w:rFonts w:hint="eastAsia" w:ascii="隶书" w:hAnsi="隶书" w:eastAsia="隶书" w:cs="隶书"/>
          <w:sz w:val="48"/>
          <w:szCs w:val="48"/>
        </w:rPr>
        <w:t>卧龙区林业局</w:t>
      </w:r>
    </w:p>
    <w:p>
      <w:pPr>
        <w:jc w:val="center"/>
        <w:rPr>
          <w:rFonts w:ascii="隶书" w:hAnsi="隶书" w:eastAsia="隶书" w:cs="Times New Roman"/>
          <w:sz w:val="48"/>
          <w:szCs w:val="48"/>
        </w:rPr>
        <w:sectPr>
          <w:pgSz w:w="11906" w:h="16838"/>
          <w:pgMar w:top="1440" w:right="1531" w:bottom="1440" w:left="1587" w:header="850" w:footer="992" w:gutter="0"/>
          <w:pgNumType w:fmt="numberInDash"/>
          <w:cols w:space="0" w:num="1"/>
          <w:docGrid w:type="lines" w:linePitch="317" w:charSpace="0"/>
        </w:sectPr>
      </w:pPr>
      <w:r>
        <w:rPr>
          <w:rFonts w:ascii="隶书" w:hAnsi="隶书" w:eastAsia="隶书" w:cs="隶书"/>
          <w:sz w:val="48"/>
          <w:szCs w:val="48"/>
        </w:rPr>
        <w:t>201</w:t>
      </w:r>
      <w:r>
        <w:rPr>
          <w:rFonts w:hint="eastAsia" w:ascii="隶书" w:hAnsi="隶书" w:eastAsia="隶书" w:cs="隶书"/>
          <w:sz w:val="48"/>
          <w:szCs w:val="48"/>
          <w:lang w:val="en-US" w:eastAsia="zh-CN"/>
        </w:rPr>
        <w:t>7</w:t>
      </w:r>
      <w:r>
        <w:rPr>
          <w:rFonts w:hint="eastAsia" w:ascii="隶书" w:hAnsi="隶书" w:eastAsia="隶书" w:cs="隶书"/>
          <w:sz w:val="48"/>
          <w:szCs w:val="48"/>
        </w:rPr>
        <w:t>年度部门决算情况说明</w:t>
      </w:r>
    </w:p>
    <w:p>
      <w:pPr>
        <w:numPr>
          <w:ilvl w:val="0"/>
          <w:numId w:val="4"/>
        </w:numPr>
        <w:adjustRightInd w:val="0"/>
        <w:snapToGrid w:val="0"/>
        <w:spacing w:line="360" w:lineRule="auto"/>
        <w:ind w:firstLine="640" w:firstLineChars="200"/>
        <w:outlineLvl w:val="1"/>
        <w:rPr>
          <w:rFonts w:ascii="黑体" w:hAnsi="黑体" w:eastAsia="黑体" w:cs="Times New Roman"/>
          <w:sz w:val="32"/>
          <w:szCs w:val="32"/>
        </w:rPr>
      </w:pPr>
      <w:r>
        <w:rPr>
          <w:rFonts w:hint="eastAsia" w:ascii="黑体" w:hAnsi="黑体" w:eastAsia="黑体" w:cs="黑体"/>
          <w:sz w:val="32"/>
          <w:szCs w:val="32"/>
        </w:rPr>
        <w:t>关于收入支出决算总体情况说明</w:t>
      </w:r>
    </w:p>
    <w:p>
      <w:pPr>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年度收入总计</w:t>
      </w:r>
      <w:r>
        <w:rPr>
          <w:rFonts w:hint="eastAsia" w:ascii="仿宋_GB2312" w:hAnsi="宋体" w:eastAsia="仿宋_GB2312" w:cs="仿宋_GB2312"/>
          <w:sz w:val="32"/>
          <w:szCs w:val="32"/>
          <w:lang w:val="en-US" w:eastAsia="zh-CN"/>
        </w:rPr>
        <w:t>1478.9527</w:t>
      </w:r>
      <w:r>
        <w:rPr>
          <w:rFonts w:hint="eastAsia" w:ascii="仿宋_GB2312" w:hAnsi="宋体" w:eastAsia="仿宋_GB2312" w:cs="仿宋_GB2312"/>
          <w:sz w:val="32"/>
          <w:szCs w:val="32"/>
        </w:rPr>
        <w:t>万元，支出总计</w:t>
      </w:r>
      <w:r>
        <w:rPr>
          <w:rFonts w:hint="eastAsia" w:ascii="仿宋_GB2312" w:hAnsi="宋体" w:eastAsia="仿宋_GB2312" w:cs="仿宋_GB2312"/>
          <w:sz w:val="32"/>
          <w:szCs w:val="32"/>
          <w:lang w:val="en-US" w:eastAsia="zh-CN"/>
        </w:rPr>
        <w:t>917.3107</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年末结余</w:t>
      </w:r>
      <w:r>
        <w:rPr>
          <w:rFonts w:hint="eastAsia" w:ascii="仿宋_GB2312" w:hAnsi="宋体" w:eastAsia="仿宋_GB2312" w:cs="仿宋_GB2312"/>
          <w:sz w:val="32"/>
          <w:szCs w:val="32"/>
          <w:lang w:val="en-US" w:eastAsia="zh-CN"/>
        </w:rPr>
        <w:t>727.4890</w:t>
      </w:r>
      <w:r>
        <w:rPr>
          <w:rFonts w:hint="eastAsia" w:ascii="仿宋_GB2312" w:hAnsi="宋体" w:eastAsia="仿宋_GB2312" w:cs="仿宋_GB2312"/>
          <w:sz w:val="32"/>
          <w:szCs w:val="32"/>
          <w:lang w:eastAsia="zh-CN"/>
        </w:rPr>
        <w:t>万元，</w:t>
      </w:r>
      <w:r>
        <w:rPr>
          <w:rFonts w:hint="eastAsia" w:ascii="仿宋_GB2312" w:hAnsi="宋体" w:eastAsia="仿宋_GB2312" w:cs="仿宋_GB2312"/>
          <w:sz w:val="32"/>
          <w:szCs w:val="32"/>
        </w:rPr>
        <w:t>与</w:t>
      </w: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年相比，收入</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606.982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69.61</w:t>
      </w:r>
      <w:r>
        <w:rPr>
          <w:rFonts w:ascii="仿宋_GB2312" w:hAnsi="宋体" w:eastAsia="仿宋_GB2312" w:cs="仿宋_GB2312"/>
          <w:sz w:val="32"/>
          <w:szCs w:val="32"/>
        </w:rPr>
        <w:t>%</w:t>
      </w:r>
      <w:r>
        <w:rPr>
          <w:rFonts w:hint="eastAsia" w:ascii="仿宋_GB2312" w:hAnsi="宋体" w:eastAsia="仿宋_GB2312" w:cs="仿宋_GB2312"/>
          <w:sz w:val="32"/>
          <w:szCs w:val="32"/>
        </w:rPr>
        <w:t>、支出总计</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211.187</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29.91</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cs="Times New Roman"/>
          <w:sz w:val="32"/>
          <w:szCs w:val="32"/>
        </w:rPr>
      </w:pPr>
      <w:r>
        <w:rPr>
          <w:rFonts w:hint="eastAsia" w:ascii="黑体" w:hAnsi="黑体" w:eastAsia="黑体" w:cs="黑体"/>
          <w:sz w:val="32"/>
          <w:szCs w:val="32"/>
        </w:rPr>
        <w:t>关于收入决算情况说明</w:t>
      </w:r>
    </w:p>
    <w:p>
      <w:pPr>
        <w:adjustRightInd w:val="0"/>
        <w:snapToGrid w:val="0"/>
        <w:spacing w:line="360" w:lineRule="auto"/>
        <w:ind w:firstLine="640" w:firstLineChars="200"/>
        <w:rPr>
          <w:rFonts w:ascii="仿宋_GB2312" w:hAnsi="Times New Roman"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w:t>
      </w:r>
      <w:r>
        <w:rPr>
          <w:rFonts w:hint="eastAsia" w:ascii="仿宋_GB2312" w:hAnsi="Times New Roman" w:eastAsia="仿宋_GB2312" w:cs="仿宋_GB2312"/>
          <w:sz w:val="32"/>
          <w:szCs w:val="32"/>
        </w:rPr>
        <w:t>收入合计</w:t>
      </w:r>
      <w:r>
        <w:rPr>
          <w:rFonts w:hint="eastAsia" w:ascii="仿宋_GB2312" w:hAnsi="宋体" w:eastAsia="仿宋_GB2312" w:cs="仿宋_GB2312"/>
          <w:sz w:val="32"/>
          <w:szCs w:val="32"/>
          <w:lang w:val="en-US" w:eastAsia="zh-CN"/>
        </w:rPr>
        <w:t>1478.9527</w:t>
      </w:r>
      <w:r>
        <w:rPr>
          <w:rFonts w:hint="eastAsia" w:ascii="仿宋_GB2312" w:hAnsi="Times New Roman" w:eastAsia="仿宋_GB2312" w:cs="仿宋_GB2312"/>
          <w:sz w:val="32"/>
          <w:szCs w:val="32"/>
        </w:rPr>
        <w:t>万元，其中：财政拨款收入</w:t>
      </w:r>
      <w:r>
        <w:rPr>
          <w:rFonts w:hint="eastAsia" w:ascii="仿宋_GB2312" w:hAnsi="宋体" w:eastAsia="仿宋_GB2312" w:cs="仿宋_GB2312"/>
          <w:sz w:val="32"/>
          <w:szCs w:val="32"/>
          <w:lang w:val="en-US" w:eastAsia="zh-CN"/>
        </w:rPr>
        <w:t>1478.9527</w:t>
      </w:r>
      <w:r>
        <w:rPr>
          <w:rFonts w:hint="eastAsia" w:ascii="仿宋_GB2312" w:hAnsi="Times New Roman" w:eastAsia="仿宋_GB2312" w:cs="仿宋_GB2312"/>
          <w:sz w:val="32"/>
          <w:szCs w:val="32"/>
        </w:rPr>
        <w:t>万元，占</w:t>
      </w:r>
      <w:r>
        <w:rPr>
          <w:rFonts w:hint="eastAsia" w:ascii="仿宋_GB2312" w:hAnsi="Times New Roman" w:eastAsia="仿宋_GB2312" w:cs="仿宋_GB2312"/>
          <w:sz w:val="32"/>
          <w:szCs w:val="32"/>
          <w:lang w:val="en-US" w:eastAsia="zh-CN"/>
        </w:rPr>
        <w:t>100</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；事业收入</w:t>
      </w:r>
      <w:r>
        <w:rPr>
          <w:rFonts w:hint="eastAsia" w:ascii="仿宋_GB2312" w:hAnsi="Times New Roman" w:eastAsia="仿宋_GB2312" w:cs="仿宋_GB2312"/>
          <w:sz w:val="32"/>
          <w:szCs w:val="32"/>
          <w:lang w:val="en-US" w:eastAsia="zh-CN"/>
        </w:rPr>
        <w:t>0</w:t>
      </w:r>
      <w:r>
        <w:rPr>
          <w:rFonts w:hint="eastAsia" w:ascii="仿宋_GB2312" w:hAnsi="Times New Roman" w:eastAsia="仿宋_GB2312" w:cs="仿宋_GB2312"/>
          <w:sz w:val="32"/>
          <w:szCs w:val="32"/>
        </w:rPr>
        <w:t>万元，占</w:t>
      </w:r>
      <w:r>
        <w:rPr>
          <w:rFonts w:hint="eastAsia" w:ascii="仿宋_GB2312" w:hAnsi="Times New Roman" w:eastAsia="仿宋_GB2312" w:cs="仿宋_GB2312"/>
          <w:sz w:val="32"/>
          <w:szCs w:val="32"/>
          <w:lang w:val="en-US" w:eastAsia="zh-CN"/>
        </w:rPr>
        <w:t>0</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；经营收入</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万元，占</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；其他收入</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万元，占</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cs="Times New Roman"/>
          <w:sz w:val="32"/>
          <w:szCs w:val="32"/>
        </w:rPr>
      </w:pPr>
      <w:r>
        <w:rPr>
          <w:rFonts w:hint="eastAsia" w:ascii="黑体" w:hAnsi="黑体" w:eastAsia="黑体" w:cs="黑体"/>
          <w:sz w:val="32"/>
          <w:szCs w:val="32"/>
        </w:rPr>
        <w:t>关于支出决算情况说明</w:t>
      </w:r>
    </w:p>
    <w:p>
      <w:pPr>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年度支出合计</w:t>
      </w:r>
      <w:r>
        <w:rPr>
          <w:rFonts w:hint="eastAsia" w:ascii="仿宋_GB2312" w:hAnsi="宋体" w:eastAsia="仿宋_GB2312" w:cs="仿宋_GB2312"/>
          <w:sz w:val="32"/>
          <w:szCs w:val="32"/>
          <w:lang w:val="en-US" w:eastAsia="zh-CN"/>
        </w:rPr>
        <w:t>917.3107</w:t>
      </w:r>
      <w:r>
        <w:rPr>
          <w:rFonts w:hint="eastAsia" w:ascii="仿宋_GB2312" w:hAnsi="宋体" w:eastAsia="仿宋_GB2312" w:cs="仿宋_GB2312"/>
          <w:sz w:val="32"/>
          <w:szCs w:val="32"/>
        </w:rPr>
        <w:t>万元，其中：基本支出</w:t>
      </w:r>
      <w:r>
        <w:rPr>
          <w:rFonts w:hint="eastAsia" w:ascii="仿宋_GB2312" w:hAnsi="宋体" w:eastAsia="仿宋_GB2312" w:cs="仿宋_GB2312"/>
          <w:sz w:val="32"/>
          <w:szCs w:val="32"/>
          <w:lang w:val="en-US" w:eastAsia="zh-CN"/>
        </w:rPr>
        <w:t>345.0197</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val="en-US" w:eastAsia="zh-CN"/>
        </w:rPr>
        <w:t>37.62</w:t>
      </w:r>
      <w:r>
        <w:rPr>
          <w:rFonts w:ascii="仿宋_GB2312" w:hAnsi="宋体" w:eastAsia="仿宋_GB2312" w:cs="仿宋_GB2312"/>
          <w:sz w:val="32"/>
          <w:szCs w:val="32"/>
        </w:rPr>
        <w:t>%</w:t>
      </w:r>
      <w:r>
        <w:rPr>
          <w:rFonts w:hint="eastAsia" w:ascii="仿宋_GB2312" w:hAnsi="宋体" w:eastAsia="仿宋_GB2312" w:cs="仿宋_GB2312"/>
          <w:sz w:val="32"/>
          <w:szCs w:val="32"/>
        </w:rPr>
        <w:t>；项目支出</w:t>
      </w:r>
      <w:r>
        <w:rPr>
          <w:rFonts w:hint="eastAsia" w:ascii="仿宋_GB2312" w:hAnsi="宋体" w:eastAsia="仿宋_GB2312" w:cs="仿宋_GB2312"/>
          <w:sz w:val="32"/>
          <w:szCs w:val="32"/>
          <w:lang w:val="en-US" w:eastAsia="zh-CN"/>
        </w:rPr>
        <w:t>572.2910</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val="en-US" w:eastAsia="zh-CN"/>
        </w:rPr>
        <w:t>62.38</w:t>
      </w:r>
      <w:r>
        <w:rPr>
          <w:rFonts w:ascii="仿宋_GB2312" w:hAnsi="宋体" w:eastAsia="仿宋_GB2312" w:cs="仿宋_GB2312"/>
          <w:sz w:val="32"/>
          <w:szCs w:val="32"/>
        </w:rPr>
        <w:t>%</w:t>
      </w:r>
      <w:r>
        <w:rPr>
          <w:rFonts w:hint="eastAsia" w:ascii="仿宋_GB2312" w:hAnsi="宋体" w:eastAsia="仿宋_GB2312" w:cs="仿宋_GB2312"/>
          <w:sz w:val="32"/>
          <w:szCs w:val="32"/>
        </w:rPr>
        <w:t>；经营支出</w:t>
      </w:r>
      <w:r>
        <w:rPr>
          <w:rFonts w:ascii="仿宋_GB2312" w:hAnsi="宋体" w:eastAsia="仿宋_GB2312" w:cs="仿宋_GB2312"/>
          <w:sz w:val="32"/>
          <w:szCs w:val="32"/>
        </w:rPr>
        <w:t>0</w:t>
      </w:r>
      <w:r>
        <w:rPr>
          <w:rFonts w:hint="eastAsia" w:ascii="仿宋_GB2312" w:hAnsi="宋体" w:eastAsia="仿宋_GB2312" w:cs="仿宋_GB2312"/>
          <w:sz w:val="32"/>
          <w:szCs w:val="32"/>
        </w:rPr>
        <w:t>万元，占</w:t>
      </w:r>
      <w:r>
        <w:rPr>
          <w:rFonts w:ascii="仿宋_GB2312" w:hAnsi="宋体" w:eastAsia="仿宋_GB2312" w:cs="仿宋_GB2312"/>
          <w:sz w:val="32"/>
          <w:szCs w:val="32"/>
        </w:rPr>
        <w:t>0%</w:t>
      </w:r>
      <w:r>
        <w:rPr>
          <w:rFonts w:hint="eastAsia" w:ascii="仿宋_GB2312" w:hAnsi="宋体" w:eastAsia="仿宋_GB2312" w:cs="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cs="Times New Roman"/>
          <w:sz w:val="32"/>
          <w:szCs w:val="32"/>
        </w:rPr>
      </w:pPr>
      <w:r>
        <w:rPr>
          <w:rFonts w:hint="eastAsia" w:ascii="黑体" w:hAnsi="黑体" w:eastAsia="黑体" w:cs="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年财政拨款收入总决算</w:t>
      </w:r>
      <w:r>
        <w:rPr>
          <w:rFonts w:hint="eastAsia" w:ascii="仿宋_GB2312" w:hAnsi="宋体" w:eastAsia="仿宋_GB2312" w:cs="仿宋_GB2312"/>
          <w:sz w:val="32"/>
          <w:szCs w:val="32"/>
          <w:lang w:val="en-US" w:eastAsia="zh-CN"/>
        </w:rPr>
        <w:t>1478.9527</w:t>
      </w:r>
      <w:r>
        <w:rPr>
          <w:rFonts w:hint="eastAsia" w:ascii="仿宋_GB2312" w:hAnsi="宋体" w:eastAsia="仿宋_GB2312" w:cs="仿宋_GB2312"/>
          <w:sz w:val="32"/>
          <w:szCs w:val="32"/>
        </w:rPr>
        <w:t>万元。与</w:t>
      </w: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年相比，财政拨款收入</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606.982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69.61</w:t>
      </w:r>
      <w:r>
        <w:rPr>
          <w:rFonts w:ascii="仿宋_GB2312" w:hAnsi="宋体" w:eastAsia="仿宋_GB2312" w:cs="仿宋_GB2312"/>
          <w:sz w:val="32"/>
          <w:szCs w:val="32"/>
        </w:rPr>
        <w:t>%</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211.187</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29.91</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cs="Times New Roman"/>
          <w:sz w:val="32"/>
          <w:szCs w:val="32"/>
        </w:rPr>
      </w:pPr>
      <w:r>
        <w:rPr>
          <w:rFonts w:hint="eastAsia" w:ascii="黑体" w:hAnsi="黑体" w:eastAsia="黑体" w:cs="黑体"/>
          <w:sz w:val="32"/>
          <w:szCs w:val="32"/>
        </w:rPr>
        <w:t>关于一般公共预算财政拨款支出决算情况说明</w:t>
      </w:r>
    </w:p>
    <w:p>
      <w:pPr>
        <w:numPr>
          <w:ilvl w:val="0"/>
          <w:numId w:val="5"/>
        </w:numPr>
        <w:adjustRightInd w:val="0"/>
        <w:snapToGrid w:val="0"/>
        <w:spacing w:line="360" w:lineRule="auto"/>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年一般公共预算财政拨款支出</w:t>
      </w:r>
      <w:r>
        <w:rPr>
          <w:rFonts w:hint="eastAsia" w:ascii="仿宋_GB2312" w:hAnsi="宋体" w:eastAsia="仿宋_GB2312" w:cs="仿宋_GB2312"/>
          <w:sz w:val="32"/>
          <w:szCs w:val="32"/>
          <w:lang w:val="en-US" w:eastAsia="zh-CN"/>
        </w:rPr>
        <w:t>917.3107</w:t>
      </w:r>
      <w:r>
        <w:rPr>
          <w:rFonts w:hint="eastAsia" w:ascii="仿宋_GB2312" w:hAnsi="宋体" w:eastAsia="仿宋_GB2312" w:cs="仿宋_GB2312"/>
          <w:sz w:val="32"/>
          <w:szCs w:val="32"/>
        </w:rPr>
        <w:t>万元，占支出合计的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w:t>
      </w: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年相比，一般公共预算财政拨款支出</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211.187</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29.91</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5"/>
        </w:numPr>
        <w:adjustRightInd w:val="0"/>
        <w:snapToGrid w:val="0"/>
        <w:spacing w:line="360" w:lineRule="auto"/>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年度一般公共预算财政拨款支出</w:t>
      </w:r>
      <w:r>
        <w:rPr>
          <w:rFonts w:hint="eastAsia" w:ascii="仿宋_GB2312" w:hAnsi="宋体" w:eastAsia="仿宋_GB2312" w:cs="仿宋_GB2312"/>
          <w:sz w:val="32"/>
          <w:szCs w:val="32"/>
          <w:lang w:val="en-US" w:eastAsia="zh-CN"/>
        </w:rPr>
        <w:t>917.3107</w:t>
      </w:r>
      <w:r>
        <w:rPr>
          <w:rFonts w:hint="eastAsia" w:ascii="仿宋_GB2312" w:hAnsi="宋体" w:eastAsia="仿宋_GB2312" w:cs="仿宋_GB2312"/>
          <w:sz w:val="32"/>
          <w:szCs w:val="32"/>
        </w:rPr>
        <w:t>万元，主要用于以下方面：</w:t>
      </w:r>
      <w:r>
        <w:rPr>
          <w:rFonts w:hint="eastAsia" w:ascii="仿宋_GB2312" w:hAnsi="宋体" w:eastAsia="仿宋_GB2312" w:cs="仿宋_GB2312"/>
          <w:b/>
          <w:bCs/>
          <w:sz w:val="32"/>
          <w:szCs w:val="32"/>
        </w:rPr>
        <w:t>一般公共服务（类）</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917.3107</w:t>
      </w:r>
      <w:r>
        <w:rPr>
          <w:rFonts w:hint="eastAsia" w:ascii="仿宋_GB2312" w:hAnsi="宋体" w:eastAsia="仿宋_GB2312" w:cs="仿宋_GB2312"/>
          <w:sz w:val="32"/>
          <w:szCs w:val="32"/>
        </w:rPr>
        <w:t>万元，占</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pPr>
        <w:numPr>
          <w:ilvl w:val="0"/>
          <w:numId w:val="5"/>
        </w:numPr>
        <w:adjustRightInd w:val="0"/>
        <w:snapToGrid w:val="0"/>
        <w:spacing w:line="360" w:lineRule="auto"/>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财政拨款支出决算具体情况。</w:t>
      </w:r>
    </w:p>
    <w:p>
      <w:pPr>
        <w:numPr>
          <w:ilvl w:val="0"/>
          <w:numId w:val="0"/>
        </w:numPr>
        <w:adjustRightInd w:val="0"/>
        <w:snapToGrid w:val="0"/>
        <w:spacing w:line="360" w:lineRule="auto"/>
        <w:ind w:firstLine="640" w:firstLineChars="200"/>
        <w:rPr>
          <w:rFonts w:ascii="仿宋_GB2312" w:hAnsi="宋体" w:eastAsia="仿宋_GB2312" w:cs="Times New Roman"/>
          <w:b/>
          <w:bCs/>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年度一般公共预算财政拨款支出年初预算为</w:t>
      </w:r>
      <w:r>
        <w:rPr>
          <w:rFonts w:hint="eastAsia" w:ascii="仿宋_GB2312" w:hAnsi="宋体" w:eastAsia="仿宋_GB2312" w:cs="仿宋_GB2312"/>
          <w:sz w:val="32"/>
          <w:szCs w:val="32"/>
          <w:lang w:val="en-US" w:eastAsia="zh-CN"/>
        </w:rPr>
        <w:t>2913.24</w:t>
      </w:r>
      <w:r>
        <w:rPr>
          <w:rFonts w:hint="eastAsia" w:ascii="仿宋_GB2312" w:hAnsi="宋体" w:eastAsia="仿宋_GB2312" w:cs="仿宋_GB2312"/>
          <w:sz w:val="32"/>
          <w:szCs w:val="32"/>
        </w:rPr>
        <w:t>万元，支出决算为</w:t>
      </w:r>
      <w:r>
        <w:rPr>
          <w:rFonts w:hint="eastAsia" w:ascii="仿宋_GB2312" w:hAnsi="宋体" w:eastAsia="仿宋_GB2312" w:cs="仿宋_GB2312"/>
          <w:sz w:val="32"/>
          <w:szCs w:val="32"/>
          <w:lang w:val="en-US" w:eastAsia="zh-CN"/>
        </w:rPr>
        <w:t>917.3107</w:t>
      </w:r>
      <w:r>
        <w:rPr>
          <w:rFonts w:hint="eastAsia" w:ascii="仿宋_GB2312" w:hAnsi="宋体" w:eastAsia="仿宋_GB2312" w:cs="仿宋_GB2312"/>
          <w:sz w:val="32"/>
          <w:szCs w:val="32"/>
        </w:rPr>
        <w:t>万元，完成年初预算的</w:t>
      </w:r>
      <w:r>
        <w:rPr>
          <w:rFonts w:hint="eastAsia" w:ascii="仿宋_GB2312" w:hAnsi="宋体" w:eastAsia="仿宋_GB2312" w:cs="仿宋_GB2312"/>
          <w:sz w:val="32"/>
          <w:szCs w:val="32"/>
          <w:lang w:val="en-US" w:eastAsia="zh-CN"/>
        </w:rPr>
        <w:t>31.49</w:t>
      </w:r>
      <w:r>
        <w:rPr>
          <w:rFonts w:ascii="仿宋_GB2312" w:hAnsi="宋体" w:eastAsia="仿宋_GB2312" w:cs="仿宋_GB2312"/>
          <w:sz w:val="32"/>
          <w:szCs w:val="32"/>
        </w:rPr>
        <w:t>%</w:t>
      </w:r>
      <w:r>
        <w:rPr>
          <w:rFonts w:hint="eastAsia" w:ascii="仿宋_GB2312" w:hAnsi="宋体" w:eastAsia="仿宋_GB2312" w:cs="仿宋_GB2312"/>
          <w:sz w:val="32"/>
          <w:szCs w:val="32"/>
        </w:rPr>
        <w:t>。决算数</w:t>
      </w:r>
      <w:r>
        <w:rPr>
          <w:rFonts w:hint="eastAsia" w:ascii="仿宋_GB2312" w:hAnsi="宋体" w:eastAsia="仿宋_GB2312" w:cs="仿宋_GB2312"/>
          <w:sz w:val="32"/>
          <w:szCs w:val="32"/>
          <w:lang w:eastAsia="zh-CN"/>
        </w:rPr>
        <w:t>小</w:t>
      </w:r>
      <w:r>
        <w:rPr>
          <w:rFonts w:hint="eastAsia" w:ascii="仿宋_GB2312" w:hAnsi="宋体" w:eastAsia="仿宋_GB2312" w:cs="仿宋_GB2312"/>
          <w:sz w:val="32"/>
          <w:szCs w:val="32"/>
        </w:rPr>
        <w:t>于预算数的主要原因：林业项目费用</w:t>
      </w:r>
      <w:r>
        <w:rPr>
          <w:rFonts w:hint="eastAsia" w:ascii="仿宋_GB2312" w:hAnsi="宋体" w:eastAsia="仿宋_GB2312" w:cs="仿宋_GB2312"/>
          <w:sz w:val="32"/>
          <w:szCs w:val="32"/>
          <w:lang w:eastAsia="zh-CN"/>
        </w:rPr>
        <w:t>年初安排较大</w:t>
      </w:r>
      <w:r>
        <w:rPr>
          <w:rFonts w:hint="eastAsia" w:ascii="仿宋_GB2312" w:hAnsi="宋体" w:eastAsia="仿宋_GB2312" w:cs="仿宋_GB2312"/>
          <w:sz w:val="32"/>
          <w:szCs w:val="32"/>
          <w:lang w:val="en-US" w:eastAsia="zh-CN"/>
        </w:rPr>
        <w:t>,部分林业项目未具体实施。</w:t>
      </w:r>
    </w:p>
    <w:p>
      <w:pPr>
        <w:numPr>
          <w:ilvl w:val="0"/>
          <w:numId w:val="6"/>
        </w:numPr>
        <w:adjustRightInd w:val="0"/>
        <w:snapToGrid w:val="0"/>
        <w:spacing w:line="360" w:lineRule="auto"/>
        <w:ind w:firstLine="643" w:firstLineChars="200"/>
        <w:rPr>
          <w:rFonts w:ascii="仿宋_GB2312" w:hAnsi="宋体" w:eastAsia="仿宋_GB2312" w:cs="Times New Roman"/>
          <w:b/>
          <w:bCs/>
          <w:sz w:val="32"/>
          <w:szCs w:val="32"/>
        </w:rPr>
      </w:pPr>
      <w:r>
        <w:rPr>
          <w:rFonts w:hint="eastAsia" w:ascii="仿宋_GB2312" w:hAnsi="宋体" w:eastAsia="仿宋_GB2312" w:cs="仿宋_GB2312"/>
          <w:b/>
          <w:bCs/>
          <w:sz w:val="32"/>
          <w:szCs w:val="32"/>
        </w:rPr>
        <w:t>一般公共服务（类）财政事务（款）行政运行（项）。</w:t>
      </w:r>
      <w:r>
        <w:rPr>
          <w:rFonts w:hint="eastAsia" w:ascii="仿宋_GB2312" w:hAnsi="宋体" w:eastAsia="仿宋_GB2312" w:cs="仿宋_GB2312"/>
          <w:sz w:val="32"/>
          <w:szCs w:val="32"/>
        </w:rPr>
        <w:t>年初预算为</w:t>
      </w:r>
      <w:r>
        <w:rPr>
          <w:rFonts w:hint="eastAsia" w:ascii="仿宋_GB2312" w:hAnsi="宋体" w:eastAsia="仿宋_GB2312" w:cs="仿宋_GB2312"/>
          <w:sz w:val="32"/>
          <w:szCs w:val="32"/>
          <w:lang w:val="en-US" w:eastAsia="zh-CN"/>
        </w:rPr>
        <w:t>357.74</w:t>
      </w:r>
      <w:r>
        <w:rPr>
          <w:rFonts w:hint="eastAsia" w:ascii="仿宋_GB2312" w:hAnsi="宋体" w:eastAsia="仿宋_GB2312" w:cs="仿宋_GB2312"/>
          <w:sz w:val="32"/>
          <w:szCs w:val="32"/>
        </w:rPr>
        <w:t>万元，支出决算为</w:t>
      </w:r>
      <w:r>
        <w:rPr>
          <w:rFonts w:hint="eastAsia" w:ascii="仿宋_GB2312" w:hAnsi="宋体" w:eastAsia="仿宋_GB2312" w:cs="仿宋_GB2312"/>
          <w:sz w:val="32"/>
          <w:szCs w:val="32"/>
          <w:lang w:val="en-US" w:eastAsia="zh-CN"/>
        </w:rPr>
        <w:t>345.0197</w:t>
      </w:r>
      <w:r>
        <w:rPr>
          <w:rFonts w:hint="eastAsia" w:ascii="仿宋_GB2312" w:hAnsi="宋体" w:eastAsia="仿宋_GB2312" w:cs="仿宋_GB2312"/>
          <w:sz w:val="32"/>
          <w:szCs w:val="32"/>
        </w:rPr>
        <w:t>万元，完成年初预算的</w:t>
      </w:r>
      <w:r>
        <w:rPr>
          <w:rFonts w:hint="eastAsia" w:ascii="仿宋_GB2312" w:hAnsi="宋体" w:eastAsia="仿宋_GB2312" w:cs="仿宋_GB2312"/>
          <w:sz w:val="32"/>
          <w:szCs w:val="32"/>
          <w:lang w:val="en-US" w:eastAsia="zh-CN"/>
        </w:rPr>
        <w:t>96.44</w:t>
      </w:r>
      <w:r>
        <w:rPr>
          <w:rFonts w:ascii="仿宋_GB2312" w:hAnsi="宋体" w:eastAsia="仿宋_GB2312" w:cs="仿宋_GB2312"/>
          <w:sz w:val="32"/>
          <w:szCs w:val="32"/>
        </w:rPr>
        <w:t>%</w:t>
      </w:r>
      <w:r>
        <w:rPr>
          <w:rFonts w:hint="eastAsia" w:ascii="仿宋_GB2312" w:hAnsi="宋体" w:eastAsia="仿宋_GB2312" w:cs="仿宋_GB2312"/>
          <w:sz w:val="32"/>
          <w:szCs w:val="32"/>
        </w:rPr>
        <w:t>。决算数</w:t>
      </w:r>
      <w:r>
        <w:rPr>
          <w:rFonts w:hint="eastAsia" w:ascii="仿宋_GB2312" w:hAnsi="宋体" w:eastAsia="仿宋_GB2312" w:cs="仿宋_GB2312"/>
          <w:sz w:val="32"/>
          <w:szCs w:val="32"/>
          <w:lang w:eastAsia="zh-CN"/>
        </w:rPr>
        <w:t>小</w:t>
      </w:r>
      <w:r>
        <w:rPr>
          <w:rFonts w:hint="eastAsia" w:ascii="仿宋_GB2312" w:hAnsi="宋体" w:eastAsia="仿宋_GB2312" w:cs="仿宋_GB2312"/>
          <w:sz w:val="32"/>
          <w:szCs w:val="32"/>
        </w:rPr>
        <w:t>于预算数的主要原因是：人员</w:t>
      </w:r>
      <w:r>
        <w:rPr>
          <w:rFonts w:hint="eastAsia" w:ascii="仿宋_GB2312" w:hAnsi="宋体" w:eastAsia="仿宋_GB2312" w:cs="仿宋_GB2312"/>
          <w:sz w:val="32"/>
          <w:szCs w:val="32"/>
          <w:lang w:eastAsia="zh-CN"/>
        </w:rPr>
        <w:t>减少造成费用减小</w:t>
      </w:r>
      <w:r>
        <w:rPr>
          <w:rFonts w:hint="eastAsia" w:ascii="仿宋_GB2312" w:hAnsi="宋体" w:eastAsia="仿宋_GB2312" w:cs="仿宋_GB2312"/>
          <w:sz w:val="32"/>
          <w:szCs w:val="32"/>
        </w:rPr>
        <w:t>。</w:t>
      </w:r>
    </w:p>
    <w:p>
      <w:pPr>
        <w:numPr>
          <w:ilvl w:val="0"/>
          <w:numId w:val="6"/>
        </w:numPr>
        <w:adjustRightInd w:val="0"/>
        <w:snapToGrid w:val="0"/>
        <w:spacing w:line="360" w:lineRule="auto"/>
        <w:ind w:firstLine="643" w:firstLineChars="200"/>
        <w:rPr>
          <w:rFonts w:ascii="仿宋_GB2312" w:hAnsi="宋体" w:eastAsia="仿宋_GB2312" w:cs="Times New Roman"/>
          <w:b/>
          <w:bCs/>
          <w:sz w:val="32"/>
          <w:szCs w:val="32"/>
        </w:rPr>
      </w:pPr>
      <w:r>
        <w:rPr>
          <w:rFonts w:hint="eastAsia" w:ascii="仿宋_GB2312" w:hAnsi="宋体" w:eastAsia="仿宋_GB2312" w:cs="仿宋_GB2312"/>
          <w:b/>
          <w:bCs/>
          <w:sz w:val="32"/>
          <w:szCs w:val="32"/>
        </w:rPr>
        <w:t>一般公共服务（类）财政事务（款）一般行政管理事务（项）。</w:t>
      </w:r>
      <w:r>
        <w:rPr>
          <w:rFonts w:hint="eastAsia" w:ascii="仿宋_GB2312" w:hAnsi="宋体" w:eastAsia="仿宋_GB2312" w:cs="仿宋_GB2312"/>
          <w:sz w:val="32"/>
          <w:szCs w:val="32"/>
        </w:rPr>
        <w:t>年初预算为</w:t>
      </w:r>
      <w:r>
        <w:rPr>
          <w:rFonts w:hint="eastAsia" w:ascii="仿宋_GB2312" w:hAnsi="宋体" w:eastAsia="仿宋_GB2312" w:cs="仿宋_GB2312"/>
          <w:sz w:val="32"/>
          <w:szCs w:val="32"/>
          <w:lang w:val="en-US" w:eastAsia="zh-CN"/>
        </w:rPr>
        <w:t>222.74</w:t>
      </w:r>
      <w:r>
        <w:rPr>
          <w:rFonts w:hint="eastAsia" w:ascii="仿宋_GB2312" w:hAnsi="宋体" w:eastAsia="仿宋_GB2312" w:cs="仿宋_GB2312"/>
          <w:sz w:val="32"/>
          <w:szCs w:val="32"/>
        </w:rPr>
        <w:t>万元，支出决算为</w:t>
      </w:r>
      <w:r>
        <w:rPr>
          <w:rFonts w:hint="eastAsia" w:ascii="仿宋_GB2312" w:hAnsi="宋体" w:eastAsia="仿宋_GB2312" w:cs="仿宋_GB2312"/>
          <w:sz w:val="32"/>
          <w:szCs w:val="32"/>
          <w:lang w:val="en-US" w:eastAsia="zh-CN"/>
        </w:rPr>
        <w:t>169.4590</w:t>
      </w:r>
      <w:r>
        <w:rPr>
          <w:rFonts w:hint="eastAsia" w:ascii="仿宋_GB2312" w:hAnsi="宋体" w:eastAsia="仿宋_GB2312" w:cs="仿宋_GB2312"/>
          <w:sz w:val="32"/>
          <w:szCs w:val="32"/>
        </w:rPr>
        <w:t>万元，完成年初预算的</w:t>
      </w:r>
      <w:r>
        <w:rPr>
          <w:rFonts w:hint="eastAsia" w:ascii="仿宋_GB2312" w:hAnsi="宋体" w:eastAsia="仿宋_GB2312" w:cs="仿宋_GB2312"/>
          <w:sz w:val="32"/>
          <w:szCs w:val="32"/>
          <w:lang w:val="en-US" w:eastAsia="zh-CN"/>
        </w:rPr>
        <w:t>76.08</w:t>
      </w:r>
      <w:r>
        <w:rPr>
          <w:rFonts w:ascii="仿宋_GB2312" w:hAnsi="宋体" w:eastAsia="仿宋_GB2312" w:cs="仿宋_GB2312"/>
          <w:sz w:val="32"/>
          <w:szCs w:val="32"/>
        </w:rPr>
        <w:t>%</w:t>
      </w:r>
      <w:r>
        <w:rPr>
          <w:rFonts w:hint="eastAsia" w:ascii="仿宋_GB2312" w:hAnsi="宋体" w:eastAsia="仿宋_GB2312" w:cs="仿宋_GB2312"/>
          <w:sz w:val="32"/>
          <w:szCs w:val="32"/>
        </w:rPr>
        <w:t>。决算数</w:t>
      </w:r>
      <w:r>
        <w:rPr>
          <w:rFonts w:hint="eastAsia" w:ascii="仿宋_GB2312" w:hAnsi="宋体" w:eastAsia="仿宋_GB2312" w:cs="仿宋_GB2312"/>
          <w:sz w:val="32"/>
          <w:szCs w:val="32"/>
          <w:lang w:eastAsia="zh-CN"/>
        </w:rPr>
        <w:t>小</w:t>
      </w:r>
      <w:r>
        <w:rPr>
          <w:rFonts w:hint="eastAsia" w:ascii="仿宋_GB2312" w:hAnsi="宋体" w:eastAsia="仿宋_GB2312" w:cs="仿宋_GB2312"/>
          <w:sz w:val="32"/>
          <w:szCs w:val="32"/>
        </w:rPr>
        <w:t>于预算数的主要原因是：</w:t>
      </w:r>
      <w:r>
        <w:rPr>
          <w:rFonts w:hint="eastAsia" w:ascii="仿宋_GB2312" w:hAnsi="宋体" w:eastAsia="仿宋_GB2312" w:cs="仿宋_GB2312"/>
          <w:sz w:val="32"/>
          <w:szCs w:val="32"/>
          <w:lang w:eastAsia="zh-CN"/>
        </w:rPr>
        <w:t>一般行政事物开支压缩，费用减少</w:t>
      </w:r>
      <w:r>
        <w:rPr>
          <w:rFonts w:hint="eastAsia" w:ascii="仿宋_GB2312" w:hAnsi="宋体" w:eastAsia="仿宋_GB2312" w:cs="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cs="Times New Roman"/>
          <w:sz w:val="32"/>
          <w:szCs w:val="32"/>
        </w:rPr>
      </w:pPr>
      <w:r>
        <w:rPr>
          <w:rFonts w:hint="eastAsia" w:ascii="黑体" w:hAnsi="黑体" w:eastAsia="黑体" w:cs="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年一般公共预算财政拨款基本支出</w:t>
      </w:r>
      <w:r>
        <w:rPr>
          <w:rFonts w:hint="eastAsia" w:ascii="仿宋_GB2312" w:hAnsi="宋体" w:eastAsia="仿宋_GB2312" w:cs="仿宋_GB2312"/>
          <w:sz w:val="32"/>
          <w:szCs w:val="32"/>
          <w:lang w:val="en-US" w:eastAsia="zh-CN"/>
        </w:rPr>
        <w:t>345.0197</w:t>
      </w:r>
      <w:r>
        <w:rPr>
          <w:rFonts w:hint="eastAsia" w:ascii="仿宋_GB2312" w:hAnsi="宋体" w:eastAsia="仿宋_GB2312" w:cs="仿宋_GB2312"/>
          <w:sz w:val="32"/>
          <w:szCs w:val="32"/>
        </w:rPr>
        <w:t>万元，其中：</w:t>
      </w:r>
      <w:r>
        <w:rPr>
          <w:rFonts w:hint="eastAsia" w:ascii="仿宋_GB2312" w:hAnsi="Times New Roman" w:eastAsia="仿宋_GB2312" w:cs="仿宋_GB2312"/>
          <w:spacing w:val="-1"/>
          <w:kern w:val="0"/>
          <w:sz w:val="32"/>
          <w:szCs w:val="32"/>
        </w:rPr>
        <w:t>人员经费</w:t>
      </w:r>
      <w:r>
        <w:rPr>
          <w:rFonts w:hint="eastAsia" w:ascii="仿宋_GB2312" w:hAnsi="Times New Roman" w:eastAsia="仿宋_GB2312" w:cs="仿宋_GB2312"/>
          <w:spacing w:val="-1"/>
          <w:kern w:val="0"/>
          <w:sz w:val="32"/>
          <w:szCs w:val="32"/>
          <w:lang w:val="en-US" w:eastAsia="zh-CN"/>
        </w:rPr>
        <w:t>175.8629</w:t>
      </w:r>
      <w:r>
        <w:rPr>
          <w:rFonts w:hint="eastAsia" w:ascii="仿宋_GB2312" w:hAnsi="Times New Roman" w:eastAsia="仿宋_GB2312" w:cs="仿宋_GB2312"/>
          <w:spacing w:val="-1"/>
          <w:kern w:val="0"/>
          <w:sz w:val="32"/>
          <w:szCs w:val="32"/>
        </w:rPr>
        <w:t>万元</w:t>
      </w:r>
      <w:r>
        <w:rPr>
          <w:rFonts w:hint="eastAsia" w:ascii="仿宋_GB2312" w:hAnsi="宋体" w:eastAsia="仿宋_GB2312" w:cs="仿宋_GB2312"/>
          <w:sz w:val="32"/>
          <w:szCs w:val="32"/>
        </w:rPr>
        <w:t>，主要包括：基本工资</w:t>
      </w:r>
      <w:r>
        <w:rPr>
          <w:rFonts w:hint="eastAsia" w:ascii="仿宋_GB2312" w:hAnsi="宋体" w:eastAsia="仿宋_GB2312" w:cs="仿宋_GB2312"/>
          <w:sz w:val="32"/>
          <w:szCs w:val="32"/>
          <w:lang w:val="en-US" w:eastAsia="zh-CN"/>
        </w:rPr>
        <w:t>75.8953</w:t>
      </w:r>
      <w:r>
        <w:rPr>
          <w:rFonts w:hint="eastAsia" w:ascii="仿宋_GB2312" w:hAnsi="宋体" w:eastAsia="仿宋_GB2312" w:cs="仿宋_GB2312"/>
          <w:sz w:val="32"/>
          <w:szCs w:val="32"/>
        </w:rPr>
        <w:t>万元、津贴补贴</w:t>
      </w:r>
      <w:r>
        <w:rPr>
          <w:rFonts w:hint="eastAsia" w:ascii="仿宋_GB2312" w:hAnsi="宋体" w:eastAsia="仿宋_GB2312" w:cs="仿宋_GB2312"/>
          <w:sz w:val="32"/>
          <w:szCs w:val="32"/>
          <w:lang w:val="en-US" w:eastAsia="zh-CN"/>
        </w:rPr>
        <w:t>66.1883</w:t>
      </w:r>
      <w:r>
        <w:rPr>
          <w:rFonts w:hint="eastAsia" w:ascii="仿宋_GB2312" w:hAnsi="宋体" w:eastAsia="仿宋_GB2312" w:cs="仿宋_GB2312"/>
          <w:sz w:val="32"/>
          <w:szCs w:val="32"/>
        </w:rPr>
        <w:t>万元、奖金</w:t>
      </w:r>
      <w:r>
        <w:rPr>
          <w:rFonts w:hint="eastAsia" w:ascii="仿宋_GB2312" w:hAnsi="宋体" w:eastAsia="仿宋_GB2312" w:cs="仿宋_GB2312"/>
          <w:sz w:val="32"/>
          <w:szCs w:val="32"/>
          <w:lang w:val="en-US" w:eastAsia="zh-CN"/>
        </w:rPr>
        <w:t>13.6255</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其他社会保障费</w:t>
      </w:r>
      <w:r>
        <w:rPr>
          <w:rFonts w:hint="eastAsia" w:ascii="仿宋_GB2312" w:hAnsi="宋体" w:eastAsia="仿宋_GB2312" w:cs="仿宋_GB2312"/>
          <w:sz w:val="32"/>
          <w:szCs w:val="32"/>
          <w:lang w:val="en-US" w:eastAsia="zh-CN"/>
        </w:rPr>
        <w:t>20.1538万元、</w:t>
      </w:r>
      <w:r>
        <w:rPr>
          <w:rFonts w:hint="eastAsia" w:ascii="仿宋_GB2312" w:hAnsi="宋体" w:eastAsia="仿宋_GB2312" w:cs="仿宋_GB2312"/>
          <w:sz w:val="32"/>
          <w:szCs w:val="32"/>
        </w:rPr>
        <w:t>离退休工资</w:t>
      </w:r>
      <w:r>
        <w:rPr>
          <w:rFonts w:hint="eastAsia" w:ascii="仿宋_GB2312" w:hAnsi="宋体" w:eastAsia="仿宋_GB2312" w:cs="仿宋_GB2312"/>
          <w:sz w:val="32"/>
          <w:szCs w:val="32"/>
          <w:lang w:val="en-US" w:eastAsia="zh-CN"/>
        </w:rPr>
        <w:t>79.5516</w:t>
      </w:r>
      <w:r>
        <w:rPr>
          <w:rFonts w:hint="eastAsia" w:ascii="仿宋_GB2312" w:hAnsi="宋体" w:eastAsia="仿宋_GB2312" w:cs="仿宋_GB2312"/>
          <w:sz w:val="32"/>
          <w:szCs w:val="32"/>
        </w:rPr>
        <w:t>万元；</w:t>
      </w:r>
      <w:r>
        <w:rPr>
          <w:rFonts w:hint="eastAsia" w:ascii="仿宋_GB2312" w:hAnsi="Times New Roman" w:eastAsia="仿宋_GB2312" w:cs="仿宋_GB2312"/>
          <w:b/>
          <w:bCs/>
          <w:spacing w:val="-1"/>
          <w:kern w:val="0"/>
          <w:sz w:val="32"/>
          <w:szCs w:val="32"/>
        </w:rPr>
        <w:t>公用经费</w:t>
      </w:r>
      <w:r>
        <w:rPr>
          <w:rFonts w:hint="eastAsia" w:ascii="仿宋_GB2312" w:hAnsi="Times New Roman" w:eastAsia="仿宋_GB2312" w:cs="仿宋_GB2312"/>
          <w:spacing w:val="-2"/>
          <w:kern w:val="0"/>
          <w:sz w:val="32"/>
          <w:szCs w:val="32"/>
          <w:lang w:val="en-US" w:eastAsia="zh-CN"/>
        </w:rPr>
        <w:t>89.6051</w:t>
      </w:r>
      <w:r>
        <w:rPr>
          <w:rFonts w:hint="eastAsia" w:ascii="仿宋_GB2312" w:hAnsi="Times New Roman" w:eastAsia="仿宋_GB2312" w:cs="仿宋_GB2312"/>
          <w:spacing w:val="-2"/>
          <w:kern w:val="0"/>
          <w:sz w:val="32"/>
          <w:szCs w:val="32"/>
        </w:rPr>
        <w:t>万元</w:t>
      </w:r>
      <w:r>
        <w:rPr>
          <w:rFonts w:hint="eastAsia" w:ascii="仿宋_GB2312" w:hAnsi="宋体" w:eastAsia="仿宋_GB2312" w:cs="仿宋_GB2312"/>
          <w:sz w:val="32"/>
          <w:szCs w:val="32"/>
        </w:rPr>
        <w:t>，主要包括：办公费</w:t>
      </w:r>
      <w:r>
        <w:rPr>
          <w:rFonts w:hint="eastAsia" w:ascii="仿宋_GB2312" w:hAnsi="宋体" w:eastAsia="仿宋_GB2312" w:cs="仿宋_GB2312"/>
          <w:sz w:val="32"/>
          <w:szCs w:val="32"/>
          <w:lang w:val="en-US" w:eastAsia="zh-CN"/>
        </w:rPr>
        <w:t>17.6938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水费</w:t>
      </w:r>
      <w:r>
        <w:rPr>
          <w:rFonts w:hint="eastAsia" w:ascii="仿宋_GB2312" w:hAnsi="宋体" w:eastAsia="仿宋_GB2312" w:cs="仿宋_GB2312"/>
          <w:sz w:val="32"/>
          <w:szCs w:val="32"/>
          <w:lang w:val="en-US" w:eastAsia="zh-CN"/>
        </w:rPr>
        <w:t>0.035万元、电费0.1038万元、</w:t>
      </w:r>
      <w:r>
        <w:rPr>
          <w:rFonts w:hint="eastAsia" w:ascii="仿宋_GB2312" w:hAnsi="宋体" w:eastAsia="仿宋_GB2312" w:cs="仿宋_GB2312"/>
          <w:sz w:val="32"/>
          <w:szCs w:val="32"/>
        </w:rPr>
        <w:t>邮电费</w:t>
      </w:r>
      <w:r>
        <w:rPr>
          <w:rFonts w:ascii="仿宋_GB2312" w:hAnsi="宋体" w:eastAsia="仿宋_GB2312" w:cs="仿宋_GB2312"/>
          <w:sz w:val="32"/>
          <w:szCs w:val="32"/>
        </w:rPr>
        <w:t>0.</w:t>
      </w:r>
      <w:r>
        <w:rPr>
          <w:rFonts w:hint="eastAsia" w:ascii="仿宋_GB2312" w:hAnsi="宋体" w:eastAsia="仿宋_GB2312" w:cs="仿宋_GB2312"/>
          <w:sz w:val="32"/>
          <w:szCs w:val="32"/>
          <w:lang w:val="en-US" w:eastAsia="zh-CN"/>
        </w:rPr>
        <w:t>608</w:t>
      </w:r>
      <w:r>
        <w:rPr>
          <w:rFonts w:hint="eastAsia" w:ascii="仿宋_GB2312" w:hAnsi="宋体" w:eastAsia="仿宋_GB2312" w:cs="仿宋_GB2312"/>
          <w:sz w:val="32"/>
          <w:szCs w:val="32"/>
        </w:rPr>
        <w:t>万元、差旅费</w:t>
      </w:r>
      <w:r>
        <w:rPr>
          <w:rFonts w:hint="eastAsia" w:ascii="仿宋_GB2312" w:hAnsi="宋体" w:eastAsia="仿宋_GB2312" w:cs="仿宋_GB2312"/>
          <w:sz w:val="32"/>
          <w:szCs w:val="32"/>
          <w:lang w:val="en-US" w:eastAsia="zh-CN"/>
        </w:rPr>
        <w:t>10.047</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出国费</w:t>
      </w:r>
      <w:r>
        <w:rPr>
          <w:rFonts w:hint="eastAsia" w:ascii="仿宋_GB2312" w:hAnsi="宋体" w:eastAsia="仿宋_GB2312" w:cs="仿宋_GB2312"/>
          <w:sz w:val="32"/>
          <w:szCs w:val="32"/>
          <w:lang w:val="en-US" w:eastAsia="zh-CN"/>
        </w:rPr>
        <w:t>5.406万元、招待</w:t>
      </w:r>
      <w:r>
        <w:rPr>
          <w:rFonts w:hint="eastAsia" w:ascii="仿宋_GB2312" w:hAnsi="宋体" w:eastAsia="仿宋_GB2312" w:cs="仿宋_GB2312"/>
          <w:sz w:val="32"/>
          <w:szCs w:val="32"/>
        </w:rPr>
        <w:t>费</w:t>
      </w:r>
      <w:r>
        <w:rPr>
          <w:rFonts w:hint="eastAsia" w:ascii="仿宋_GB2312" w:hAnsi="宋体" w:eastAsia="仿宋_GB2312" w:cs="仿宋_GB2312"/>
          <w:sz w:val="32"/>
          <w:szCs w:val="32"/>
          <w:lang w:val="en-US" w:eastAsia="zh-CN"/>
        </w:rPr>
        <w:t>13.1374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被装购置</w:t>
      </w:r>
      <w:r>
        <w:rPr>
          <w:rFonts w:hint="eastAsia" w:ascii="仿宋_GB2312" w:hAnsi="宋体" w:eastAsia="仿宋_GB2312" w:cs="仿宋_GB2312"/>
          <w:sz w:val="32"/>
          <w:szCs w:val="32"/>
        </w:rPr>
        <w:t>费</w:t>
      </w:r>
      <w:r>
        <w:rPr>
          <w:rFonts w:hint="eastAsia" w:ascii="仿宋_GB2312" w:hAnsi="宋体" w:eastAsia="仿宋_GB2312" w:cs="仿宋_GB2312"/>
          <w:sz w:val="32"/>
          <w:szCs w:val="32"/>
          <w:lang w:val="en-US" w:eastAsia="zh-CN"/>
        </w:rPr>
        <w:t>8.94</w:t>
      </w:r>
      <w:r>
        <w:rPr>
          <w:rFonts w:hint="eastAsia" w:ascii="仿宋_GB2312" w:hAnsi="宋体" w:eastAsia="仿宋_GB2312" w:cs="仿宋_GB2312"/>
          <w:sz w:val="32"/>
          <w:szCs w:val="32"/>
        </w:rPr>
        <w:t>万元、劳务费</w:t>
      </w:r>
      <w:r>
        <w:rPr>
          <w:rFonts w:hint="eastAsia" w:ascii="仿宋_GB2312" w:hAnsi="宋体" w:eastAsia="仿宋_GB2312" w:cs="仿宋_GB2312"/>
          <w:sz w:val="32"/>
          <w:szCs w:val="32"/>
          <w:lang w:val="en-US" w:eastAsia="zh-CN"/>
        </w:rPr>
        <w:t>1.2607</w:t>
      </w:r>
      <w:r>
        <w:rPr>
          <w:rFonts w:hint="eastAsia" w:ascii="仿宋_GB2312" w:hAnsi="宋体" w:eastAsia="仿宋_GB2312" w:cs="仿宋_GB2312"/>
          <w:sz w:val="32"/>
          <w:szCs w:val="32"/>
        </w:rPr>
        <w:t>万元、公车维护费</w:t>
      </w:r>
      <w:r>
        <w:rPr>
          <w:rFonts w:hint="eastAsia" w:ascii="仿宋_GB2312" w:hAnsi="宋体" w:eastAsia="仿宋_GB2312" w:cs="仿宋_GB2312"/>
          <w:sz w:val="32"/>
          <w:szCs w:val="32"/>
          <w:lang w:val="en-US" w:eastAsia="zh-CN"/>
        </w:rPr>
        <w:t>9.6928</w:t>
      </w:r>
      <w:r>
        <w:rPr>
          <w:rFonts w:hint="eastAsia" w:ascii="仿宋_GB2312" w:hAnsi="宋体" w:eastAsia="仿宋_GB2312" w:cs="仿宋_GB2312"/>
          <w:sz w:val="32"/>
          <w:szCs w:val="32"/>
        </w:rPr>
        <w:t>万元、其他商品</w:t>
      </w:r>
      <w:r>
        <w:rPr>
          <w:rFonts w:hint="eastAsia" w:ascii="仿宋_GB2312" w:hAnsi="宋体" w:eastAsia="仿宋_GB2312" w:cs="仿宋_GB2312"/>
          <w:sz w:val="32"/>
          <w:szCs w:val="32"/>
          <w:lang w:eastAsia="zh-CN"/>
        </w:rPr>
        <w:t>服务</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22.6805</w:t>
      </w:r>
      <w:r>
        <w:rPr>
          <w:rFonts w:hint="eastAsia" w:ascii="仿宋_GB2312" w:hAnsi="宋体" w:eastAsia="仿宋_GB2312" w:cs="仿宋_GB2312"/>
          <w:sz w:val="32"/>
          <w:szCs w:val="32"/>
        </w:rPr>
        <w:t>万元。</w:t>
      </w:r>
    </w:p>
    <w:p>
      <w:pPr>
        <w:numPr>
          <w:ilvl w:val="0"/>
          <w:numId w:val="4"/>
        </w:numPr>
        <w:adjustRightInd w:val="0"/>
        <w:snapToGrid w:val="0"/>
        <w:spacing w:line="360" w:lineRule="auto"/>
        <w:ind w:firstLine="640" w:firstLineChars="200"/>
        <w:outlineLvl w:val="1"/>
        <w:rPr>
          <w:rFonts w:ascii="黑体" w:hAnsi="黑体" w:eastAsia="黑体" w:cs="Times New Roman"/>
          <w:sz w:val="32"/>
          <w:szCs w:val="32"/>
        </w:rPr>
      </w:pPr>
      <w:r>
        <w:rPr>
          <w:rFonts w:hint="eastAsia" w:ascii="黑体" w:hAnsi="黑体" w:eastAsia="黑体" w:cs="黑体"/>
          <w:sz w:val="32"/>
          <w:szCs w:val="32"/>
        </w:rPr>
        <w:t>关于一般公共预算财政拨款“三公”经费支出决算情况说明</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年度“三公”经费财政拨款支出预算为</w:t>
      </w:r>
      <w:r>
        <w:rPr>
          <w:rFonts w:hint="eastAsia" w:ascii="仿宋_GB2312" w:hAnsi="宋体" w:eastAsia="仿宋_GB2312" w:cs="仿宋_GB2312"/>
          <w:sz w:val="32"/>
          <w:szCs w:val="32"/>
          <w:lang w:val="en-US" w:eastAsia="zh-CN"/>
        </w:rPr>
        <w:t>30.5</w:t>
      </w:r>
      <w:r>
        <w:rPr>
          <w:rFonts w:hint="eastAsia" w:ascii="仿宋_GB2312" w:hAnsi="宋体" w:eastAsia="仿宋_GB2312" w:cs="仿宋_GB2312"/>
          <w:sz w:val="32"/>
          <w:szCs w:val="32"/>
        </w:rPr>
        <w:t>万元，支出决算为</w:t>
      </w:r>
      <w:r>
        <w:rPr>
          <w:rFonts w:hint="eastAsia" w:ascii="仿宋_GB2312" w:hAnsi="宋体" w:eastAsia="仿宋_GB2312" w:cs="仿宋_GB2312"/>
          <w:sz w:val="32"/>
          <w:szCs w:val="32"/>
          <w:lang w:val="en-US" w:eastAsia="zh-CN"/>
        </w:rPr>
        <w:t>28.24</w:t>
      </w:r>
      <w:r>
        <w:rPr>
          <w:rFonts w:hint="eastAsia" w:ascii="仿宋_GB2312" w:hAnsi="宋体" w:eastAsia="仿宋_GB2312" w:cs="仿宋_GB2312"/>
          <w:sz w:val="32"/>
          <w:szCs w:val="32"/>
        </w:rPr>
        <w:t>万元，完成预算的</w:t>
      </w:r>
      <w:r>
        <w:rPr>
          <w:rFonts w:hint="eastAsia" w:ascii="仿宋_GB2312" w:hAnsi="宋体" w:eastAsia="仿宋_GB2312" w:cs="仿宋_GB2312"/>
          <w:sz w:val="32"/>
          <w:szCs w:val="32"/>
          <w:lang w:val="en-US" w:eastAsia="zh-CN"/>
        </w:rPr>
        <w:t>92.59</w:t>
      </w:r>
      <w:r>
        <w:rPr>
          <w:rFonts w:ascii="仿宋_GB2312" w:hAnsi="宋体" w:eastAsia="仿宋_GB2312" w:cs="仿宋_GB2312"/>
          <w:sz w:val="32"/>
          <w:szCs w:val="32"/>
        </w:rPr>
        <w:t>%</w:t>
      </w:r>
      <w:r>
        <w:rPr>
          <w:rFonts w:hint="eastAsia" w:ascii="仿宋_GB2312" w:hAnsi="宋体" w:eastAsia="仿宋_GB2312" w:cs="仿宋_GB2312"/>
          <w:sz w:val="32"/>
          <w:szCs w:val="32"/>
        </w:rPr>
        <w:t>，其中：因公出国（境）费支出决算为</w:t>
      </w:r>
      <w:r>
        <w:rPr>
          <w:rFonts w:hint="eastAsia" w:ascii="仿宋_GB2312" w:hAnsi="宋体" w:eastAsia="仿宋_GB2312" w:cs="仿宋_GB2312"/>
          <w:sz w:val="32"/>
          <w:szCs w:val="32"/>
          <w:lang w:val="en-US" w:eastAsia="zh-CN"/>
        </w:rPr>
        <w:t>5.4</w:t>
      </w:r>
      <w:r>
        <w:rPr>
          <w:rFonts w:hint="eastAsia" w:ascii="仿宋_GB2312" w:hAnsi="宋体" w:eastAsia="仿宋_GB2312" w:cs="仿宋_GB2312"/>
          <w:sz w:val="32"/>
          <w:szCs w:val="32"/>
        </w:rPr>
        <w:t>万元，完成预算的</w:t>
      </w:r>
      <w:r>
        <w:rPr>
          <w:rFonts w:hint="eastAsia" w:ascii="仿宋_GB2312" w:hAnsi="宋体" w:eastAsia="仿宋_GB2312" w:cs="仿宋_GB2312"/>
          <w:sz w:val="32"/>
          <w:szCs w:val="32"/>
          <w:lang w:val="en-US" w:eastAsia="zh-CN"/>
        </w:rPr>
        <w:t>10</w:t>
      </w:r>
      <w:r>
        <w:rPr>
          <w:rFonts w:ascii="仿宋_GB2312" w:hAnsi="宋体" w:eastAsia="仿宋_GB2312" w:cs="仿宋_GB2312"/>
          <w:sz w:val="32"/>
          <w:szCs w:val="32"/>
        </w:rPr>
        <w:t>0%</w:t>
      </w:r>
      <w:r>
        <w:rPr>
          <w:rFonts w:hint="eastAsia" w:ascii="仿宋_GB2312" w:hAnsi="宋体" w:eastAsia="仿宋_GB2312" w:cs="仿宋_GB2312"/>
          <w:sz w:val="32"/>
          <w:szCs w:val="32"/>
        </w:rPr>
        <w:t>；公务用车购置及运行费支出决算为</w:t>
      </w:r>
      <w:r>
        <w:rPr>
          <w:rFonts w:hint="eastAsia" w:ascii="仿宋_GB2312" w:hAnsi="宋体" w:eastAsia="仿宋_GB2312" w:cs="仿宋_GB2312"/>
          <w:sz w:val="32"/>
          <w:szCs w:val="32"/>
          <w:lang w:val="en-US" w:eastAsia="zh-CN"/>
        </w:rPr>
        <w:t>9.69</w:t>
      </w:r>
      <w:r>
        <w:rPr>
          <w:rFonts w:hint="eastAsia" w:ascii="仿宋_GB2312" w:hAnsi="宋体" w:eastAsia="仿宋_GB2312" w:cs="仿宋_GB2312"/>
          <w:sz w:val="32"/>
          <w:szCs w:val="32"/>
        </w:rPr>
        <w:t>万元，完成预算的</w:t>
      </w:r>
      <w:r>
        <w:rPr>
          <w:rFonts w:hint="eastAsia" w:ascii="仿宋_GB2312" w:hAnsi="宋体" w:eastAsia="仿宋_GB2312" w:cs="仿宋_GB2312"/>
          <w:sz w:val="32"/>
          <w:szCs w:val="32"/>
          <w:lang w:val="en-US" w:eastAsia="zh-CN"/>
        </w:rPr>
        <w:t>96.9</w:t>
      </w:r>
      <w:r>
        <w:rPr>
          <w:rFonts w:ascii="仿宋_GB2312" w:hAnsi="宋体" w:eastAsia="仿宋_GB2312" w:cs="仿宋_GB2312"/>
          <w:sz w:val="32"/>
          <w:szCs w:val="32"/>
        </w:rPr>
        <w:t>%</w:t>
      </w:r>
      <w:r>
        <w:rPr>
          <w:rFonts w:hint="eastAsia" w:ascii="仿宋_GB2312" w:hAnsi="宋体" w:eastAsia="仿宋_GB2312" w:cs="仿宋_GB2312"/>
          <w:sz w:val="32"/>
          <w:szCs w:val="32"/>
        </w:rPr>
        <w:t>；公务接待费支出决算为</w:t>
      </w:r>
      <w:r>
        <w:rPr>
          <w:rFonts w:hint="eastAsia" w:ascii="仿宋_GB2312" w:hAnsi="宋体" w:eastAsia="仿宋_GB2312" w:cs="仿宋_GB2312"/>
          <w:sz w:val="32"/>
          <w:szCs w:val="32"/>
          <w:lang w:val="en-US" w:eastAsia="zh-CN"/>
        </w:rPr>
        <w:t>13.14</w:t>
      </w:r>
      <w:r>
        <w:rPr>
          <w:rFonts w:hint="eastAsia" w:ascii="仿宋_GB2312" w:hAnsi="宋体" w:eastAsia="仿宋_GB2312" w:cs="仿宋_GB2312"/>
          <w:sz w:val="32"/>
          <w:szCs w:val="32"/>
        </w:rPr>
        <w:t>万元，完成预算的</w:t>
      </w:r>
      <w:r>
        <w:rPr>
          <w:rFonts w:hint="eastAsia" w:ascii="仿宋_GB2312" w:hAnsi="宋体" w:eastAsia="仿宋_GB2312" w:cs="仿宋_GB2312"/>
          <w:sz w:val="32"/>
          <w:szCs w:val="32"/>
          <w:lang w:val="en-US" w:eastAsia="zh-CN"/>
        </w:rPr>
        <w:t>87.6</w:t>
      </w:r>
      <w:r>
        <w:rPr>
          <w:rFonts w:ascii="仿宋_GB2312" w:hAnsi="宋体" w:eastAsia="仿宋_GB2312" w:cs="仿宋_GB2312"/>
          <w:sz w:val="32"/>
          <w:szCs w:val="32"/>
        </w:rPr>
        <w:t>%</w:t>
      </w:r>
      <w:r>
        <w:rPr>
          <w:rFonts w:hint="eastAsia" w:ascii="仿宋_GB2312" w:hAnsi="宋体" w:eastAsia="仿宋_GB2312" w:cs="仿宋_GB2312"/>
          <w:sz w:val="32"/>
          <w:szCs w:val="32"/>
        </w:rPr>
        <w:t>。其他办公支出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万元，完成预算的</w:t>
      </w:r>
      <w:r>
        <w:rPr>
          <w:rFonts w:ascii="仿宋_GB2312" w:hAnsi="宋体" w:eastAsia="仿宋_GB2312" w:cs="仿宋_GB2312"/>
          <w:sz w:val="32"/>
          <w:szCs w:val="32"/>
        </w:rPr>
        <w:t>0%</w:t>
      </w:r>
      <w:r>
        <w:rPr>
          <w:rFonts w:hint="eastAsia" w:ascii="仿宋_GB2312" w:hAnsi="宋体" w:eastAsia="仿宋_GB2312" w:cs="仿宋_GB2312"/>
          <w:sz w:val="32"/>
          <w:szCs w:val="32"/>
        </w:rPr>
        <w:t>。</w:t>
      </w: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年度“三公”经费支出决算数</w:t>
      </w:r>
      <w:r>
        <w:rPr>
          <w:rFonts w:hint="eastAsia" w:ascii="仿宋_GB2312" w:hAnsi="宋体" w:eastAsia="仿宋_GB2312" w:cs="仿宋_GB2312"/>
          <w:sz w:val="32"/>
          <w:szCs w:val="32"/>
          <w:lang w:eastAsia="zh-CN"/>
        </w:rPr>
        <w:t>少于</w:t>
      </w:r>
      <w:r>
        <w:rPr>
          <w:rFonts w:hint="eastAsia" w:ascii="仿宋_GB2312" w:hAnsi="宋体" w:eastAsia="仿宋_GB2312" w:cs="仿宋_GB2312"/>
          <w:sz w:val="32"/>
          <w:szCs w:val="32"/>
        </w:rPr>
        <w:t>预算数的主要原因是：</w:t>
      </w:r>
      <w:r>
        <w:rPr>
          <w:rFonts w:hint="eastAsia" w:ascii="仿宋_GB2312" w:hAnsi="宋体" w:eastAsia="仿宋_GB2312" w:cs="仿宋_GB2312"/>
          <w:sz w:val="32"/>
          <w:szCs w:val="32"/>
          <w:lang w:val="en-US" w:eastAsia="zh-CN"/>
        </w:rPr>
        <w:t>2017年度节约压缩开支</w:t>
      </w:r>
      <w:r>
        <w:rPr>
          <w:rFonts w:hint="eastAsia" w:ascii="仿宋_GB2312" w:hAnsi="宋体" w:eastAsia="仿宋_GB2312" w:cs="仿宋_GB2312"/>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年度“三公”经费财政拨款支出决算数比</w:t>
      </w: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年增加</w:t>
      </w:r>
      <w:r>
        <w:rPr>
          <w:rFonts w:ascii="仿宋_GB2312" w:hAnsi="宋体" w:eastAsia="仿宋_GB2312" w:cs="仿宋_GB2312"/>
          <w:sz w:val="32"/>
          <w:szCs w:val="32"/>
        </w:rPr>
        <w:t>0</w:t>
      </w:r>
      <w:r>
        <w:rPr>
          <w:rFonts w:hint="eastAsia" w:ascii="仿宋_GB2312" w:hAnsi="宋体" w:eastAsia="仿宋_GB2312" w:cs="仿宋_GB2312"/>
          <w:sz w:val="32"/>
          <w:szCs w:val="32"/>
        </w:rPr>
        <w:t>万元，增长</w:t>
      </w:r>
      <w:r>
        <w:rPr>
          <w:rFonts w:ascii="仿宋_GB2312" w:hAnsi="宋体" w:eastAsia="仿宋_GB2312" w:cs="仿宋_GB2312"/>
          <w:sz w:val="32"/>
          <w:szCs w:val="32"/>
        </w:rPr>
        <w:t>0%</w:t>
      </w:r>
      <w:r>
        <w:rPr>
          <w:rFonts w:hint="eastAsia" w:ascii="仿宋_GB2312" w:hAnsi="宋体" w:eastAsia="仿宋_GB2312" w:cs="仿宋_GB2312"/>
          <w:sz w:val="32"/>
          <w:szCs w:val="32"/>
        </w:rPr>
        <w:t>，其中：因公出国（境）费支出决算增加</w:t>
      </w:r>
      <w:r>
        <w:rPr>
          <w:rFonts w:hint="eastAsia" w:ascii="仿宋_GB2312" w:hAnsi="宋体" w:eastAsia="仿宋_GB2312" w:cs="仿宋_GB2312"/>
          <w:sz w:val="32"/>
          <w:szCs w:val="32"/>
          <w:lang w:val="en-US" w:eastAsia="zh-CN"/>
        </w:rPr>
        <w:t>5.4</w:t>
      </w:r>
      <w:r>
        <w:rPr>
          <w:rFonts w:hint="eastAsia" w:ascii="仿宋_GB2312" w:hAnsi="宋体" w:eastAsia="仿宋_GB2312" w:cs="仿宋_GB2312"/>
          <w:sz w:val="32"/>
          <w:szCs w:val="32"/>
        </w:rPr>
        <w:t>万元，公务用车购置及运行费支出决算增加</w:t>
      </w:r>
      <w:r>
        <w:rPr>
          <w:rFonts w:hint="eastAsia" w:ascii="仿宋_GB2312" w:hAnsi="宋体" w:eastAsia="仿宋_GB2312" w:cs="仿宋_GB2312"/>
          <w:sz w:val="32"/>
          <w:szCs w:val="32"/>
          <w:lang w:val="en-US" w:eastAsia="zh-CN"/>
        </w:rPr>
        <w:t>6.66</w:t>
      </w:r>
      <w:r>
        <w:rPr>
          <w:rFonts w:hint="eastAsia" w:ascii="仿宋_GB2312" w:hAnsi="宋体" w:eastAsia="仿宋_GB2312" w:cs="仿宋_GB2312"/>
          <w:sz w:val="32"/>
          <w:szCs w:val="32"/>
        </w:rPr>
        <w:t>万元，增长</w:t>
      </w:r>
      <w:r>
        <w:rPr>
          <w:rFonts w:hint="eastAsia" w:ascii="仿宋_GB2312" w:hAnsi="宋体" w:eastAsia="仿宋_GB2312" w:cs="仿宋_GB2312"/>
          <w:sz w:val="32"/>
          <w:szCs w:val="32"/>
          <w:lang w:val="en-US" w:eastAsia="zh-CN"/>
        </w:rPr>
        <w:t>220</w:t>
      </w:r>
      <w:r>
        <w:rPr>
          <w:rFonts w:ascii="仿宋_GB2312" w:hAnsi="宋体" w:eastAsia="仿宋_GB2312" w:cs="仿宋_GB2312"/>
          <w:sz w:val="32"/>
          <w:szCs w:val="32"/>
        </w:rPr>
        <w:t>%</w:t>
      </w:r>
      <w:r>
        <w:rPr>
          <w:rFonts w:hint="eastAsia" w:ascii="仿宋_GB2312" w:hAnsi="宋体" w:eastAsia="仿宋_GB2312" w:cs="仿宋_GB2312"/>
          <w:sz w:val="32"/>
          <w:szCs w:val="32"/>
        </w:rPr>
        <w:t>；公务接待费支出决算增加</w:t>
      </w:r>
      <w:r>
        <w:rPr>
          <w:rFonts w:hint="eastAsia" w:ascii="仿宋_GB2312" w:hAnsi="宋体" w:eastAsia="仿宋_GB2312" w:cs="仿宋_GB2312"/>
          <w:sz w:val="32"/>
          <w:szCs w:val="32"/>
          <w:lang w:val="en-US" w:eastAsia="zh-CN"/>
        </w:rPr>
        <w:t>13.14</w:t>
      </w:r>
      <w:r>
        <w:rPr>
          <w:rFonts w:hint="eastAsia" w:ascii="仿宋_GB2312" w:hAnsi="宋体" w:eastAsia="仿宋_GB2312" w:cs="仿宋_GB2312"/>
          <w:sz w:val="32"/>
          <w:szCs w:val="32"/>
        </w:rPr>
        <w:t>万</w:t>
      </w:r>
      <w:r>
        <w:rPr>
          <w:rFonts w:hint="eastAsia" w:ascii="仿宋_GB2312" w:hAnsi="宋体" w:eastAsia="仿宋_GB2312" w:cs="仿宋_GB2312"/>
          <w:sz w:val="32"/>
          <w:szCs w:val="32"/>
          <w:lang w:eastAsia="zh-CN"/>
        </w:rPr>
        <w:t>元</w:t>
      </w:r>
      <w:r>
        <w:rPr>
          <w:rFonts w:hint="eastAsia" w:ascii="仿宋_GB2312" w:hAnsi="宋体" w:eastAsia="仿宋_GB2312" w:cs="仿宋_GB2312"/>
          <w:sz w:val="32"/>
          <w:szCs w:val="32"/>
        </w:rPr>
        <w:t>。</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“三公”经费财政拨款支出决算具体情况说明。</w:t>
      </w:r>
    </w:p>
    <w:p>
      <w:pPr>
        <w:adjustRightInd w:val="0"/>
        <w:snapToGrid w:val="0"/>
        <w:spacing w:line="360" w:lineRule="auto"/>
        <w:jc w:val="left"/>
        <w:rPr>
          <w:rFonts w:ascii="宋体" w:cs="Times New Roman"/>
          <w:sz w:val="24"/>
          <w:szCs w:val="24"/>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年度“三公”经费财政拨款支出决算中，因公出国（境）费支出决算</w:t>
      </w:r>
      <w:r>
        <w:rPr>
          <w:rFonts w:hint="eastAsia" w:ascii="仿宋_GB2312" w:hAnsi="宋体" w:eastAsia="仿宋_GB2312" w:cs="仿宋_GB2312"/>
          <w:sz w:val="32"/>
          <w:szCs w:val="32"/>
          <w:lang w:val="en-US" w:eastAsia="zh-CN"/>
        </w:rPr>
        <w:t>5.4</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val="en-US" w:eastAsia="zh-CN"/>
        </w:rPr>
        <w:t>19.12</w:t>
      </w:r>
      <w:r>
        <w:rPr>
          <w:rFonts w:ascii="仿宋_GB2312" w:hAnsi="宋体" w:eastAsia="仿宋_GB2312" w:cs="仿宋_GB2312"/>
          <w:sz w:val="32"/>
          <w:szCs w:val="32"/>
        </w:rPr>
        <w:t>%</w:t>
      </w:r>
      <w:r>
        <w:rPr>
          <w:rFonts w:hint="eastAsia" w:ascii="仿宋_GB2312" w:hAnsi="宋体" w:eastAsia="仿宋_GB2312" w:cs="仿宋_GB2312"/>
          <w:sz w:val="32"/>
          <w:szCs w:val="32"/>
        </w:rPr>
        <w:t>；公务用车购置及运行费支出决算</w:t>
      </w:r>
      <w:r>
        <w:rPr>
          <w:rFonts w:hint="eastAsia" w:ascii="仿宋_GB2312" w:hAnsi="宋体" w:eastAsia="仿宋_GB2312" w:cs="仿宋_GB2312"/>
          <w:sz w:val="32"/>
          <w:szCs w:val="32"/>
          <w:lang w:val="en-US" w:eastAsia="zh-CN"/>
        </w:rPr>
        <w:t>9.69</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val="en-US" w:eastAsia="zh-CN"/>
        </w:rPr>
        <w:t>34.31</w:t>
      </w:r>
      <w:r>
        <w:rPr>
          <w:rFonts w:ascii="仿宋_GB2312" w:hAnsi="宋体" w:eastAsia="仿宋_GB2312" w:cs="仿宋_GB2312"/>
          <w:sz w:val="32"/>
          <w:szCs w:val="32"/>
        </w:rPr>
        <w:t>%</w:t>
      </w:r>
      <w:r>
        <w:rPr>
          <w:rFonts w:hint="eastAsia" w:ascii="仿宋_GB2312" w:hAnsi="宋体" w:eastAsia="仿宋_GB2312" w:cs="仿宋_GB2312"/>
          <w:sz w:val="32"/>
          <w:szCs w:val="32"/>
        </w:rPr>
        <w:t>；公务接待费支出决算</w:t>
      </w:r>
      <w:r>
        <w:rPr>
          <w:rFonts w:hint="eastAsia" w:ascii="仿宋_GB2312" w:hAnsi="宋体" w:eastAsia="仿宋_GB2312" w:cs="仿宋_GB2312"/>
          <w:sz w:val="32"/>
          <w:szCs w:val="32"/>
          <w:lang w:val="en-US" w:eastAsia="zh-CN"/>
        </w:rPr>
        <w:t>13.14</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val="en-US" w:eastAsia="zh-CN"/>
        </w:rPr>
        <w:t>46.57</w:t>
      </w:r>
      <w:r>
        <w:rPr>
          <w:rFonts w:ascii="仿宋_GB2312" w:hAnsi="宋体" w:eastAsia="仿宋_GB2312" w:cs="仿宋_GB2312"/>
          <w:sz w:val="32"/>
          <w:szCs w:val="32"/>
        </w:rPr>
        <w:t>%</w:t>
      </w:r>
      <w:r>
        <w:rPr>
          <w:rFonts w:hint="eastAsia" w:ascii="仿宋_GB2312" w:hAnsi="宋体" w:eastAsia="仿宋_GB2312" w:cs="仿宋_GB2312"/>
          <w:sz w:val="32"/>
          <w:szCs w:val="32"/>
        </w:rPr>
        <w:t>。具体</w:t>
      </w:r>
      <w:bookmarkStart w:id="0" w:name="_GoBack"/>
      <w:bookmarkEnd w:id="0"/>
      <w:r>
        <w:rPr>
          <w:rFonts w:hint="eastAsia" w:ascii="仿宋_GB2312" w:hAnsi="宋体" w:eastAsia="仿宋_GB2312" w:cs="仿宋_GB2312"/>
          <w:sz w:val="32"/>
          <w:szCs w:val="32"/>
        </w:rPr>
        <w:t>情况如下：</w: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Times New Roman"/>
          <w:b/>
          <w:bCs/>
          <w:sz w:val="32"/>
          <w:szCs w:val="32"/>
        </w:rPr>
      </w:pPr>
      <w:r>
        <w:rPr>
          <w:rFonts w:hint="eastAsia" w:ascii="仿宋_GB2312" w:hAnsi="宋体" w:eastAsia="仿宋_GB2312" w:cs="仿宋_GB2312"/>
          <w:b/>
          <w:bCs/>
          <w:sz w:val="32"/>
          <w:szCs w:val="32"/>
        </w:rPr>
        <w:t>公务用车购置及运行费</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9.69</w:t>
      </w:r>
      <w:r>
        <w:rPr>
          <w:rFonts w:hint="eastAsia" w:ascii="仿宋_GB2312" w:hAnsi="宋体" w:eastAsia="仿宋_GB2312" w:cs="仿宋_GB2312"/>
          <w:sz w:val="32"/>
          <w:szCs w:val="32"/>
        </w:rPr>
        <w:t>万元。其中：</w:t>
      </w:r>
    </w:p>
    <w:p>
      <w:pPr>
        <w:kinsoku w:val="0"/>
        <w:overflowPunct w:val="0"/>
        <w:autoSpaceDE w:val="0"/>
        <w:autoSpaceDN w:val="0"/>
        <w:adjustRightInd w:val="0"/>
        <w:snapToGrid w:val="0"/>
        <w:spacing w:line="360" w:lineRule="auto"/>
        <w:ind w:firstLine="643" w:firstLineChars="200"/>
        <w:rPr>
          <w:rFonts w:ascii="仿宋_GB2312" w:hAnsi="宋体" w:eastAsia="仿宋_GB2312" w:cs="Times New Roman"/>
          <w:sz w:val="32"/>
          <w:szCs w:val="32"/>
          <w:highlight w:val="yellow"/>
        </w:rPr>
      </w:pPr>
      <w:r>
        <w:rPr>
          <w:rFonts w:hint="eastAsia" w:ascii="仿宋_GB2312" w:hAnsi="宋体" w:eastAsia="仿宋_GB2312" w:cs="仿宋_GB2312"/>
          <w:b/>
          <w:bCs/>
          <w:sz w:val="32"/>
          <w:szCs w:val="32"/>
        </w:rPr>
        <w:t>公务用车购置</w:t>
      </w:r>
      <w:r>
        <w:rPr>
          <w:rFonts w:hint="eastAsia" w:ascii="仿宋_GB2312" w:hAnsi="宋体" w:eastAsia="仿宋_GB2312" w:cs="仿宋_GB2312"/>
          <w:sz w:val="32"/>
          <w:szCs w:val="32"/>
        </w:rPr>
        <w:t>支出为</w:t>
      </w:r>
      <w:r>
        <w:rPr>
          <w:rFonts w:ascii="仿宋_GB2312" w:hAnsi="宋体" w:eastAsia="仿宋_GB2312" w:cs="仿宋_GB2312"/>
          <w:sz w:val="32"/>
          <w:szCs w:val="32"/>
        </w:rPr>
        <w:t>0</w:t>
      </w:r>
      <w:r>
        <w:rPr>
          <w:rFonts w:hint="eastAsia" w:ascii="仿宋_GB2312" w:hAnsi="宋体" w:eastAsia="仿宋_GB2312" w:cs="仿宋_GB2312"/>
          <w:sz w:val="32"/>
          <w:szCs w:val="32"/>
        </w:rPr>
        <w:t>万元。</w:t>
      </w:r>
    </w:p>
    <w:p>
      <w:pPr>
        <w:kinsoku w:val="0"/>
        <w:overflowPunct w:val="0"/>
        <w:autoSpaceDE w:val="0"/>
        <w:autoSpaceDN w:val="0"/>
        <w:adjustRightInd w:val="0"/>
        <w:snapToGrid w:val="0"/>
        <w:spacing w:line="360" w:lineRule="auto"/>
        <w:ind w:firstLine="643" w:firstLineChars="200"/>
        <w:rPr>
          <w:rFonts w:ascii="仿宋_GB2312" w:hAnsi="宋体" w:eastAsia="仿宋_GB2312" w:cs="Times New Roman"/>
          <w:sz w:val="32"/>
          <w:szCs w:val="32"/>
        </w:rPr>
      </w:pPr>
      <w:r>
        <w:rPr>
          <w:rFonts w:hint="eastAsia" w:ascii="仿宋_GB2312" w:hAnsi="宋体" w:eastAsia="仿宋_GB2312" w:cs="仿宋_GB2312"/>
          <w:b/>
          <w:bCs/>
          <w:sz w:val="32"/>
          <w:szCs w:val="32"/>
        </w:rPr>
        <w:t>公务用车运行</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9.69</w:t>
      </w:r>
      <w:r>
        <w:rPr>
          <w:rFonts w:hint="eastAsia" w:ascii="仿宋_GB2312" w:hAnsi="宋体" w:eastAsia="仿宋_GB2312" w:cs="仿宋_GB2312"/>
          <w:sz w:val="32"/>
          <w:szCs w:val="32"/>
        </w:rPr>
        <w:t>万元。主要用于车辆加油</w:t>
      </w:r>
      <w:r>
        <w:rPr>
          <w:rFonts w:hint="eastAsia" w:ascii="仿宋_GB2312" w:hAnsi="宋体" w:eastAsia="仿宋_GB2312" w:cs="仿宋_GB2312"/>
          <w:sz w:val="32"/>
          <w:szCs w:val="32"/>
          <w:lang w:eastAsia="zh-CN"/>
        </w:rPr>
        <w:t>、车辆保险费</w:t>
      </w:r>
      <w:r>
        <w:rPr>
          <w:rFonts w:hint="eastAsia" w:ascii="仿宋_GB2312" w:hAnsi="宋体" w:eastAsia="仿宋_GB2312" w:cs="仿宋_GB2312"/>
          <w:sz w:val="32"/>
          <w:szCs w:val="32"/>
        </w:rPr>
        <w:t>。</w:t>
      </w: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年末林业局机关及局属单位开支财政拨款的公务用车保有量为</w:t>
      </w:r>
      <w:r>
        <w:rPr>
          <w:rFonts w:ascii="仿宋_GB2312" w:hAnsi="宋体" w:eastAsia="仿宋_GB2312" w:cs="仿宋_GB2312"/>
          <w:sz w:val="32"/>
          <w:szCs w:val="32"/>
        </w:rPr>
        <w:t>1</w:t>
      </w:r>
      <w:r>
        <w:rPr>
          <w:rFonts w:hint="eastAsia" w:ascii="仿宋_GB2312" w:hAnsi="宋体" w:eastAsia="仿宋_GB2312" w:cs="仿宋_GB2312"/>
          <w:sz w:val="32"/>
          <w:szCs w:val="32"/>
        </w:rPr>
        <w:t>辆。</w: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Times New Roman"/>
          <w:b/>
          <w:bCs/>
          <w:sz w:val="32"/>
          <w:szCs w:val="32"/>
        </w:rPr>
      </w:pPr>
      <w:r>
        <w:rPr>
          <w:rFonts w:hint="eastAsia" w:ascii="仿宋_GB2312" w:hAnsi="宋体" w:eastAsia="仿宋_GB2312" w:cs="仿宋_GB2312"/>
          <w:b/>
          <w:bCs/>
          <w:sz w:val="32"/>
          <w:szCs w:val="32"/>
        </w:rPr>
        <w:t>公务接待费支出</w:t>
      </w:r>
      <w:r>
        <w:rPr>
          <w:rFonts w:hint="eastAsia" w:ascii="仿宋_GB2312" w:hAnsi="宋体" w:eastAsia="仿宋_GB2312" w:cs="仿宋_GB2312"/>
          <w:b/>
          <w:bCs/>
          <w:sz w:val="32"/>
          <w:szCs w:val="32"/>
          <w:lang w:val="en-US" w:eastAsia="zh-CN"/>
        </w:rPr>
        <w:t>13.14</w:t>
      </w:r>
      <w:r>
        <w:rPr>
          <w:rFonts w:hint="eastAsia" w:ascii="仿宋_GB2312" w:hAnsi="宋体" w:eastAsia="仿宋_GB2312" w:cs="仿宋_GB2312"/>
          <w:b/>
          <w:bCs/>
          <w:sz w:val="32"/>
          <w:szCs w:val="32"/>
        </w:rPr>
        <w:t>万元。</w:t>
      </w:r>
    </w:p>
    <w:p>
      <w:pPr>
        <w:numPr>
          <w:ilvl w:val="0"/>
          <w:numId w:val="4"/>
        </w:numPr>
        <w:adjustRightInd w:val="0"/>
        <w:snapToGrid w:val="0"/>
        <w:spacing w:line="360" w:lineRule="auto"/>
        <w:ind w:firstLine="640" w:firstLineChars="200"/>
        <w:outlineLvl w:val="1"/>
        <w:rPr>
          <w:rFonts w:ascii="黑体" w:hAnsi="黑体" w:eastAsia="黑体" w:cs="Times New Roman"/>
          <w:sz w:val="32"/>
          <w:szCs w:val="32"/>
        </w:rPr>
      </w:pPr>
      <w:r>
        <w:rPr>
          <w:rFonts w:hint="eastAsia" w:ascii="黑体" w:hAnsi="黑体" w:eastAsia="黑体" w:cs="黑体"/>
          <w:sz w:val="32"/>
          <w:szCs w:val="32"/>
        </w:rPr>
        <w:t>关于预算绩效情况说明</w:t>
      </w:r>
    </w:p>
    <w:p>
      <w:pPr>
        <w:numPr>
          <w:ilvl w:val="0"/>
          <w:numId w:val="9"/>
        </w:numPr>
        <w:kinsoku w:val="0"/>
        <w:overflowPunct w:val="0"/>
        <w:autoSpaceDE w:val="0"/>
        <w:autoSpaceDN w:val="0"/>
        <w:adjustRightInd w:val="0"/>
        <w:snapToGrid w:val="0"/>
        <w:spacing w:line="360" w:lineRule="auto"/>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绩效管理工作开展情况。</w:t>
      </w:r>
    </w:p>
    <w:p>
      <w:pPr>
        <w:kinsoku w:val="0"/>
        <w:overflowPunct w:val="0"/>
        <w:autoSpaceDE w:val="0"/>
        <w:autoSpaceDN w:val="0"/>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根据财政预算管理要求，林业局对</w:t>
      </w: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年度一般公共预算项目支出全面开展绩效自评。其中，一级项目</w:t>
      </w:r>
      <w:r>
        <w:rPr>
          <w:rFonts w:ascii="仿宋_GB2312" w:hAnsi="宋体" w:eastAsia="仿宋_GB2312" w:cs="仿宋_GB2312"/>
          <w:sz w:val="32"/>
          <w:szCs w:val="32"/>
        </w:rPr>
        <w:t>1</w:t>
      </w:r>
      <w:r>
        <w:rPr>
          <w:rFonts w:hint="eastAsia" w:ascii="仿宋_GB2312" w:hAnsi="宋体" w:eastAsia="仿宋_GB2312" w:cs="仿宋_GB2312"/>
          <w:sz w:val="32"/>
          <w:szCs w:val="32"/>
        </w:rPr>
        <w:t>个，共涉及预算资金</w:t>
      </w:r>
      <w:r>
        <w:rPr>
          <w:rFonts w:hint="eastAsia" w:ascii="仿宋_GB2312" w:hAnsi="宋体" w:eastAsia="仿宋_GB2312" w:cs="仿宋_GB2312"/>
          <w:sz w:val="32"/>
          <w:szCs w:val="32"/>
          <w:lang w:val="en-US" w:eastAsia="zh-CN"/>
        </w:rPr>
        <w:t>600</w:t>
      </w:r>
      <w:r>
        <w:rPr>
          <w:rFonts w:hint="eastAsia" w:ascii="仿宋_GB2312" w:hAnsi="宋体" w:eastAsia="仿宋_GB2312" w:cs="仿宋_GB2312"/>
          <w:sz w:val="32"/>
          <w:szCs w:val="32"/>
        </w:rPr>
        <w:t>万元，自评覆盖率达到</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9"/>
        </w:numPr>
        <w:kinsoku w:val="0"/>
        <w:overflowPunct w:val="0"/>
        <w:autoSpaceDE w:val="0"/>
        <w:autoSpaceDN w:val="0"/>
        <w:adjustRightInd w:val="0"/>
        <w:snapToGrid w:val="0"/>
        <w:spacing w:line="360" w:lineRule="auto"/>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部门决算中项目绩效自评结果。</w:t>
      </w:r>
    </w:p>
    <w:p>
      <w:pPr>
        <w:kinsoku w:val="0"/>
        <w:overflowPunct w:val="0"/>
        <w:autoSpaceDE w:val="0"/>
        <w:autoSpaceDN w:val="0"/>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林业局在</w:t>
      </w: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年度部门决算中增加“</w:t>
      </w:r>
      <w:r>
        <w:rPr>
          <w:rFonts w:hint="eastAsia" w:ascii="仿宋_GB2312" w:hAnsi="宋体" w:eastAsia="仿宋_GB2312" w:cs="仿宋_GB2312"/>
          <w:sz w:val="32"/>
          <w:szCs w:val="32"/>
          <w:lang w:eastAsia="zh-CN"/>
        </w:rPr>
        <w:t>南阳市卧龙区塔子山</w:t>
      </w:r>
      <w:r>
        <w:rPr>
          <w:rFonts w:hint="eastAsia" w:ascii="仿宋_GB2312" w:hAnsi="宋体" w:eastAsia="仿宋_GB2312" w:cs="仿宋_GB2312"/>
          <w:sz w:val="32"/>
          <w:szCs w:val="32"/>
        </w:rPr>
        <w:t>绿化工程”项目绩效评价结果。根据</w:t>
      </w: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年年初设定的绩效目标，“</w:t>
      </w:r>
      <w:r>
        <w:rPr>
          <w:rFonts w:hint="eastAsia" w:ascii="仿宋_GB2312" w:hAnsi="宋体" w:eastAsia="仿宋_GB2312" w:cs="仿宋_GB2312"/>
          <w:sz w:val="32"/>
          <w:szCs w:val="32"/>
          <w:lang w:eastAsia="zh-CN"/>
        </w:rPr>
        <w:t>南阳市卧龙区塔子山</w:t>
      </w:r>
      <w:r>
        <w:rPr>
          <w:rFonts w:hint="eastAsia" w:ascii="仿宋_GB2312" w:hAnsi="宋体" w:eastAsia="仿宋_GB2312" w:cs="仿宋_GB2312"/>
          <w:sz w:val="32"/>
          <w:szCs w:val="32"/>
        </w:rPr>
        <w:t>绿化工程”项目自评得分为</w:t>
      </w:r>
      <w:r>
        <w:rPr>
          <w:rFonts w:ascii="仿宋_GB2312" w:hAnsi="宋体" w:eastAsia="仿宋_GB2312" w:cs="仿宋_GB2312"/>
          <w:sz w:val="32"/>
          <w:szCs w:val="32"/>
        </w:rPr>
        <w:t>98</w:t>
      </w:r>
      <w:r>
        <w:rPr>
          <w:rFonts w:hint="eastAsia" w:ascii="仿宋_GB2312" w:hAnsi="宋体" w:eastAsia="仿宋_GB2312" w:cs="仿宋_GB2312"/>
          <w:sz w:val="32"/>
          <w:szCs w:val="32"/>
        </w:rPr>
        <w:t>分。</w:t>
      </w:r>
    </w:p>
    <w:p>
      <w:pPr>
        <w:numPr>
          <w:ilvl w:val="0"/>
          <w:numId w:val="4"/>
        </w:numPr>
        <w:adjustRightInd w:val="0"/>
        <w:snapToGrid w:val="0"/>
        <w:spacing w:line="360" w:lineRule="auto"/>
        <w:ind w:firstLine="640" w:firstLineChars="200"/>
        <w:outlineLvl w:val="1"/>
        <w:rPr>
          <w:rFonts w:ascii="黑体" w:hAnsi="黑体" w:eastAsia="黑体" w:cs="Times New Roman"/>
          <w:sz w:val="32"/>
          <w:szCs w:val="32"/>
        </w:rPr>
      </w:pPr>
      <w:r>
        <w:rPr>
          <w:rFonts w:hint="eastAsia" w:ascii="黑体" w:hAnsi="黑体" w:eastAsia="黑体" w:cs="黑体"/>
          <w:sz w:val="32"/>
          <w:szCs w:val="32"/>
        </w:rPr>
        <w:t>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年度政府性基金预算财政拨款支出年初预算为</w:t>
      </w:r>
      <w:r>
        <w:rPr>
          <w:rFonts w:ascii="仿宋_GB2312" w:hAnsi="宋体" w:eastAsia="仿宋_GB2312" w:cs="仿宋_GB2312"/>
          <w:sz w:val="32"/>
          <w:szCs w:val="32"/>
        </w:rPr>
        <w:t>0</w:t>
      </w:r>
      <w:r>
        <w:rPr>
          <w:rFonts w:hint="eastAsia" w:ascii="仿宋_GB2312" w:hAnsi="宋体" w:eastAsia="仿宋_GB2312" w:cs="仿宋_GB2312"/>
          <w:sz w:val="32"/>
          <w:szCs w:val="32"/>
        </w:rPr>
        <w:t>万元，支出决算为</w:t>
      </w:r>
      <w:r>
        <w:rPr>
          <w:rFonts w:ascii="仿宋_GB2312" w:hAnsi="宋体" w:eastAsia="仿宋_GB2312" w:cs="仿宋_GB2312"/>
          <w:sz w:val="32"/>
          <w:szCs w:val="32"/>
        </w:rPr>
        <w:t>0</w:t>
      </w:r>
      <w:r>
        <w:rPr>
          <w:rFonts w:hint="eastAsia" w:ascii="仿宋_GB2312" w:hAnsi="宋体" w:eastAsia="仿宋_GB2312" w:cs="仿宋_GB2312"/>
          <w:sz w:val="32"/>
          <w:szCs w:val="32"/>
        </w:rPr>
        <w:t>万元，完成年初预算的</w:t>
      </w:r>
      <w:r>
        <w:rPr>
          <w:rFonts w:ascii="仿宋_GB2312" w:hAnsi="宋体" w:eastAsia="仿宋_GB2312" w:cs="仿宋_GB2312"/>
          <w:sz w:val="32"/>
          <w:szCs w:val="32"/>
        </w:rPr>
        <w:t>0%</w:t>
      </w:r>
      <w:r>
        <w:rPr>
          <w:rFonts w:hint="eastAsia" w:ascii="仿宋_GB2312" w:hAnsi="宋体" w:eastAsia="仿宋_GB2312" w:cs="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cs="Times New Roman"/>
          <w:sz w:val="32"/>
          <w:szCs w:val="32"/>
        </w:rPr>
      </w:pPr>
      <w:r>
        <w:rPr>
          <w:rFonts w:hint="eastAsia" w:ascii="黑体" w:hAnsi="黑体" w:eastAsia="黑体" w:cs="黑体"/>
          <w:sz w:val="32"/>
          <w:szCs w:val="32"/>
        </w:rPr>
        <w:t>其他重要事项的情况说明</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楷体_GB2312"/>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年度机关运行经费支出</w:t>
      </w:r>
      <w:r>
        <w:rPr>
          <w:rFonts w:hint="eastAsia" w:ascii="仿宋_GB2312" w:hAnsi="宋体" w:eastAsia="仿宋_GB2312" w:cs="仿宋_GB2312"/>
          <w:sz w:val="32"/>
          <w:szCs w:val="32"/>
          <w:lang w:val="en-US" w:eastAsia="zh-CN"/>
        </w:rPr>
        <w:t>345</w:t>
      </w:r>
      <w:r>
        <w:rPr>
          <w:rFonts w:hint="eastAsia" w:ascii="仿宋_GB2312" w:hAnsi="宋体" w:eastAsia="仿宋_GB2312" w:cs="仿宋_GB2312"/>
          <w:sz w:val="32"/>
          <w:szCs w:val="32"/>
        </w:rPr>
        <w:t>万元，比</w:t>
      </w: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51.17</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17.4</w:t>
      </w:r>
      <w:r>
        <w:rPr>
          <w:rFonts w:ascii="仿宋_GB2312" w:hAnsi="宋体" w:eastAsia="仿宋_GB2312" w:cs="仿宋_GB2312"/>
          <w:sz w:val="32"/>
          <w:szCs w:val="32"/>
        </w:rPr>
        <w:t>%</w:t>
      </w:r>
      <w:r>
        <w:rPr>
          <w:rFonts w:hint="eastAsia" w:ascii="仿宋_GB2312" w:hAnsi="宋体" w:eastAsia="仿宋_GB2312" w:cs="仿宋_GB2312"/>
          <w:sz w:val="32"/>
          <w:szCs w:val="32"/>
        </w:rPr>
        <w:t>。原因为：</w:t>
      </w:r>
      <w:r>
        <w:rPr>
          <w:rFonts w:hint="eastAsia" w:ascii="仿宋_GB2312" w:hAnsi="宋体" w:eastAsia="仿宋_GB2312" w:cs="仿宋_GB2312"/>
          <w:sz w:val="32"/>
          <w:szCs w:val="32"/>
          <w:lang w:eastAsia="zh-CN"/>
        </w:rPr>
        <w:t>人员工资支出和办公费用增加</w:t>
      </w:r>
      <w:r>
        <w:rPr>
          <w:rFonts w:hint="eastAsia" w:ascii="仿宋_GB2312" w:hAnsi="宋体" w:eastAsia="仿宋_GB2312" w:cs="仿宋_GB2312"/>
          <w:sz w:val="32"/>
          <w:szCs w:val="32"/>
        </w:rPr>
        <w:t>。</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楷体_GB2312"/>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年度政府采购支出额</w:t>
      </w:r>
      <w:r>
        <w:rPr>
          <w:rFonts w:ascii="仿宋_GB2312" w:hAnsi="宋体" w:eastAsia="仿宋_GB2312" w:cs="仿宋_GB2312"/>
          <w:sz w:val="32"/>
          <w:szCs w:val="32"/>
        </w:rPr>
        <w:t>0</w:t>
      </w:r>
      <w:r>
        <w:rPr>
          <w:rFonts w:hint="eastAsia" w:ascii="仿宋_GB2312" w:hAnsi="宋体" w:eastAsia="仿宋_GB2312" w:cs="仿宋_GB2312"/>
          <w:sz w:val="32"/>
          <w:szCs w:val="32"/>
        </w:rPr>
        <w:t>万元，其中：政府采购货物支出</w:t>
      </w:r>
      <w:r>
        <w:rPr>
          <w:rFonts w:ascii="仿宋_GB2312" w:hAnsi="宋体" w:eastAsia="仿宋_GB2312" w:cs="仿宋_GB2312"/>
          <w:sz w:val="32"/>
          <w:szCs w:val="32"/>
        </w:rPr>
        <w:t>0</w:t>
      </w:r>
      <w:r>
        <w:rPr>
          <w:rFonts w:hint="eastAsia" w:ascii="仿宋_GB2312" w:hAnsi="宋体" w:eastAsia="仿宋_GB2312" w:cs="仿宋_GB2312"/>
          <w:sz w:val="32"/>
          <w:szCs w:val="32"/>
        </w:rPr>
        <w:t>万元，政府采购工程支出</w:t>
      </w:r>
      <w:r>
        <w:rPr>
          <w:rFonts w:ascii="仿宋_GB2312" w:hAnsi="宋体" w:eastAsia="仿宋_GB2312" w:cs="仿宋_GB2312"/>
          <w:sz w:val="32"/>
          <w:szCs w:val="32"/>
        </w:rPr>
        <w:t>0</w:t>
      </w:r>
      <w:r>
        <w:rPr>
          <w:rFonts w:hint="eastAsia" w:ascii="仿宋_GB2312" w:hAnsi="宋体" w:eastAsia="仿宋_GB2312" w:cs="仿宋_GB2312"/>
          <w:sz w:val="32"/>
          <w:szCs w:val="32"/>
        </w:rPr>
        <w:t>万元，政府采购服务支出</w:t>
      </w:r>
      <w:r>
        <w:rPr>
          <w:rFonts w:ascii="仿宋_GB2312" w:hAnsi="宋体" w:eastAsia="仿宋_GB2312" w:cs="仿宋_GB2312"/>
          <w:sz w:val="32"/>
          <w:szCs w:val="32"/>
        </w:rPr>
        <w:t>0</w:t>
      </w:r>
      <w:r>
        <w:rPr>
          <w:rFonts w:hint="eastAsia" w:ascii="仿宋_GB2312" w:hAnsi="宋体" w:eastAsia="仿宋_GB2312" w:cs="仿宋_GB2312"/>
          <w:sz w:val="32"/>
          <w:szCs w:val="32"/>
        </w:rPr>
        <w:t>万元。授予中小企业合同金额</w:t>
      </w:r>
      <w:r>
        <w:rPr>
          <w:rFonts w:ascii="仿宋_GB2312" w:hAnsi="宋体" w:eastAsia="仿宋_GB2312" w:cs="仿宋_GB2312"/>
          <w:sz w:val="32"/>
          <w:szCs w:val="32"/>
        </w:rPr>
        <w:t>0</w:t>
      </w:r>
      <w:r>
        <w:rPr>
          <w:rFonts w:hint="eastAsia" w:ascii="仿宋_GB2312" w:hAnsi="宋体" w:eastAsia="仿宋_GB2312" w:cs="仿宋_GB2312"/>
          <w:sz w:val="32"/>
          <w:szCs w:val="32"/>
        </w:rPr>
        <w:t>万元，占政府采购支出总额的</w:t>
      </w:r>
      <w:r>
        <w:rPr>
          <w:rFonts w:ascii="仿宋_GB2312" w:hAnsi="宋体" w:eastAsia="仿宋_GB2312" w:cs="仿宋_GB2312"/>
          <w:sz w:val="32"/>
          <w:szCs w:val="32"/>
        </w:rPr>
        <w:t>0%</w:t>
      </w:r>
      <w:r>
        <w:rPr>
          <w:rFonts w:hint="eastAsia" w:ascii="仿宋_GB2312" w:hAnsi="宋体" w:eastAsia="仿宋_GB2312" w:cs="仿宋_GB2312"/>
          <w:sz w:val="32"/>
          <w:szCs w:val="32"/>
        </w:rPr>
        <w:t>，其中：授予小微企业合同金额</w:t>
      </w:r>
      <w:r>
        <w:rPr>
          <w:rFonts w:ascii="仿宋_GB2312" w:hAnsi="宋体" w:eastAsia="仿宋_GB2312" w:cs="仿宋_GB2312"/>
          <w:sz w:val="32"/>
          <w:szCs w:val="32"/>
        </w:rPr>
        <w:t>0</w:t>
      </w:r>
      <w:r>
        <w:rPr>
          <w:rFonts w:hint="eastAsia" w:ascii="仿宋_GB2312" w:hAnsi="宋体" w:eastAsia="仿宋_GB2312" w:cs="仿宋_GB2312"/>
          <w:sz w:val="32"/>
          <w:szCs w:val="32"/>
        </w:rPr>
        <w:t>万元，占政府采购支出总额的</w:t>
      </w:r>
      <w:r>
        <w:rPr>
          <w:rFonts w:ascii="仿宋_GB2312" w:hAnsi="宋体" w:eastAsia="仿宋_GB2312" w:cs="仿宋_GB2312"/>
          <w:sz w:val="32"/>
          <w:szCs w:val="32"/>
        </w:rPr>
        <w:t>0%</w:t>
      </w:r>
      <w:r>
        <w:rPr>
          <w:rFonts w:hint="eastAsia" w:ascii="仿宋_GB2312" w:hAnsi="宋体" w:eastAsia="仿宋_GB2312" w:cs="仿宋_GB2312"/>
          <w:sz w:val="32"/>
          <w:szCs w:val="32"/>
        </w:rPr>
        <w:t>。</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楷体_GB2312"/>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201</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年期末，林业局共有车辆</w:t>
      </w:r>
      <w:r>
        <w:rPr>
          <w:rFonts w:ascii="仿宋_GB2312" w:hAnsi="宋体" w:eastAsia="仿宋_GB2312" w:cs="仿宋_GB2312"/>
          <w:sz w:val="32"/>
          <w:szCs w:val="32"/>
        </w:rPr>
        <w:t>2</w:t>
      </w:r>
      <w:r>
        <w:rPr>
          <w:rFonts w:hint="eastAsia" w:ascii="仿宋_GB2312" w:hAnsi="宋体" w:eastAsia="仿宋_GB2312" w:cs="仿宋_GB2312"/>
          <w:sz w:val="32"/>
          <w:szCs w:val="32"/>
        </w:rPr>
        <w:t>辆，其中：一般公务用车</w:t>
      </w:r>
      <w:r>
        <w:rPr>
          <w:rFonts w:ascii="仿宋_GB2312" w:hAnsi="宋体" w:eastAsia="仿宋_GB2312" w:cs="仿宋_GB2312"/>
          <w:sz w:val="32"/>
          <w:szCs w:val="32"/>
        </w:rPr>
        <w:t>0</w:t>
      </w:r>
      <w:r>
        <w:rPr>
          <w:rFonts w:hint="eastAsia" w:ascii="仿宋_GB2312" w:hAnsi="宋体" w:eastAsia="仿宋_GB2312" w:cs="仿宋_GB2312"/>
          <w:sz w:val="32"/>
          <w:szCs w:val="32"/>
        </w:rPr>
        <w:t>辆、一般执法执勤用车</w:t>
      </w:r>
      <w:r>
        <w:rPr>
          <w:rFonts w:ascii="仿宋_GB2312" w:hAnsi="宋体" w:eastAsia="仿宋_GB2312" w:cs="仿宋_GB2312"/>
          <w:sz w:val="32"/>
          <w:szCs w:val="32"/>
        </w:rPr>
        <w:t>2</w:t>
      </w:r>
      <w:r>
        <w:rPr>
          <w:rFonts w:hint="eastAsia" w:ascii="仿宋_GB2312" w:hAnsi="宋体" w:eastAsia="仿宋_GB2312" w:cs="仿宋_GB2312"/>
          <w:sz w:val="32"/>
          <w:szCs w:val="32"/>
        </w:rPr>
        <w:t>辆、特种专业技术用车</w:t>
      </w:r>
      <w:r>
        <w:rPr>
          <w:rFonts w:ascii="仿宋_GB2312" w:hAnsi="宋体" w:eastAsia="仿宋_GB2312" w:cs="仿宋_GB2312"/>
          <w:sz w:val="32"/>
          <w:szCs w:val="32"/>
        </w:rPr>
        <w:t>0</w:t>
      </w:r>
      <w:r>
        <w:rPr>
          <w:rFonts w:hint="eastAsia" w:ascii="仿宋_GB2312" w:hAnsi="宋体" w:eastAsia="仿宋_GB2312" w:cs="仿宋_GB2312"/>
          <w:sz w:val="32"/>
          <w:szCs w:val="32"/>
        </w:rPr>
        <w:t>辆，其他用车</w:t>
      </w:r>
      <w:r>
        <w:rPr>
          <w:rFonts w:ascii="仿宋_GB2312" w:hAnsi="宋体" w:eastAsia="仿宋_GB2312" w:cs="仿宋_GB2312"/>
          <w:sz w:val="32"/>
          <w:szCs w:val="32"/>
        </w:rPr>
        <w:t>0</w:t>
      </w:r>
      <w:r>
        <w:rPr>
          <w:rFonts w:hint="eastAsia" w:ascii="仿宋_GB2312" w:hAnsi="宋体" w:eastAsia="仿宋_GB2312" w:cs="仿宋_GB2312"/>
          <w:sz w:val="32"/>
          <w:szCs w:val="32"/>
        </w:rPr>
        <w:t>辆，单价</w:t>
      </w:r>
      <w:r>
        <w:rPr>
          <w:rFonts w:ascii="仿宋_GB2312" w:hAnsi="宋体" w:eastAsia="仿宋_GB2312" w:cs="仿宋_GB2312"/>
          <w:sz w:val="32"/>
          <w:szCs w:val="32"/>
        </w:rPr>
        <w:t>50</w:t>
      </w:r>
      <w:r>
        <w:rPr>
          <w:rFonts w:hint="eastAsia" w:ascii="仿宋_GB2312" w:hAnsi="宋体" w:eastAsia="仿宋_GB2312" w:cs="仿宋_GB2312"/>
          <w:sz w:val="32"/>
          <w:szCs w:val="32"/>
        </w:rPr>
        <w:t>万元以上通用设备</w:t>
      </w:r>
      <w:r>
        <w:rPr>
          <w:rFonts w:ascii="仿宋_GB2312" w:hAnsi="宋体" w:eastAsia="仿宋_GB2312" w:cs="仿宋_GB2312"/>
          <w:sz w:val="32"/>
          <w:szCs w:val="32"/>
        </w:rPr>
        <w:t>0</w:t>
      </w:r>
      <w:r>
        <w:rPr>
          <w:rFonts w:hint="eastAsia" w:ascii="仿宋_GB2312" w:hAnsi="宋体" w:eastAsia="仿宋_GB2312" w:cs="仿宋_GB2312"/>
          <w:sz w:val="32"/>
          <w:szCs w:val="32"/>
        </w:rPr>
        <w:t>台（套），单位价值</w:t>
      </w:r>
      <w:r>
        <w:rPr>
          <w:rFonts w:ascii="仿宋_GB2312" w:hAnsi="宋体" w:eastAsia="仿宋_GB2312" w:cs="仿宋_GB2312"/>
          <w:sz w:val="32"/>
          <w:szCs w:val="32"/>
        </w:rPr>
        <w:t>100</w:t>
      </w:r>
      <w:r>
        <w:rPr>
          <w:rFonts w:hint="eastAsia" w:ascii="仿宋_GB2312" w:hAnsi="宋体" w:eastAsia="仿宋_GB2312" w:cs="仿宋_GB2312"/>
          <w:sz w:val="32"/>
          <w:szCs w:val="32"/>
        </w:rPr>
        <w:t>万元以上专用设备</w:t>
      </w:r>
      <w:r>
        <w:rPr>
          <w:rFonts w:ascii="仿宋_GB2312" w:hAnsi="宋体" w:eastAsia="仿宋_GB2312" w:cs="仿宋_GB2312"/>
          <w:sz w:val="32"/>
          <w:szCs w:val="32"/>
        </w:rPr>
        <w:t>0</w:t>
      </w:r>
      <w:r>
        <w:rPr>
          <w:rFonts w:hint="eastAsia" w:ascii="仿宋_GB2312" w:hAnsi="宋体" w:eastAsia="仿宋_GB2312" w:cs="仿宋_GB2312"/>
          <w:sz w:val="32"/>
          <w:szCs w:val="32"/>
        </w:rPr>
        <w:t>台（套）。</w:t>
      </w:r>
    </w:p>
    <w:p>
      <w:pPr>
        <w:kinsoku w:val="0"/>
        <w:overflowPunct w:val="0"/>
        <w:autoSpaceDE w:val="0"/>
        <w:autoSpaceDN w:val="0"/>
        <w:adjustRightInd w:val="0"/>
        <w:snapToGrid w:val="0"/>
        <w:spacing w:line="360" w:lineRule="auto"/>
        <w:ind w:firstLine="640" w:firstLineChars="200"/>
        <w:rPr>
          <w:rFonts w:ascii="仿宋_GB2312" w:hAnsi="宋体" w:eastAsia="仿宋_GB2312" w:cs="Times New Roman"/>
          <w:sz w:val="32"/>
          <w:szCs w:val="32"/>
        </w:rPr>
      </w:pPr>
    </w:p>
    <w:p>
      <w:pPr>
        <w:kinsoku w:val="0"/>
        <w:overflowPunct w:val="0"/>
        <w:autoSpaceDE w:val="0"/>
        <w:autoSpaceDN w:val="0"/>
        <w:adjustRightInd w:val="0"/>
        <w:snapToGrid w:val="0"/>
        <w:spacing w:line="360" w:lineRule="auto"/>
        <w:rPr>
          <w:rFonts w:ascii="仿宋_GB2312" w:hAnsi="宋体" w:eastAsia="仿宋_GB2312" w:cs="Times New Roman"/>
          <w:sz w:val="32"/>
          <w:szCs w:val="3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Times New Roman"/>
          <w:sz w:val="32"/>
          <w:szCs w:val="32"/>
        </w:rPr>
      </w:pPr>
    </w:p>
    <w:p>
      <w:pPr>
        <w:ind w:firstLine="1920" w:firstLineChars="400"/>
        <w:jc w:val="both"/>
        <w:outlineLvl w:val="0"/>
        <w:rPr>
          <w:rFonts w:ascii="隶书" w:hAnsi="隶书" w:eastAsia="隶书" w:cs="隶书"/>
          <w:sz w:val="48"/>
          <w:szCs w:val="48"/>
        </w:rPr>
        <w:sectPr>
          <w:pgSz w:w="11906" w:h="16838"/>
          <w:pgMar w:top="1440" w:right="1531" w:bottom="1440" w:left="1587" w:header="850" w:footer="992" w:gutter="0"/>
          <w:pgNumType w:fmt="numberInDash"/>
          <w:cols w:space="0" w:num="1"/>
          <w:rtlGutter w:val="0"/>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b/>
          <w:bCs/>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w:t>
      </w:r>
      <w:r>
        <w:rPr>
          <w:rFonts w:hint="eastAsia" w:ascii="仿宋_GB2312" w:hAnsi="宋体" w:eastAsia="仿宋_GB2312" w:cs="Courier New"/>
          <w:sz w:val="32"/>
          <w:szCs w:val="32"/>
          <w:lang w:eastAsia="zh-CN"/>
        </w:rPr>
        <w:t>业务</w:t>
      </w:r>
      <w:r>
        <w:rPr>
          <w:rFonts w:hint="eastAsia" w:ascii="仿宋_GB2312" w:hAnsi="宋体" w:eastAsia="仿宋_GB2312" w:cs="Courier New"/>
          <w:sz w:val="32"/>
          <w:szCs w:val="32"/>
        </w:rPr>
        <w:t>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val="0"/>
          <w:bCs w:val="0"/>
          <w:sz w:val="32"/>
          <w:szCs w:val="32"/>
          <w:highlight w:val="none"/>
        </w:rPr>
      </w:pPr>
      <w:r>
        <w:rPr>
          <w:rFonts w:hint="eastAsia" w:ascii="仿宋_GB2312" w:hAnsi="宋体" w:eastAsia="仿宋_GB2312" w:cs="Courier New"/>
          <w:b/>
          <w:bCs/>
          <w:sz w:val="32"/>
          <w:szCs w:val="32"/>
          <w:highlight w:val="none"/>
        </w:rPr>
        <w:t>三、其他收入：</w:t>
      </w:r>
      <w:r>
        <w:rPr>
          <w:rFonts w:hint="eastAsia" w:ascii="仿宋_GB2312" w:hAnsi="宋体" w:eastAsia="仿宋_GB2312" w:cs="Courier New"/>
          <w:b w:val="0"/>
          <w:bCs w:val="0"/>
          <w:sz w:val="32"/>
          <w:szCs w:val="32"/>
          <w:highlight w:val="none"/>
        </w:rPr>
        <w:t>指</w:t>
      </w:r>
      <w:r>
        <w:rPr>
          <w:rFonts w:hint="eastAsia" w:ascii="仿宋_GB2312" w:hAnsi="宋体" w:eastAsia="仿宋_GB2312" w:cs="Courier New"/>
          <w:b w:val="0"/>
          <w:bCs w:val="0"/>
          <w:sz w:val="32"/>
          <w:szCs w:val="32"/>
          <w:highlight w:val="none"/>
          <w:lang w:eastAsia="zh-CN"/>
        </w:rPr>
        <w:t>本部门取得的</w:t>
      </w:r>
      <w:r>
        <w:rPr>
          <w:rFonts w:hint="eastAsia" w:ascii="仿宋_GB2312" w:hAnsi="宋体" w:eastAsia="仿宋_GB2312" w:cs="Courier New"/>
          <w:b w:val="0"/>
          <w:bCs w:val="0"/>
          <w:sz w:val="32"/>
          <w:szCs w:val="32"/>
          <w:highlight w:val="none"/>
        </w:rPr>
        <w:t>除“财政拨款</w:t>
      </w:r>
      <w:r>
        <w:rPr>
          <w:rFonts w:hint="eastAsia" w:ascii="仿宋_GB2312" w:hAnsi="宋体" w:eastAsia="仿宋_GB2312" w:cs="Courier New"/>
          <w:b w:val="0"/>
          <w:bCs w:val="0"/>
          <w:sz w:val="32"/>
          <w:szCs w:val="32"/>
          <w:highlight w:val="none"/>
          <w:lang w:eastAsia="zh-CN"/>
        </w:rPr>
        <w:t>收入</w:t>
      </w:r>
      <w:r>
        <w:rPr>
          <w:rFonts w:hint="eastAsia" w:ascii="仿宋_GB2312" w:hAnsi="宋体" w:eastAsia="仿宋_GB2312" w:cs="Courier New"/>
          <w:b w:val="0"/>
          <w:bCs w:val="0"/>
          <w:sz w:val="32"/>
          <w:szCs w:val="32"/>
          <w:highlight w:val="none"/>
        </w:rPr>
        <w:t>”、“事业收入”、“经营收入”等以外的收入。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sz w:val="32"/>
          <w:szCs w:val="32"/>
          <w:highlight w:val="none"/>
        </w:rPr>
        <w:t>指事业单位在当年的“财政拨款收入”、“事业收入”和“其他收入”</w:t>
      </w:r>
      <w:r>
        <w:rPr>
          <w:rFonts w:hint="eastAsia" w:ascii="仿宋_GB2312" w:hAnsi="宋体" w:eastAsia="仿宋_GB2312" w:cs="Courier New"/>
          <w:sz w:val="32"/>
          <w:szCs w:val="32"/>
        </w:rPr>
        <w:t>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bCs/>
          <w:sz w:val="32"/>
          <w:szCs w:val="32"/>
          <w:highlight w:val="none"/>
        </w:rPr>
        <w:t>五、年末结转和结余：</w:t>
      </w:r>
      <w:r>
        <w:rPr>
          <w:rFonts w:hint="eastAsia" w:ascii="仿宋_GB2312" w:hAnsi="宋体" w:eastAsia="仿宋_GB2312" w:cs="Courier New"/>
          <w:b w:val="0"/>
          <w:bCs w:val="0"/>
          <w:sz w:val="32"/>
          <w:szCs w:val="32"/>
          <w:highlight w:val="none"/>
        </w:rPr>
        <w:t>指本年度或以前年度预算安排、因客观条件发生变化无法按原计划实施，需延迟到以后年度按有关规定继续使用的资金</w:t>
      </w:r>
      <w:r>
        <w:rPr>
          <w:rFonts w:hint="eastAsia" w:ascii="仿宋_GB2312" w:hAnsi="宋体" w:eastAsia="仿宋_GB2312" w:cs="Courier New"/>
          <w:sz w:val="32"/>
          <w:szCs w:val="32"/>
          <w:highlight w:val="none"/>
        </w:rPr>
        <w:t>。</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hint="eastAsia" w:ascii="仿宋_GB2312" w:hAnsi="宋体" w:eastAsia="仿宋_GB2312" w:cs="Courier New"/>
          <w:sz w:val="32"/>
          <w:szCs w:val="32"/>
        </w:rPr>
      </w:pPr>
      <w:r>
        <w:rPr>
          <w:rFonts w:hint="eastAsia" w:ascii="仿宋_GB2312" w:hAnsi="宋体" w:eastAsia="仿宋_GB2312" w:cs="Courier New"/>
          <w:b/>
          <w:bCs/>
          <w:sz w:val="32"/>
          <w:szCs w:val="32"/>
          <w:lang w:eastAsia="zh-CN"/>
        </w:rPr>
        <w:t>八</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w:t>
      </w:r>
      <w:r>
        <w:rPr>
          <w:rFonts w:hint="eastAsia" w:ascii="仿宋_GB2312" w:hAnsi="宋体" w:eastAsia="仿宋_GB2312" w:cs="Courier New"/>
          <w:sz w:val="32"/>
          <w:szCs w:val="32"/>
          <w:lang w:eastAsia="zh-CN"/>
        </w:rPr>
        <w:t>决</w:t>
      </w:r>
      <w:r>
        <w:rPr>
          <w:rFonts w:hint="eastAsia" w:ascii="仿宋_GB2312" w:hAnsi="宋体" w:eastAsia="仿宋_GB2312" w:cs="Courier New"/>
          <w:sz w:val="32"/>
          <w:szCs w:val="32"/>
        </w:rPr>
        <w:t>算管理</w:t>
      </w:r>
      <w:r>
        <w:rPr>
          <w:rFonts w:hint="eastAsia" w:ascii="仿宋_GB2312" w:hAnsi="宋体" w:eastAsia="仿宋_GB2312" w:cs="Courier New"/>
          <w:sz w:val="32"/>
          <w:szCs w:val="32"/>
          <w:lang w:eastAsia="zh-CN"/>
        </w:rPr>
        <w:t>“三公”经费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lang w:eastAsia="zh-CN"/>
        </w:rPr>
        <w:t>九</w:t>
      </w:r>
      <w:r>
        <w:rPr>
          <w:rFonts w:hint="eastAsia" w:ascii="仿宋_GB2312" w:hAnsi="宋体" w:eastAsia="仿宋_GB2312" w:cs="Courier New"/>
          <w:b/>
          <w:bCs/>
          <w:sz w:val="32"/>
          <w:szCs w:val="32"/>
        </w:rPr>
        <w:t>、机关运行经费：</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rPr>
          <w:rFonts w:hint="eastAsia" w:ascii="仿宋_GB2312" w:hAnsi="宋体" w:eastAsia="仿宋_GB2312" w:cs="Courier New"/>
          <w:sz w:val="52"/>
          <w:szCs w:val="52"/>
          <w:highlight w:val="yellow"/>
          <w:lang w:val="en-US" w:eastAsia="zh-CN"/>
        </w:rPr>
      </w:pPr>
    </w:p>
    <w:sectPr>
      <w:pgSz w:w="11906" w:h="16838"/>
      <w:pgMar w:top="1440" w:right="1531" w:bottom="1440" w:left="1587" w:header="850"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5971BF59"/>
    <w:multiLevelType w:val="singleLevel"/>
    <w:tmpl w:val="5971BF59"/>
    <w:lvl w:ilvl="0" w:tentative="0">
      <w:start w:val="1"/>
      <w:numFmt w:val="chineseCounting"/>
      <w:suff w:val="nothing"/>
      <w:lvlText w:val="%1、"/>
      <w:lvlJc w:val="left"/>
      <w:pPr>
        <w:ind w:left="0" w:firstLine="420"/>
      </w:pPr>
      <w:rPr>
        <w:rFonts w:hint="eastAsia"/>
      </w:rPr>
    </w:lvl>
  </w:abstractNum>
  <w:abstractNum w:abstractNumId="2">
    <w:nsid w:val="5971C193"/>
    <w:multiLevelType w:val="singleLevel"/>
    <w:tmpl w:val="5971C193"/>
    <w:lvl w:ilvl="0" w:tentative="0">
      <w:start w:val="2"/>
      <w:numFmt w:val="chineseCounting"/>
      <w:suff w:val="nothing"/>
      <w:lvlText w:val="%1、"/>
      <w:lvlJc w:val="left"/>
    </w:lvl>
  </w:abstractNum>
  <w:abstractNum w:abstractNumId="3">
    <w:nsid w:val="5971DAC2"/>
    <w:multiLevelType w:val="singleLevel"/>
    <w:tmpl w:val="5971DAC2"/>
    <w:lvl w:ilvl="0" w:tentative="0">
      <w:start w:val="1"/>
      <w:numFmt w:val="chineseCounting"/>
      <w:suff w:val="nothing"/>
      <w:lvlText w:val="%1、"/>
      <w:lvlJc w:val="left"/>
      <w:pPr>
        <w:ind w:left="0" w:firstLine="420"/>
      </w:pPr>
      <w:rPr>
        <w:rFonts w:hint="eastAsia"/>
      </w:rPr>
    </w:lvl>
  </w:abstractNum>
  <w:abstractNum w:abstractNumId="4">
    <w:nsid w:val="5971DBDD"/>
    <w:multiLevelType w:val="singleLevel"/>
    <w:tmpl w:val="5971DBDD"/>
    <w:lvl w:ilvl="0" w:tentative="0">
      <w:start w:val="1"/>
      <w:numFmt w:val="chineseCounting"/>
      <w:suff w:val="nothing"/>
      <w:lvlText w:val="（%1）"/>
      <w:lvlJc w:val="left"/>
      <w:pPr>
        <w:ind w:left="0" w:firstLine="420"/>
      </w:pPr>
      <w:rPr>
        <w:rFonts w:hint="eastAsia"/>
      </w:rPr>
    </w:lvl>
  </w:abstractNum>
  <w:abstractNum w:abstractNumId="5">
    <w:nsid w:val="5971DD00"/>
    <w:multiLevelType w:val="singleLevel"/>
    <w:tmpl w:val="5971DD00"/>
    <w:lvl w:ilvl="0" w:tentative="0">
      <w:start w:val="1"/>
      <w:numFmt w:val="decimal"/>
      <w:suff w:val="nothing"/>
      <w:lvlText w:val="%1．"/>
      <w:lvlJc w:val="left"/>
      <w:pPr>
        <w:ind w:left="0" w:firstLine="400"/>
      </w:pPr>
      <w:rPr>
        <w:rFonts w:hint="default"/>
      </w:rPr>
    </w:lvl>
  </w:abstractNum>
  <w:abstractNum w:abstractNumId="6">
    <w:nsid w:val="5971E093"/>
    <w:multiLevelType w:val="singleLevel"/>
    <w:tmpl w:val="5971E093"/>
    <w:lvl w:ilvl="0" w:tentative="0">
      <w:start w:val="1"/>
      <w:numFmt w:val="chineseCounting"/>
      <w:suff w:val="nothing"/>
      <w:lvlText w:val="（%1）"/>
      <w:lvlJc w:val="left"/>
      <w:pPr>
        <w:ind w:left="0" w:firstLine="420"/>
      </w:pPr>
      <w:rPr>
        <w:rFonts w:hint="eastAsia"/>
      </w:rPr>
    </w:lvl>
  </w:abstractNum>
  <w:abstractNum w:abstractNumId="7">
    <w:nsid w:val="5971E2D2"/>
    <w:multiLevelType w:val="singleLevel"/>
    <w:tmpl w:val="5971E2D2"/>
    <w:lvl w:ilvl="0" w:tentative="0">
      <w:start w:val="1"/>
      <w:numFmt w:val="decimal"/>
      <w:suff w:val="nothing"/>
      <w:lvlText w:val="%1．"/>
      <w:lvlJc w:val="left"/>
      <w:pPr>
        <w:ind w:left="0" w:firstLine="400"/>
      </w:pPr>
      <w:rPr>
        <w:rFonts w:hint="default"/>
      </w:rPr>
    </w:lvl>
  </w:abstractNum>
  <w:abstractNum w:abstractNumId="8">
    <w:nsid w:val="5971E776"/>
    <w:multiLevelType w:val="singleLevel"/>
    <w:tmpl w:val="5971E776"/>
    <w:lvl w:ilvl="0" w:tentative="0">
      <w:start w:val="1"/>
      <w:numFmt w:val="chineseCounting"/>
      <w:suff w:val="nothing"/>
      <w:lvlText w:val="（%1）"/>
      <w:lvlJc w:val="left"/>
      <w:pPr>
        <w:ind w:left="0" w:firstLine="420"/>
      </w:pPr>
      <w:rPr>
        <w:rFonts w:hint="eastAsia"/>
      </w:rPr>
    </w:lvl>
  </w:abstractNum>
  <w:abstractNum w:abstractNumId="9">
    <w:nsid w:val="5971EDEF"/>
    <w:multiLevelType w:val="singleLevel"/>
    <w:tmpl w:val="5971EDEF"/>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5A03"/>
    <w:rsid w:val="001150B0"/>
    <w:rsid w:val="00172A27"/>
    <w:rsid w:val="002929B4"/>
    <w:rsid w:val="009108DE"/>
    <w:rsid w:val="00B458CF"/>
    <w:rsid w:val="00CD71F9"/>
    <w:rsid w:val="04453648"/>
    <w:rsid w:val="05DB00B9"/>
    <w:rsid w:val="0891762F"/>
    <w:rsid w:val="09BB2134"/>
    <w:rsid w:val="0C6F3574"/>
    <w:rsid w:val="0CA434B9"/>
    <w:rsid w:val="0E4C156E"/>
    <w:rsid w:val="10BD4691"/>
    <w:rsid w:val="11585E8B"/>
    <w:rsid w:val="15492582"/>
    <w:rsid w:val="18F44D57"/>
    <w:rsid w:val="19027A1F"/>
    <w:rsid w:val="1D0B26EE"/>
    <w:rsid w:val="1D415527"/>
    <w:rsid w:val="1E7D3B34"/>
    <w:rsid w:val="22A51050"/>
    <w:rsid w:val="283D43BA"/>
    <w:rsid w:val="29B70F08"/>
    <w:rsid w:val="2BA4769A"/>
    <w:rsid w:val="2CD06EF4"/>
    <w:rsid w:val="2F335194"/>
    <w:rsid w:val="2FB44411"/>
    <w:rsid w:val="308E343A"/>
    <w:rsid w:val="30963758"/>
    <w:rsid w:val="324C54DE"/>
    <w:rsid w:val="32EF40CE"/>
    <w:rsid w:val="34920D5F"/>
    <w:rsid w:val="35AB7798"/>
    <w:rsid w:val="36F67858"/>
    <w:rsid w:val="372974AC"/>
    <w:rsid w:val="37515EC2"/>
    <w:rsid w:val="3949702E"/>
    <w:rsid w:val="3BE408BA"/>
    <w:rsid w:val="3C7F703B"/>
    <w:rsid w:val="3D70189E"/>
    <w:rsid w:val="3EF23596"/>
    <w:rsid w:val="42271DDB"/>
    <w:rsid w:val="43910C0D"/>
    <w:rsid w:val="44520EAA"/>
    <w:rsid w:val="48B52937"/>
    <w:rsid w:val="48EE3EF3"/>
    <w:rsid w:val="4A072FC6"/>
    <w:rsid w:val="4C1E2F28"/>
    <w:rsid w:val="4CFC29CC"/>
    <w:rsid w:val="4D6E1856"/>
    <w:rsid w:val="502C04C1"/>
    <w:rsid w:val="51DE24AB"/>
    <w:rsid w:val="541C4756"/>
    <w:rsid w:val="5651051D"/>
    <w:rsid w:val="56EC004A"/>
    <w:rsid w:val="57E961A8"/>
    <w:rsid w:val="581E77CF"/>
    <w:rsid w:val="58B06254"/>
    <w:rsid w:val="5AF25131"/>
    <w:rsid w:val="5CEF6EFC"/>
    <w:rsid w:val="600176AC"/>
    <w:rsid w:val="627F3A7C"/>
    <w:rsid w:val="65332BB8"/>
    <w:rsid w:val="664A46E0"/>
    <w:rsid w:val="664C4B76"/>
    <w:rsid w:val="66755D81"/>
    <w:rsid w:val="68A121F7"/>
    <w:rsid w:val="68A9241E"/>
    <w:rsid w:val="6B6D695A"/>
    <w:rsid w:val="6C0F764D"/>
    <w:rsid w:val="6FD41D7F"/>
    <w:rsid w:val="70F41F88"/>
    <w:rsid w:val="72416639"/>
    <w:rsid w:val="738C1FE2"/>
    <w:rsid w:val="75370C1C"/>
    <w:rsid w:val="75531EF6"/>
    <w:rsid w:val="75D0003D"/>
    <w:rsid w:val="7625479D"/>
    <w:rsid w:val="764F7877"/>
    <w:rsid w:val="793D0A2C"/>
    <w:rsid w:val="79460611"/>
    <w:rsid w:val="7AA141FF"/>
    <w:rsid w:val="7C445B57"/>
    <w:rsid w:val="7D713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31"/>
    <w:basedOn w:val="4"/>
    <w:qFormat/>
    <w:uiPriority w:val="0"/>
    <w:rPr>
      <w:rFonts w:ascii="Arial" w:hAnsi="Arial" w:cs="Arial"/>
      <w:color w:val="000000"/>
      <w:sz w:val="16"/>
      <w:szCs w:val="16"/>
      <w:u w:val="none"/>
    </w:rPr>
  </w:style>
  <w:style w:type="character" w:customStyle="1" w:styleId="7">
    <w:name w:val="font01"/>
    <w:basedOn w:val="4"/>
    <w:qFormat/>
    <w:uiPriority w:val="0"/>
    <w:rPr>
      <w:rFonts w:hint="default" w:ascii="Arial" w:hAnsi="Arial" w:cs="Arial"/>
      <w:color w:val="000000"/>
      <w:sz w:val="16"/>
      <w:szCs w:val="16"/>
      <w:u w:val="none"/>
    </w:rPr>
  </w:style>
  <w:style w:type="character" w:customStyle="1" w:styleId="8">
    <w:name w:val="font41"/>
    <w:basedOn w:val="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2305</Words>
  <Characters>13142</Characters>
  <Lines>109</Lines>
  <Paragraphs>30</Paragraphs>
  <TotalTime>41</TotalTime>
  <ScaleCrop>false</ScaleCrop>
  <LinksUpToDate>false</LinksUpToDate>
  <CharactersWithSpaces>15417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2018-10-22T01:54:38Z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