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仿宋_GB2312" w:hAnsi="仿宋_GB2312" w:eastAsia="仿宋_GB2312" w:cs="仿宋_GB2312"/>
          <w:sz w:val="44"/>
          <w:szCs w:val="44"/>
        </w:rPr>
      </w:pPr>
      <w:r>
        <w:rPr>
          <w:rFonts w:hint="eastAsia" w:ascii="隶书" w:hAnsi="隶书" w:eastAsia="隶书" w:cs="隶书"/>
          <w:sz w:val="52"/>
          <w:szCs w:val="52"/>
        </w:rPr>
        <w:t>南阳市卧龙区民族宗教局</w:t>
      </w:r>
    </w:p>
    <w:p>
      <w:pPr>
        <w:jc w:val="center"/>
        <w:rPr>
          <w:rFonts w:ascii="黑体" w:hAnsi="黑体" w:eastAsia="黑体"/>
          <w:sz w:val="52"/>
          <w:szCs w:val="52"/>
        </w:rPr>
      </w:pPr>
    </w:p>
    <w:p>
      <w:pPr>
        <w:jc w:val="center"/>
        <w:rPr>
          <w:rFonts w:hint="eastAsia" w:ascii="隶书" w:hAnsi="隶书" w:eastAsia="隶书" w:cs="隶书"/>
          <w:sz w:val="52"/>
          <w:szCs w:val="52"/>
        </w:rPr>
      </w:pPr>
      <w:r>
        <w:rPr>
          <w:rFonts w:hint="eastAsia" w:ascii="隶书" w:hAnsi="隶书" w:eastAsia="隶书" w:cs="隶书"/>
          <w:sz w:val="52"/>
          <w:szCs w:val="52"/>
        </w:rPr>
        <w:t>201</w:t>
      </w:r>
      <w:r>
        <w:rPr>
          <w:rFonts w:hint="eastAsia" w:ascii="隶书" w:hAnsi="隶书" w:eastAsia="隶书" w:cs="隶书"/>
          <w:sz w:val="52"/>
          <w:szCs w:val="52"/>
          <w:lang w:val="en-US" w:eastAsia="zh-CN"/>
        </w:rPr>
        <w:t>7</w:t>
      </w:r>
      <w:r>
        <w:rPr>
          <w:rFonts w:hint="eastAsia" w:ascii="隶书" w:hAnsi="隶书" w:eastAsia="隶书" w:cs="隶书"/>
          <w:sz w:val="52"/>
          <w:szCs w:val="52"/>
        </w:rPr>
        <w:t>年度部门决算</w:t>
      </w: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sectPr>
          <w:pgSz w:w="11906" w:h="16838"/>
          <w:pgMar w:top="1440" w:right="1531" w:bottom="1440" w:left="1587" w:header="850" w:footer="992" w:gutter="0"/>
          <w:pgNumType w:fmt="numberInDash" w:start="1"/>
          <w:cols w:space="720" w:num="1"/>
          <w:docGrid w:type="lines" w:linePitch="317"/>
        </w:sectPr>
      </w:pPr>
    </w:p>
    <w:p>
      <w:pPr>
        <w:jc w:val="center"/>
        <w:rPr>
          <w:rFonts w:ascii="黑体" w:hAnsi="黑体" w:eastAsia="黑体"/>
          <w:sz w:val="36"/>
          <w:szCs w:val="36"/>
        </w:rPr>
      </w:pPr>
      <w:r>
        <w:rPr>
          <w:rFonts w:hint="eastAsia" w:ascii="黑体" w:hAnsi="黑体" w:eastAsia="黑体"/>
          <w:sz w:val="36"/>
          <w:szCs w:val="36"/>
        </w:rPr>
        <w:t>目　　录</w:t>
      </w:r>
    </w:p>
    <w:p>
      <w:pPr>
        <w:jc w:val="left"/>
        <w:rPr>
          <w:rFonts w:ascii="黑体" w:hAnsi="黑体" w:eastAsia="黑体"/>
          <w:sz w:val="32"/>
          <w:szCs w:val="32"/>
        </w:rPr>
      </w:pPr>
      <w:r>
        <w:rPr>
          <w:rFonts w:hint="eastAsia" w:ascii="黑体" w:hAnsi="黑体" w:eastAsia="黑体"/>
          <w:sz w:val="32"/>
          <w:szCs w:val="32"/>
        </w:rPr>
        <w:t>第一部分　　南阳市卧龙区民族宗教局概况</w:t>
      </w:r>
    </w:p>
    <w:p>
      <w:pPr>
        <w:numPr>
          <w:ilvl w:val="0"/>
          <w:numId w:val="1"/>
        </w:numPr>
        <w:jc w:val="left"/>
        <w:rPr>
          <w:rFonts w:ascii="宋体" w:hAnsi="宋体" w:cs="宋体"/>
          <w:sz w:val="32"/>
          <w:szCs w:val="32"/>
        </w:rPr>
      </w:pPr>
      <w:r>
        <w:rPr>
          <w:rFonts w:hint="eastAsia" w:ascii="宋体" w:hAnsi="宋体" w:cs="宋体"/>
          <w:sz w:val="32"/>
          <w:szCs w:val="32"/>
        </w:rPr>
        <w:t>主要职责</w:t>
      </w:r>
    </w:p>
    <w:p>
      <w:pPr>
        <w:numPr>
          <w:ilvl w:val="0"/>
          <w:numId w:val="1"/>
        </w:numPr>
        <w:jc w:val="left"/>
        <w:rPr>
          <w:rFonts w:ascii="宋体" w:hAnsi="宋体" w:cs="宋体"/>
          <w:sz w:val="32"/>
          <w:szCs w:val="32"/>
        </w:rPr>
      </w:pPr>
      <w:r>
        <w:rPr>
          <w:rFonts w:hint="eastAsia" w:ascii="宋体" w:hAnsi="宋体" w:cs="宋体"/>
          <w:sz w:val="32"/>
          <w:szCs w:val="32"/>
          <w:lang w:eastAsia="zh-CN"/>
        </w:rPr>
        <w:t>机构设置</w:t>
      </w:r>
    </w:p>
    <w:p>
      <w:pPr>
        <w:jc w:val="left"/>
        <w:rPr>
          <w:rFonts w:ascii="黑体" w:hAnsi="黑体" w:eastAsia="黑体"/>
          <w:sz w:val="32"/>
          <w:szCs w:val="32"/>
        </w:rPr>
      </w:pPr>
      <w:r>
        <w:rPr>
          <w:rFonts w:hint="eastAsia" w:ascii="黑体" w:hAnsi="黑体" w:eastAsia="黑体"/>
          <w:sz w:val="32"/>
          <w:szCs w:val="32"/>
        </w:rPr>
        <w:t>第二部分　　南阳市卧龙区民族宗教局201</w:t>
      </w:r>
      <w:r>
        <w:rPr>
          <w:rFonts w:hint="eastAsia" w:ascii="黑体" w:hAnsi="黑体" w:eastAsia="黑体"/>
          <w:sz w:val="32"/>
          <w:szCs w:val="32"/>
          <w:lang w:val="en-US" w:eastAsia="zh-CN"/>
        </w:rPr>
        <w:t>7</w:t>
      </w:r>
      <w:r>
        <w:rPr>
          <w:rFonts w:hint="eastAsia" w:ascii="黑体" w:hAnsi="黑体" w:eastAsia="黑体"/>
          <w:sz w:val="32"/>
          <w:szCs w:val="32"/>
        </w:rPr>
        <w:t>年度部门决算表</w:t>
      </w:r>
    </w:p>
    <w:p>
      <w:pPr>
        <w:jc w:val="left"/>
        <w:rPr>
          <w:rFonts w:ascii="宋体" w:hAnsi="宋体" w:cs="宋体"/>
          <w:sz w:val="32"/>
          <w:szCs w:val="32"/>
        </w:rPr>
      </w:pPr>
      <w:r>
        <w:rPr>
          <w:rFonts w:hint="eastAsia" w:ascii="宋体" w:hAnsi="宋体" w:cs="宋体"/>
          <w:sz w:val="32"/>
          <w:szCs w:val="32"/>
        </w:rPr>
        <w:t>一、收入支出决算总表</w:t>
      </w:r>
    </w:p>
    <w:p>
      <w:pPr>
        <w:jc w:val="left"/>
        <w:rPr>
          <w:rFonts w:ascii="宋体" w:hAnsi="宋体" w:cs="宋体"/>
          <w:sz w:val="32"/>
          <w:szCs w:val="32"/>
        </w:rPr>
      </w:pPr>
      <w:r>
        <w:rPr>
          <w:rFonts w:hint="eastAsia" w:ascii="宋体" w:hAnsi="宋体" w:cs="宋体"/>
          <w:sz w:val="32"/>
          <w:szCs w:val="32"/>
        </w:rPr>
        <w:t>二、收入决算表</w:t>
      </w:r>
    </w:p>
    <w:p>
      <w:pPr>
        <w:jc w:val="left"/>
        <w:rPr>
          <w:rFonts w:ascii="宋体" w:hAnsi="宋体" w:cs="宋体"/>
          <w:sz w:val="32"/>
          <w:szCs w:val="32"/>
        </w:rPr>
      </w:pPr>
      <w:r>
        <w:rPr>
          <w:rFonts w:hint="eastAsia" w:ascii="宋体" w:hAnsi="宋体" w:cs="宋体"/>
          <w:sz w:val="32"/>
          <w:szCs w:val="32"/>
        </w:rPr>
        <w:t>三、支出决算表</w:t>
      </w:r>
    </w:p>
    <w:p>
      <w:pPr>
        <w:jc w:val="left"/>
        <w:rPr>
          <w:rFonts w:ascii="宋体" w:hAnsi="宋体" w:cs="宋体"/>
          <w:sz w:val="32"/>
          <w:szCs w:val="32"/>
        </w:rPr>
      </w:pPr>
      <w:r>
        <w:rPr>
          <w:rFonts w:hint="eastAsia" w:ascii="宋体" w:hAnsi="宋体" w:cs="宋体"/>
          <w:sz w:val="32"/>
          <w:szCs w:val="32"/>
        </w:rPr>
        <w:t>四、财政拨款收入支出决算总表</w:t>
      </w:r>
    </w:p>
    <w:p>
      <w:pPr>
        <w:jc w:val="left"/>
        <w:rPr>
          <w:rFonts w:ascii="宋体" w:hAnsi="宋体" w:cs="宋体"/>
          <w:sz w:val="32"/>
          <w:szCs w:val="32"/>
        </w:rPr>
      </w:pPr>
      <w:r>
        <w:rPr>
          <w:rFonts w:hint="eastAsia" w:ascii="宋体" w:hAnsi="宋体" w:cs="宋体"/>
          <w:sz w:val="32"/>
          <w:szCs w:val="32"/>
        </w:rPr>
        <w:t>五、一般公共预算财政拨款支出决算表</w:t>
      </w:r>
    </w:p>
    <w:p>
      <w:pPr>
        <w:jc w:val="left"/>
        <w:rPr>
          <w:rFonts w:ascii="宋体" w:hAnsi="宋体" w:cs="宋体"/>
          <w:sz w:val="32"/>
          <w:szCs w:val="32"/>
        </w:rPr>
      </w:pPr>
      <w:r>
        <w:rPr>
          <w:rFonts w:hint="eastAsia" w:ascii="宋体" w:hAnsi="宋体" w:cs="宋体"/>
          <w:sz w:val="32"/>
          <w:szCs w:val="32"/>
        </w:rPr>
        <w:t>六、一般公共预算财政拨款基本支出决算表</w:t>
      </w:r>
    </w:p>
    <w:p>
      <w:pPr>
        <w:jc w:val="left"/>
        <w:rPr>
          <w:rFonts w:ascii="宋体" w:hAnsi="宋体" w:cs="宋体"/>
          <w:sz w:val="32"/>
          <w:szCs w:val="32"/>
        </w:rPr>
      </w:pPr>
      <w:r>
        <w:rPr>
          <w:rFonts w:hint="eastAsia" w:ascii="宋体" w:hAnsi="宋体" w:cs="宋体"/>
          <w:sz w:val="32"/>
          <w:szCs w:val="32"/>
        </w:rPr>
        <w:t>七、一般公共预算财政拨款“三公”经费支出决算表</w:t>
      </w:r>
    </w:p>
    <w:p>
      <w:pPr>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sz w:val="32"/>
          <w:szCs w:val="32"/>
        </w:rPr>
      </w:pPr>
      <w:r>
        <w:rPr>
          <w:rFonts w:hint="eastAsia" w:ascii="黑体" w:hAnsi="黑体" w:eastAsia="黑体"/>
          <w:sz w:val="32"/>
          <w:szCs w:val="32"/>
        </w:rPr>
        <w:t>第三部分　　南阳市卧龙区民族宗教局201</w:t>
      </w:r>
      <w:r>
        <w:rPr>
          <w:rFonts w:hint="eastAsia" w:ascii="黑体" w:hAnsi="黑体" w:eastAsia="黑体"/>
          <w:sz w:val="32"/>
          <w:szCs w:val="32"/>
          <w:lang w:val="en-US" w:eastAsia="zh-CN"/>
        </w:rPr>
        <w:t>7</w:t>
      </w:r>
      <w:r>
        <w:rPr>
          <w:rFonts w:hint="eastAsia" w:ascii="黑体" w:hAnsi="黑体" w:eastAsia="黑体"/>
          <w:sz w:val="32"/>
          <w:szCs w:val="32"/>
        </w:rPr>
        <w:t>年度部门决算情况说明</w:t>
      </w:r>
    </w:p>
    <w:p>
      <w:pPr>
        <w:jc w:val="left"/>
        <w:rPr>
          <w:rFonts w:ascii="黑体" w:hAnsi="黑体" w:eastAsia="黑体"/>
          <w:sz w:val="32"/>
          <w:szCs w:val="32"/>
        </w:rPr>
        <w:sectPr>
          <w:footerReference r:id="rId4" w:type="default"/>
          <w:pgSz w:w="11906" w:h="16838"/>
          <w:pgMar w:top="1440" w:right="1531" w:bottom="1440" w:left="1587" w:header="850" w:footer="992" w:gutter="0"/>
          <w:pgNumType w:fmt="numberInDash"/>
          <w:cols w:space="720" w:num="1"/>
          <w:docGrid w:type="lines" w:linePitch="317"/>
        </w:sectPr>
      </w:pPr>
      <w:r>
        <w:rPr>
          <w:rFonts w:hint="eastAsia" w:ascii="黑体" w:hAnsi="黑体" w:eastAsia="黑体"/>
          <w:sz w:val="32"/>
          <w:szCs w:val="32"/>
        </w:rPr>
        <w:t>第四部分　　名词解释</w:t>
      </w: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center"/>
        <w:outlineLvl w:val="0"/>
        <w:rPr>
          <w:rFonts w:ascii="隶书" w:hAnsi="隶书" w:eastAsia="隶书" w:cs="隶书"/>
          <w:sz w:val="48"/>
          <w:szCs w:val="48"/>
        </w:rPr>
        <w:sectPr>
          <w:footerReference r:id="rId5" w:type="default"/>
          <w:pgSz w:w="11906" w:h="16838"/>
          <w:pgMar w:top="1440" w:right="1531" w:bottom="1440" w:left="1587" w:header="850" w:footer="992" w:gutter="0"/>
          <w:pgNumType w:fmt="numberInDash" w:start="1"/>
          <w:cols w:space="720" w:num="1"/>
          <w:docGrid w:type="lines" w:linePitch="317"/>
        </w:sectPr>
      </w:pPr>
      <w:r>
        <w:rPr>
          <w:rFonts w:hint="eastAsia" w:ascii="隶书" w:hAnsi="隶书" w:eastAsia="隶书" w:cs="隶书"/>
          <w:sz w:val="48"/>
          <w:szCs w:val="48"/>
        </w:rPr>
        <w:t>第一部分 南阳市卧龙区民族宗教局概况</w:t>
      </w:r>
    </w:p>
    <w:p>
      <w:pPr>
        <w:numPr>
          <w:ilvl w:val="0"/>
          <w:numId w:val="2"/>
        </w:numPr>
        <w:spacing w:line="360" w:lineRule="auto"/>
        <w:ind w:firstLine="640" w:firstLineChars="200"/>
        <w:jc w:val="left"/>
        <w:outlineLvl w:val="1"/>
        <w:rPr>
          <w:rFonts w:ascii="黑体" w:hAnsi="黑体" w:eastAsia="黑体"/>
          <w:sz w:val="32"/>
          <w:szCs w:val="32"/>
        </w:rPr>
      </w:pPr>
      <w:r>
        <w:rPr>
          <w:rFonts w:hint="eastAsia" w:ascii="黑体" w:hAnsi="黑体" w:eastAsia="黑体"/>
          <w:sz w:val="32"/>
          <w:szCs w:val="32"/>
        </w:rPr>
        <w:t>主要职责</w:t>
      </w:r>
    </w:p>
    <w:p>
      <w:pPr>
        <w:widowControl/>
        <w:spacing w:line="560" w:lineRule="exact"/>
        <w:ind w:left="160" w:hanging="160" w:hangingChars="50"/>
        <w:jc w:val="left"/>
        <w:rPr>
          <w:rFonts w:ascii="仿宋_GB2312" w:hAnsi="新宋体" w:eastAsia="仿宋_GB2312" w:cs="宋体"/>
          <w:color w:val="000000"/>
          <w:kern w:val="0"/>
          <w:sz w:val="32"/>
          <w:szCs w:val="32"/>
        </w:rPr>
      </w:pPr>
      <w:r>
        <w:rPr>
          <w:rFonts w:hint="eastAsia" w:ascii="楷体_GB2312" w:hAnsi="宋体" w:eastAsia="楷体_GB2312" w:cs="Courier New"/>
          <w:kern w:val="0"/>
          <w:sz w:val="32"/>
          <w:szCs w:val="32"/>
        </w:rPr>
        <w:t xml:space="preserve">   （</w:t>
      </w:r>
      <w:r>
        <w:rPr>
          <w:rFonts w:hint="eastAsia" w:ascii="仿宋_GB2312" w:hAnsi="宋体" w:eastAsia="仿宋_GB2312" w:cs="Courier New"/>
          <w:kern w:val="0"/>
          <w:sz w:val="32"/>
          <w:szCs w:val="32"/>
        </w:rPr>
        <w:t>一）</w:t>
      </w:r>
      <w:r>
        <w:rPr>
          <w:rFonts w:hint="eastAsia" w:ascii="仿宋_GB2312" w:hAnsi="新宋体" w:eastAsia="仿宋_GB2312"/>
          <w:color w:val="000000"/>
          <w:kern w:val="0"/>
          <w:sz w:val="32"/>
          <w:szCs w:val="32"/>
        </w:rPr>
        <w:t>开展民族、宗教政策和法规的宣传教育工作，检查民族、宗教政策和法规的执行情况。</w:t>
      </w:r>
    </w:p>
    <w:p>
      <w:pPr>
        <w:widowControl/>
        <w:spacing w:line="560" w:lineRule="exact"/>
        <w:ind w:left="160" w:hanging="160" w:hangingChars="50"/>
        <w:jc w:val="left"/>
        <w:rPr>
          <w:rFonts w:ascii="仿宋_GB2312" w:hAnsi="新宋体" w:eastAsia="仿宋_GB2312"/>
          <w:color w:val="000000"/>
          <w:kern w:val="0"/>
          <w:sz w:val="32"/>
          <w:szCs w:val="32"/>
        </w:rPr>
      </w:pPr>
      <w:r>
        <w:rPr>
          <w:rFonts w:hint="eastAsia" w:ascii="仿宋_GB2312" w:hAnsi="新宋体" w:eastAsia="仿宋_GB2312"/>
          <w:color w:val="000000"/>
          <w:kern w:val="0"/>
          <w:sz w:val="32"/>
          <w:szCs w:val="32"/>
        </w:rPr>
        <w:t xml:space="preserve">   （二）协调民族关系，办理有关保障少数民族各项权利事宜。</w:t>
      </w:r>
    </w:p>
    <w:p>
      <w:pPr>
        <w:widowControl/>
        <w:spacing w:line="560" w:lineRule="exact"/>
        <w:ind w:left="160" w:hanging="160" w:hangingChars="50"/>
        <w:jc w:val="left"/>
        <w:rPr>
          <w:rFonts w:ascii="仿宋_GB2312" w:hAnsi="新宋体" w:eastAsia="仿宋_GB2312"/>
          <w:color w:val="333333"/>
          <w:kern w:val="0"/>
          <w:sz w:val="32"/>
          <w:szCs w:val="32"/>
        </w:rPr>
      </w:pPr>
      <w:r>
        <w:rPr>
          <w:rFonts w:hint="eastAsia" w:ascii="仿宋_GB2312" w:hAnsi="新宋体" w:eastAsia="仿宋_GB2312"/>
          <w:color w:val="000000"/>
          <w:kern w:val="0"/>
          <w:sz w:val="32"/>
          <w:szCs w:val="32"/>
        </w:rPr>
        <w:t xml:space="preserve">   （三）会同有关部门帮助解决少数民族在生产、生活方面的实际困难；会同有关部门做好少数民族的扶贫工作。 </w:t>
      </w:r>
    </w:p>
    <w:p>
      <w:pPr>
        <w:ind w:firstLine="480" w:firstLineChars="150"/>
        <w:rPr>
          <w:rFonts w:ascii="仿宋_GB2312" w:eastAsia="仿宋_GB2312"/>
          <w:sz w:val="32"/>
          <w:szCs w:val="32"/>
        </w:rPr>
      </w:pPr>
      <w:r>
        <w:rPr>
          <w:rFonts w:hint="eastAsia" w:ascii="仿宋_GB2312" w:hAnsi="新宋体" w:eastAsia="仿宋_GB2312"/>
          <w:color w:val="000000"/>
          <w:kern w:val="0"/>
          <w:sz w:val="32"/>
          <w:szCs w:val="32"/>
        </w:rPr>
        <w:t>（四）协同有关部门促进少数民族教育、科技、文化、卫生、体育等社会事业的发展。</w:t>
      </w:r>
      <w:r>
        <w:rPr>
          <w:rFonts w:hint="eastAsia" w:ascii="仿宋_GB2312" w:hAnsi="新宋体" w:eastAsia="仿宋_GB2312"/>
          <w:color w:val="000000"/>
          <w:kern w:val="0"/>
          <w:sz w:val="32"/>
          <w:szCs w:val="32"/>
        </w:rPr>
        <w:br/>
      </w:r>
      <w:r>
        <w:rPr>
          <w:rFonts w:hint="eastAsia" w:ascii="仿宋_GB2312" w:hAnsi="新宋体" w:eastAsia="仿宋_GB2312"/>
          <w:color w:val="000000"/>
          <w:kern w:val="0"/>
          <w:sz w:val="32"/>
          <w:szCs w:val="32"/>
        </w:rPr>
        <w:t xml:space="preserve">   （五）协助有关部门做好少数民族干部的培养、教育和使用工作。</w:t>
      </w:r>
      <w:r>
        <w:rPr>
          <w:rFonts w:hint="eastAsia" w:ascii="仿宋_GB2312" w:hAnsi="新宋体" w:eastAsia="仿宋_GB2312"/>
          <w:color w:val="000000"/>
          <w:kern w:val="0"/>
          <w:sz w:val="32"/>
          <w:szCs w:val="32"/>
        </w:rPr>
        <w:br/>
      </w:r>
      <w:r>
        <w:rPr>
          <w:rFonts w:hint="eastAsia" w:ascii="仿宋_GB2312" w:hAnsi="新宋体" w:eastAsia="仿宋_GB2312"/>
          <w:color w:val="000000"/>
          <w:kern w:val="0"/>
          <w:sz w:val="32"/>
          <w:szCs w:val="32"/>
        </w:rPr>
        <w:t xml:space="preserve">   （六）依据党和国家的民族、宗教政策，维护少数民族的平等权利，依法保护公民宗教信仰自由，保护宗教教职人员履行正常的教务活动，保护宗教团体和宗教活动场所的合法权益，推动宗教界人士进行爱国主义、社会主义、拥护祖国统一和民族团结的自我教育，巩固和发展各民族、宗教界的爱国统一战线，团结和动员广大信教群众为改革开放和经济建设服务。</w:t>
      </w:r>
      <w:r>
        <w:rPr>
          <w:rFonts w:hint="eastAsia" w:ascii="仿宋_GB2312" w:hAnsi="新宋体" w:eastAsia="仿宋_GB2312"/>
          <w:color w:val="000000"/>
          <w:kern w:val="0"/>
          <w:sz w:val="32"/>
          <w:szCs w:val="32"/>
        </w:rPr>
        <w:br/>
      </w:r>
      <w:r>
        <w:rPr>
          <w:rFonts w:hint="eastAsia" w:ascii="仿宋_GB2312" w:hAnsi="新宋体" w:eastAsia="仿宋_GB2312"/>
          <w:color w:val="000000"/>
          <w:kern w:val="0"/>
          <w:sz w:val="32"/>
          <w:szCs w:val="32"/>
        </w:rPr>
        <w:t xml:space="preserve">   （七）依法加强对宗教事务的管理，劝阻、制止和处理一切不符合法律和政策的非正常活动，把宗教活动纳入法律和政策的轨道。</w:t>
      </w:r>
      <w:r>
        <w:rPr>
          <w:rFonts w:hint="eastAsia" w:ascii="仿宋_GB2312" w:hAnsi="新宋体" w:eastAsia="仿宋_GB2312"/>
          <w:color w:val="000000"/>
          <w:kern w:val="0"/>
          <w:sz w:val="32"/>
          <w:szCs w:val="32"/>
        </w:rPr>
        <w:br/>
      </w:r>
      <w:r>
        <w:rPr>
          <w:rFonts w:hint="eastAsia" w:ascii="仿宋_GB2312" w:hAnsi="新宋体" w:eastAsia="仿宋_GB2312"/>
          <w:color w:val="000000"/>
          <w:kern w:val="0"/>
          <w:sz w:val="32"/>
          <w:szCs w:val="32"/>
        </w:rPr>
        <w:t xml:space="preserve">   （八）配合有关部门，开展对国外敌对势力渗透活动的斗争，揭露和打击披着宗教外衣的反动分子和其他犯罪分子。</w:t>
      </w:r>
      <w:r>
        <w:rPr>
          <w:rFonts w:hint="eastAsia" w:ascii="仿宋_GB2312" w:hAnsi="新宋体" w:eastAsia="仿宋_GB2312"/>
          <w:color w:val="000000"/>
          <w:kern w:val="0"/>
          <w:sz w:val="32"/>
          <w:szCs w:val="32"/>
        </w:rPr>
        <w:br/>
      </w:r>
      <w:r>
        <w:rPr>
          <w:rFonts w:hint="eastAsia" w:ascii="仿宋_GB2312" w:hAnsi="新宋体" w:eastAsia="仿宋_GB2312"/>
          <w:color w:val="000000"/>
          <w:kern w:val="0"/>
          <w:sz w:val="32"/>
          <w:szCs w:val="32"/>
        </w:rPr>
        <w:t xml:space="preserve">   （九）发挥爱国宗教团体的作用，帮助爱国宗教团体在宪法允许的范围内按照各教特点开展工作。</w:t>
      </w:r>
      <w:r>
        <w:rPr>
          <w:rFonts w:hint="eastAsia" w:ascii="仿宋_GB2312" w:hAnsi="新宋体" w:eastAsia="仿宋_GB2312"/>
          <w:color w:val="000000"/>
          <w:kern w:val="0"/>
          <w:sz w:val="32"/>
          <w:szCs w:val="32"/>
        </w:rPr>
        <w:br/>
      </w:r>
      <w:r>
        <w:rPr>
          <w:rFonts w:hint="eastAsia" w:ascii="仿宋_GB2312" w:hAnsi="新宋体" w:eastAsia="仿宋_GB2312"/>
          <w:color w:val="000000"/>
          <w:kern w:val="0"/>
          <w:sz w:val="32"/>
          <w:szCs w:val="32"/>
        </w:rPr>
        <w:t xml:space="preserve">   （十）协助有关部门及时处理民族、宗教方面的突发事件和影响社会稳定的问题。</w:t>
      </w:r>
      <w:r>
        <w:rPr>
          <w:rFonts w:hint="eastAsia" w:ascii="仿宋_GB2312" w:hAnsi="新宋体" w:eastAsia="仿宋_GB2312"/>
          <w:color w:val="000000"/>
          <w:kern w:val="0"/>
          <w:sz w:val="32"/>
          <w:szCs w:val="32"/>
        </w:rPr>
        <w:br/>
      </w:r>
      <w:r>
        <w:rPr>
          <w:rFonts w:hint="eastAsia" w:ascii="仿宋_GB2312" w:hAnsi="新宋体" w:eastAsia="仿宋_GB2312"/>
          <w:color w:val="000000"/>
          <w:kern w:val="0"/>
          <w:sz w:val="32"/>
          <w:szCs w:val="32"/>
        </w:rPr>
        <w:t xml:space="preserve">   （十一）承办上级民族、宗教工作部门和区政府交办的其他事项。</w:t>
      </w:r>
    </w:p>
    <w:p>
      <w:pPr>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二、机构设置</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南阳市卧龙区民族宗教局是区一级预算单位，无下属机构，</w:t>
      </w:r>
      <w:r>
        <w:rPr>
          <w:rFonts w:hint="eastAsia" w:ascii="仿宋_GB2312" w:hAnsi="仿宋_GB2312" w:eastAsia="仿宋_GB2312" w:cs="仿宋_GB2312"/>
          <w:sz w:val="32"/>
          <w:szCs w:val="32"/>
        </w:rPr>
        <w:t>纳入南阳市卧龙区民族宗教局201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年度部门决算编制范围的单位包括：</w:t>
      </w:r>
    </w:p>
    <w:p>
      <w:pPr>
        <w:numPr>
          <w:ilvl w:val="0"/>
          <w:numId w:val="3"/>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南阳市卧龙区民族宗教局本级</w:t>
      </w: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pPr>
      <w:r>
        <w:rPr>
          <w:rFonts w:hint="eastAsia" w:ascii="隶书" w:hAnsi="隶书" w:eastAsia="隶书" w:cs="隶书"/>
          <w:sz w:val="48"/>
          <w:szCs w:val="48"/>
        </w:rPr>
        <w:t>南阳市卧龙区民族宗教局</w:t>
      </w:r>
    </w:p>
    <w:p>
      <w:pPr>
        <w:jc w:val="center"/>
        <w:rPr>
          <w:rFonts w:hint="eastAsia" w:ascii="隶书" w:hAnsi="隶书" w:eastAsia="隶书" w:cs="隶书"/>
          <w:sz w:val="48"/>
          <w:szCs w:val="48"/>
        </w:rPr>
      </w:pPr>
      <w:r>
        <w:rPr>
          <w:rFonts w:hint="eastAsia" w:ascii="隶书" w:hAnsi="隶书" w:eastAsia="隶书" w:cs="隶书"/>
          <w:sz w:val="48"/>
          <w:szCs w:val="48"/>
        </w:rPr>
        <w:t>201</w:t>
      </w:r>
      <w:r>
        <w:rPr>
          <w:rFonts w:hint="eastAsia" w:ascii="隶书" w:hAnsi="隶书" w:eastAsia="隶书" w:cs="隶书"/>
          <w:sz w:val="48"/>
          <w:szCs w:val="48"/>
          <w:lang w:val="en-US" w:eastAsia="zh-CN"/>
        </w:rPr>
        <w:t>7</w:t>
      </w:r>
      <w:r>
        <w:rPr>
          <w:rFonts w:hint="eastAsia" w:ascii="隶书" w:hAnsi="隶书" w:eastAsia="隶书" w:cs="隶书"/>
          <w:sz w:val="48"/>
          <w:szCs w:val="48"/>
        </w:rPr>
        <w:t>年度部门决算表</w:t>
      </w: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tbl>
      <w:tblPr>
        <w:tblW w:w="9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1925"/>
        <w:gridCol w:w="105"/>
        <w:gridCol w:w="298"/>
        <w:gridCol w:w="332"/>
        <w:gridCol w:w="1147"/>
        <w:gridCol w:w="2543"/>
        <w:gridCol w:w="690"/>
        <w:gridCol w:w="796"/>
        <w:gridCol w:w="1784"/>
      </w:tblGrid>
      <w:tr>
        <w:trPr>
          <w:trHeight w:val="90" w:hRule="atLeast"/>
        </w:trPr>
        <w:tc>
          <w:tcPr>
            <w:tcW w:w="9620" w:type="dxa"/>
            <w:gridSpan w:val="9"/>
            <w:vAlign w:val="bottom"/>
          </w:tcPr>
          <w:p>
            <w:pPr>
              <w:autoSpaceDN w:val="0"/>
              <w:jc w:val="center"/>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收入支出总表</w:t>
            </w:r>
          </w:p>
        </w:tc>
      </w:tr>
      <w:tr>
        <w:trPr>
          <w:trHeight w:val="90" w:hRule="atLeast"/>
        </w:trPr>
        <w:tc>
          <w:tcPr>
            <w:tcW w:w="1925" w:type="dxa"/>
            <w:vAlign w:val="bottom"/>
          </w:tcPr>
          <w:p>
            <w:pPr>
              <w:autoSpaceDN w:val="0"/>
              <w:jc w:val="left"/>
              <w:textAlignment w:val="bottom"/>
              <w:rPr>
                <w:rFonts w:hint="default" w:ascii="Arial" w:hAnsi="宋体"/>
                <w:b w:val="0"/>
                <w:i w:val="0"/>
                <w:color w:val="000000"/>
                <w:sz w:val="20"/>
                <w:u w:val="none"/>
              </w:rPr>
            </w:pPr>
          </w:p>
        </w:tc>
        <w:tc>
          <w:tcPr>
            <w:tcW w:w="735" w:type="dxa"/>
            <w:gridSpan w:val="3"/>
            <w:vAlign w:val="bottom"/>
          </w:tcPr>
          <w:p>
            <w:pPr>
              <w:autoSpaceDN w:val="0"/>
              <w:jc w:val="left"/>
              <w:textAlignment w:val="bottom"/>
              <w:rPr>
                <w:rFonts w:hint="default" w:ascii="Arial" w:hAnsi="宋体"/>
                <w:b w:val="0"/>
                <w:i w:val="0"/>
                <w:color w:val="000000"/>
                <w:sz w:val="20"/>
                <w:u w:val="none"/>
              </w:rPr>
            </w:pPr>
          </w:p>
        </w:tc>
        <w:tc>
          <w:tcPr>
            <w:tcW w:w="1147" w:type="dxa"/>
            <w:vAlign w:val="bottom"/>
          </w:tcPr>
          <w:p>
            <w:pPr>
              <w:autoSpaceDN w:val="0"/>
              <w:jc w:val="left"/>
              <w:textAlignment w:val="bottom"/>
              <w:rPr>
                <w:rFonts w:hint="default" w:ascii="Arial" w:hAnsi="宋体"/>
                <w:b w:val="0"/>
                <w:i w:val="0"/>
                <w:color w:val="000000"/>
                <w:sz w:val="20"/>
                <w:u w:val="none"/>
              </w:rPr>
            </w:pPr>
          </w:p>
        </w:tc>
        <w:tc>
          <w:tcPr>
            <w:tcW w:w="2543" w:type="dxa"/>
            <w:vAlign w:val="bottom"/>
          </w:tcPr>
          <w:p>
            <w:pPr>
              <w:autoSpaceDN w:val="0"/>
              <w:jc w:val="left"/>
              <w:textAlignment w:val="bottom"/>
              <w:rPr>
                <w:rFonts w:hint="default" w:ascii="Arial" w:hAnsi="宋体"/>
                <w:b w:val="0"/>
                <w:i w:val="0"/>
                <w:color w:val="000000"/>
                <w:sz w:val="20"/>
                <w:u w:val="none"/>
              </w:rPr>
            </w:pPr>
          </w:p>
        </w:tc>
        <w:tc>
          <w:tcPr>
            <w:tcW w:w="690" w:type="dxa"/>
            <w:vAlign w:val="bottom"/>
          </w:tcPr>
          <w:p>
            <w:pPr>
              <w:autoSpaceDN w:val="0"/>
              <w:jc w:val="left"/>
              <w:textAlignment w:val="bottom"/>
              <w:rPr>
                <w:rFonts w:hint="default" w:ascii="Arial" w:hAnsi="宋体"/>
                <w:b w:val="0"/>
                <w:i w:val="0"/>
                <w:color w:val="000000"/>
                <w:sz w:val="20"/>
                <w:u w:val="none"/>
              </w:rPr>
            </w:pPr>
          </w:p>
        </w:tc>
        <w:tc>
          <w:tcPr>
            <w:tcW w:w="2580" w:type="dxa"/>
            <w:gridSpan w:val="2"/>
            <w:vAlign w:val="bottom"/>
          </w:tcPr>
          <w:p>
            <w:pPr>
              <w:autoSpaceDN w:val="0"/>
              <w:jc w:val="right"/>
              <w:textAlignment w:val="bottom"/>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公开01表</w:t>
            </w:r>
          </w:p>
        </w:tc>
      </w:tr>
      <w:tr>
        <w:trPr>
          <w:trHeight w:val="90" w:hRule="atLeast"/>
        </w:trPr>
        <w:tc>
          <w:tcPr>
            <w:tcW w:w="6350" w:type="dxa"/>
            <w:gridSpan w:val="6"/>
            <w:vAlign w:val="bottom"/>
          </w:tcPr>
          <w:p>
            <w:pPr>
              <w:autoSpaceDN w:val="0"/>
              <w:jc w:val="left"/>
              <w:textAlignment w:val="bottom"/>
              <w:rPr>
                <w:rFonts w:hint="default" w:ascii="Arial" w:hAnsi="宋体"/>
                <w:b w:val="0"/>
                <w:i w:val="0"/>
                <w:color w:val="000000"/>
                <w:sz w:val="20"/>
                <w:u w:val="none"/>
              </w:rPr>
            </w:pPr>
            <w:r>
              <w:rPr>
                <w:rFonts w:hint="default" w:ascii="宋体" w:hAnsi="宋体" w:eastAsia="宋体"/>
                <w:b w:val="0"/>
                <w:i w:val="0"/>
                <w:color w:val="000000"/>
                <w:sz w:val="24"/>
                <w:u w:val="none"/>
                <w:lang w:eastAsia="zh-CN"/>
              </w:rPr>
              <w:t>部门：河南省南阳市卧龙区民族宗教局</w:t>
            </w:r>
          </w:p>
        </w:tc>
        <w:tc>
          <w:tcPr>
            <w:tcW w:w="690" w:type="dxa"/>
            <w:vAlign w:val="bottom"/>
          </w:tcPr>
          <w:p>
            <w:pPr>
              <w:autoSpaceDN w:val="0"/>
              <w:jc w:val="left"/>
              <w:textAlignment w:val="bottom"/>
              <w:rPr>
                <w:rFonts w:hint="default" w:ascii="Arial" w:hAnsi="宋体"/>
                <w:b w:val="0"/>
                <w:i w:val="0"/>
                <w:color w:val="000000"/>
                <w:sz w:val="20"/>
                <w:u w:val="none"/>
              </w:rPr>
            </w:pPr>
          </w:p>
        </w:tc>
        <w:tc>
          <w:tcPr>
            <w:tcW w:w="2580" w:type="dxa"/>
            <w:gridSpan w:val="2"/>
            <w:vAlign w:val="bottom"/>
          </w:tcPr>
          <w:p>
            <w:pPr>
              <w:autoSpaceDN w:val="0"/>
              <w:jc w:val="right"/>
              <w:textAlignment w:val="bottom"/>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金额单位：元</w:t>
            </w:r>
          </w:p>
        </w:tc>
      </w:tr>
      <w:tr>
        <w:trPr>
          <w:trHeight w:val="90" w:hRule="atLeast"/>
        </w:trPr>
        <w:tc>
          <w:tcPr>
            <w:tcW w:w="3807" w:type="dxa"/>
            <w:gridSpan w:val="5"/>
            <w:tcBorders>
              <w:top w:val="single" w:color="000000" w:sz="4" w:space="0"/>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收入</w:t>
            </w:r>
          </w:p>
        </w:tc>
        <w:tc>
          <w:tcPr>
            <w:tcW w:w="5813" w:type="dxa"/>
            <w:gridSpan w:val="4"/>
            <w:tcBorders>
              <w:top w:val="single" w:color="000000" w:sz="4" w:space="0"/>
              <w:bottom w:val="single" w:color="000000" w:sz="4" w:space="0"/>
              <w:right w:val="single" w:color="000000" w:sz="8"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支出</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w:t>
            </w: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行次</w:t>
            </w:r>
          </w:p>
        </w:tc>
        <w:tc>
          <w:tcPr>
            <w:tcW w:w="1479"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决算数</w:t>
            </w: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项目(按功能分类)</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行次</w:t>
            </w:r>
          </w:p>
        </w:tc>
        <w:tc>
          <w:tcPr>
            <w:tcW w:w="1784" w:type="dxa"/>
            <w:tcBorders>
              <w:bottom w:val="single" w:color="000000" w:sz="4" w:space="0"/>
              <w:right w:val="single" w:color="000000" w:sz="8"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决算数</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栏次</w:t>
            </w: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p>
        </w:tc>
        <w:tc>
          <w:tcPr>
            <w:tcW w:w="1479"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w:t>
            </w: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栏次</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p>
        </w:tc>
        <w:tc>
          <w:tcPr>
            <w:tcW w:w="1784" w:type="dxa"/>
            <w:tcBorders>
              <w:bottom w:val="single" w:color="000000" w:sz="4" w:space="0"/>
              <w:right w:val="single" w:color="000000" w:sz="8"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9</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一、财政拨款收入</w:t>
            </w: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744,688.00</w:t>
            </w: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一、一般公共服务支出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525,331.70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二、上级补助收入</w:t>
            </w: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二、外交支出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三、事业收入</w:t>
            </w: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三、国防支出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32</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四、经营收入</w:t>
            </w: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四、公共安全支出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33</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五、附属单位上缴收入</w:t>
            </w: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五、教育支出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34</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六、其他收入</w:t>
            </w: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6</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13,400.00</w:t>
            </w: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六、科学技术支出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35</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7</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七、文化体育与传媒支出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36</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8</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八、社会保障和就业支出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37</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236,272.80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9</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九、医疗卫生与计划生育支出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38</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25,494.20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10</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十、节能环保支出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39</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11</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十一、城乡社区支出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40</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12</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十二、农林水支出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41</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699,975.00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13</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十三、交通运输支出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42</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14</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十四、资源勘探信息等支出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43</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15</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十五、商业服务业等支出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44</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16</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十六、金融支出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45</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17</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十七、援助其他地区支出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46</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18</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十八、国土海洋气象等支出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47</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19</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十九、住房保障支出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48</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20</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二十、粮油物资储备支出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49</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21</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二十一、其他支出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50</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22</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二十二、债务还本支出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51</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23</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二十三、债务付息支出</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52</w:t>
            </w:r>
          </w:p>
        </w:tc>
        <w:tc>
          <w:tcPr>
            <w:tcW w:w="178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24</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53</w:t>
            </w:r>
          </w:p>
        </w:tc>
        <w:tc>
          <w:tcPr>
            <w:tcW w:w="1784" w:type="dxa"/>
            <w:tcBorders>
              <w:bottom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i w:val="0"/>
                <w:color w:val="000000"/>
                <w:sz w:val="22"/>
                <w:u w:val="none"/>
                <w:shd w:val="clear" w:color="auto" w:fill="C0C0C0"/>
                <w:lang w:eastAsia="zh-CN"/>
              </w:rPr>
            </w:pPr>
            <w:r>
              <w:rPr>
                <w:rFonts w:hint="default" w:ascii="宋体" w:hAnsi="宋体" w:eastAsia="宋体"/>
                <w:b/>
                <w:i w:val="0"/>
                <w:color w:val="000000"/>
                <w:sz w:val="22"/>
                <w:u w:val="none"/>
                <w:shd w:val="clear" w:color="auto" w:fill="C0C0C0"/>
                <w:lang w:eastAsia="zh-CN"/>
              </w:rPr>
              <w:t>本年收入合计</w:t>
            </w: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25</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758,088.00</w:t>
            </w: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i w:val="0"/>
                <w:color w:val="000000"/>
                <w:sz w:val="22"/>
                <w:u w:val="none"/>
                <w:shd w:val="clear" w:color="auto" w:fill="C0C0C0"/>
                <w:lang w:eastAsia="zh-CN"/>
              </w:rPr>
            </w:pPr>
            <w:r>
              <w:rPr>
                <w:rFonts w:hint="default" w:ascii="宋体" w:hAnsi="宋体" w:eastAsia="宋体"/>
                <w:b/>
                <w:i w:val="0"/>
                <w:color w:val="000000"/>
                <w:sz w:val="22"/>
                <w:u w:val="none"/>
                <w:shd w:val="clear" w:color="auto" w:fill="C0C0C0"/>
                <w:lang w:eastAsia="zh-CN"/>
              </w:rPr>
              <w:t>本年支出合计</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54</w:t>
            </w:r>
          </w:p>
        </w:tc>
        <w:tc>
          <w:tcPr>
            <w:tcW w:w="178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1,487,073.70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用事业基金弥补收支差额</w:t>
            </w: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26</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结余分配</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55</w:t>
            </w:r>
          </w:p>
        </w:tc>
        <w:tc>
          <w:tcPr>
            <w:tcW w:w="178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rPr>
          <w:trHeight w:val="90" w:hRule="atLeast"/>
        </w:trPr>
        <w:tc>
          <w:tcPr>
            <w:tcW w:w="203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年初结转和结余</w:t>
            </w: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27</w:t>
            </w:r>
          </w:p>
        </w:tc>
        <w:tc>
          <w:tcPr>
            <w:tcW w:w="147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824,573.15</w:t>
            </w:r>
          </w:p>
        </w:tc>
        <w:tc>
          <w:tcPr>
            <w:tcW w:w="3233"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年末结转和结余</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56</w:t>
            </w:r>
          </w:p>
        </w:tc>
        <w:tc>
          <w:tcPr>
            <w:tcW w:w="178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95,587.45</w:t>
            </w:r>
          </w:p>
        </w:tc>
      </w:tr>
      <w:tr>
        <w:trPr>
          <w:trHeight w:val="90" w:hRule="atLeast"/>
        </w:trPr>
        <w:tc>
          <w:tcPr>
            <w:tcW w:w="2030" w:type="dxa"/>
            <w:gridSpan w:val="2"/>
            <w:tcBorders>
              <w:left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28</w:t>
            </w:r>
          </w:p>
        </w:tc>
        <w:tc>
          <w:tcPr>
            <w:tcW w:w="1479" w:type="dxa"/>
            <w:gridSpan w:val="2"/>
            <w:tcBorders>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233" w:type="dxa"/>
            <w:gridSpan w:val="2"/>
            <w:tcBorders>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57</w:t>
            </w:r>
          </w:p>
        </w:tc>
        <w:tc>
          <w:tcPr>
            <w:tcW w:w="1784" w:type="dxa"/>
            <w:tcBorders>
              <w:right w:val="single" w:color="000000" w:sz="8"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2030" w:type="dxa"/>
            <w:gridSpan w:val="2"/>
            <w:tcBorders>
              <w:left w:val="single" w:color="000000" w:sz="4" w:space="0"/>
              <w:bottom w:val="single" w:color="000000" w:sz="8"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i w:val="0"/>
                <w:color w:val="000000"/>
                <w:sz w:val="22"/>
                <w:u w:val="none"/>
                <w:shd w:val="clear" w:color="auto" w:fill="C0C0C0"/>
                <w:lang w:eastAsia="zh-CN"/>
              </w:rPr>
            </w:pPr>
            <w:r>
              <w:rPr>
                <w:rFonts w:hint="default" w:ascii="宋体" w:hAnsi="宋体" w:eastAsia="宋体"/>
                <w:b/>
                <w:i w:val="0"/>
                <w:color w:val="000000"/>
                <w:sz w:val="22"/>
                <w:u w:val="none"/>
                <w:shd w:val="clear" w:color="auto" w:fill="C0C0C0"/>
                <w:lang w:eastAsia="zh-CN"/>
              </w:rPr>
              <w:t>总计</w:t>
            </w:r>
          </w:p>
        </w:tc>
        <w:tc>
          <w:tcPr>
            <w:tcW w:w="29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29</w:t>
            </w:r>
          </w:p>
        </w:tc>
        <w:tc>
          <w:tcPr>
            <w:tcW w:w="1479" w:type="dxa"/>
            <w:gridSpan w:val="2"/>
            <w:tcBorders>
              <w:bottom w:val="single" w:color="000000" w:sz="8"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1,582,661.15</w:t>
            </w:r>
          </w:p>
        </w:tc>
        <w:tc>
          <w:tcPr>
            <w:tcW w:w="3233" w:type="dxa"/>
            <w:gridSpan w:val="2"/>
            <w:tcBorders>
              <w:bottom w:val="single" w:color="000000" w:sz="8"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i w:val="0"/>
                <w:color w:val="000000"/>
                <w:sz w:val="22"/>
                <w:u w:val="none"/>
                <w:shd w:val="clear" w:color="auto" w:fill="C0C0C0"/>
                <w:lang w:eastAsia="zh-CN"/>
              </w:rPr>
            </w:pPr>
            <w:r>
              <w:rPr>
                <w:rFonts w:hint="default" w:ascii="宋体" w:hAnsi="宋体" w:eastAsia="宋体"/>
                <w:b/>
                <w:i w:val="0"/>
                <w:color w:val="000000"/>
                <w:sz w:val="22"/>
                <w:u w:val="none"/>
                <w:shd w:val="clear" w:color="auto" w:fill="C0C0C0"/>
                <w:lang w:eastAsia="zh-CN"/>
              </w:rPr>
              <w:t>总计</w:t>
            </w:r>
          </w:p>
        </w:tc>
        <w:tc>
          <w:tcPr>
            <w:tcW w:w="79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58</w:t>
            </w:r>
          </w:p>
        </w:tc>
        <w:tc>
          <w:tcPr>
            <w:tcW w:w="1784" w:type="dxa"/>
            <w:tcBorders>
              <w:bottom w:val="single" w:color="000000" w:sz="8" w:space="0"/>
              <w:right w:val="single" w:color="000000" w:sz="8"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1,582,661.15</w:t>
            </w:r>
          </w:p>
        </w:tc>
      </w:tr>
    </w:tbl>
    <w:p>
      <w:pPr>
        <w:jc w:val="left"/>
        <w:rPr>
          <w:rFonts w:hint="eastAsia" w:ascii="隶书" w:hAnsi="隶书" w:eastAsia="隶书" w:cs="隶书"/>
          <w:sz w:val="48"/>
          <w:szCs w:val="48"/>
        </w:rPr>
      </w:pPr>
      <w:r>
        <w:rPr>
          <w:rFonts w:hint="eastAsia" w:ascii="宋体" w:hAnsi="宋体" w:cs="宋体"/>
          <w:color w:val="000000"/>
          <w:kern w:val="0"/>
          <w:sz w:val="18"/>
          <w:szCs w:val="18"/>
        </w:rPr>
        <w:t>注：本表反映部门本年度的总收支和年末结转结余情况。</w:t>
      </w:r>
    </w:p>
    <w:p>
      <w:pPr>
        <w:jc w:val="center"/>
        <w:rPr>
          <w:rFonts w:hint="eastAsia" w:ascii="隶书" w:hAnsi="隶书" w:eastAsia="隶书" w:cs="隶书"/>
          <w:sz w:val="48"/>
          <w:szCs w:val="48"/>
        </w:rPr>
        <w:sectPr>
          <w:pgSz w:w="11906" w:h="16838"/>
          <w:pgMar w:top="1440" w:right="1531" w:bottom="1440" w:left="1587" w:header="850" w:footer="992" w:gutter="0"/>
          <w:pgNumType w:fmt="numberInDash"/>
          <w:cols w:space="720" w:num="1"/>
          <w:docGrid w:type="lines" w:linePitch="317"/>
        </w:sectPr>
      </w:pPr>
    </w:p>
    <w:p>
      <w:pPr>
        <w:jc w:val="center"/>
        <w:rPr>
          <w:rFonts w:ascii="Arial" w:hAnsi="Arial" w:cs="Arial"/>
          <w:color w:val="000000"/>
          <w:sz w:val="18"/>
          <w:szCs w:val="18"/>
        </w:rPr>
      </w:pPr>
    </w:p>
    <w:tbl>
      <w:tblPr>
        <w:tblpPr w:leftFromText="180" w:rightFromText="180" w:vertAnchor="text" w:horzAnchor="page" w:tblpX="1072" w:tblpY="276"/>
        <w:tblOverlap w:val="never"/>
        <w:tblW w:w="10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434"/>
        <w:gridCol w:w="620"/>
        <w:gridCol w:w="162"/>
        <w:gridCol w:w="459"/>
        <w:gridCol w:w="1549"/>
        <w:gridCol w:w="266"/>
        <w:gridCol w:w="1516"/>
        <w:gridCol w:w="848"/>
        <w:gridCol w:w="992"/>
        <w:gridCol w:w="815"/>
        <w:gridCol w:w="815"/>
        <w:gridCol w:w="815"/>
        <w:gridCol w:w="769"/>
      </w:tblGrid>
      <w:tr>
        <w:trPr>
          <w:trHeight w:val="664" w:hRule="atLeast"/>
        </w:trPr>
        <w:tc>
          <w:tcPr>
            <w:tcW w:w="10060" w:type="dxa"/>
            <w:gridSpan w:val="13"/>
            <w:vAlign w:val="bottom"/>
          </w:tcPr>
          <w:p>
            <w:pPr>
              <w:autoSpaceDN w:val="0"/>
              <w:jc w:val="center"/>
              <w:textAlignment w:val="bottom"/>
              <w:rPr>
                <w:rFonts w:hint="default" w:ascii="Arial" w:hAnsi="宋体"/>
                <w:b w:val="0"/>
                <w:i w:val="0"/>
                <w:color w:val="000000"/>
                <w:sz w:val="20"/>
                <w:u w:val="none"/>
              </w:rPr>
            </w:pPr>
            <w:r>
              <w:rPr>
                <w:rFonts w:hint="default" w:ascii="宋体" w:hAnsi="宋体" w:eastAsia="宋体"/>
                <w:b w:val="0"/>
                <w:i w:val="0"/>
                <w:color w:val="000000"/>
                <w:sz w:val="44"/>
                <w:u w:val="none"/>
                <w:lang w:eastAsia="zh-CN"/>
              </w:rPr>
              <w:t>收入决算表</w:t>
            </w:r>
          </w:p>
        </w:tc>
      </w:tr>
      <w:tr>
        <w:trPr>
          <w:trHeight w:val="332" w:hRule="atLeast"/>
        </w:trPr>
        <w:tc>
          <w:tcPr>
            <w:tcW w:w="434" w:type="dxa"/>
            <w:vAlign w:val="bottom"/>
          </w:tcPr>
          <w:p>
            <w:pPr>
              <w:autoSpaceDN w:val="0"/>
              <w:jc w:val="left"/>
              <w:textAlignment w:val="bottom"/>
              <w:rPr>
                <w:rFonts w:hint="default" w:ascii="Arial" w:hAnsi="宋体"/>
                <w:b w:val="0"/>
                <w:i w:val="0"/>
                <w:color w:val="000000"/>
                <w:sz w:val="20"/>
                <w:u w:val="none"/>
              </w:rPr>
            </w:pPr>
          </w:p>
        </w:tc>
        <w:tc>
          <w:tcPr>
            <w:tcW w:w="620" w:type="dxa"/>
            <w:vAlign w:val="bottom"/>
          </w:tcPr>
          <w:p>
            <w:pPr>
              <w:autoSpaceDN w:val="0"/>
              <w:jc w:val="left"/>
              <w:textAlignment w:val="bottom"/>
              <w:rPr>
                <w:rFonts w:hint="default" w:ascii="Arial" w:hAnsi="宋体"/>
                <w:b w:val="0"/>
                <w:i w:val="0"/>
                <w:color w:val="000000"/>
                <w:sz w:val="20"/>
                <w:u w:val="none"/>
              </w:rPr>
            </w:pPr>
          </w:p>
        </w:tc>
        <w:tc>
          <w:tcPr>
            <w:tcW w:w="621" w:type="dxa"/>
            <w:gridSpan w:val="2"/>
            <w:vAlign w:val="bottom"/>
          </w:tcPr>
          <w:p>
            <w:pPr>
              <w:autoSpaceDN w:val="0"/>
              <w:jc w:val="left"/>
              <w:textAlignment w:val="bottom"/>
              <w:rPr>
                <w:rFonts w:hint="default" w:ascii="Arial" w:hAnsi="宋体"/>
                <w:b w:val="0"/>
                <w:i w:val="0"/>
                <w:color w:val="000000"/>
                <w:sz w:val="20"/>
                <w:u w:val="none"/>
              </w:rPr>
            </w:pPr>
          </w:p>
        </w:tc>
        <w:tc>
          <w:tcPr>
            <w:tcW w:w="1549" w:type="dxa"/>
            <w:vAlign w:val="bottom"/>
          </w:tcPr>
          <w:p>
            <w:pPr>
              <w:autoSpaceDN w:val="0"/>
              <w:jc w:val="left"/>
              <w:textAlignment w:val="bottom"/>
              <w:rPr>
                <w:rFonts w:hint="default" w:ascii="Arial" w:hAnsi="宋体"/>
                <w:b w:val="0"/>
                <w:i w:val="0"/>
                <w:color w:val="000000"/>
                <w:sz w:val="20"/>
                <w:u w:val="none"/>
              </w:rPr>
            </w:pPr>
          </w:p>
        </w:tc>
        <w:tc>
          <w:tcPr>
            <w:tcW w:w="1782" w:type="dxa"/>
            <w:gridSpan w:val="2"/>
            <w:vAlign w:val="bottom"/>
          </w:tcPr>
          <w:p>
            <w:pPr>
              <w:autoSpaceDN w:val="0"/>
              <w:jc w:val="left"/>
              <w:textAlignment w:val="bottom"/>
              <w:rPr>
                <w:rFonts w:hint="default" w:ascii="Arial" w:hAnsi="宋体"/>
                <w:b w:val="0"/>
                <w:i w:val="0"/>
                <w:color w:val="000000"/>
                <w:sz w:val="20"/>
                <w:u w:val="none"/>
              </w:rPr>
            </w:pPr>
          </w:p>
        </w:tc>
        <w:tc>
          <w:tcPr>
            <w:tcW w:w="848" w:type="dxa"/>
            <w:vAlign w:val="bottom"/>
          </w:tcPr>
          <w:p>
            <w:pPr>
              <w:autoSpaceDN w:val="0"/>
              <w:jc w:val="left"/>
              <w:textAlignment w:val="bottom"/>
              <w:rPr>
                <w:rFonts w:hint="default" w:ascii="Arial" w:hAnsi="宋体"/>
                <w:b w:val="0"/>
                <w:i w:val="0"/>
                <w:color w:val="000000"/>
                <w:sz w:val="20"/>
                <w:u w:val="none"/>
              </w:rPr>
            </w:pPr>
          </w:p>
        </w:tc>
        <w:tc>
          <w:tcPr>
            <w:tcW w:w="992" w:type="dxa"/>
            <w:vAlign w:val="bottom"/>
          </w:tcPr>
          <w:p>
            <w:pPr>
              <w:autoSpaceDN w:val="0"/>
              <w:jc w:val="left"/>
              <w:textAlignment w:val="bottom"/>
              <w:rPr>
                <w:rFonts w:hint="default" w:ascii="Arial" w:hAnsi="宋体"/>
                <w:b w:val="0"/>
                <w:i w:val="0"/>
                <w:color w:val="000000"/>
                <w:sz w:val="20"/>
                <w:u w:val="none"/>
              </w:rPr>
            </w:pPr>
          </w:p>
        </w:tc>
        <w:tc>
          <w:tcPr>
            <w:tcW w:w="815" w:type="dxa"/>
            <w:vAlign w:val="bottom"/>
          </w:tcPr>
          <w:p>
            <w:pPr>
              <w:autoSpaceDN w:val="0"/>
              <w:jc w:val="left"/>
              <w:textAlignment w:val="bottom"/>
              <w:rPr>
                <w:rFonts w:hint="default" w:ascii="Arial" w:hAnsi="宋体"/>
                <w:b w:val="0"/>
                <w:i w:val="0"/>
                <w:color w:val="000000"/>
                <w:sz w:val="20"/>
                <w:u w:val="none"/>
              </w:rPr>
            </w:pPr>
          </w:p>
        </w:tc>
        <w:tc>
          <w:tcPr>
            <w:tcW w:w="2399" w:type="dxa"/>
            <w:gridSpan w:val="3"/>
            <w:vAlign w:val="bottom"/>
          </w:tcPr>
          <w:p>
            <w:pPr>
              <w:autoSpaceDN w:val="0"/>
              <w:jc w:val="right"/>
              <w:textAlignment w:val="bottom"/>
              <w:rPr>
                <w:rFonts w:hint="default" w:ascii="宋体" w:hAnsi="宋体" w:eastAsia="宋体"/>
                <w:b w:val="0"/>
                <w:i w:val="0"/>
                <w:color w:val="000000"/>
                <w:sz w:val="24"/>
                <w:u w:val="none"/>
                <w:lang w:eastAsia="zh-CN"/>
              </w:rPr>
            </w:pPr>
            <w:r>
              <w:rPr>
                <w:rFonts w:hint="eastAsia" w:ascii="宋体" w:hAnsi="宋体"/>
                <w:b w:val="0"/>
                <w:i w:val="0"/>
                <w:color w:val="000000"/>
                <w:sz w:val="24"/>
                <w:u w:val="none"/>
                <w:lang w:eastAsia="zh-CN"/>
              </w:rPr>
              <w:t>公开</w:t>
            </w:r>
            <w:r>
              <w:rPr>
                <w:rFonts w:hint="default" w:ascii="宋体" w:hAnsi="宋体" w:eastAsia="宋体"/>
                <w:b w:val="0"/>
                <w:i w:val="0"/>
                <w:color w:val="000000"/>
                <w:sz w:val="24"/>
                <w:u w:val="none"/>
                <w:lang w:eastAsia="zh-CN"/>
              </w:rPr>
              <w:t>0</w:t>
            </w:r>
            <w:r>
              <w:rPr>
                <w:rFonts w:hint="eastAsia" w:ascii="宋体" w:hAnsi="宋体"/>
                <w:b w:val="0"/>
                <w:i w:val="0"/>
                <w:color w:val="000000"/>
                <w:sz w:val="24"/>
                <w:u w:val="none"/>
                <w:lang w:val="en-US" w:eastAsia="zh-CN"/>
              </w:rPr>
              <w:t>2</w:t>
            </w:r>
            <w:r>
              <w:rPr>
                <w:rFonts w:hint="default" w:ascii="宋体" w:hAnsi="宋体" w:eastAsia="宋体"/>
                <w:b w:val="0"/>
                <w:i w:val="0"/>
                <w:color w:val="000000"/>
                <w:sz w:val="24"/>
                <w:u w:val="none"/>
                <w:lang w:eastAsia="zh-CN"/>
              </w:rPr>
              <w:t>表</w:t>
            </w:r>
          </w:p>
        </w:tc>
      </w:tr>
      <w:tr>
        <w:trPr>
          <w:trHeight w:val="664" w:hRule="atLeast"/>
        </w:trPr>
        <w:tc>
          <w:tcPr>
            <w:tcW w:w="5006" w:type="dxa"/>
            <w:gridSpan w:val="7"/>
            <w:vAlign w:val="bottom"/>
          </w:tcPr>
          <w:p>
            <w:pPr>
              <w:autoSpaceDN w:val="0"/>
              <w:jc w:val="left"/>
              <w:textAlignment w:val="bottom"/>
              <w:rPr>
                <w:rFonts w:hint="default" w:ascii="Arial" w:hAnsi="宋体"/>
                <w:b w:val="0"/>
                <w:i w:val="0"/>
                <w:color w:val="000000"/>
                <w:sz w:val="20"/>
                <w:u w:val="none"/>
              </w:rPr>
            </w:pPr>
            <w:r>
              <w:rPr>
                <w:rFonts w:hint="eastAsia" w:ascii="宋体" w:hAnsi="宋体"/>
                <w:b w:val="0"/>
                <w:i w:val="0"/>
                <w:color w:val="000000"/>
                <w:sz w:val="24"/>
                <w:u w:val="none"/>
                <w:lang w:eastAsia="zh-CN"/>
              </w:rPr>
              <w:t>部门</w:t>
            </w:r>
            <w:r>
              <w:rPr>
                <w:rFonts w:hint="default" w:ascii="宋体" w:hAnsi="宋体" w:eastAsia="宋体"/>
                <w:b w:val="0"/>
                <w:i w:val="0"/>
                <w:color w:val="000000"/>
                <w:sz w:val="24"/>
                <w:u w:val="none"/>
                <w:lang w:eastAsia="zh-CN"/>
              </w:rPr>
              <w:t>：河南省南阳市卧龙区民族宗教局</w:t>
            </w:r>
          </w:p>
        </w:tc>
        <w:tc>
          <w:tcPr>
            <w:tcW w:w="848" w:type="dxa"/>
            <w:vAlign w:val="bottom"/>
          </w:tcPr>
          <w:p>
            <w:pPr>
              <w:autoSpaceDN w:val="0"/>
              <w:jc w:val="left"/>
              <w:textAlignment w:val="bottom"/>
              <w:rPr>
                <w:rFonts w:hint="default" w:ascii="Arial" w:hAnsi="宋体"/>
                <w:b w:val="0"/>
                <w:i w:val="0"/>
                <w:color w:val="000000"/>
                <w:sz w:val="20"/>
                <w:u w:val="none"/>
              </w:rPr>
            </w:pPr>
          </w:p>
        </w:tc>
        <w:tc>
          <w:tcPr>
            <w:tcW w:w="992" w:type="dxa"/>
            <w:vAlign w:val="bottom"/>
          </w:tcPr>
          <w:p>
            <w:pPr>
              <w:autoSpaceDN w:val="0"/>
              <w:jc w:val="center"/>
              <w:textAlignment w:val="bottom"/>
              <w:rPr>
                <w:rFonts w:hint="default" w:ascii="宋体" w:hAnsi="宋体" w:eastAsia="宋体"/>
                <w:b w:val="0"/>
                <w:i w:val="0"/>
                <w:color w:val="000000"/>
                <w:sz w:val="24"/>
                <w:u w:val="none"/>
                <w:lang w:eastAsia="zh-CN"/>
              </w:rPr>
            </w:pPr>
          </w:p>
        </w:tc>
        <w:tc>
          <w:tcPr>
            <w:tcW w:w="815" w:type="dxa"/>
            <w:vAlign w:val="bottom"/>
          </w:tcPr>
          <w:p>
            <w:pPr>
              <w:autoSpaceDN w:val="0"/>
              <w:jc w:val="left"/>
              <w:textAlignment w:val="bottom"/>
              <w:rPr>
                <w:rFonts w:hint="default" w:ascii="Arial" w:hAnsi="宋体"/>
                <w:b w:val="0"/>
                <w:i w:val="0"/>
                <w:color w:val="000000"/>
                <w:sz w:val="20"/>
                <w:u w:val="none"/>
              </w:rPr>
            </w:pPr>
          </w:p>
        </w:tc>
        <w:tc>
          <w:tcPr>
            <w:tcW w:w="815" w:type="dxa"/>
            <w:vAlign w:val="bottom"/>
          </w:tcPr>
          <w:p>
            <w:pPr>
              <w:autoSpaceDN w:val="0"/>
              <w:jc w:val="left"/>
              <w:textAlignment w:val="bottom"/>
              <w:rPr>
                <w:rFonts w:hint="default" w:ascii="Arial" w:hAnsi="宋体"/>
                <w:b w:val="0"/>
                <w:i w:val="0"/>
                <w:color w:val="000000"/>
                <w:sz w:val="20"/>
                <w:u w:val="none"/>
              </w:rPr>
            </w:pPr>
          </w:p>
        </w:tc>
        <w:tc>
          <w:tcPr>
            <w:tcW w:w="815" w:type="dxa"/>
            <w:vAlign w:val="bottom"/>
          </w:tcPr>
          <w:p>
            <w:pPr>
              <w:autoSpaceDN w:val="0"/>
              <w:jc w:val="left"/>
              <w:textAlignment w:val="bottom"/>
              <w:rPr>
                <w:rFonts w:hint="default" w:ascii="Arial" w:hAnsi="宋体"/>
                <w:b w:val="0"/>
                <w:i w:val="0"/>
                <w:color w:val="000000"/>
                <w:sz w:val="20"/>
                <w:u w:val="none"/>
              </w:rPr>
            </w:pPr>
          </w:p>
        </w:tc>
        <w:tc>
          <w:tcPr>
            <w:tcW w:w="769" w:type="dxa"/>
            <w:vAlign w:val="bottom"/>
          </w:tcPr>
          <w:p>
            <w:pPr>
              <w:autoSpaceDN w:val="0"/>
              <w:jc w:val="right"/>
              <w:textAlignment w:val="bottom"/>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单位：元</w:t>
            </w:r>
          </w:p>
        </w:tc>
      </w:tr>
      <w:tr>
        <w:trPr>
          <w:trHeight w:val="352" w:hRule="atLeast"/>
        </w:trPr>
        <w:tc>
          <w:tcPr>
            <w:tcW w:w="3490" w:type="dxa"/>
            <w:gridSpan w:val="6"/>
            <w:tcBorders>
              <w:top w:val="single" w:color="000000" w:sz="4" w:space="0"/>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项目</w:t>
            </w:r>
          </w:p>
        </w:tc>
        <w:tc>
          <w:tcPr>
            <w:tcW w:w="1516"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本年收入合计</w:t>
            </w:r>
          </w:p>
        </w:tc>
        <w:tc>
          <w:tcPr>
            <w:tcW w:w="848"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财政拨款收入</w:t>
            </w:r>
          </w:p>
        </w:tc>
        <w:tc>
          <w:tcPr>
            <w:tcW w:w="992"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上级补助收入</w:t>
            </w:r>
          </w:p>
        </w:tc>
        <w:tc>
          <w:tcPr>
            <w:tcW w:w="815"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事业收入</w:t>
            </w:r>
          </w:p>
        </w:tc>
        <w:tc>
          <w:tcPr>
            <w:tcW w:w="815"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经营收入</w:t>
            </w:r>
          </w:p>
        </w:tc>
        <w:tc>
          <w:tcPr>
            <w:tcW w:w="815"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附属单位上缴收入</w:t>
            </w:r>
          </w:p>
        </w:tc>
        <w:tc>
          <w:tcPr>
            <w:tcW w:w="769" w:type="dxa"/>
            <w:vMerge w:val="restart"/>
            <w:tcBorders>
              <w:top w:val="single" w:color="000000" w:sz="4" w:space="0"/>
              <w:bottom w:val="single" w:color="000000" w:sz="4" w:space="0"/>
              <w:right w:val="single" w:color="000000" w:sz="8"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其他收入</w:t>
            </w:r>
          </w:p>
        </w:tc>
      </w:tr>
      <w:tr>
        <w:trPr>
          <w:trHeight w:val="335" w:hRule="atLeast"/>
        </w:trPr>
        <w:tc>
          <w:tcPr>
            <w:tcW w:w="1216" w:type="dxa"/>
            <w:gridSpan w:val="3"/>
            <w:vMerge w:val="restart"/>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支出功能分类科目编码</w:t>
            </w:r>
          </w:p>
        </w:tc>
        <w:tc>
          <w:tcPr>
            <w:tcW w:w="2274" w:type="dxa"/>
            <w:gridSpan w:val="3"/>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科目名称</w:t>
            </w:r>
          </w:p>
        </w:tc>
        <w:tc>
          <w:tcPr>
            <w:tcW w:w="1516"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848"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992"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815"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815"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815"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769" w:type="dxa"/>
            <w:vMerge w:val="continue"/>
            <w:tcBorders>
              <w:top w:val="single" w:color="000000" w:sz="4" w:space="0"/>
              <w:bottom w:val="single" w:color="000000" w:sz="4" w:space="0"/>
              <w:right w:val="single" w:color="000000" w:sz="8" w:space="0"/>
            </w:tcBorders>
            <w:shd w:val="solid" w:color="C0C0C0" w:fill="auto"/>
            <w:vAlign w:val="center"/>
          </w:tcPr>
          <w:p>
            <w:pPr>
              <w:rPr>
                <w:rFonts w:hint="default" w:ascii="宋体" w:hAnsi="宋体"/>
                <w:sz w:val="16"/>
                <w:szCs w:val="16"/>
              </w:rPr>
            </w:pPr>
          </w:p>
        </w:tc>
      </w:tr>
      <w:tr>
        <w:trPr>
          <w:trHeight w:val="335" w:hRule="atLeast"/>
        </w:trPr>
        <w:tc>
          <w:tcPr>
            <w:tcW w:w="1216" w:type="dxa"/>
            <w:gridSpan w:val="3"/>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16"/>
                <w:szCs w:val="16"/>
              </w:rPr>
            </w:pPr>
          </w:p>
        </w:tc>
        <w:tc>
          <w:tcPr>
            <w:tcW w:w="2274" w:type="dxa"/>
            <w:gridSpan w:val="3"/>
            <w:vMerge w:val="continue"/>
            <w:tcBorders>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1516"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848"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992"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815"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815"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815"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769" w:type="dxa"/>
            <w:vMerge w:val="continue"/>
            <w:tcBorders>
              <w:top w:val="single" w:color="000000" w:sz="4" w:space="0"/>
              <w:bottom w:val="single" w:color="000000" w:sz="4" w:space="0"/>
              <w:right w:val="single" w:color="000000" w:sz="8" w:space="0"/>
            </w:tcBorders>
            <w:shd w:val="solid" w:color="C0C0C0" w:fill="auto"/>
            <w:vAlign w:val="center"/>
          </w:tcPr>
          <w:p>
            <w:pPr>
              <w:rPr>
                <w:rFonts w:hint="default" w:ascii="宋体" w:hAnsi="宋体"/>
                <w:sz w:val="16"/>
                <w:szCs w:val="16"/>
              </w:rPr>
            </w:pPr>
          </w:p>
        </w:tc>
      </w:tr>
      <w:tr>
        <w:trPr>
          <w:trHeight w:val="335" w:hRule="atLeast"/>
        </w:trPr>
        <w:tc>
          <w:tcPr>
            <w:tcW w:w="1216" w:type="dxa"/>
            <w:gridSpan w:val="3"/>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16"/>
                <w:szCs w:val="16"/>
              </w:rPr>
            </w:pPr>
          </w:p>
        </w:tc>
        <w:tc>
          <w:tcPr>
            <w:tcW w:w="2274" w:type="dxa"/>
            <w:gridSpan w:val="3"/>
            <w:vMerge w:val="continue"/>
            <w:tcBorders>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1516"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848"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992"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815"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815"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815"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769" w:type="dxa"/>
            <w:vMerge w:val="continue"/>
            <w:tcBorders>
              <w:top w:val="single" w:color="000000" w:sz="4" w:space="0"/>
              <w:bottom w:val="single" w:color="000000" w:sz="4" w:space="0"/>
              <w:right w:val="single" w:color="000000" w:sz="8" w:space="0"/>
            </w:tcBorders>
            <w:shd w:val="solid" w:color="C0C0C0" w:fill="auto"/>
            <w:vAlign w:val="center"/>
          </w:tcPr>
          <w:p>
            <w:pPr>
              <w:rPr>
                <w:rFonts w:hint="default" w:ascii="宋体" w:hAnsi="宋体"/>
                <w:sz w:val="16"/>
                <w:szCs w:val="16"/>
              </w:rPr>
            </w:pPr>
          </w:p>
        </w:tc>
      </w:tr>
      <w:tr>
        <w:trPr>
          <w:trHeight w:val="352" w:hRule="atLeast"/>
        </w:trPr>
        <w:tc>
          <w:tcPr>
            <w:tcW w:w="434" w:type="dxa"/>
            <w:vMerge w:val="restart"/>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类</w:t>
            </w:r>
          </w:p>
        </w:tc>
        <w:tc>
          <w:tcPr>
            <w:tcW w:w="620"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款</w:t>
            </w:r>
          </w:p>
        </w:tc>
        <w:tc>
          <w:tcPr>
            <w:tcW w:w="162"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项</w:t>
            </w:r>
          </w:p>
        </w:tc>
        <w:tc>
          <w:tcPr>
            <w:tcW w:w="2274"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栏次</w:t>
            </w:r>
          </w:p>
        </w:tc>
        <w:tc>
          <w:tcPr>
            <w:tcW w:w="151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1</w:t>
            </w:r>
          </w:p>
        </w:tc>
        <w:tc>
          <w:tcPr>
            <w:tcW w:w="84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2</w:t>
            </w:r>
          </w:p>
        </w:tc>
        <w:tc>
          <w:tcPr>
            <w:tcW w:w="99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3</w:t>
            </w:r>
          </w:p>
        </w:tc>
        <w:tc>
          <w:tcPr>
            <w:tcW w:w="815"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4</w:t>
            </w:r>
          </w:p>
        </w:tc>
        <w:tc>
          <w:tcPr>
            <w:tcW w:w="815"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5</w:t>
            </w:r>
          </w:p>
        </w:tc>
        <w:tc>
          <w:tcPr>
            <w:tcW w:w="815"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6</w:t>
            </w:r>
          </w:p>
        </w:tc>
        <w:tc>
          <w:tcPr>
            <w:tcW w:w="769" w:type="dxa"/>
            <w:tcBorders>
              <w:bottom w:val="single" w:color="000000" w:sz="4" w:space="0"/>
              <w:right w:val="single" w:color="000000" w:sz="8"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7</w:t>
            </w:r>
          </w:p>
        </w:tc>
      </w:tr>
      <w:tr>
        <w:trPr>
          <w:trHeight w:val="352" w:hRule="atLeast"/>
        </w:trPr>
        <w:tc>
          <w:tcPr>
            <w:tcW w:w="434" w:type="dxa"/>
            <w:vMerge w:val="continue"/>
            <w:tcBorders>
              <w:left w:val="single" w:color="000000" w:sz="4" w:space="0"/>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620" w:type="dxa"/>
            <w:vMerge w:val="continue"/>
            <w:tcBorders>
              <w:bottom w:val="single" w:color="000000" w:sz="4" w:space="0"/>
              <w:right w:val="single" w:color="000000" w:sz="4" w:space="0"/>
            </w:tcBorders>
            <w:shd w:val="solid" w:color="C0C0C0" w:fill="auto"/>
            <w:vAlign w:val="center"/>
          </w:tcPr>
          <w:p>
            <w:pPr>
              <w:autoSpaceDN w:val="0"/>
              <w:textAlignment w:val="auto"/>
              <w:rPr>
                <w:rFonts w:hint="default" w:ascii="宋体" w:hAnsi="宋体"/>
                <w:sz w:val="16"/>
                <w:szCs w:val="16"/>
              </w:rPr>
            </w:pPr>
          </w:p>
        </w:tc>
        <w:tc>
          <w:tcPr>
            <w:tcW w:w="162" w:type="dxa"/>
            <w:vMerge w:val="continue"/>
            <w:tcBorders>
              <w:bottom w:val="single" w:color="000000" w:sz="4" w:space="0"/>
              <w:right w:val="single" w:color="000000" w:sz="4" w:space="0"/>
            </w:tcBorders>
            <w:shd w:val="solid" w:color="C0C0C0" w:fill="auto"/>
            <w:vAlign w:val="center"/>
          </w:tcPr>
          <w:p>
            <w:pPr>
              <w:rPr>
                <w:rFonts w:hint="default" w:ascii="宋体" w:hAnsi="宋体"/>
                <w:sz w:val="16"/>
                <w:szCs w:val="16"/>
              </w:rPr>
            </w:pPr>
          </w:p>
        </w:tc>
        <w:tc>
          <w:tcPr>
            <w:tcW w:w="2274"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16"/>
                <w:szCs w:val="16"/>
                <w:u w:val="none"/>
                <w:shd w:val="clear" w:color="auto" w:fill="C0C0C0"/>
                <w:lang w:eastAsia="zh-CN"/>
              </w:rPr>
            </w:pPr>
            <w:r>
              <w:rPr>
                <w:rFonts w:hint="default" w:ascii="宋体" w:hAnsi="宋体" w:eastAsia="宋体"/>
                <w:b w:val="0"/>
                <w:i w:val="0"/>
                <w:color w:val="000000"/>
                <w:sz w:val="16"/>
                <w:szCs w:val="16"/>
                <w:u w:val="none"/>
                <w:shd w:val="clear" w:color="auto" w:fill="C0C0C0"/>
                <w:lang w:eastAsia="zh-CN"/>
              </w:rPr>
              <w:t>合计</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758,088.00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744,688.00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13,400.00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201</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一般公共服务支出</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408,921.00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408,921.00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20124</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宗教事务</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408,921.00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408,921.00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2012401</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 xml:space="preserve">  行政运行</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328,921.00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328,921.00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2012404</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 xml:space="preserve">  宗教工作专项</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40,000.00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40,000.00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2012499</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 xml:space="preserve">  其他宗教事务支出</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40,000.00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40,000.00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208</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社会保障和就业支出</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236,272.80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236,272.80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20805</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行政事业单位离退休</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229,648.80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229,648.80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685"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2080501</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 xml:space="preserve">  归口管理的行政单位离退休</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207,829.20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207,829.20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685"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2080505</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 xml:space="preserve">  机关事业单位基本养老保险缴费支出★</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21,819.60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21,819.60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20808</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抚恤</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6,624.00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6,624.00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2080801</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 xml:space="preserve">  死亡抚恤</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6,624.00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6,624.00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210</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医疗卫生与计划生育支出</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25,494.20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25,494.20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21011</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行政事业单位医疗★</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25,494.20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25,494.20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2101101</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 xml:space="preserve">  行政单位医疗★</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25,494.20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25,494.20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213</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农林水支出</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74,000.00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74,000.00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21305</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扶贫</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74,000.00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74,000.00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2130504</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 xml:space="preserve">  农村基础设施建设</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40,000.00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40,000.00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2130599</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 xml:space="preserve">  其他扶贫支出</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34,000.00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34,000.00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229</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其他支出</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13,400.00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13,400.00</w:t>
            </w:r>
          </w:p>
        </w:tc>
      </w:tr>
      <w:tr>
        <w:trPr>
          <w:trHeight w:val="352" w:hRule="atLeast"/>
        </w:trPr>
        <w:tc>
          <w:tcPr>
            <w:tcW w:w="121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22999</w:t>
            </w:r>
          </w:p>
        </w:tc>
        <w:tc>
          <w:tcPr>
            <w:tcW w:w="2274"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其他支出</w:t>
            </w:r>
          </w:p>
        </w:tc>
        <w:tc>
          <w:tcPr>
            <w:tcW w:w="15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13,400.00</w:t>
            </w:r>
          </w:p>
        </w:tc>
        <w:tc>
          <w:tcPr>
            <w:tcW w:w="8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99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13,400.00</w:t>
            </w:r>
          </w:p>
        </w:tc>
      </w:tr>
      <w:tr>
        <w:trPr>
          <w:trHeight w:val="373" w:hRule="atLeast"/>
        </w:trPr>
        <w:tc>
          <w:tcPr>
            <w:tcW w:w="1216" w:type="dxa"/>
            <w:gridSpan w:val="3"/>
            <w:tcBorders>
              <w:left w:val="single" w:color="000000" w:sz="4" w:space="0"/>
              <w:bottom w:val="single" w:color="000000" w:sz="8"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2299901</w:t>
            </w:r>
          </w:p>
        </w:tc>
        <w:tc>
          <w:tcPr>
            <w:tcW w:w="2274" w:type="dxa"/>
            <w:gridSpan w:val="3"/>
            <w:tcBorders>
              <w:bottom w:val="single" w:color="000000" w:sz="8" w:space="0"/>
              <w:right w:val="single" w:color="000000" w:sz="4" w:space="0"/>
            </w:tcBorders>
            <w:vAlign w:val="center"/>
          </w:tcPr>
          <w:p>
            <w:pPr>
              <w:autoSpaceDN w:val="0"/>
              <w:jc w:val="lef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 xml:space="preserve">  其他支出</w:t>
            </w:r>
          </w:p>
        </w:tc>
        <w:tc>
          <w:tcPr>
            <w:tcW w:w="1516" w:type="dxa"/>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13,400.00</w:t>
            </w:r>
          </w:p>
        </w:tc>
        <w:tc>
          <w:tcPr>
            <w:tcW w:w="848" w:type="dxa"/>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992" w:type="dxa"/>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815" w:type="dxa"/>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0.00</w:t>
            </w:r>
          </w:p>
        </w:tc>
        <w:tc>
          <w:tcPr>
            <w:tcW w:w="769" w:type="dxa"/>
            <w:tcBorders>
              <w:bottom w:val="single" w:color="000000" w:sz="8" w:space="0"/>
              <w:right w:val="single" w:color="000000" w:sz="8" w:space="0"/>
            </w:tcBorders>
            <w:vAlign w:val="center"/>
          </w:tcPr>
          <w:p>
            <w:pPr>
              <w:autoSpaceDN w:val="0"/>
              <w:jc w:val="right"/>
              <w:textAlignment w:val="center"/>
              <w:rPr>
                <w:rFonts w:hint="default" w:ascii="宋体" w:hAnsi="宋体" w:eastAsia="宋体"/>
                <w:b w:val="0"/>
                <w:i w:val="0"/>
                <w:color w:val="000000"/>
                <w:sz w:val="16"/>
                <w:szCs w:val="16"/>
                <w:u w:val="none"/>
                <w:lang w:eastAsia="zh-CN"/>
              </w:rPr>
            </w:pPr>
            <w:r>
              <w:rPr>
                <w:rFonts w:hint="default" w:ascii="宋体" w:hAnsi="宋体" w:eastAsia="宋体"/>
                <w:b w:val="0"/>
                <w:i w:val="0"/>
                <w:color w:val="000000"/>
                <w:sz w:val="16"/>
                <w:szCs w:val="16"/>
                <w:u w:val="none"/>
                <w:lang w:eastAsia="zh-CN"/>
              </w:rPr>
              <w:t>13,400.00</w:t>
            </w:r>
          </w:p>
        </w:tc>
      </w:tr>
    </w:tbl>
    <w:p>
      <w:pPr>
        <w:jc w:val="center"/>
        <w:rPr>
          <w:rFonts w:ascii="隶书" w:hAnsi="隶书" w:eastAsia="隶书" w:cs="隶书"/>
          <w:sz w:val="48"/>
          <w:szCs w:val="48"/>
        </w:rPr>
      </w:pPr>
    </w:p>
    <w:p>
      <w:pPr>
        <w:tabs>
          <w:tab w:val="left" w:pos="5681"/>
        </w:tabs>
        <w:jc w:val="left"/>
        <w:rPr>
          <w:rFonts w:hint="eastAsia" w:cs="黑体"/>
          <w:kern w:val="2"/>
          <w:sz w:val="21"/>
          <w:szCs w:val="24"/>
          <w:lang w:val="en-US" w:eastAsia="zh-CN" w:bidi="ar-SA"/>
        </w:rPr>
      </w:pPr>
      <w:r>
        <w:rPr>
          <w:rFonts w:hint="eastAsia" w:cs="黑体"/>
          <w:kern w:val="2"/>
          <w:sz w:val="21"/>
          <w:szCs w:val="24"/>
          <w:lang w:val="en-US" w:eastAsia="zh-CN" w:bidi="ar-SA"/>
        </w:rPr>
        <w:tab/>
      </w:r>
    </w:p>
    <w:p>
      <w:pPr>
        <w:tabs>
          <w:tab w:val="left" w:pos="5681"/>
        </w:tabs>
        <w:jc w:val="left"/>
        <w:rPr>
          <w:rFonts w:hint="eastAsia" w:cs="黑体"/>
          <w:kern w:val="2"/>
          <w:sz w:val="21"/>
          <w:szCs w:val="24"/>
          <w:lang w:val="en-US" w:eastAsia="zh-CN" w:bidi="ar-SA"/>
        </w:rPr>
      </w:pPr>
    </w:p>
    <w:p>
      <w:pPr>
        <w:tabs>
          <w:tab w:val="left" w:pos="5681"/>
        </w:tabs>
        <w:jc w:val="left"/>
        <w:rPr>
          <w:rFonts w:hint="eastAsia" w:cs="黑体"/>
          <w:kern w:val="2"/>
          <w:sz w:val="21"/>
          <w:szCs w:val="24"/>
          <w:lang w:val="en-US" w:eastAsia="zh-CN" w:bidi="ar-SA"/>
        </w:rPr>
      </w:pPr>
    </w:p>
    <w:p>
      <w:pPr>
        <w:tabs>
          <w:tab w:val="left" w:pos="5681"/>
        </w:tabs>
        <w:jc w:val="left"/>
        <w:rPr>
          <w:rFonts w:hint="eastAsia" w:cs="黑体"/>
          <w:kern w:val="2"/>
          <w:sz w:val="21"/>
          <w:szCs w:val="24"/>
          <w:lang w:val="en-US" w:eastAsia="zh-CN" w:bidi="ar-SA"/>
        </w:rPr>
      </w:pPr>
    </w:p>
    <w:tbl>
      <w:tblPr>
        <w:tblW w:w="10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431"/>
        <w:gridCol w:w="441"/>
        <w:gridCol w:w="209"/>
        <w:gridCol w:w="77"/>
        <w:gridCol w:w="573"/>
        <w:gridCol w:w="1954"/>
        <w:gridCol w:w="1459"/>
        <w:gridCol w:w="1281"/>
        <w:gridCol w:w="1142"/>
        <w:gridCol w:w="859"/>
        <w:gridCol w:w="860"/>
        <w:gridCol w:w="874"/>
      </w:tblGrid>
      <w:tr>
        <w:trPr>
          <w:trHeight w:val="674" w:hRule="atLeast"/>
        </w:trPr>
        <w:tc>
          <w:tcPr>
            <w:tcW w:w="10160" w:type="dxa"/>
            <w:gridSpan w:val="12"/>
            <w:vAlign w:val="bottom"/>
          </w:tcPr>
          <w:p>
            <w:pPr>
              <w:autoSpaceDN w:val="0"/>
              <w:jc w:val="center"/>
              <w:textAlignment w:val="bottom"/>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支出决算表</w:t>
            </w:r>
          </w:p>
        </w:tc>
      </w:tr>
      <w:tr>
        <w:trPr>
          <w:trHeight w:val="666" w:hRule="atLeast"/>
        </w:trPr>
        <w:tc>
          <w:tcPr>
            <w:tcW w:w="431" w:type="dxa"/>
            <w:vAlign w:val="bottom"/>
          </w:tcPr>
          <w:p>
            <w:pPr>
              <w:autoSpaceDN w:val="0"/>
              <w:jc w:val="left"/>
              <w:textAlignment w:val="bottom"/>
              <w:rPr>
                <w:rFonts w:hint="default" w:ascii="Arial" w:hAnsi="宋体"/>
                <w:b w:val="0"/>
                <w:i w:val="0"/>
                <w:color w:val="000000"/>
                <w:sz w:val="21"/>
                <w:szCs w:val="21"/>
                <w:u w:val="none"/>
              </w:rPr>
            </w:pPr>
          </w:p>
        </w:tc>
        <w:tc>
          <w:tcPr>
            <w:tcW w:w="650" w:type="dxa"/>
            <w:gridSpan w:val="2"/>
            <w:vAlign w:val="bottom"/>
          </w:tcPr>
          <w:p>
            <w:pPr>
              <w:autoSpaceDN w:val="0"/>
              <w:jc w:val="left"/>
              <w:textAlignment w:val="bottom"/>
              <w:rPr>
                <w:rFonts w:hint="default" w:ascii="Arial" w:hAnsi="宋体"/>
                <w:b w:val="0"/>
                <w:i w:val="0"/>
                <w:color w:val="000000"/>
                <w:sz w:val="21"/>
                <w:szCs w:val="21"/>
                <w:u w:val="none"/>
              </w:rPr>
            </w:pPr>
          </w:p>
        </w:tc>
        <w:tc>
          <w:tcPr>
            <w:tcW w:w="650" w:type="dxa"/>
            <w:gridSpan w:val="2"/>
            <w:vAlign w:val="bottom"/>
          </w:tcPr>
          <w:p>
            <w:pPr>
              <w:autoSpaceDN w:val="0"/>
              <w:jc w:val="left"/>
              <w:textAlignment w:val="bottom"/>
              <w:rPr>
                <w:rFonts w:hint="default" w:ascii="Arial" w:hAnsi="宋体"/>
                <w:b w:val="0"/>
                <w:i w:val="0"/>
                <w:color w:val="000000"/>
                <w:sz w:val="21"/>
                <w:szCs w:val="21"/>
                <w:u w:val="none"/>
              </w:rPr>
            </w:pPr>
          </w:p>
        </w:tc>
        <w:tc>
          <w:tcPr>
            <w:tcW w:w="1954" w:type="dxa"/>
            <w:vAlign w:val="bottom"/>
          </w:tcPr>
          <w:p>
            <w:pPr>
              <w:autoSpaceDN w:val="0"/>
              <w:jc w:val="left"/>
              <w:textAlignment w:val="bottom"/>
              <w:rPr>
                <w:rFonts w:hint="default" w:ascii="Arial" w:hAnsi="宋体"/>
                <w:b w:val="0"/>
                <w:i w:val="0"/>
                <w:color w:val="000000"/>
                <w:sz w:val="21"/>
                <w:szCs w:val="21"/>
                <w:u w:val="none"/>
              </w:rPr>
            </w:pPr>
          </w:p>
        </w:tc>
        <w:tc>
          <w:tcPr>
            <w:tcW w:w="1459" w:type="dxa"/>
            <w:vAlign w:val="bottom"/>
          </w:tcPr>
          <w:p>
            <w:pPr>
              <w:autoSpaceDN w:val="0"/>
              <w:jc w:val="left"/>
              <w:textAlignment w:val="bottom"/>
              <w:rPr>
                <w:rFonts w:hint="default" w:ascii="Arial" w:hAnsi="宋体"/>
                <w:b w:val="0"/>
                <w:i w:val="0"/>
                <w:color w:val="000000"/>
                <w:sz w:val="21"/>
                <w:szCs w:val="21"/>
                <w:u w:val="none"/>
              </w:rPr>
            </w:pPr>
          </w:p>
        </w:tc>
        <w:tc>
          <w:tcPr>
            <w:tcW w:w="1281" w:type="dxa"/>
            <w:vAlign w:val="bottom"/>
          </w:tcPr>
          <w:p>
            <w:pPr>
              <w:autoSpaceDN w:val="0"/>
              <w:jc w:val="left"/>
              <w:textAlignment w:val="bottom"/>
              <w:rPr>
                <w:rFonts w:hint="default" w:ascii="Arial" w:hAnsi="宋体"/>
                <w:b w:val="0"/>
                <w:i w:val="0"/>
                <w:color w:val="000000"/>
                <w:sz w:val="21"/>
                <w:szCs w:val="21"/>
                <w:u w:val="none"/>
              </w:rPr>
            </w:pPr>
          </w:p>
        </w:tc>
        <w:tc>
          <w:tcPr>
            <w:tcW w:w="1142" w:type="dxa"/>
            <w:vAlign w:val="bottom"/>
          </w:tcPr>
          <w:p>
            <w:pPr>
              <w:autoSpaceDN w:val="0"/>
              <w:jc w:val="left"/>
              <w:textAlignment w:val="bottom"/>
              <w:rPr>
                <w:rFonts w:hint="default" w:ascii="Arial" w:hAnsi="宋体"/>
                <w:b w:val="0"/>
                <w:i w:val="0"/>
                <w:color w:val="000000"/>
                <w:sz w:val="21"/>
                <w:szCs w:val="21"/>
                <w:u w:val="none"/>
              </w:rPr>
            </w:pPr>
          </w:p>
        </w:tc>
        <w:tc>
          <w:tcPr>
            <w:tcW w:w="859" w:type="dxa"/>
            <w:vAlign w:val="bottom"/>
          </w:tcPr>
          <w:p>
            <w:pPr>
              <w:autoSpaceDN w:val="0"/>
              <w:jc w:val="left"/>
              <w:textAlignment w:val="bottom"/>
              <w:rPr>
                <w:rFonts w:hint="default" w:ascii="Arial" w:hAnsi="宋体"/>
                <w:b w:val="0"/>
                <w:i w:val="0"/>
                <w:color w:val="000000"/>
                <w:sz w:val="21"/>
                <w:szCs w:val="21"/>
                <w:u w:val="none"/>
              </w:rPr>
            </w:pPr>
          </w:p>
        </w:tc>
        <w:tc>
          <w:tcPr>
            <w:tcW w:w="860" w:type="dxa"/>
            <w:vAlign w:val="bottom"/>
          </w:tcPr>
          <w:p>
            <w:pPr>
              <w:autoSpaceDN w:val="0"/>
              <w:jc w:val="left"/>
              <w:textAlignment w:val="bottom"/>
              <w:rPr>
                <w:rFonts w:hint="default" w:ascii="Arial" w:hAnsi="宋体"/>
                <w:b w:val="0"/>
                <w:i w:val="0"/>
                <w:color w:val="000000"/>
                <w:sz w:val="21"/>
                <w:szCs w:val="21"/>
                <w:u w:val="none"/>
              </w:rPr>
            </w:pPr>
          </w:p>
        </w:tc>
        <w:tc>
          <w:tcPr>
            <w:tcW w:w="874" w:type="dxa"/>
            <w:vAlign w:val="bottom"/>
          </w:tcPr>
          <w:p>
            <w:pPr>
              <w:autoSpaceDN w:val="0"/>
              <w:jc w:val="right"/>
              <w:textAlignment w:val="bottom"/>
              <w:rPr>
                <w:rFonts w:hint="default" w:ascii="宋体" w:hAnsi="宋体" w:eastAsia="宋体"/>
                <w:b w:val="0"/>
                <w:i w:val="0"/>
                <w:color w:val="000000"/>
                <w:sz w:val="21"/>
                <w:szCs w:val="21"/>
                <w:u w:val="none"/>
                <w:lang w:eastAsia="zh-CN"/>
              </w:rPr>
            </w:pPr>
            <w:r>
              <w:rPr>
                <w:rFonts w:hint="eastAsia" w:ascii="宋体" w:hAnsi="宋体"/>
                <w:b w:val="0"/>
                <w:i w:val="0"/>
                <w:color w:val="000000"/>
                <w:sz w:val="21"/>
                <w:szCs w:val="21"/>
                <w:u w:val="none"/>
                <w:lang w:eastAsia="zh-CN"/>
              </w:rPr>
              <w:t>公开</w:t>
            </w:r>
            <w:r>
              <w:rPr>
                <w:rFonts w:hint="eastAsia" w:ascii="宋体" w:hAnsi="宋体"/>
                <w:b w:val="0"/>
                <w:i w:val="0"/>
                <w:color w:val="000000"/>
                <w:sz w:val="21"/>
                <w:szCs w:val="21"/>
                <w:u w:val="none"/>
                <w:lang w:val="en-US" w:eastAsia="zh-CN"/>
              </w:rPr>
              <w:t>03</w:t>
            </w:r>
            <w:r>
              <w:rPr>
                <w:rFonts w:hint="default" w:ascii="宋体" w:hAnsi="宋体" w:eastAsia="宋体"/>
                <w:b w:val="0"/>
                <w:i w:val="0"/>
                <w:color w:val="000000"/>
                <w:sz w:val="21"/>
                <w:szCs w:val="21"/>
                <w:u w:val="none"/>
                <w:lang w:eastAsia="zh-CN"/>
              </w:rPr>
              <w:t>表</w:t>
            </w:r>
          </w:p>
        </w:tc>
      </w:tr>
      <w:tr>
        <w:trPr>
          <w:trHeight w:val="674" w:hRule="atLeast"/>
        </w:trPr>
        <w:tc>
          <w:tcPr>
            <w:tcW w:w="3685" w:type="dxa"/>
            <w:gridSpan w:val="6"/>
            <w:vAlign w:val="bottom"/>
          </w:tcPr>
          <w:p>
            <w:pPr>
              <w:autoSpaceDN w:val="0"/>
              <w:jc w:val="both"/>
              <w:textAlignment w:val="bottom"/>
              <w:rPr>
                <w:rFonts w:hint="default" w:ascii="宋体" w:hAnsi="宋体" w:eastAsia="宋体"/>
                <w:b w:val="0"/>
                <w:i w:val="0"/>
                <w:color w:val="000000"/>
                <w:sz w:val="21"/>
                <w:szCs w:val="21"/>
                <w:u w:val="none"/>
                <w:lang w:eastAsia="zh-CN"/>
              </w:rPr>
            </w:pPr>
            <w:r>
              <w:rPr>
                <w:rFonts w:hint="eastAsia" w:ascii="宋体" w:hAnsi="宋体"/>
                <w:b w:val="0"/>
                <w:i w:val="0"/>
                <w:color w:val="000000"/>
                <w:sz w:val="21"/>
                <w:szCs w:val="21"/>
                <w:u w:val="none"/>
                <w:lang w:eastAsia="zh-CN"/>
              </w:rPr>
              <w:t>部门</w:t>
            </w:r>
            <w:r>
              <w:rPr>
                <w:rFonts w:hint="default" w:ascii="宋体" w:hAnsi="宋体" w:eastAsia="宋体"/>
                <w:b w:val="0"/>
                <w:i w:val="0"/>
                <w:color w:val="000000"/>
                <w:sz w:val="21"/>
                <w:szCs w:val="21"/>
                <w:u w:val="none"/>
                <w:lang w:eastAsia="zh-CN"/>
              </w:rPr>
              <w:t>：河南省南阳市卧龙区民族宗教局</w:t>
            </w:r>
          </w:p>
        </w:tc>
        <w:tc>
          <w:tcPr>
            <w:tcW w:w="1459" w:type="dxa"/>
            <w:vAlign w:val="bottom"/>
          </w:tcPr>
          <w:p>
            <w:pPr>
              <w:autoSpaceDN w:val="0"/>
              <w:jc w:val="left"/>
              <w:textAlignment w:val="bottom"/>
              <w:rPr>
                <w:rFonts w:hint="default" w:ascii="Arial" w:hAnsi="宋体"/>
                <w:b w:val="0"/>
                <w:i w:val="0"/>
                <w:color w:val="000000"/>
                <w:sz w:val="21"/>
                <w:szCs w:val="21"/>
                <w:u w:val="none"/>
              </w:rPr>
            </w:pPr>
          </w:p>
        </w:tc>
        <w:tc>
          <w:tcPr>
            <w:tcW w:w="1281" w:type="dxa"/>
            <w:vAlign w:val="bottom"/>
          </w:tcPr>
          <w:p>
            <w:pPr>
              <w:autoSpaceDN w:val="0"/>
              <w:jc w:val="center"/>
              <w:textAlignment w:val="bottom"/>
              <w:rPr>
                <w:rFonts w:hint="default" w:ascii="宋体" w:hAnsi="宋体" w:eastAsia="宋体"/>
                <w:b w:val="0"/>
                <w:i w:val="0"/>
                <w:color w:val="000000"/>
                <w:sz w:val="21"/>
                <w:szCs w:val="21"/>
                <w:u w:val="none"/>
                <w:lang w:eastAsia="zh-CN"/>
              </w:rPr>
            </w:pPr>
          </w:p>
        </w:tc>
        <w:tc>
          <w:tcPr>
            <w:tcW w:w="1142" w:type="dxa"/>
            <w:vAlign w:val="bottom"/>
          </w:tcPr>
          <w:p>
            <w:pPr>
              <w:autoSpaceDN w:val="0"/>
              <w:jc w:val="left"/>
              <w:textAlignment w:val="bottom"/>
              <w:rPr>
                <w:rFonts w:hint="default" w:ascii="Arial" w:hAnsi="宋体"/>
                <w:b w:val="0"/>
                <w:i w:val="0"/>
                <w:color w:val="000000"/>
                <w:sz w:val="21"/>
                <w:szCs w:val="21"/>
                <w:u w:val="none"/>
              </w:rPr>
            </w:pPr>
          </w:p>
        </w:tc>
        <w:tc>
          <w:tcPr>
            <w:tcW w:w="859" w:type="dxa"/>
            <w:vAlign w:val="bottom"/>
          </w:tcPr>
          <w:p>
            <w:pPr>
              <w:autoSpaceDN w:val="0"/>
              <w:jc w:val="left"/>
              <w:textAlignment w:val="bottom"/>
              <w:rPr>
                <w:rFonts w:hint="default" w:ascii="Arial" w:hAnsi="宋体"/>
                <w:b w:val="0"/>
                <w:i w:val="0"/>
                <w:color w:val="000000"/>
                <w:sz w:val="21"/>
                <w:szCs w:val="21"/>
                <w:u w:val="none"/>
              </w:rPr>
            </w:pPr>
          </w:p>
        </w:tc>
        <w:tc>
          <w:tcPr>
            <w:tcW w:w="860" w:type="dxa"/>
            <w:vAlign w:val="bottom"/>
          </w:tcPr>
          <w:p>
            <w:pPr>
              <w:autoSpaceDN w:val="0"/>
              <w:jc w:val="left"/>
              <w:textAlignment w:val="bottom"/>
              <w:rPr>
                <w:rFonts w:hint="default" w:ascii="Arial" w:hAnsi="宋体"/>
                <w:b w:val="0"/>
                <w:i w:val="0"/>
                <w:color w:val="000000"/>
                <w:sz w:val="21"/>
                <w:szCs w:val="21"/>
                <w:u w:val="none"/>
              </w:rPr>
            </w:pPr>
          </w:p>
        </w:tc>
        <w:tc>
          <w:tcPr>
            <w:tcW w:w="874" w:type="dxa"/>
            <w:vAlign w:val="bottom"/>
          </w:tcPr>
          <w:p>
            <w:pPr>
              <w:autoSpaceDN w:val="0"/>
              <w:jc w:val="right"/>
              <w:textAlignment w:val="bottom"/>
              <w:rPr>
                <w:rFonts w:hint="default" w:ascii="宋体" w:hAnsi="宋体" w:eastAsia="宋体"/>
                <w:b w:val="0"/>
                <w:i w:val="0"/>
                <w:color w:val="000000"/>
                <w:sz w:val="21"/>
                <w:szCs w:val="21"/>
                <w:u w:val="none"/>
                <w:lang w:eastAsia="zh-CN"/>
              </w:rPr>
            </w:pPr>
            <w:r>
              <w:rPr>
                <w:rFonts w:hint="eastAsia" w:ascii="宋体" w:hAnsi="宋体"/>
                <w:b w:val="0"/>
                <w:i w:val="0"/>
                <w:color w:val="000000"/>
                <w:sz w:val="21"/>
                <w:szCs w:val="21"/>
                <w:u w:val="none"/>
                <w:lang w:eastAsia="zh-CN"/>
              </w:rPr>
              <w:t>单</w:t>
            </w:r>
            <w:r>
              <w:rPr>
                <w:rFonts w:hint="default" w:ascii="宋体" w:hAnsi="宋体" w:eastAsia="宋体"/>
                <w:b w:val="0"/>
                <w:i w:val="0"/>
                <w:color w:val="000000"/>
                <w:sz w:val="21"/>
                <w:szCs w:val="21"/>
                <w:u w:val="none"/>
                <w:lang w:eastAsia="zh-CN"/>
              </w:rPr>
              <w:t>位：元</w:t>
            </w:r>
          </w:p>
        </w:tc>
      </w:tr>
      <w:tr>
        <w:trPr>
          <w:trHeight w:val="358" w:hRule="atLeast"/>
        </w:trPr>
        <w:tc>
          <w:tcPr>
            <w:tcW w:w="3685" w:type="dxa"/>
            <w:gridSpan w:val="6"/>
            <w:tcBorders>
              <w:top w:val="single" w:color="000000" w:sz="4" w:space="0"/>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项目</w:t>
            </w:r>
          </w:p>
        </w:tc>
        <w:tc>
          <w:tcPr>
            <w:tcW w:w="1459"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本年支出合计</w:t>
            </w:r>
          </w:p>
        </w:tc>
        <w:tc>
          <w:tcPr>
            <w:tcW w:w="1281"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基本支出</w:t>
            </w:r>
          </w:p>
        </w:tc>
        <w:tc>
          <w:tcPr>
            <w:tcW w:w="1142"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项目支出</w:t>
            </w:r>
          </w:p>
        </w:tc>
        <w:tc>
          <w:tcPr>
            <w:tcW w:w="859"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上缴上级支出</w:t>
            </w:r>
          </w:p>
        </w:tc>
        <w:tc>
          <w:tcPr>
            <w:tcW w:w="860"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经营支出</w:t>
            </w:r>
          </w:p>
        </w:tc>
        <w:tc>
          <w:tcPr>
            <w:tcW w:w="874" w:type="dxa"/>
            <w:vMerge w:val="restart"/>
            <w:tcBorders>
              <w:top w:val="single" w:color="000000" w:sz="4" w:space="0"/>
              <w:bottom w:val="single" w:color="000000" w:sz="4" w:space="0"/>
              <w:right w:val="single" w:color="000000" w:sz="8"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对附属单位补助支出</w:t>
            </w:r>
          </w:p>
        </w:tc>
      </w:tr>
      <w:tr>
        <w:trPr>
          <w:trHeight w:val="340" w:hRule="atLeast"/>
        </w:trPr>
        <w:tc>
          <w:tcPr>
            <w:tcW w:w="1158" w:type="dxa"/>
            <w:gridSpan w:val="4"/>
            <w:vMerge w:val="restart"/>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支出功能分类科目编码</w:t>
            </w:r>
          </w:p>
        </w:tc>
        <w:tc>
          <w:tcPr>
            <w:tcW w:w="2527" w:type="dxa"/>
            <w:gridSpan w:val="2"/>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科目名称</w:t>
            </w:r>
          </w:p>
        </w:tc>
        <w:tc>
          <w:tcPr>
            <w:tcW w:w="1459"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1281"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1142"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859"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860"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874" w:type="dxa"/>
            <w:vMerge w:val="continue"/>
            <w:tcBorders>
              <w:top w:val="single" w:color="000000" w:sz="4" w:space="0"/>
              <w:bottom w:val="single" w:color="000000" w:sz="4" w:space="0"/>
              <w:right w:val="single" w:color="000000" w:sz="8" w:space="0"/>
            </w:tcBorders>
            <w:shd w:val="solid" w:color="C0C0C0" w:fill="auto"/>
            <w:vAlign w:val="center"/>
          </w:tcPr>
          <w:p>
            <w:pPr>
              <w:rPr>
                <w:rFonts w:hint="default" w:ascii="宋体" w:hAnsi="宋体"/>
                <w:sz w:val="21"/>
                <w:szCs w:val="21"/>
              </w:rPr>
            </w:pPr>
          </w:p>
        </w:tc>
      </w:tr>
      <w:tr>
        <w:trPr>
          <w:trHeight w:val="340" w:hRule="atLeast"/>
        </w:trPr>
        <w:tc>
          <w:tcPr>
            <w:tcW w:w="1158" w:type="dxa"/>
            <w:gridSpan w:val="4"/>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21"/>
                <w:szCs w:val="21"/>
              </w:rPr>
            </w:pPr>
          </w:p>
        </w:tc>
        <w:tc>
          <w:tcPr>
            <w:tcW w:w="2527" w:type="dxa"/>
            <w:gridSpan w:val="2"/>
            <w:vMerge w:val="continue"/>
            <w:tcBorders>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1459"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1281"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1142"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859"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860"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874" w:type="dxa"/>
            <w:vMerge w:val="continue"/>
            <w:tcBorders>
              <w:top w:val="single" w:color="000000" w:sz="4" w:space="0"/>
              <w:bottom w:val="single" w:color="000000" w:sz="4" w:space="0"/>
              <w:right w:val="single" w:color="000000" w:sz="8" w:space="0"/>
            </w:tcBorders>
            <w:shd w:val="solid" w:color="C0C0C0" w:fill="auto"/>
            <w:vAlign w:val="center"/>
          </w:tcPr>
          <w:p>
            <w:pPr>
              <w:rPr>
                <w:rFonts w:hint="default" w:ascii="宋体" w:hAnsi="宋体"/>
                <w:sz w:val="21"/>
                <w:szCs w:val="21"/>
              </w:rPr>
            </w:pPr>
          </w:p>
        </w:tc>
      </w:tr>
      <w:tr>
        <w:trPr>
          <w:trHeight w:val="340" w:hRule="atLeast"/>
        </w:trPr>
        <w:tc>
          <w:tcPr>
            <w:tcW w:w="1158" w:type="dxa"/>
            <w:gridSpan w:val="4"/>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21"/>
                <w:szCs w:val="21"/>
              </w:rPr>
            </w:pPr>
          </w:p>
        </w:tc>
        <w:tc>
          <w:tcPr>
            <w:tcW w:w="2527" w:type="dxa"/>
            <w:gridSpan w:val="2"/>
            <w:vMerge w:val="continue"/>
            <w:tcBorders>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1459"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1281"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1142"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859"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860"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874" w:type="dxa"/>
            <w:vMerge w:val="continue"/>
            <w:tcBorders>
              <w:top w:val="single" w:color="000000" w:sz="4" w:space="0"/>
              <w:bottom w:val="single" w:color="000000" w:sz="4" w:space="0"/>
              <w:right w:val="single" w:color="000000" w:sz="8" w:space="0"/>
            </w:tcBorders>
            <w:shd w:val="solid" w:color="C0C0C0" w:fill="auto"/>
            <w:vAlign w:val="center"/>
          </w:tcPr>
          <w:p>
            <w:pPr>
              <w:rPr>
                <w:rFonts w:hint="default" w:ascii="宋体" w:hAnsi="宋体"/>
                <w:sz w:val="21"/>
                <w:szCs w:val="21"/>
              </w:rPr>
            </w:pPr>
          </w:p>
        </w:tc>
      </w:tr>
      <w:tr>
        <w:trPr>
          <w:trHeight w:val="358" w:hRule="atLeast"/>
        </w:trPr>
        <w:tc>
          <w:tcPr>
            <w:tcW w:w="431" w:type="dxa"/>
            <w:vMerge w:val="restart"/>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类</w:t>
            </w:r>
          </w:p>
        </w:tc>
        <w:tc>
          <w:tcPr>
            <w:tcW w:w="441"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款</w:t>
            </w:r>
          </w:p>
        </w:tc>
        <w:tc>
          <w:tcPr>
            <w:tcW w:w="286" w:type="dxa"/>
            <w:gridSpan w:val="2"/>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项</w:t>
            </w:r>
          </w:p>
        </w:tc>
        <w:tc>
          <w:tcPr>
            <w:tcW w:w="2527"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栏次</w:t>
            </w:r>
          </w:p>
        </w:tc>
        <w:tc>
          <w:tcPr>
            <w:tcW w:w="145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1</w:t>
            </w:r>
          </w:p>
        </w:tc>
        <w:tc>
          <w:tcPr>
            <w:tcW w:w="1281"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2</w:t>
            </w:r>
          </w:p>
        </w:tc>
        <w:tc>
          <w:tcPr>
            <w:tcW w:w="114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3</w:t>
            </w:r>
          </w:p>
        </w:tc>
        <w:tc>
          <w:tcPr>
            <w:tcW w:w="85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4</w:t>
            </w:r>
          </w:p>
        </w:tc>
        <w:tc>
          <w:tcPr>
            <w:tcW w:w="86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5</w:t>
            </w:r>
          </w:p>
        </w:tc>
        <w:tc>
          <w:tcPr>
            <w:tcW w:w="874" w:type="dxa"/>
            <w:tcBorders>
              <w:bottom w:val="single" w:color="000000" w:sz="4" w:space="0"/>
              <w:right w:val="single" w:color="000000" w:sz="8"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6</w:t>
            </w:r>
          </w:p>
        </w:tc>
      </w:tr>
      <w:tr>
        <w:trPr>
          <w:trHeight w:val="358" w:hRule="atLeast"/>
        </w:trPr>
        <w:tc>
          <w:tcPr>
            <w:tcW w:w="431" w:type="dxa"/>
            <w:vMerge w:val="continue"/>
            <w:tcBorders>
              <w:left w:val="single" w:color="000000" w:sz="4" w:space="0"/>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441" w:type="dxa"/>
            <w:vMerge w:val="continue"/>
            <w:tcBorders>
              <w:bottom w:val="single" w:color="000000" w:sz="4" w:space="0"/>
              <w:right w:val="single" w:color="000000" w:sz="4" w:space="0"/>
            </w:tcBorders>
            <w:shd w:val="solid" w:color="C0C0C0" w:fill="auto"/>
            <w:vAlign w:val="center"/>
          </w:tcPr>
          <w:p>
            <w:pPr>
              <w:autoSpaceDN w:val="0"/>
              <w:textAlignment w:val="auto"/>
              <w:rPr>
                <w:rFonts w:hint="default" w:ascii="宋体" w:hAnsi="宋体"/>
                <w:sz w:val="21"/>
                <w:szCs w:val="21"/>
              </w:rPr>
            </w:pPr>
          </w:p>
        </w:tc>
        <w:tc>
          <w:tcPr>
            <w:tcW w:w="286" w:type="dxa"/>
            <w:gridSpan w:val="2"/>
            <w:vMerge w:val="continue"/>
            <w:tcBorders>
              <w:bottom w:val="single" w:color="000000" w:sz="4" w:space="0"/>
              <w:right w:val="single" w:color="000000" w:sz="4" w:space="0"/>
            </w:tcBorders>
            <w:shd w:val="solid" w:color="C0C0C0" w:fill="auto"/>
            <w:vAlign w:val="center"/>
          </w:tcPr>
          <w:p>
            <w:pPr>
              <w:rPr>
                <w:rFonts w:hint="default" w:ascii="宋体" w:hAnsi="宋体"/>
                <w:sz w:val="21"/>
                <w:szCs w:val="21"/>
              </w:rPr>
            </w:pPr>
          </w:p>
        </w:tc>
        <w:tc>
          <w:tcPr>
            <w:tcW w:w="2527"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1"/>
                <w:szCs w:val="21"/>
                <w:u w:val="none"/>
                <w:shd w:val="clear" w:color="auto" w:fill="C0C0C0"/>
                <w:lang w:eastAsia="zh-CN"/>
              </w:rPr>
            </w:pPr>
            <w:r>
              <w:rPr>
                <w:rFonts w:hint="default" w:ascii="宋体" w:hAnsi="宋体" w:eastAsia="宋体"/>
                <w:b w:val="0"/>
                <w:i w:val="0"/>
                <w:color w:val="000000"/>
                <w:sz w:val="21"/>
                <w:szCs w:val="21"/>
                <w:u w:val="none"/>
                <w:shd w:val="clear" w:color="auto" w:fill="C0C0C0"/>
                <w:lang w:eastAsia="zh-CN"/>
              </w:rPr>
              <w:t>合计</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1,487,073.70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767,098.70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719,975.00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201</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一般公共服务支出</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525,331.70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505,331.70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20,000.00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20124</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宗教事务</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412,781.95</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392,781.95</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20,000.00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2012401</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 xml:space="preserve">  行政运行</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352,781.95</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352,781.95</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2012404</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 xml:space="preserve">  宗教工作专项</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40,000.00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40,000.00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2012499</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 xml:space="preserve">  其他宗教事务支出</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20,000.00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20,000.00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20199</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其他一般公共服务支出</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112,549.75</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112,549.75</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2019999</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 xml:space="preserve">  其他一般公共服务支出</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112,549.75</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112,549.75</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208</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社会保障和就业支出</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236,272.80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236,272.80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20805</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行政事业单位离退休</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229,648.80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229,648.80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695"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2080501</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 xml:space="preserve">  归口管理的行政单位离退休</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207,829.20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207,829.20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695"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2080505</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 xml:space="preserve">  机关事业单位基本养老保险缴费支出★</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21,819.60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21,819.60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20808</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抚恤</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6,624.00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6,624.00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2080801</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 xml:space="preserve">  死亡抚恤</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6,624.00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6,624.00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210</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医疗卫生与计划生育支出</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25,494.20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25,494.20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21011</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行政事业单位医疗★</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25,494.20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25,494.20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2101101</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 xml:space="preserve">  行政单位医疗★</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25,494.20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25,494.20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213</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农林水支出</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699,975.00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699,975.00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21305</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扶贫</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699,975.00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699,975.00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358" w:hRule="atLeast"/>
        </w:trPr>
        <w:tc>
          <w:tcPr>
            <w:tcW w:w="1158"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2130504</w:t>
            </w:r>
          </w:p>
        </w:tc>
        <w:tc>
          <w:tcPr>
            <w:tcW w:w="252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 xml:space="preserve">  农村基础设施建设</w:t>
            </w:r>
          </w:p>
        </w:tc>
        <w:tc>
          <w:tcPr>
            <w:tcW w:w="14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399,975.00</w:t>
            </w:r>
          </w:p>
        </w:tc>
        <w:tc>
          <w:tcPr>
            <w:tcW w:w="12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399,975.00</w:t>
            </w:r>
          </w:p>
        </w:tc>
        <w:tc>
          <w:tcPr>
            <w:tcW w:w="8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r>
        <w:trPr>
          <w:trHeight w:val="400" w:hRule="atLeast"/>
        </w:trPr>
        <w:tc>
          <w:tcPr>
            <w:tcW w:w="1158" w:type="dxa"/>
            <w:gridSpan w:val="4"/>
            <w:tcBorders>
              <w:left w:val="single" w:color="000000" w:sz="4" w:space="0"/>
              <w:bottom w:val="single" w:color="000000" w:sz="8"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2130599</w:t>
            </w:r>
          </w:p>
        </w:tc>
        <w:tc>
          <w:tcPr>
            <w:tcW w:w="2527" w:type="dxa"/>
            <w:gridSpan w:val="2"/>
            <w:tcBorders>
              <w:bottom w:val="single" w:color="000000" w:sz="8"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 xml:space="preserve">  其他扶贫支出</w:t>
            </w:r>
          </w:p>
        </w:tc>
        <w:tc>
          <w:tcPr>
            <w:tcW w:w="1459" w:type="dxa"/>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300,000.00</w:t>
            </w:r>
          </w:p>
        </w:tc>
        <w:tc>
          <w:tcPr>
            <w:tcW w:w="1281" w:type="dxa"/>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1142" w:type="dxa"/>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300,000.00</w:t>
            </w:r>
          </w:p>
        </w:tc>
        <w:tc>
          <w:tcPr>
            <w:tcW w:w="859" w:type="dxa"/>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60" w:type="dxa"/>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c>
          <w:tcPr>
            <w:tcW w:w="874" w:type="dxa"/>
            <w:tcBorders>
              <w:bottom w:val="single" w:color="000000" w:sz="8" w:space="0"/>
              <w:right w:val="single" w:color="000000" w:sz="8" w:space="0"/>
            </w:tcBorders>
            <w:vAlign w:val="center"/>
          </w:tcPr>
          <w:p>
            <w:pPr>
              <w:autoSpaceDN w:val="0"/>
              <w:jc w:val="right"/>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0.00</w:t>
            </w:r>
          </w:p>
        </w:tc>
      </w:tr>
    </w:tbl>
    <w:p>
      <w:pPr>
        <w:tabs>
          <w:tab w:val="left" w:pos="5681"/>
        </w:tabs>
        <w:jc w:val="left"/>
        <w:rPr>
          <w:rFonts w:hint="eastAsia" w:ascii="宋体" w:hAnsi="宋体" w:cs="宋体"/>
          <w:color w:val="000000"/>
          <w:kern w:val="0"/>
          <w:szCs w:val="21"/>
        </w:rPr>
      </w:pPr>
      <w:r>
        <w:rPr>
          <w:rFonts w:hint="eastAsia" w:ascii="宋体" w:hAnsi="宋体" w:cs="宋体"/>
          <w:color w:val="000000"/>
          <w:kern w:val="0"/>
          <w:szCs w:val="21"/>
        </w:rPr>
        <w:t>注：本表反映部门本年度各项支出情况。</w:t>
      </w:r>
    </w:p>
    <w:p>
      <w:pPr>
        <w:tabs>
          <w:tab w:val="left" w:pos="5681"/>
        </w:tabs>
        <w:jc w:val="left"/>
        <w:rPr>
          <w:rFonts w:hint="eastAsia" w:ascii="宋体" w:hAnsi="宋体" w:cs="宋体"/>
          <w:color w:val="000000"/>
          <w:kern w:val="0"/>
          <w:szCs w:val="21"/>
        </w:rPr>
      </w:pPr>
    </w:p>
    <w:p>
      <w:pPr>
        <w:tabs>
          <w:tab w:val="left" w:pos="5681"/>
        </w:tabs>
        <w:jc w:val="left"/>
        <w:rPr>
          <w:rFonts w:hint="eastAsia" w:ascii="宋体" w:hAnsi="宋体" w:cs="宋体"/>
          <w:color w:val="000000"/>
          <w:kern w:val="0"/>
          <w:szCs w:val="21"/>
        </w:rPr>
      </w:pPr>
    </w:p>
    <w:p>
      <w:pPr>
        <w:tabs>
          <w:tab w:val="left" w:pos="5681"/>
        </w:tabs>
        <w:jc w:val="left"/>
        <w:rPr>
          <w:rFonts w:hint="eastAsia" w:ascii="宋体" w:hAnsi="宋体" w:cs="宋体"/>
          <w:color w:val="000000"/>
          <w:kern w:val="0"/>
          <w:szCs w:val="21"/>
        </w:rPr>
      </w:pPr>
    </w:p>
    <w:p>
      <w:pPr>
        <w:tabs>
          <w:tab w:val="left" w:pos="5681"/>
        </w:tabs>
        <w:jc w:val="left"/>
        <w:rPr>
          <w:rFonts w:hint="eastAsia" w:ascii="宋体" w:hAnsi="宋体" w:cs="宋体"/>
          <w:color w:val="000000"/>
          <w:kern w:val="0"/>
          <w:szCs w:val="21"/>
        </w:rPr>
      </w:pPr>
    </w:p>
    <w:p>
      <w:pPr>
        <w:tabs>
          <w:tab w:val="left" w:pos="5681"/>
        </w:tabs>
        <w:jc w:val="left"/>
        <w:rPr>
          <w:rFonts w:hint="eastAsia" w:ascii="宋体" w:hAnsi="宋体" w:cs="宋体"/>
          <w:color w:val="000000"/>
          <w:kern w:val="0"/>
          <w:szCs w:val="21"/>
        </w:rPr>
      </w:pPr>
    </w:p>
    <w:tbl>
      <w:tblPr>
        <w:tblW w:w="10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1376"/>
        <w:gridCol w:w="422"/>
        <w:gridCol w:w="1480"/>
        <w:gridCol w:w="209"/>
        <w:gridCol w:w="1840"/>
        <w:gridCol w:w="423"/>
        <w:gridCol w:w="1361"/>
        <w:gridCol w:w="574"/>
        <w:gridCol w:w="796"/>
        <w:gridCol w:w="18"/>
        <w:gridCol w:w="390"/>
        <w:gridCol w:w="1131"/>
      </w:tblGrid>
      <w:tr>
        <w:trPr>
          <w:trHeight w:val="558" w:hRule="atLeast"/>
        </w:trPr>
        <w:tc>
          <w:tcPr>
            <w:tcW w:w="10020" w:type="dxa"/>
            <w:gridSpan w:val="12"/>
            <w:vAlign w:val="bottom"/>
          </w:tcPr>
          <w:p>
            <w:pPr>
              <w:autoSpaceDN w:val="0"/>
              <w:jc w:val="center"/>
              <w:textAlignment w:val="bottom"/>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财政拨款收入支出决算总表</w:t>
            </w:r>
          </w:p>
        </w:tc>
      </w:tr>
      <w:tr>
        <w:trPr>
          <w:trHeight w:val="327" w:hRule="atLeast"/>
        </w:trPr>
        <w:tc>
          <w:tcPr>
            <w:tcW w:w="1376" w:type="dxa"/>
            <w:vAlign w:val="bottom"/>
          </w:tcPr>
          <w:p>
            <w:pPr>
              <w:autoSpaceDN w:val="0"/>
              <w:jc w:val="left"/>
              <w:textAlignment w:val="bottom"/>
              <w:rPr>
                <w:rFonts w:hint="default" w:ascii="Arial" w:hAnsi="宋体"/>
                <w:b w:val="0"/>
                <w:i w:val="0"/>
                <w:color w:val="000000"/>
                <w:sz w:val="20"/>
                <w:szCs w:val="20"/>
                <w:u w:val="none"/>
              </w:rPr>
            </w:pPr>
          </w:p>
        </w:tc>
        <w:tc>
          <w:tcPr>
            <w:tcW w:w="422" w:type="dxa"/>
            <w:vAlign w:val="bottom"/>
          </w:tcPr>
          <w:p>
            <w:pPr>
              <w:autoSpaceDN w:val="0"/>
              <w:jc w:val="left"/>
              <w:textAlignment w:val="bottom"/>
              <w:rPr>
                <w:rFonts w:hint="default" w:ascii="Arial" w:hAnsi="宋体"/>
                <w:b w:val="0"/>
                <w:i w:val="0"/>
                <w:color w:val="000000"/>
                <w:sz w:val="20"/>
                <w:szCs w:val="20"/>
                <w:u w:val="none"/>
              </w:rPr>
            </w:pPr>
          </w:p>
        </w:tc>
        <w:tc>
          <w:tcPr>
            <w:tcW w:w="1689" w:type="dxa"/>
            <w:gridSpan w:val="2"/>
            <w:vAlign w:val="bottom"/>
          </w:tcPr>
          <w:p>
            <w:pPr>
              <w:autoSpaceDN w:val="0"/>
              <w:jc w:val="left"/>
              <w:textAlignment w:val="bottom"/>
              <w:rPr>
                <w:rFonts w:hint="default" w:ascii="Arial" w:hAnsi="宋体"/>
                <w:b w:val="0"/>
                <w:i w:val="0"/>
                <w:color w:val="000000"/>
                <w:sz w:val="20"/>
                <w:szCs w:val="20"/>
                <w:u w:val="none"/>
              </w:rPr>
            </w:pPr>
          </w:p>
        </w:tc>
        <w:tc>
          <w:tcPr>
            <w:tcW w:w="1840" w:type="dxa"/>
            <w:vAlign w:val="bottom"/>
          </w:tcPr>
          <w:p>
            <w:pPr>
              <w:autoSpaceDN w:val="0"/>
              <w:jc w:val="left"/>
              <w:textAlignment w:val="bottom"/>
              <w:rPr>
                <w:rFonts w:hint="default" w:ascii="Arial" w:hAnsi="宋体"/>
                <w:b w:val="0"/>
                <w:i w:val="0"/>
                <w:color w:val="000000"/>
                <w:sz w:val="20"/>
                <w:szCs w:val="20"/>
                <w:u w:val="none"/>
              </w:rPr>
            </w:pPr>
          </w:p>
        </w:tc>
        <w:tc>
          <w:tcPr>
            <w:tcW w:w="423" w:type="dxa"/>
            <w:vAlign w:val="bottom"/>
          </w:tcPr>
          <w:p>
            <w:pPr>
              <w:autoSpaceDN w:val="0"/>
              <w:jc w:val="left"/>
              <w:textAlignment w:val="bottom"/>
              <w:rPr>
                <w:rFonts w:hint="default" w:ascii="Arial" w:hAnsi="宋体"/>
                <w:b w:val="0"/>
                <w:i w:val="0"/>
                <w:color w:val="000000"/>
                <w:sz w:val="20"/>
                <w:szCs w:val="20"/>
                <w:u w:val="none"/>
              </w:rPr>
            </w:pPr>
          </w:p>
        </w:tc>
        <w:tc>
          <w:tcPr>
            <w:tcW w:w="1935" w:type="dxa"/>
            <w:gridSpan w:val="2"/>
            <w:vAlign w:val="bottom"/>
          </w:tcPr>
          <w:p>
            <w:pPr>
              <w:autoSpaceDN w:val="0"/>
              <w:jc w:val="left"/>
              <w:textAlignment w:val="bottom"/>
              <w:rPr>
                <w:rFonts w:hint="default" w:ascii="Arial" w:hAnsi="宋体"/>
                <w:b w:val="0"/>
                <w:i w:val="0"/>
                <w:color w:val="000000"/>
                <w:sz w:val="20"/>
                <w:szCs w:val="20"/>
                <w:u w:val="none"/>
              </w:rPr>
            </w:pPr>
          </w:p>
        </w:tc>
        <w:tc>
          <w:tcPr>
            <w:tcW w:w="1204" w:type="dxa"/>
            <w:gridSpan w:val="3"/>
            <w:vAlign w:val="bottom"/>
          </w:tcPr>
          <w:p>
            <w:pPr>
              <w:autoSpaceDN w:val="0"/>
              <w:jc w:val="left"/>
              <w:textAlignment w:val="bottom"/>
              <w:rPr>
                <w:rFonts w:hint="default" w:ascii="Arial" w:hAnsi="宋体"/>
                <w:b w:val="0"/>
                <w:i w:val="0"/>
                <w:color w:val="000000"/>
                <w:sz w:val="20"/>
                <w:szCs w:val="20"/>
                <w:u w:val="none"/>
              </w:rPr>
            </w:pPr>
          </w:p>
        </w:tc>
        <w:tc>
          <w:tcPr>
            <w:tcW w:w="1131" w:type="dxa"/>
            <w:vAlign w:val="bottom"/>
          </w:tcPr>
          <w:p>
            <w:pPr>
              <w:autoSpaceDN w:val="0"/>
              <w:jc w:val="left"/>
              <w:textAlignment w:val="bottom"/>
              <w:rPr>
                <w:rFonts w:hint="eastAsia" w:ascii="Arial" w:hAnsi="宋体" w:eastAsia="宋体"/>
                <w:b w:val="0"/>
                <w:i w:val="0"/>
                <w:color w:val="000000"/>
                <w:sz w:val="20"/>
                <w:szCs w:val="20"/>
                <w:u w:val="none"/>
                <w:lang w:eastAsia="zh-CN"/>
              </w:rPr>
            </w:pPr>
            <w:r>
              <w:rPr>
                <w:rFonts w:hint="eastAsia" w:ascii="Arial" w:hAnsi="宋体"/>
                <w:b w:val="0"/>
                <w:i w:val="0"/>
                <w:color w:val="000000"/>
                <w:sz w:val="20"/>
                <w:szCs w:val="20"/>
                <w:u w:val="none"/>
                <w:lang w:eastAsia="zh-CN"/>
              </w:rPr>
              <w:t>公开</w:t>
            </w:r>
            <w:r>
              <w:rPr>
                <w:rFonts w:hint="eastAsia" w:ascii="Arial" w:hAnsi="宋体"/>
                <w:b w:val="0"/>
                <w:i w:val="0"/>
                <w:color w:val="000000"/>
                <w:sz w:val="20"/>
                <w:szCs w:val="20"/>
                <w:u w:val="none"/>
                <w:lang w:val="en-US" w:eastAsia="zh-CN"/>
              </w:rPr>
              <w:t>04表</w:t>
            </w:r>
          </w:p>
        </w:tc>
      </w:tr>
      <w:tr>
        <w:trPr>
          <w:trHeight w:val="327" w:hRule="atLeast"/>
        </w:trPr>
        <w:tc>
          <w:tcPr>
            <w:tcW w:w="5327" w:type="dxa"/>
            <w:gridSpan w:val="5"/>
            <w:vAlign w:val="bottom"/>
          </w:tcPr>
          <w:p>
            <w:pPr>
              <w:autoSpaceDN w:val="0"/>
              <w:jc w:val="left"/>
              <w:textAlignment w:val="bottom"/>
              <w:rPr>
                <w:rFonts w:hint="default" w:ascii="Arial" w:hAnsi="宋体"/>
                <w:b w:val="0"/>
                <w:i w:val="0"/>
                <w:color w:val="000000"/>
                <w:sz w:val="20"/>
                <w:szCs w:val="20"/>
                <w:u w:val="none"/>
              </w:rPr>
            </w:pPr>
            <w:r>
              <w:rPr>
                <w:rFonts w:hint="default" w:ascii="宋体" w:hAnsi="宋体" w:eastAsia="宋体"/>
                <w:b w:val="0"/>
                <w:i w:val="0"/>
                <w:color w:val="000000"/>
                <w:sz w:val="20"/>
                <w:szCs w:val="20"/>
                <w:u w:val="none"/>
                <w:lang w:eastAsia="zh-CN"/>
              </w:rPr>
              <w:t>编制单位：河南省南阳市卧龙区民族宗教局</w:t>
            </w:r>
          </w:p>
        </w:tc>
        <w:tc>
          <w:tcPr>
            <w:tcW w:w="423" w:type="dxa"/>
            <w:vAlign w:val="bottom"/>
          </w:tcPr>
          <w:p>
            <w:pPr>
              <w:autoSpaceDN w:val="0"/>
              <w:jc w:val="left"/>
              <w:textAlignment w:val="bottom"/>
              <w:rPr>
                <w:rFonts w:hint="default" w:ascii="Arial" w:hAnsi="宋体"/>
                <w:b w:val="0"/>
                <w:i w:val="0"/>
                <w:color w:val="000000"/>
                <w:sz w:val="20"/>
                <w:szCs w:val="20"/>
                <w:u w:val="none"/>
              </w:rPr>
            </w:pPr>
          </w:p>
        </w:tc>
        <w:tc>
          <w:tcPr>
            <w:tcW w:w="1935" w:type="dxa"/>
            <w:gridSpan w:val="2"/>
            <w:vAlign w:val="bottom"/>
          </w:tcPr>
          <w:p>
            <w:pPr>
              <w:autoSpaceDN w:val="0"/>
              <w:jc w:val="center"/>
              <w:textAlignment w:val="bottom"/>
              <w:rPr>
                <w:rFonts w:hint="default" w:ascii="宋体" w:hAnsi="宋体" w:eastAsia="宋体"/>
                <w:b w:val="0"/>
                <w:i w:val="0"/>
                <w:color w:val="000000"/>
                <w:sz w:val="20"/>
                <w:szCs w:val="20"/>
                <w:u w:val="none"/>
                <w:lang w:eastAsia="zh-CN"/>
              </w:rPr>
            </w:pPr>
          </w:p>
        </w:tc>
        <w:tc>
          <w:tcPr>
            <w:tcW w:w="1204" w:type="dxa"/>
            <w:gridSpan w:val="3"/>
            <w:vAlign w:val="bottom"/>
          </w:tcPr>
          <w:p>
            <w:pPr>
              <w:autoSpaceDN w:val="0"/>
              <w:jc w:val="left"/>
              <w:textAlignment w:val="bottom"/>
              <w:rPr>
                <w:rFonts w:hint="default" w:ascii="Arial" w:hAnsi="宋体"/>
                <w:b w:val="0"/>
                <w:i w:val="0"/>
                <w:color w:val="000000"/>
                <w:sz w:val="20"/>
                <w:szCs w:val="20"/>
                <w:u w:val="none"/>
              </w:rPr>
            </w:pPr>
          </w:p>
        </w:tc>
        <w:tc>
          <w:tcPr>
            <w:tcW w:w="1131" w:type="dxa"/>
            <w:vAlign w:val="bottom"/>
          </w:tcPr>
          <w:p>
            <w:pPr>
              <w:autoSpaceDN w:val="0"/>
              <w:jc w:val="left"/>
              <w:textAlignment w:val="bottom"/>
              <w:rPr>
                <w:rFonts w:hint="eastAsia" w:ascii="Arial" w:hAnsi="宋体" w:eastAsia="宋体"/>
                <w:b w:val="0"/>
                <w:i w:val="0"/>
                <w:color w:val="000000"/>
                <w:sz w:val="20"/>
                <w:szCs w:val="20"/>
                <w:u w:val="none"/>
                <w:lang w:eastAsia="zh-CN"/>
              </w:rPr>
            </w:pPr>
            <w:r>
              <w:rPr>
                <w:rFonts w:hint="eastAsia" w:ascii="Arial" w:hAnsi="宋体"/>
                <w:b w:val="0"/>
                <w:i w:val="0"/>
                <w:color w:val="000000"/>
                <w:sz w:val="20"/>
                <w:szCs w:val="20"/>
                <w:u w:val="none"/>
                <w:lang w:eastAsia="zh-CN"/>
              </w:rPr>
              <w:t>单位：元</w:t>
            </w:r>
          </w:p>
        </w:tc>
      </w:tr>
      <w:tr>
        <w:trPr>
          <w:trHeight w:val="348" w:hRule="atLeast"/>
        </w:trPr>
        <w:tc>
          <w:tcPr>
            <w:tcW w:w="3278" w:type="dxa"/>
            <w:gridSpan w:val="3"/>
            <w:tcBorders>
              <w:top w:val="single" w:color="000000" w:sz="4" w:space="0"/>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收     入</w:t>
            </w:r>
          </w:p>
        </w:tc>
        <w:tc>
          <w:tcPr>
            <w:tcW w:w="6742" w:type="dxa"/>
            <w:gridSpan w:val="9"/>
            <w:tcBorders>
              <w:top w:val="single" w:color="000000" w:sz="4" w:space="0"/>
              <w:bottom w:val="single" w:color="000000" w:sz="4" w:space="0"/>
              <w:right w:val="single" w:color="000000" w:sz="8"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支     出</w:t>
            </w:r>
          </w:p>
        </w:tc>
      </w:tr>
      <w:tr>
        <w:trPr>
          <w:trHeight w:val="348" w:hRule="atLeast"/>
        </w:trPr>
        <w:tc>
          <w:tcPr>
            <w:tcW w:w="1376" w:type="dxa"/>
            <w:vMerge w:val="restart"/>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项    目</w:t>
            </w:r>
          </w:p>
        </w:tc>
        <w:tc>
          <w:tcPr>
            <w:tcW w:w="422"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行次</w:t>
            </w:r>
          </w:p>
        </w:tc>
        <w:tc>
          <w:tcPr>
            <w:tcW w:w="1480"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决算数</w:t>
            </w:r>
          </w:p>
        </w:tc>
        <w:tc>
          <w:tcPr>
            <w:tcW w:w="2049" w:type="dxa"/>
            <w:gridSpan w:val="2"/>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项目（按功能分类）</w:t>
            </w:r>
          </w:p>
        </w:tc>
        <w:tc>
          <w:tcPr>
            <w:tcW w:w="423"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行次</w:t>
            </w:r>
          </w:p>
        </w:tc>
        <w:tc>
          <w:tcPr>
            <w:tcW w:w="4270" w:type="dxa"/>
            <w:gridSpan w:val="6"/>
            <w:tcBorders>
              <w:bottom w:val="single" w:color="000000" w:sz="4" w:space="0"/>
              <w:right w:val="single" w:color="000000" w:sz="8"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决算数</w:t>
            </w:r>
          </w:p>
        </w:tc>
      </w:tr>
      <w:tr>
        <w:trPr>
          <w:trHeight w:val="676" w:hRule="atLeast"/>
        </w:trPr>
        <w:tc>
          <w:tcPr>
            <w:tcW w:w="1376" w:type="dxa"/>
            <w:vMerge w:val="continue"/>
            <w:tcBorders>
              <w:left w:val="single" w:color="000000" w:sz="4" w:space="0"/>
              <w:bottom w:val="single" w:color="000000" w:sz="4" w:space="0"/>
              <w:right w:val="single" w:color="000000" w:sz="4" w:space="0"/>
            </w:tcBorders>
            <w:shd w:val="solid" w:color="C0C0C0" w:fill="auto"/>
            <w:vAlign w:val="center"/>
          </w:tcPr>
          <w:p>
            <w:pPr>
              <w:rPr>
                <w:rFonts w:hint="default" w:ascii="宋体" w:hAnsi="宋体"/>
                <w:sz w:val="20"/>
                <w:szCs w:val="20"/>
              </w:rPr>
            </w:pPr>
          </w:p>
        </w:tc>
        <w:tc>
          <w:tcPr>
            <w:tcW w:w="422" w:type="dxa"/>
            <w:vMerge w:val="continue"/>
            <w:tcBorders>
              <w:bottom w:val="single" w:color="000000" w:sz="4" w:space="0"/>
              <w:right w:val="single" w:color="000000" w:sz="4" w:space="0"/>
            </w:tcBorders>
            <w:shd w:val="solid" w:color="C0C0C0" w:fill="auto"/>
            <w:vAlign w:val="center"/>
          </w:tcPr>
          <w:p>
            <w:pPr>
              <w:autoSpaceDN w:val="0"/>
              <w:textAlignment w:val="auto"/>
              <w:rPr>
                <w:rFonts w:hint="default" w:ascii="宋体" w:hAnsi="宋体"/>
                <w:sz w:val="20"/>
                <w:szCs w:val="20"/>
              </w:rPr>
            </w:pPr>
          </w:p>
        </w:tc>
        <w:tc>
          <w:tcPr>
            <w:tcW w:w="1480" w:type="dxa"/>
            <w:vMerge w:val="continue"/>
            <w:tcBorders>
              <w:bottom w:val="single" w:color="000000" w:sz="4" w:space="0"/>
              <w:right w:val="single" w:color="000000" w:sz="4" w:space="0"/>
            </w:tcBorders>
            <w:shd w:val="solid" w:color="C0C0C0" w:fill="auto"/>
            <w:vAlign w:val="center"/>
          </w:tcPr>
          <w:p>
            <w:pPr>
              <w:rPr>
                <w:rFonts w:hint="default" w:ascii="宋体" w:hAnsi="宋体"/>
                <w:sz w:val="20"/>
                <w:szCs w:val="20"/>
              </w:rPr>
            </w:pPr>
          </w:p>
        </w:tc>
        <w:tc>
          <w:tcPr>
            <w:tcW w:w="2049" w:type="dxa"/>
            <w:gridSpan w:val="2"/>
            <w:vMerge w:val="continue"/>
            <w:tcBorders>
              <w:bottom w:val="single" w:color="000000" w:sz="4" w:space="0"/>
              <w:right w:val="single" w:color="000000" w:sz="4" w:space="0"/>
            </w:tcBorders>
            <w:shd w:val="solid" w:color="C0C0C0" w:fill="auto"/>
            <w:vAlign w:val="center"/>
          </w:tcPr>
          <w:p>
            <w:pPr>
              <w:rPr>
                <w:rFonts w:hint="default" w:ascii="宋体" w:hAnsi="宋体"/>
                <w:sz w:val="20"/>
                <w:szCs w:val="20"/>
              </w:rPr>
            </w:pPr>
          </w:p>
        </w:tc>
        <w:tc>
          <w:tcPr>
            <w:tcW w:w="423" w:type="dxa"/>
            <w:vMerge w:val="continue"/>
            <w:tcBorders>
              <w:bottom w:val="single" w:color="000000" w:sz="4" w:space="0"/>
              <w:right w:val="single" w:color="000000" w:sz="4" w:space="0"/>
            </w:tcBorders>
            <w:shd w:val="solid" w:color="C0C0C0" w:fill="auto"/>
            <w:vAlign w:val="center"/>
          </w:tcPr>
          <w:p>
            <w:pPr>
              <w:rPr>
                <w:rFonts w:hint="default" w:ascii="宋体" w:hAnsi="宋体"/>
                <w:sz w:val="20"/>
                <w:szCs w:val="20"/>
              </w:rPr>
            </w:pPr>
          </w:p>
        </w:tc>
        <w:tc>
          <w:tcPr>
            <w:tcW w:w="1361"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小计</w:t>
            </w:r>
          </w:p>
        </w:tc>
        <w:tc>
          <w:tcPr>
            <w:tcW w:w="1370"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一般公共预算财政拨款</w:t>
            </w:r>
          </w:p>
        </w:tc>
        <w:tc>
          <w:tcPr>
            <w:tcW w:w="1539" w:type="dxa"/>
            <w:gridSpan w:val="3"/>
            <w:tcBorders>
              <w:bottom w:val="single" w:color="000000" w:sz="4" w:space="0"/>
              <w:right w:val="single" w:color="000000" w:sz="8"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政府性基金预算财政拨款</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栏    次</w:t>
            </w: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p>
        </w:tc>
        <w:tc>
          <w:tcPr>
            <w:tcW w:w="148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3</w:t>
            </w: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栏    次</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p>
        </w:tc>
        <w:tc>
          <w:tcPr>
            <w:tcW w:w="1361"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10</w:t>
            </w:r>
          </w:p>
        </w:tc>
        <w:tc>
          <w:tcPr>
            <w:tcW w:w="1370"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11</w:t>
            </w:r>
          </w:p>
        </w:tc>
        <w:tc>
          <w:tcPr>
            <w:tcW w:w="1539" w:type="dxa"/>
            <w:gridSpan w:val="3"/>
            <w:tcBorders>
              <w:bottom w:val="single" w:color="000000" w:sz="4" w:space="0"/>
              <w:right w:val="single" w:color="000000" w:sz="8"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12</w:t>
            </w: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一、一般公共预算财政拨款</w:t>
            </w: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744,688.00</w:t>
            </w: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一、一般公共服务支出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31</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525,331.70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525,331.70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二、政府性基金预算财政拨款</w:t>
            </w: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2</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二、外交支出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32</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3</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三、国防支出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33</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4</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四、公共安全支出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34</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5</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五、教育支出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35</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6</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六、科学技术支出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36</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7</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七、文化体育与传媒支出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37</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8</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八、社会保障和就业支出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38</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236,272.80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236,272.80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9</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九、医疗卫生与计划生育支出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39</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25,494.20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25,494.20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10</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十、节能环保支出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40</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11</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十一、城乡社区支出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41</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12</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十二、农林水支出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42</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699,975.00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699,975.00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13</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十三、交通运输支出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43</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14</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十四、资源勘探信息等支出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44</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15</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十五、商业服务业等支出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45</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16</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十六、金融支出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46</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17</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十七、援助其他地区支出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47</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7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39" w:type="dxa"/>
            <w:gridSpan w:val="3"/>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18</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十八、国土海洋气象等支出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48</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8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21" w:type="dxa"/>
            <w:gridSpan w:val="2"/>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19</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十九、住房保障支出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49</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8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21" w:type="dxa"/>
            <w:gridSpan w:val="2"/>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20</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二十、粮油物资储备支出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50</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8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21" w:type="dxa"/>
            <w:gridSpan w:val="2"/>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21</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二十一、其他支出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51</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8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21" w:type="dxa"/>
            <w:gridSpan w:val="2"/>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22</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二十二、债务还本支出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52</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8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21" w:type="dxa"/>
            <w:gridSpan w:val="2"/>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23</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二十三、债务付息支出</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53</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38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1521" w:type="dxa"/>
            <w:gridSpan w:val="2"/>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i w:val="0"/>
                <w:color w:val="000000"/>
                <w:sz w:val="20"/>
                <w:szCs w:val="20"/>
                <w:u w:val="none"/>
                <w:shd w:val="clear" w:color="auto" w:fill="C0C0C0"/>
                <w:lang w:eastAsia="zh-CN"/>
              </w:rPr>
            </w:pPr>
            <w:r>
              <w:rPr>
                <w:rFonts w:hint="default" w:ascii="宋体" w:hAnsi="宋体" w:eastAsia="宋体"/>
                <w:b/>
                <w:i w:val="0"/>
                <w:color w:val="000000"/>
                <w:sz w:val="20"/>
                <w:szCs w:val="20"/>
                <w:u w:val="none"/>
                <w:shd w:val="clear" w:color="auto" w:fill="C0C0C0"/>
                <w:lang w:eastAsia="zh-CN"/>
              </w:rPr>
              <w:t>本年收入合计</w:t>
            </w: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24</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744,688.00</w:t>
            </w: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i w:val="0"/>
                <w:color w:val="000000"/>
                <w:sz w:val="20"/>
                <w:szCs w:val="20"/>
                <w:u w:val="none"/>
                <w:shd w:val="clear" w:color="auto" w:fill="C0C0C0"/>
                <w:lang w:eastAsia="zh-CN"/>
              </w:rPr>
            </w:pPr>
            <w:r>
              <w:rPr>
                <w:rFonts w:hint="default" w:ascii="宋体" w:hAnsi="宋体" w:eastAsia="宋体"/>
                <w:b/>
                <w:i w:val="0"/>
                <w:color w:val="000000"/>
                <w:sz w:val="20"/>
                <w:szCs w:val="20"/>
                <w:u w:val="none"/>
                <w:shd w:val="clear" w:color="auto" w:fill="C0C0C0"/>
                <w:lang w:eastAsia="zh-CN"/>
              </w:rPr>
              <w:t>本年支出合计</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77</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1,487,073.70</w:t>
            </w:r>
          </w:p>
        </w:tc>
        <w:tc>
          <w:tcPr>
            <w:tcW w:w="138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1,487,073.70</w:t>
            </w:r>
          </w:p>
        </w:tc>
        <w:tc>
          <w:tcPr>
            <w:tcW w:w="1521" w:type="dxa"/>
            <w:gridSpan w:val="2"/>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25</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78</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38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521" w:type="dxa"/>
            <w:gridSpan w:val="2"/>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年初财政拨款结转和结余</w:t>
            </w: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26</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824,573.15</w:t>
            </w: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年末财政拨款结转和结余</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79</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82,187.45</w:t>
            </w:r>
          </w:p>
        </w:tc>
        <w:tc>
          <w:tcPr>
            <w:tcW w:w="138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82,187.45</w:t>
            </w:r>
          </w:p>
        </w:tc>
        <w:tc>
          <w:tcPr>
            <w:tcW w:w="1521" w:type="dxa"/>
            <w:gridSpan w:val="2"/>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一、一般公共预算财政拨款</w:t>
            </w: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27</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824,573.15</w:t>
            </w: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 xml:space="preserve">    基本支出结转</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80</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52,662.45</w:t>
            </w:r>
          </w:p>
        </w:tc>
        <w:tc>
          <w:tcPr>
            <w:tcW w:w="138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52,662.45</w:t>
            </w:r>
          </w:p>
        </w:tc>
        <w:tc>
          <w:tcPr>
            <w:tcW w:w="1521" w:type="dxa"/>
            <w:gridSpan w:val="2"/>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676"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二、政府性基金预算财政拨款</w:t>
            </w: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28</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 xml:space="preserve">    项目支出结转和结余</w:t>
            </w: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81</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29,525.00</w:t>
            </w:r>
          </w:p>
        </w:tc>
        <w:tc>
          <w:tcPr>
            <w:tcW w:w="138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29,525.00</w:t>
            </w:r>
          </w:p>
        </w:tc>
        <w:tc>
          <w:tcPr>
            <w:tcW w:w="1521" w:type="dxa"/>
            <w:gridSpan w:val="2"/>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r>
        <w:trPr>
          <w:trHeight w:val="348" w:hRule="atLeast"/>
        </w:trPr>
        <w:tc>
          <w:tcPr>
            <w:tcW w:w="1376"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29</w:t>
            </w:r>
          </w:p>
        </w:tc>
        <w:tc>
          <w:tcPr>
            <w:tcW w:w="1480"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049"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2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82</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38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521" w:type="dxa"/>
            <w:gridSpan w:val="2"/>
            <w:tcBorders>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89" w:hRule="atLeast"/>
        </w:trPr>
        <w:tc>
          <w:tcPr>
            <w:tcW w:w="1376" w:type="dxa"/>
            <w:tcBorders>
              <w:left w:val="single" w:color="000000" w:sz="4" w:space="0"/>
              <w:bottom w:val="single" w:color="000000" w:sz="8"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i w:val="0"/>
                <w:color w:val="000000"/>
                <w:sz w:val="20"/>
                <w:szCs w:val="20"/>
                <w:u w:val="none"/>
                <w:shd w:val="clear" w:color="auto" w:fill="C0C0C0"/>
                <w:lang w:eastAsia="zh-CN"/>
              </w:rPr>
            </w:pPr>
            <w:r>
              <w:rPr>
                <w:rFonts w:hint="default" w:ascii="宋体" w:hAnsi="宋体" w:eastAsia="宋体"/>
                <w:b/>
                <w:i w:val="0"/>
                <w:color w:val="000000"/>
                <w:sz w:val="20"/>
                <w:szCs w:val="20"/>
                <w:u w:val="none"/>
                <w:shd w:val="clear" w:color="auto" w:fill="C0C0C0"/>
                <w:lang w:eastAsia="zh-CN"/>
              </w:rPr>
              <w:t>总计</w:t>
            </w:r>
          </w:p>
        </w:tc>
        <w:tc>
          <w:tcPr>
            <w:tcW w:w="422" w:type="dxa"/>
            <w:tcBorders>
              <w:bottom w:val="single" w:color="000000" w:sz="8"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30</w:t>
            </w:r>
          </w:p>
        </w:tc>
        <w:tc>
          <w:tcPr>
            <w:tcW w:w="1480" w:type="dxa"/>
            <w:tcBorders>
              <w:bottom w:val="single" w:color="000000" w:sz="8"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1,569,261.15</w:t>
            </w:r>
          </w:p>
        </w:tc>
        <w:tc>
          <w:tcPr>
            <w:tcW w:w="2049" w:type="dxa"/>
            <w:gridSpan w:val="2"/>
            <w:tcBorders>
              <w:bottom w:val="single" w:color="000000" w:sz="8"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i w:val="0"/>
                <w:color w:val="000000"/>
                <w:sz w:val="20"/>
                <w:szCs w:val="20"/>
                <w:u w:val="none"/>
                <w:shd w:val="clear" w:color="auto" w:fill="C0C0C0"/>
                <w:lang w:eastAsia="zh-CN"/>
              </w:rPr>
            </w:pPr>
            <w:r>
              <w:rPr>
                <w:rFonts w:hint="default" w:ascii="宋体" w:hAnsi="宋体" w:eastAsia="宋体"/>
                <w:b/>
                <w:i w:val="0"/>
                <w:color w:val="000000"/>
                <w:sz w:val="20"/>
                <w:szCs w:val="20"/>
                <w:u w:val="none"/>
                <w:shd w:val="clear" w:color="auto" w:fill="C0C0C0"/>
                <w:lang w:eastAsia="zh-CN"/>
              </w:rPr>
              <w:t>总计</w:t>
            </w:r>
          </w:p>
        </w:tc>
        <w:tc>
          <w:tcPr>
            <w:tcW w:w="423" w:type="dxa"/>
            <w:tcBorders>
              <w:bottom w:val="single" w:color="000000" w:sz="8"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shd w:val="clear" w:color="auto" w:fill="C0C0C0"/>
                <w:lang w:eastAsia="zh-CN"/>
              </w:rPr>
              <w:t>83</w:t>
            </w:r>
          </w:p>
        </w:tc>
        <w:tc>
          <w:tcPr>
            <w:tcW w:w="1361" w:type="dxa"/>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1,569,261.15</w:t>
            </w:r>
          </w:p>
        </w:tc>
        <w:tc>
          <w:tcPr>
            <w:tcW w:w="1388" w:type="dxa"/>
            <w:gridSpan w:val="3"/>
            <w:tcBorders>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1,569,261.15</w:t>
            </w:r>
          </w:p>
        </w:tc>
        <w:tc>
          <w:tcPr>
            <w:tcW w:w="1521" w:type="dxa"/>
            <w:gridSpan w:val="2"/>
            <w:tcBorders>
              <w:bottom w:val="single" w:color="000000" w:sz="8" w:space="0"/>
              <w:right w:val="single" w:color="000000" w:sz="8"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0.00</w:t>
            </w:r>
          </w:p>
        </w:tc>
      </w:tr>
    </w:tbl>
    <w:p>
      <w:pPr>
        <w:tabs>
          <w:tab w:val="left" w:pos="5681"/>
        </w:tabs>
        <w:jc w:val="left"/>
        <w:rPr>
          <w:rFonts w:hint="eastAsia" w:ascii="宋体" w:hAnsi="宋体" w:cs="宋体"/>
          <w:color w:val="000000"/>
          <w:kern w:val="0"/>
          <w:szCs w:val="21"/>
          <w:lang w:val="en-US" w:eastAsia="zh-CN"/>
        </w:rPr>
      </w:pPr>
    </w:p>
    <w:p>
      <w:pPr>
        <w:tabs>
          <w:tab w:val="left" w:pos="5681"/>
        </w:tabs>
        <w:jc w:val="left"/>
        <w:rPr>
          <w:rFonts w:hint="eastAsia" w:cs="黑体"/>
          <w:kern w:val="2"/>
          <w:sz w:val="21"/>
          <w:szCs w:val="24"/>
          <w:lang w:val="en-US" w:eastAsia="zh-CN" w:bidi="ar-SA"/>
        </w:rPr>
      </w:pPr>
    </w:p>
    <w:p>
      <w:pPr>
        <w:tabs>
          <w:tab w:val="left" w:pos="5681"/>
        </w:tabs>
        <w:jc w:val="left"/>
        <w:rPr>
          <w:rFonts w:hint="eastAsia" w:cs="黑体"/>
          <w:kern w:val="2"/>
          <w:sz w:val="21"/>
          <w:szCs w:val="24"/>
          <w:lang w:val="en-US" w:eastAsia="zh-CN" w:bidi="ar-SA"/>
        </w:rPr>
        <w:sectPr>
          <w:pgSz w:w="11906" w:h="16838"/>
          <w:pgMar w:top="1440" w:right="1531" w:bottom="1440" w:left="1587" w:header="850" w:footer="992" w:gutter="0"/>
          <w:pgNumType w:fmt="numberInDash"/>
          <w:cols w:space="720" w:num="1"/>
          <w:docGrid w:type="lines" w:linePitch="317"/>
        </w:sectPr>
      </w:pPr>
    </w:p>
    <w:tbl>
      <w:tblPr>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58"/>
        <w:gridCol w:w="251"/>
        <w:gridCol w:w="248"/>
        <w:gridCol w:w="2640"/>
        <w:gridCol w:w="1522"/>
        <w:gridCol w:w="1519"/>
        <w:gridCol w:w="1522"/>
      </w:tblGrid>
      <w:tr>
        <w:trPr>
          <w:trHeight w:val="390" w:hRule="atLeast"/>
        </w:trPr>
        <w:tc>
          <w:tcPr>
            <w:tcW w:w="8960" w:type="dxa"/>
            <w:gridSpan w:val="7"/>
            <w:vAlign w:val="center"/>
          </w:tcPr>
          <w:p>
            <w:pPr>
              <w:jc w:val="center"/>
              <w:rPr>
                <w:rFonts w:ascii="Arial" w:hAnsi="Arial" w:cs="Arial"/>
                <w:color w:val="000000"/>
                <w:sz w:val="18"/>
                <w:szCs w:val="18"/>
              </w:rPr>
            </w:pPr>
            <w:r>
              <w:rPr>
                <w:rFonts w:hint="eastAsia" w:ascii="宋体" w:hAnsi="宋体" w:cs="宋体"/>
                <w:color w:val="000000"/>
                <w:kern w:val="0"/>
                <w:sz w:val="18"/>
                <w:szCs w:val="18"/>
              </w:rPr>
              <w:t>一般公共预算财政拨款支出决算表</w:t>
            </w:r>
          </w:p>
        </w:tc>
      </w:tr>
      <w:tr>
        <w:trPr>
          <w:trHeight w:val="390" w:hRule="atLeast"/>
        </w:trPr>
        <w:tc>
          <w:tcPr>
            <w:tcW w:w="1258" w:type="dxa"/>
            <w:vAlign w:val="bottom"/>
          </w:tcPr>
          <w:p>
            <w:pPr>
              <w:rPr>
                <w:rFonts w:ascii="Arial" w:hAnsi="Arial" w:cs="Arial"/>
                <w:color w:val="000000"/>
                <w:sz w:val="18"/>
                <w:szCs w:val="18"/>
              </w:rPr>
            </w:pPr>
          </w:p>
        </w:tc>
        <w:tc>
          <w:tcPr>
            <w:tcW w:w="251" w:type="dxa"/>
            <w:vAlign w:val="bottom"/>
          </w:tcPr>
          <w:p>
            <w:pPr>
              <w:rPr>
                <w:rFonts w:ascii="Arial" w:hAnsi="Arial" w:cs="Arial"/>
                <w:color w:val="000000"/>
                <w:sz w:val="18"/>
                <w:szCs w:val="18"/>
              </w:rPr>
            </w:pPr>
          </w:p>
        </w:tc>
        <w:tc>
          <w:tcPr>
            <w:tcW w:w="248" w:type="dxa"/>
            <w:vAlign w:val="bottom"/>
          </w:tcPr>
          <w:p>
            <w:pPr>
              <w:rPr>
                <w:rFonts w:ascii="Arial" w:hAnsi="Arial" w:cs="Arial"/>
                <w:color w:val="000000"/>
                <w:sz w:val="18"/>
                <w:szCs w:val="18"/>
              </w:rPr>
            </w:pPr>
          </w:p>
        </w:tc>
        <w:tc>
          <w:tcPr>
            <w:tcW w:w="2640" w:type="dxa"/>
            <w:vAlign w:val="bottom"/>
          </w:tcPr>
          <w:p>
            <w:pPr>
              <w:rPr>
                <w:rFonts w:ascii="Arial" w:hAnsi="Arial" w:cs="Arial"/>
                <w:color w:val="000000"/>
                <w:sz w:val="18"/>
                <w:szCs w:val="18"/>
              </w:rPr>
            </w:pPr>
          </w:p>
        </w:tc>
        <w:tc>
          <w:tcPr>
            <w:tcW w:w="1522" w:type="dxa"/>
            <w:vAlign w:val="bottom"/>
          </w:tcPr>
          <w:p>
            <w:pPr>
              <w:rPr>
                <w:rFonts w:ascii="Arial" w:hAnsi="Arial" w:cs="Arial"/>
                <w:color w:val="000000"/>
                <w:sz w:val="18"/>
                <w:szCs w:val="18"/>
              </w:rPr>
            </w:pPr>
          </w:p>
        </w:tc>
        <w:tc>
          <w:tcPr>
            <w:tcW w:w="1519" w:type="dxa"/>
            <w:vAlign w:val="bottom"/>
          </w:tcPr>
          <w:p>
            <w:pPr>
              <w:rPr>
                <w:rFonts w:ascii="Arial" w:hAnsi="Arial" w:cs="Arial"/>
                <w:color w:val="000000"/>
                <w:sz w:val="18"/>
                <w:szCs w:val="18"/>
              </w:rPr>
            </w:pPr>
          </w:p>
        </w:tc>
        <w:tc>
          <w:tcPr>
            <w:tcW w:w="1522" w:type="dxa"/>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公开05表</w:t>
            </w:r>
          </w:p>
        </w:tc>
      </w:tr>
      <w:tr>
        <w:trPr>
          <w:trHeight w:val="385" w:hRule="atLeast"/>
        </w:trPr>
        <w:tc>
          <w:tcPr>
            <w:tcW w:w="4397" w:type="dxa"/>
            <w:gridSpan w:val="4"/>
            <w:vAlign w:val="bottom"/>
          </w:tcPr>
          <w:p>
            <w:pPr>
              <w:rPr>
                <w:rFonts w:ascii="Arial" w:hAnsi="Arial" w:cs="Arial"/>
                <w:color w:val="000000"/>
                <w:sz w:val="18"/>
                <w:szCs w:val="18"/>
              </w:rPr>
            </w:pPr>
            <w:r>
              <w:rPr>
                <w:rFonts w:hint="eastAsia" w:ascii="宋体" w:hAnsi="宋体" w:cs="宋体"/>
                <w:color w:val="000000"/>
                <w:kern w:val="0"/>
                <w:sz w:val="18"/>
                <w:szCs w:val="18"/>
              </w:rPr>
              <w:t>部门：河南省南阳市卧龙区民族宗教局</w:t>
            </w:r>
          </w:p>
        </w:tc>
        <w:tc>
          <w:tcPr>
            <w:tcW w:w="1522" w:type="dxa"/>
            <w:vAlign w:val="bottom"/>
          </w:tcPr>
          <w:p>
            <w:pPr>
              <w:rPr>
                <w:rFonts w:ascii="Arial" w:hAnsi="Arial" w:cs="Arial"/>
                <w:color w:val="000000"/>
                <w:sz w:val="18"/>
                <w:szCs w:val="18"/>
              </w:rPr>
            </w:pPr>
          </w:p>
        </w:tc>
        <w:tc>
          <w:tcPr>
            <w:tcW w:w="1519" w:type="dxa"/>
            <w:vAlign w:val="bottom"/>
          </w:tcPr>
          <w:p>
            <w:pPr>
              <w:rPr>
                <w:rFonts w:ascii="Arial" w:hAnsi="Arial" w:cs="Arial"/>
                <w:color w:val="000000"/>
                <w:sz w:val="18"/>
                <w:szCs w:val="18"/>
              </w:rPr>
            </w:pPr>
          </w:p>
        </w:tc>
        <w:tc>
          <w:tcPr>
            <w:tcW w:w="1522" w:type="dxa"/>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单位：元</w:t>
            </w:r>
          </w:p>
        </w:tc>
      </w:tr>
      <w:tr>
        <w:trPr>
          <w:trHeight w:val="423" w:hRule="atLeast"/>
        </w:trPr>
        <w:tc>
          <w:tcPr>
            <w:tcW w:w="4397" w:type="dxa"/>
            <w:gridSpan w:val="4"/>
            <w:tcBorders>
              <w:top w:val="single" w:color="000000" w:sz="12" w:space="0"/>
              <w:left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w:t>
            </w:r>
          </w:p>
        </w:tc>
        <w:tc>
          <w:tcPr>
            <w:tcW w:w="1522" w:type="dxa"/>
            <w:vMerge w:val="restart"/>
            <w:tcBorders>
              <w:top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本年支出合计</w:t>
            </w:r>
          </w:p>
        </w:tc>
        <w:tc>
          <w:tcPr>
            <w:tcW w:w="1519" w:type="dxa"/>
            <w:vMerge w:val="restart"/>
            <w:tcBorders>
              <w:top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基本支出</w:t>
            </w:r>
          </w:p>
        </w:tc>
        <w:tc>
          <w:tcPr>
            <w:tcW w:w="1522" w:type="dxa"/>
            <w:vMerge w:val="restart"/>
            <w:tcBorders>
              <w:top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项目支出</w:t>
            </w:r>
          </w:p>
        </w:tc>
      </w:tr>
      <w:tr>
        <w:trPr>
          <w:trHeight w:val="416" w:hRule="atLeast"/>
        </w:trPr>
        <w:tc>
          <w:tcPr>
            <w:tcW w:w="1757" w:type="dxa"/>
            <w:gridSpan w:val="3"/>
            <w:vMerge w:val="restart"/>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功能分类科目编码</w:t>
            </w:r>
          </w:p>
        </w:tc>
        <w:tc>
          <w:tcPr>
            <w:tcW w:w="264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科目名称</w:t>
            </w:r>
          </w:p>
        </w:tc>
        <w:tc>
          <w:tcPr>
            <w:tcW w:w="1522"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1519"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1522"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r>
      <w:tr>
        <w:trPr>
          <w:trHeight w:val="416" w:hRule="atLeast"/>
        </w:trPr>
        <w:tc>
          <w:tcPr>
            <w:tcW w:w="1757" w:type="dxa"/>
            <w:gridSpan w:val="3"/>
            <w:vMerge w:val="continue"/>
            <w:tcBorders>
              <w:top w:val="single" w:color="000000" w:sz="4" w:space="0"/>
              <w:left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264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1522"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1519"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1522"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r>
      <w:tr>
        <w:trPr>
          <w:trHeight w:val="416" w:hRule="atLeast"/>
        </w:trPr>
        <w:tc>
          <w:tcPr>
            <w:tcW w:w="1757" w:type="dxa"/>
            <w:gridSpan w:val="3"/>
            <w:vMerge w:val="continue"/>
            <w:tcBorders>
              <w:top w:val="single" w:color="000000" w:sz="4" w:space="0"/>
              <w:left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264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1522"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1519"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1522"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r>
      <w:tr>
        <w:trPr>
          <w:trHeight w:val="401" w:hRule="atLeast"/>
        </w:trPr>
        <w:tc>
          <w:tcPr>
            <w:tcW w:w="4397" w:type="dxa"/>
            <w:gridSpan w:val="4"/>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栏次</w:t>
            </w:r>
          </w:p>
        </w:tc>
        <w:tc>
          <w:tcPr>
            <w:tcW w:w="1522"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19"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22"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r>
      <w:tr>
        <w:trPr>
          <w:trHeight w:val="401" w:hRule="atLeast"/>
        </w:trPr>
        <w:tc>
          <w:tcPr>
            <w:tcW w:w="4397" w:type="dxa"/>
            <w:gridSpan w:val="4"/>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1,487,073.70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767,098.70</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val="en-US" w:eastAsia="zh-CN"/>
              </w:rPr>
              <w:t>719975</w:t>
            </w: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201</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一般公共服务支出</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525,331.70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505,331.70</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20124</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宗教事务</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412,781.95</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392,781.95</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2012401</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 xml:space="preserve">  行政运行</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352,781.95</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352,781.95</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2012404</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 xml:space="preserve">  宗教工作专项</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40,000.00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40,000.00</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2012499</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 xml:space="preserve">  其他宗教事务支出</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20,000.00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0.00</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val="en-US" w:eastAsia="zh-CN"/>
              </w:rPr>
              <w:t>2000</w:t>
            </w: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20199</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其他一般公共服务支出</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112,549.75</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112,549.75</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2019999</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 xml:space="preserve">  其他一般公共服务支出</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112,549.75</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112,549.75</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208</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社会保障和就业支出</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236,272.80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236,272.80</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20805</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行政事业单位离退休</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229,648.80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229,648.80</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2080501</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 xml:space="preserve">  归口管理的行政单位离退休</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207,829.20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207,829.20</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2080505</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 xml:space="preserve">  机关事业单位基本养老保险缴费支出★</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21,819.60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21,819.60</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20808</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抚恤</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6,624.00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6,624.00</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2080801</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 xml:space="preserve">  死亡抚恤</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6,624.00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6,624.00</w:t>
            </w:r>
          </w:p>
        </w:tc>
        <w:tc>
          <w:tcPr>
            <w:tcW w:w="152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210</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医疗卫生与计划生育支出</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25,494.20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25,494.20</w:t>
            </w:r>
          </w:p>
        </w:tc>
        <w:tc>
          <w:tcPr>
            <w:tcW w:w="1522"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 w:val="22"/>
                <w:szCs w:val="22"/>
              </w:rPr>
            </w:pPr>
            <w:r>
              <w:rPr>
                <w:rFonts w:hint="eastAsia" w:ascii="宋体" w:hAnsi="宋体" w:cs="宋体"/>
                <w:color w:val="000000"/>
                <w:kern w:val="0"/>
                <w:sz w:val="22"/>
                <w:szCs w:val="22"/>
              </w:rPr>
              <w:t>0.0</w:t>
            </w:r>
            <w:r>
              <w:rPr>
                <w:rFonts w:hint="eastAsia" w:ascii="宋体" w:hAnsi="宋体" w:cs="宋体"/>
                <w:color w:val="000000"/>
                <w:kern w:val="0"/>
                <w:sz w:val="22"/>
                <w:szCs w:val="22"/>
                <w:lang w:val="en-US" w:eastAsia="zh-CN"/>
              </w:rPr>
              <w:t>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25,494.20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25,494.20</w:t>
            </w:r>
          </w:p>
        </w:tc>
        <w:tc>
          <w:tcPr>
            <w:tcW w:w="1522"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699,975.00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hint="eastAsia" w:ascii="宋体" w:hAnsi="宋体" w:cs="宋体"/>
                <w:color w:val="000000"/>
                <w:kern w:val="0"/>
                <w:sz w:val="18"/>
                <w:szCs w:val="18"/>
              </w:rPr>
            </w:pPr>
            <w:r>
              <w:rPr>
                <w:rFonts w:hint="default" w:ascii="宋体" w:hAnsi="宋体" w:eastAsia="宋体"/>
                <w:b w:val="0"/>
                <w:i w:val="0"/>
                <w:color w:val="000000"/>
                <w:sz w:val="22"/>
                <w:u w:val="none"/>
                <w:lang w:eastAsia="zh-CN"/>
              </w:rPr>
              <w:t>699,975.00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21305</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扶贫</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699,975.00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hint="eastAsia" w:ascii="宋体" w:hAnsi="宋体" w:cs="宋体"/>
                <w:color w:val="000000"/>
                <w:kern w:val="0"/>
                <w:sz w:val="18"/>
                <w:szCs w:val="18"/>
              </w:rPr>
            </w:pPr>
            <w:r>
              <w:rPr>
                <w:rFonts w:hint="default" w:ascii="宋体" w:hAnsi="宋体" w:eastAsia="宋体"/>
                <w:b w:val="0"/>
                <w:i w:val="0"/>
                <w:color w:val="000000"/>
                <w:sz w:val="22"/>
                <w:u w:val="none"/>
                <w:lang w:eastAsia="zh-CN"/>
              </w:rPr>
              <w:t>699,975.00</w:t>
            </w:r>
          </w:p>
        </w:tc>
      </w:tr>
      <w:tr>
        <w:trPr>
          <w:trHeight w:val="401" w:hRule="atLeast"/>
        </w:trPr>
        <w:tc>
          <w:tcPr>
            <w:tcW w:w="1757" w:type="dxa"/>
            <w:gridSpan w:val="3"/>
            <w:tcBorders>
              <w:top w:val="single" w:color="000000" w:sz="4" w:space="0"/>
              <w:left w:val="single" w:color="000000" w:sz="12" w:space="0"/>
              <w:bottom w:val="single" w:color="000000" w:sz="4" w:space="0"/>
              <w:right w:val="single" w:color="000000" w:sz="4" w:space="0"/>
            </w:tcBorders>
            <w:textDirection w:val="lrTb"/>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2130504</w:t>
            </w:r>
          </w:p>
        </w:tc>
        <w:tc>
          <w:tcPr>
            <w:tcW w:w="2640" w:type="dxa"/>
            <w:tcBorders>
              <w:top w:val="single" w:color="000000" w:sz="4" w:space="0"/>
              <w:bottom w:val="single" w:color="000000" w:sz="4" w:space="0"/>
              <w:right w:val="single" w:color="000000" w:sz="4" w:space="0"/>
            </w:tcBorders>
            <w:textDirection w:val="lrTb"/>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农村基础设施建设</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399,975.00</w:t>
            </w:r>
          </w:p>
        </w:tc>
        <w:tc>
          <w:tcPr>
            <w:tcW w:w="1519"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1522" w:type="dxa"/>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hint="eastAsia" w:ascii="宋体" w:hAnsi="宋体" w:cs="宋体"/>
                <w:color w:val="000000"/>
                <w:kern w:val="0"/>
                <w:sz w:val="18"/>
                <w:szCs w:val="18"/>
              </w:rPr>
            </w:pPr>
            <w:r>
              <w:rPr>
                <w:rFonts w:hint="default" w:ascii="宋体" w:hAnsi="宋体" w:eastAsia="宋体"/>
                <w:b w:val="0"/>
                <w:i w:val="0"/>
                <w:color w:val="000000"/>
                <w:sz w:val="22"/>
                <w:u w:val="none"/>
                <w:lang w:eastAsia="zh-CN"/>
              </w:rPr>
              <w:t>399,975.00</w:t>
            </w:r>
          </w:p>
        </w:tc>
      </w:tr>
      <w:tr>
        <w:trPr>
          <w:trHeight w:val="401" w:hRule="atLeast"/>
        </w:trPr>
        <w:tc>
          <w:tcPr>
            <w:tcW w:w="8960" w:type="dxa"/>
            <w:gridSpan w:val="7"/>
            <w:tcBorders>
              <w:left w:val="single" w:color="000000" w:sz="12"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800" w:bottom="1440" w:left="1800" w:header="851" w:footer="992" w:gutter="0"/>
          <w:pgNumType w:fmt="numberInDash"/>
          <w:cols w:space="720" w:num="1"/>
          <w:docGrid w:type="lines" w:linePitch="312"/>
        </w:sectPr>
      </w:pPr>
    </w:p>
    <w:tbl>
      <w:tblPr>
        <w:tblW w:w="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0"/>
        <w:gridCol w:w="2656"/>
        <w:gridCol w:w="1176"/>
        <w:gridCol w:w="936"/>
        <w:gridCol w:w="2564"/>
        <w:gridCol w:w="1102"/>
        <w:gridCol w:w="146"/>
      </w:tblGrid>
      <w:tr>
        <w:trPr>
          <w:trHeight w:val="345" w:hRule="atLeast"/>
        </w:trPr>
        <w:tc>
          <w:tcPr>
            <w:tcW w:w="9440" w:type="dxa"/>
            <w:gridSpan w:val="7"/>
            <w:vAlign w:val="bottom"/>
          </w:tcPr>
          <w:p>
            <w:pPr>
              <w:jc w:val="center"/>
              <w:rPr>
                <w:rFonts w:ascii="Arial" w:hAnsi="Arial" w:cs="Arial"/>
                <w:color w:val="000000"/>
                <w:sz w:val="18"/>
                <w:szCs w:val="18"/>
              </w:rPr>
            </w:pPr>
            <w:r>
              <w:rPr>
                <w:rFonts w:hint="eastAsia" w:ascii="宋体" w:hAnsi="宋体" w:cs="宋体"/>
                <w:color w:val="000000"/>
                <w:kern w:val="0"/>
                <w:sz w:val="18"/>
                <w:szCs w:val="18"/>
              </w:rPr>
              <w:t>一般公共预算财政拨款基本支出决算表</w:t>
            </w:r>
          </w:p>
        </w:tc>
      </w:tr>
      <w:tr>
        <w:trPr>
          <w:trHeight w:val="345" w:hRule="atLeast"/>
        </w:trPr>
        <w:tc>
          <w:tcPr>
            <w:tcW w:w="860" w:type="dxa"/>
            <w:vAlign w:val="bottom"/>
          </w:tcPr>
          <w:p>
            <w:pPr>
              <w:rPr>
                <w:rFonts w:ascii="Arial" w:hAnsi="Arial" w:cs="Arial"/>
                <w:color w:val="000000"/>
                <w:sz w:val="18"/>
                <w:szCs w:val="18"/>
              </w:rPr>
            </w:pPr>
          </w:p>
        </w:tc>
        <w:tc>
          <w:tcPr>
            <w:tcW w:w="2656" w:type="dxa"/>
            <w:vAlign w:val="bottom"/>
          </w:tcPr>
          <w:p>
            <w:pPr>
              <w:rPr>
                <w:rFonts w:ascii="Arial" w:hAnsi="Arial" w:cs="Arial"/>
                <w:color w:val="000000"/>
                <w:sz w:val="18"/>
                <w:szCs w:val="18"/>
              </w:rPr>
            </w:pPr>
          </w:p>
        </w:tc>
        <w:tc>
          <w:tcPr>
            <w:tcW w:w="1176" w:type="dxa"/>
            <w:vAlign w:val="bottom"/>
          </w:tcPr>
          <w:p>
            <w:pPr>
              <w:rPr>
                <w:rFonts w:ascii="Arial" w:hAnsi="Arial" w:cs="Arial"/>
                <w:color w:val="000000"/>
                <w:sz w:val="18"/>
                <w:szCs w:val="18"/>
              </w:rPr>
            </w:pPr>
          </w:p>
        </w:tc>
        <w:tc>
          <w:tcPr>
            <w:tcW w:w="936" w:type="dxa"/>
            <w:vAlign w:val="bottom"/>
          </w:tcPr>
          <w:p>
            <w:pPr>
              <w:rPr>
                <w:rFonts w:ascii="Arial" w:hAnsi="Arial" w:cs="Arial"/>
                <w:color w:val="000000"/>
                <w:sz w:val="18"/>
                <w:szCs w:val="18"/>
              </w:rPr>
            </w:pPr>
          </w:p>
        </w:tc>
        <w:tc>
          <w:tcPr>
            <w:tcW w:w="2564" w:type="dxa"/>
            <w:vAlign w:val="bottom"/>
          </w:tcPr>
          <w:p>
            <w:pPr>
              <w:rPr>
                <w:rFonts w:ascii="Arial" w:hAnsi="Arial" w:cs="Arial"/>
                <w:color w:val="000000"/>
                <w:sz w:val="18"/>
                <w:szCs w:val="18"/>
              </w:rPr>
            </w:pPr>
          </w:p>
        </w:tc>
        <w:tc>
          <w:tcPr>
            <w:tcW w:w="1248" w:type="dxa"/>
            <w:gridSpan w:val="2"/>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rPr>
          <w:trHeight w:val="345" w:hRule="atLeast"/>
        </w:trPr>
        <w:tc>
          <w:tcPr>
            <w:tcW w:w="5628" w:type="dxa"/>
            <w:gridSpan w:val="4"/>
            <w:vAlign w:val="bottom"/>
          </w:tcPr>
          <w:p>
            <w:pPr>
              <w:rPr>
                <w:rFonts w:ascii="Arial" w:hAnsi="Arial" w:cs="Arial"/>
                <w:color w:val="000000"/>
                <w:sz w:val="18"/>
                <w:szCs w:val="18"/>
              </w:rPr>
            </w:pPr>
            <w:r>
              <w:rPr>
                <w:rFonts w:hint="eastAsia" w:ascii="宋体" w:hAnsi="宋体" w:cs="宋体"/>
                <w:color w:val="000000"/>
                <w:kern w:val="0"/>
                <w:sz w:val="18"/>
                <w:szCs w:val="18"/>
              </w:rPr>
              <w:t>部门：河南省南阳市卧龙区民族宗教局</w:t>
            </w:r>
          </w:p>
        </w:tc>
        <w:tc>
          <w:tcPr>
            <w:tcW w:w="2564" w:type="dxa"/>
            <w:vAlign w:val="bottom"/>
          </w:tcPr>
          <w:p>
            <w:pPr>
              <w:rPr>
                <w:rFonts w:ascii="Arial" w:hAnsi="Arial" w:cs="Arial"/>
                <w:color w:val="000000"/>
                <w:sz w:val="18"/>
                <w:szCs w:val="18"/>
              </w:rPr>
            </w:pPr>
          </w:p>
        </w:tc>
        <w:tc>
          <w:tcPr>
            <w:tcW w:w="1248" w:type="dxa"/>
            <w:gridSpan w:val="2"/>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单位：元</w:t>
            </w:r>
          </w:p>
        </w:tc>
      </w:tr>
      <w:tr>
        <w:trPr>
          <w:trHeight w:val="375" w:hRule="atLeast"/>
        </w:trPr>
        <w:tc>
          <w:tcPr>
            <w:tcW w:w="4692" w:type="dxa"/>
            <w:gridSpan w:val="3"/>
            <w:tcBorders>
              <w:top w:val="single" w:color="000000" w:sz="12" w:space="0"/>
              <w:left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人员经费</w:t>
            </w:r>
          </w:p>
        </w:tc>
        <w:tc>
          <w:tcPr>
            <w:tcW w:w="4748" w:type="dxa"/>
            <w:gridSpan w:val="4"/>
            <w:tcBorders>
              <w:top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公用经费</w:t>
            </w:r>
          </w:p>
        </w:tc>
      </w:tr>
      <w:tr>
        <w:trPr>
          <w:trHeight w:val="355" w:hRule="atLeast"/>
        </w:trPr>
        <w:tc>
          <w:tcPr>
            <w:tcW w:w="860" w:type="dxa"/>
            <w:vMerge w:val="restart"/>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经济分类科目编码</w:t>
            </w:r>
          </w:p>
        </w:tc>
        <w:tc>
          <w:tcPr>
            <w:tcW w:w="2656"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科目名称</w:t>
            </w:r>
          </w:p>
        </w:tc>
        <w:tc>
          <w:tcPr>
            <w:tcW w:w="1176"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w:t>
            </w:r>
          </w:p>
        </w:tc>
        <w:tc>
          <w:tcPr>
            <w:tcW w:w="936"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经济分类科目编码</w:t>
            </w:r>
          </w:p>
        </w:tc>
        <w:tc>
          <w:tcPr>
            <w:tcW w:w="2564"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科目名称</w:t>
            </w:r>
          </w:p>
        </w:tc>
        <w:tc>
          <w:tcPr>
            <w:tcW w:w="1248" w:type="dxa"/>
            <w:gridSpan w:val="2"/>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w:t>
            </w:r>
          </w:p>
        </w:tc>
      </w:tr>
      <w:tr>
        <w:trPr>
          <w:trHeight w:val="355" w:hRule="atLeast"/>
        </w:trPr>
        <w:tc>
          <w:tcPr>
            <w:tcW w:w="860" w:type="dxa"/>
            <w:vMerge w:val="continue"/>
            <w:tcBorders>
              <w:top w:val="single" w:color="000000" w:sz="4" w:space="0"/>
              <w:left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265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117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93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256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1248" w:type="dxa"/>
            <w:gridSpan w:val="2"/>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301</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工资福利支出</w:t>
            </w:r>
          </w:p>
        </w:tc>
        <w:tc>
          <w:tcPr>
            <w:tcW w:w="1176" w:type="dxa"/>
            <w:tcBorders>
              <w:top w:val="single" w:color="000000" w:sz="4" w:space="0"/>
              <w:bottom w:val="single" w:color="000000" w:sz="4" w:space="0"/>
              <w:right w:val="single" w:color="000000" w:sz="4" w:space="0"/>
            </w:tcBorders>
            <w:shd w:val="clear" w:color="auto" w:fill="auto"/>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330,376.80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302</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商品和服务支出</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182,093.60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30101</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基本工资</w:t>
            </w:r>
          </w:p>
        </w:tc>
        <w:tc>
          <w:tcPr>
            <w:tcW w:w="1176" w:type="dxa"/>
            <w:tcBorders>
              <w:top w:val="single" w:color="000000" w:sz="4" w:space="0"/>
              <w:bottom w:val="single" w:color="000000" w:sz="4" w:space="0"/>
              <w:right w:val="single" w:color="000000" w:sz="4" w:space="0"/>
            </w:tcBorders>
            <w:shd w:val="clear" w:color="auto" w:fill="auto"/>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197,000.00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30201</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办公费</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15,861.10</w:t>
            </w:r>
          </w:p>
        </w:tc>
      </w:tr>
      <w:tr>
        <w:trPr>
          <w:trHeight w:val="392"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30102</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津贴补贴</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75269</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30202</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印刷费</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5,226.00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30103</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奖金</w:t>
            </w:r>
          </w:p>
        </w:tc>
        <w:tc>
          <w:tcPr>
            <w:tcW w:w="1176" w:type="dxa"/>
            <w:tcBorders>
              <w:top w:val="single" w:color="000000" w:sz="4" w:space="0"/>
              <w:bottom w:val="single" w:color="000000" w:sz="4" w:space="0"/>
              <w:right w:val="single" w:color="000000" w:sz="4" w:space="0"/>
            </w:tcBorders>
            <w:shd w:val="clear" w:color="auto" w:fill="auto"/>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10,794.00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30203</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咨询费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30104</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其他社会保障缴费</w:t>
            </w:r>
          </w:p>
        </w:tc>
        <w:tc>
          <w:tcPr>
            <w:tcW w:w="1176" w:type="dxa"/>
            <w:tcBorders>
              <w:top w:val="single" w:color="000000" w:sz="4" w:space="0"/>
              <w:bottom w:val="single" w:color="000000" w:sz="4" w:space="0"/>
              <w:right w:val="single" w:color="000000" w:sz="4" w:space="0"/>
            </w:tcBorders>
            <w:shd w:val="clear" w:color="auto" w:fill="auto"/>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25,494.20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30204</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手续费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30106</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伙食补助费</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30205</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水费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30107</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绩效工资</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30206</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电费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670"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30108</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机关事业单位基本养老保险缴费</w:t>
            </w:r>
          </w:p>
        </w:tc>
        <w:tc>
          <w:tcPr>
            <w:tcW w:w="1176" w:type="dxa"/>
            <w:tcBorders>
              <w:top w:val="single" w:color="000000" w:sz="4" w:space="0"/>
              <w:bottom w:val="single" w:color="000000" w:sz="4" w:space="0"/>
              <w:right w:val="single" w:color="000000" w:sz="4" w:space="0"/>
            </w:tcBorders>
            <w:shd w:val="clear" w:color="auto" w:fill="auto"/>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21,819.60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30207</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邮电费</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2,100.00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30109</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职业年金缴费</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30208</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取暖费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30199</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其他工资福利支出</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30209</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物业管理费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303</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对个人和家庭的补助</w:t>
            </w:r>
          </w:p>
        </w:tc>
        <w:tc>
          <w:tcPr>
            <w:tcW w:w="1176" w:type="dxa"/>
            <w:tcBorders>
              <w:top w:val="single" w:color="000000" w:sz="4" w:space="0"/>
              <w:bottom w:val="single" w:color="000000" w:sz="4" w:space="0"/>
              <w:right w:val="single" w:color="000000" w:sz="4" w:space="0"/>
            </w:tcBorders>
            <w:shd w:val="clear" w:color="auto" w:fill="auto"/>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242,628.30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30211</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差旅费</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18,544.00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30301</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离休费</w:t>
            </w:r>
          </w:p>
        </w:tc>
        <w:tc>
          <w:tcPr>
            <w:tcW w:w="1176" w:type="dxa"/>
            <w:tcBorders>
              <w:top w:val="single" w:color="000000" w:sz="4" w:space="0"/>
              <w:bottom w:val="single" w:color="000000" w:sz="4" w:space="0"/>
              <w:right w:val="single" w:color="000000" w:sz="4" w:space="0"/>
            </w:tcBorders>
            <w:shd w:val="clear" w:color="auto" w:fill="auto"/>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88,248.00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30212</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因公出国（境）费用</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30302</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退休费</w:t>
            </w:r>
          </w:p>
        </w:tc>
        <w:tc>
          <w:tcPr>
            <w:tcW w:w="1176" w:type="dxa"/>
            <w:tcBorders>
              <w:top w:val="single" w:color="000000" w:sz="4" w:space="0"/>
              <w:bottom w:val="single" w:color="000000" w:sz="4" w:space="0"/>
              <w:right w:val="single" w:color="000000" w:sz="4" w:space="0"/>
            </w:tcBorders>
            <w:shd w:val="clear" w:color="auto" w:fill="auto"/>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105,181.20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30213</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维修(护)费</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3,660.00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30303</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退职（役）费</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30214</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租赁费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30304</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抚恤金</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30215</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会议费</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700.00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30305</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生活补助</w:t>
            </w:r>
          </w:p>
        </w:tc>
        <w:tc>
          <w:tcPr>
            <w:tcW w:w="1176" w:type="dxa"/>
            <w:tcBorders>
              <w:top w:val="single" w:color="000000" w:sz="4" w:space="0"/>
              <w:bottom w:val="single" w:color="000000" w:sz="4" w:space="0"/>
              <w:right w:val="single" w:color="000000" w:sz="4" w:space="0"/>
            </w:tcBorders>
            <w:shd w:val="clear" w:color="auto" w:fill="auto"/>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6,624.00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30216</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培训费</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37,131.00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30306</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救济费</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30217</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公务接待费</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23,838.00</w:t>
            </w:r>
          </w:p>
        </w:tc>
      </w:tr>
      <w:tr>
        <w:trPr>
          <w:trHeight w:val="368"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30307</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医疗费</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30218</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专用材料费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30308</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助学金</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30224</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被装购置费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30309</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奖励金</w:t>
            </w:r>
          </w:p>
        </w:tc>
        <w:tc>
          <w:tcPr>
            <w:tcW w:w="1176" w:type="dxa"/>
            <w:tcBorders>
              <w:top w:val="single" w:color="000000" w:sz="4" w:space="0"/>
              <w:bottom w:val="single" w:color="000000" w:sz="4" w:space="0"/>
              <w:right w:val="single" w:color="000000" w:sz="4" w:space="0"/>
            </w:tcBorders>
            <w:shd w:val="clear" w:color="auto" w:fill="auto"/>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40,588.00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30225</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专用燃料费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30310</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生产补贴</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30226</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劳务费</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3,000.00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30311</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住房公积金</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30227</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委托业务费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30312</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提租补贴</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30228</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工会经费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30313</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购房补贴</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30229</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福利费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30314</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采暖补贴</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30231</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公务用车运行维护费</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30315</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物业服务补贴</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30239</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其他交通费用</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11,400.00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30399</w:t>
            </w:r>
          </w:p>
        </w:tc>
        <w:tc>
          <w:tcPr>
            <w:tcW w:w="265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其他对个人和家庭的补助支出</w:t>
            </w:r>
          </w:p>
        </w:tc>
        <w:tc>
          <w:tcPr>
            <w:tcW w:w="1176" w:type="dxa"/>
            <w:tcBorders>
              <w:top w:val="single" w:color="000000" w:sz="4" w:space="0"/>
              <w:bottom w:val="single" w:color="000000" w:sz="4" w:space="0"/>
              <w:right w:val="single" w:color="000000" w:sz="4" w:space="0"/>
            </w:tcBorders>
            <w:shd w:val="clear" w:color="auto" w:fill="auto"/>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1,987.10</w:t>
            </w: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30240</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税金及附加费用</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30299</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其他商品和服务支出</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60,633.50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310</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其他资本性支出</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12,000.00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31001</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房屋建筑物购建</w:t>
            </w:r>
          </w:p>
        </w:tc>
        <w:tc>
          <w:tcPr>
            <w:tcW w:w="12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31002</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办公设备购置</w:t>
            </w:r>
          </w:p>
        </w:tc>
        <w:tc>
          <w:tcPr>
            <w:tcW w:w="1248" w:type="dxa"/>
            <w:gridSpan w:val="2"/>
            <w:tcBorders>
              <w:top w:val="single" w:color="000000" w:sz="4" w:space="0"/>
              <w:bottom w:val="single" w:color="000000" w:sz="4" w:space="0"/>
              <w:right w:val="single" w:color="000000" w:sz="4" w:space="0"/>
            </w:tcBorders>
            <w:textDirection w:val="lrTb"/>
            <w:vAlign w:val="center"/>
          </w:tcPr>
          <w:p>
            <w:pPr>
              <w:autoSpaceDN w:val="0"/>
              <w:jc w:val="right"/>
              <w:textAlignment w:val="center"/>
              <w:rPr>
                <w:rFonts w:ascii="宋体" w:hAnsi="宋体" w:cs="宋体"/>
                <w:color w:val="000000"/>
                <w:sz w:val="18"/>
                <w:szCs w:val="18"/>
              </w:rPr>
            </w:pPr>
            <w:r>
              <w:rPr>
                <w:rFonts w:hint="default" w:ascii="宋体" w:hAnsi="宋体" w:eastAsia="宋体"/>
                <w:b w:val="0"/>
                <w:i w:val="0"/>
                <w:color w:val="000000"/>
                <w:sz w:val="22"/>
                <w:u w:val="none"/>
                <w:lang w:eastAsia="zh-CN"/>
              </w:rPr>
              <w:t>12,000.00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31003</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专用设备购置</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31005</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基础设施建设</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31006</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大型修缮</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31007</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信息网络及软件购置更新</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31008</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物资储备</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31009</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土地补偿</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31010</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安置补助</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31011</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地上附着物和青苗补偿</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31012</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拆迁补偿</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31013</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公务用车购置</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31019</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其他交通工具购置</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31020</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产权参股</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31099</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其他资本性支出</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304</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对企事业单位的补贴</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30401</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企业政策性补贴</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30402</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事业单位补贴</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30403</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财政贴息</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30499</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其他对企事业单位的补贴</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307</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债务利息支出</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30701</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国内债务付息</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30707</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国外债务付息</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399</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其他支出</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86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2656" w:type="dxa"/>
            <w:tcBorders>
              <w:top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1176" w:type="dxa"/>
            <w:tcBorders>
              <w:top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936"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39906</w:t>
            </w:r>
          </w:p>
        </w:tc>
        <w:tc>
          <w:tcPr>
            <w:tcW w:w="2564" w:type="dxa"/>
            <w:tcBorders>
              <w:top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赠与</w:t>
            </w:r>
          </w:p>
        </w:tc>
        <w:tc>
          <w:tcPr>
            <w:tcW w:w="110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rPr>
          <w:gridAfter w:val="1"/>
          <w:wAfter w:w="146" w:type="dxa"/>
          <w:trHeight w:val="355" w:hRule="atLeast"/>
        </w:trPr>
        <w:tc>
          <w:tcPr>
            <w:tcW w:w="3516" w:type="dxa"/>
            <w:gridSpan w:val="2"/>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人员经费合计</w:t>
            </w:r>
          </w:p>
        </w:tc>
        <w:tc>
          <w:tcPr>
            <w:tcW w:w="1176" w:type="dxa"/>
            <w:tcBorders>
              <w:top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573005.1</w:t>
            </w:r>
            <w:r>
              <w:rPr>
                <w:rFonts w:hint="eastAsia" w:ascii="宋体" w:hAnsi="宋体" w:cs="宋体"/>
                <w:color w:val="000000"/>
                <w:kern w:val="0"/>
                <w:sz w:val="18"/>
                <w:szCs w:val="18"/>
              </w:rPr>
              <w:t>0</w:t>
            </w:r>
          </w:p>
        </w:tc>
        <w:tc>
          <w:tcPr>
            <w:tcW w:w="3500" w:type="dxa"/>
            <w:gridSpan w:val="2"/>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公用经费合计</w:t>
            </w:r>
          </w:p>
        </w:tc>
        <w:tc>
          <w:tcPr>
            <w:tcW w:w="1102" w:type="dxa"/>
            <w:tcBorders>
              <w:top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194093.6</w:t>
            </w:r>
          </w:p>
        </w:tc>
      </w:tr>
      <w:tr>
        <w:trPr>
          <w:gridAfter w:val="1"/>
          <w:wAfter w:w="146" w:type="dxa"/>
          <w:trHeight w:val="355" w:hRule="atLeast"/>
        </w:trPr>
        <w:tc>
          <w:tcPr>
            <w:tcW w:w="9294" w:type="dxa"/>
            <w:gridSpan w:val="6"/>
            <w:tcBorders>
              <w:left w:val="single" w:color="000000" w:sz="12"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注：本表反映部门本年度一般公共预算财政拨款基本支出明细情况。 </w:t>
            </w:r>
          </w:p>
        </w:tc>
      </w:tr>
    </w:tbl>
    <w:p>
      <w:pPr>
        <w:spacing w:line="360" w:lineRule="auto"/>
        <w:jc w:val="center"/>
        <w:rPr>
          <w:rFonts w:ascii="隶书" w:hAnsi="隶书" w:eastAsia="隶书" w:cs="隶书"/>
          <w:sz w:val="52"/>
          <w:szCs w:val="52"/>
        </w:rPr>
      </w:pPr>
      <w:r>
        <w:rPr>
          <w:rFonts w:hint="eastAsia" w:ascii="隶书" w:hAnsi="隶书" w:eastAsia="隶书" w:cs="隶书"/>
          <w:sz w:val="52"/>
          <w:szCs w:val="52"/>
        </w:rPr>
        <w:br w:type="page"/>
      </w:r>
    </w:p>
    <w:tbl>
      <w:tblPr>
        <w:tblW w:w="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2"/>
        <w:gridCol w:w="776"/>
        <w:gridCol w:w="45"/>
        <w:gridCol w:w="161"/>
        <w:gridCol w:w="487"/>
        <w:gridCol w:w="726"/>
        <w:gridCol w:w="872"/>
        <w:gridCol w:w="903"/>
        <w:gridCol w:w="847"/>
        <w:gridCol w:w="619"/>
        <w:gridCol w:w="209"/>
        <w:gridCol w:w="241"/>
        <w:gridCol w:w="570"/>
        <w:gridCol w:w="825"/>
        <w:gridCol w:w="874"/>
        <w:gridCol w:w="888"/>
      </w:tblGrid>
      <w:tr>
        <w:trPr>
          <w:trHeight w:val="1112" w:hRule="atLeast"/>
        </w:trPr>
        <w:tc>
          <w:tcPr>
            <w:tcW w:w="9945" w:type="dxa"/>
            <w:gridSpan w:val="16"/>
            <w:vAlign w:val="bottom"/>
          </w:tcPr>
          <w:p>
            <w:pPr>
              <w:jc w:val="center"/>
              <w:rPr>
                <w:rFonts w:ascii="Arial" w:hAnsi="Arial" w:cs="Arial"/>
                <w:color w:val="000000"/>
                <w:sz w:val="20"/>
                <w:szCs w:val="20"/>
              </w:rPr>
            </w:pPr>
            <w:r>
              <w:rPr>
                <w:rFonts w:hint="eastAsia" w:ascii="宋体" w:hAnsi="宋体" w:cs="宋体"/>
                <w:color w:val="000000"/>
                <w:kern w:val="0"/>
                <w:sz w:val="18"/>
                <w:szCs w:val="18"/>
              </w:rPr>
              <w:t>一般公共预算财政拨款“三公”经费支出决算表</w:t>
            </w:r>
          </w:p>
        </w:tc>
      </w:tr>
      <w:tr>
        <w:trPr>
          <w:trHeight w:val="414" w:hRule="atLeast"/>
        </w:trPr>
        <w:tc>
          <w:tcPr>
            <w:tcW w:w="1678" w:type="dxa"/>
            <w:gridSpan w:val="2"/>
            <w:vAlign w:val="bottom"/>
          </w:tcPr>
          <w:p>
            <w:pPr>
              <w:rPr>
                <w:rFonts w:ascii="Arial" w:hAnsi="Arial" w:cs="Arial"/>
                <w:color w:val="000000"/>
                <w:sz w:val="20"/>
                <w:szCs w:val="20"/>
              </w:rPr>
            </w:pPr>
          </w:p>
        </w:tc>
        <w:tc>
          <w:tcPr>
            <w:tcW w:w="206" w:type="dxa"/>
            <w:gridSpan w:val="2"/>
            <w:vAlign w:val="bottom"/>
          </w:tcPr>
          <w:p>
            <w:pPr>
              <w:rPr>
                <w:rFonts w:ascii="Arial" w:hAnsi="Arial" w:cs="Arial"/>
                <w:color w:val="000000"/>
                <w:sz w:val="20"/>
                <w:szCs w:val="20"/>
              </w:rPr>
            </w:pPr>
          </w:p>
        </w:tc>
        <w:tc>
          <w:tcPr>
            <w:tcW w:w="487" w:type="dxa"/>
            <w:vAlign w:val="bottom"/>
          </w:tcPr>
          <w:p>
            <w:pPr>
              <w:rPr>
                <w:rFonts w:ascii="Arial" w:hAnsi="Arial" w:cs="Arial"/>
                <w:color w:val="000000"/>
                <w:sz w:val="20"/>
                <w:szCs w:val="20"/>
              </w:rPr>
            </w:pPr>
          </w:p>
        </w:tc>
        <w:tc>
          <w:tcPr>
            <w:tcW w:w="726" w:type="dxa"/>
            <w:vAlign w:val="bottom"/>
          </w:tcPr>
          <w:p>
            <w:pPr>
              <w:rPr>
                <w:rFonts w:ascii="Arial" w:hAnsi="Arial" w:cs="Arial"/>
                <w:color w:val="000000"/>
                <w:sz w:val="20"/>
                <w:szCs w:val="20"/>
              </w:rPr>
            </w:pPr>
          </w:p>
        </w:tc>
        <w:tc>
          <w:tcPr>
            <w:tcW w:w="872" w:type="dxa"/>
            <w:vAlign w:val="bottom"/>
          </w:tcPr>
          <w:p>
            <w:pPr>
              <w:rPr>
                <w:rFonts w:ascii="Arial" w:hAnsi="Arial" w:cs="Arial"/>
                <w:color w:val="000000"/>
                <w:sz w:val="20"/>
                <w:szCs w:val="20"/>
              </w:rPr>
            </w:pPr>
          </w:p>
        </w:tc>
        <w:tc>
          <w:tcPr>
            <w:tcW w:w="903" w:type="dxa"/>
            <w:vAlign w:val="bottom"/>
          </w:tcPr>
          <w:p>
            <w:pPr>
              <w:rPr>
                <w:rFonts w:ascii="Arial" w:hAnsi="Arial" w:cs="Arial"/>
                <w:color w:val="000000"/>
                <w:sz w:val="20"/>
                <w:szCs w:val="20"/>
              </w:rPr>
            </w:pPr>
          </w:p>
        </w:tc>
        <w:tc>
          <w:tcPr>
            <w:tcW w:w="1466" w:type="dxa"/>
            <w:gridSpan w:val="2"/>
            <w:vAlign w:val="bottom"/>
          </w:tcPr>
          <w:p>
            <w:pPr>
              <w:rPr>
                <w:rFonts w:ascii="Arial" w:hAnsi="Arial" w:cs="Arial"/>
                <w:color w:val="000000"/>
                <w:sz w:val="20"/>
                <w:szCs w:val="20"/>
              </w:rPr>
            </w:pPr>
          </w:p>
        </w:tc>
        <w:tc>
          <w:tcPr>
            <w:tcW w:w="450" w:type="dxa"/>
            <w:gridSpan w:val="2"/>
            <w:vAlign w:val="bottom"/>
          </w:tcPr>
          <w:p>
            <w:pPr>
              <w:rPr>
                <w:rFonts w:ascii="Arial" w:hAnsi="Arial" w:cs="Arial"/>
                <w:color w:val="000000"/>
                <w:sz w:val="20"/>
                <w:szCs w:val="20"/>
              </w:rPr>
            </w:pPr>
          </w:p>
        </w:tc>
        <w:tc>
          <w:tcPr>
            <w:tcW w:w="570" w:type="dxa"/>
            <w:vAlign w:val="bottom"/>
          </w:tcPr>
          <w:p>
            <w:pPr>
              <w:rPr>
                <w:rFonts w:ascii="Arial" w:hAnsi="Arial" w:cs="Arial"/>
                <w:color w:val="000000"/>
                <w:sz w:val="20"/>
                <w:szCs w:val="20"/>
              </w:rPr>
            </w:pPr>
          </w:p>
        </w:tc>
        <w:tc>
          <w:tcPr>
            <w:tcW w:w="825" w:type="dxa"/>
            <w:vAlign w:val="bottom"/>
          </w:tcPr>
          <w:p>
            <w:pPr>
              <w:rPr>
                <w:rFonts w:ascii="Arial" w:hAnsi="Arial" w:cs="Arial"/>
                <w:color w:val="000000"/>
                <w:sz w:val="20"/>
                <w:szCs w:val="20"/>
              </w:rPr>
            </w:pPr>
          </w:p>
        </w:tc>
        <w:tc>
          <w:tcPr>
            <w:tcW w:w="874" w:type="dxa"/>
            <w:vAlign w:val="bottom"/>
          </w:tcPr>
          <w:p>
            <w:pPr>
              <w:rPr>
                <w:rFonts w:ascii="Arial" w:hAnsi="Arial" w:cs="Arial"/>
                <w:color w:val="000000"/>
                <w:sz w:val="20"/>
                <w:szCs w:val="20"/>
              </w:rPr>
            </w:pPr>
          </w:p>
        </w:tc>
        <w:tc>
          <w:tcPr>
            <w:tcW w:w="888" w:type="dxa"/>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公开07表</w:t>
            </w:r>
          </w:p>
        </w:tc>
      </w:tr>
      <w:tr>
        <w:trPr>
          <w:trHeight w:val="509" w:hRule="atLeast"/>
        </w:trPr>
        <w:tc>
          <w:tcPr>
            <w:tcW w:w="3969" w:type="dxa"/>
            <w:gridSpan w:val="7"/>
            <w:vAlign w:val="bottom"/>
          </w:tcPr>
          <w:p>
            <w:pPr>
              <w:rPr>
                <w:rFonts w:ascii="Arial" w:hAnsi="Arial" w:cs="Arial"/>
                <w:color w:val="000000"/>
                <w:sz w:val="20"/>
                <w:szCs w:val="20"/>
              </w:rPr>
            </w:pPr>
            <w:r>
              <w:rPr>
                <w:rFonts w:hint="eastAsia" w:ascii="宋体" w:hAnsi="宋体" w:cs="宋体"/>
                <w:color w:val="000000"/>
                <w:kern w:val="0"/>
                <w:sz w:val="18"/>
                <w:szCs w:val="18"/>
              </w:rPr>
              <w:t>部门：河南省南阳市卧龙区民族宗教局</w:t>
            </w:r>
          </w:p>
        </w:tc>
        <w:tc>
          <w:tcPr>
            <w:tcW w:w="903" w:type="dxa"/>
            <w:vAlign w:val="bottom"/>
          </w:tcPr>
          <w:p>
            <w:pPr>
              <w:rPr>
                <w:rFonts w:ascii="Arial" w:hAnsi="Arial" w:cs="Arial"/>
                <w:color w:val="000000"/>
                <w:sz w:val="20"/>
                <w:szCs w:val="20"/>
              </w:rPr>
            </w:pPr>
          </w:p>
        </w:tc>
        <w:tc>
          <w:tcPr>
            <w:tcW w:w="1466" w:type="dxa"/>
            <w:gridSpan w:val="2"/>
            <w:vAlign w:val="bottom"/>
          </w:tcPr>
          <w:p>
            <w:pPr>
              <w:rPr>
                <w:rFonts w:ascii="Arial" w:hAnsi="Arial" w:cs="Arial"/>
                <w:color w:val="000000"/>
                <w:sz w:val="20"/>
                <w:szCs w:val="20"/>
              </w:rPr>
            </w:pPr>
          </w:p>
        </w:tc>
        <w:tc>
          <w:tcPr>
            <w:tcW w:w="450" w:type="dxa"/>
            <w:gridSpan w:val="2"/>
            <w:vAlign w:val="bottom"/>
          </w:tcPr>
          <w:p>
            <w:pPr>
              <w:rPr>
                <w:rFonts w:ascii="Arial" w:hAnsi="Arial" w:cs="Arial"/>
                <w:color w:val="000000"/>
                <w:sz w:val="20"/>
                <w:szCs w:val="20"/>
              </w:rPr>
            </w:pPr>
          </w:p>
        </w:tc>
        <w:tc>
          <w:tcPr>
            <w:tcW w:w="570" w:type="dxa"/>
            <w:vAlign w:val="bottom"/>
          </w:tcPr>
          <w:p>
            <w:pPr>
              <w:rPr>
                <w:rFonts w:ascii="Arial" w:hAnsi="Arial" w:cs="Arial"/>
                <w:color w:val="000000"/>
                <w:sz w:val="20"/>
                <w:szCs w:val="20"/>
              </w:rPr>
            </w:pPr>
          </w:p>
        </w:tc>
        <w:tc>
          <w:tcPr>
            <w:tcW w:w="825" w:type="dxa"/>
            <w:vAlign w:val="bottom"/>
          </w:tcPr>
          <w:p>
            <w:pPr>
              <w:rPr>
                <w:rFonts w:ascii="Arial" w:hAnsi="Arial" w:cs="Arial"/>
                <w:color w:val="000000"/>
                <w:sz w:val="20"/>
                <w:szCs w:val="20"/>
              </w:rPr>
            </w:pPr>
          </w:p>
        </w:tc>
        <w:tc>
          <w:tcPr>
            <w:tcW w:w="874" w:type="dxa"/>
            <w:vAlign w:val="bottom"/>
          </w:tcPr>
          <w:p>
            <w:pPr>
              <w:rPr>
                <w:rFonts w:ascii="Arial" w:hAnsi="Arial" w:cs="Arial"/>
                <w:color w:val="000000"/>
                <w:sz w:val="20"/>
                <w:szCs w:val="20"/>
              </w:rPr>
            </w:pPr>
          </w:p>
        </w:tc>
        <w:tc>
          <w:tcPr>
            <w:tcW w:w="888" w:type="dxa"/>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单位：元</w:t>
            </w:r>
          </w:p>
        </w:tc>
      </w:tr>
      <w:tr>
        <w:trPr>
          <w:trHeight w:val="479" w:hRule="atLeast"/>
        </w:trPr>
        <w:tc>
          <w:tcPr>
            <w:tcW w:w="4872" w:type="dxa"/>
            <w:gridSpan w:val="8"/>
            <w:tcBorders>
              <w:top w:val="single" w:color="000000" w:sz="12" w:space="0"/>
              <w:left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2016年度预算数</w:t>
            </w:r>
          </w:p>
        </w:tc>
        <w:tc>
          <w:tcPr>
            <w:tcW w:w="5073" w:type="dxa"/>
            <w:gridSpan w:val="8"/>
            <w:tcBorders>
              <w:top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2016年度决算数</w:t>
            </w:r>
          </w:p>
        </w:tc>
      </w:tr>
      <w:tr>
        <w:trPr>
          <w:trHeight w:val="436" w:hRule="atLeast"/>
        </w:trPr>
        <w:tc>
          <w:tcPr>
            <w:tcW w:w="902" w:type="dxa"/>
            <w:vMerge w:val="restart"/>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821" w:type="dxa"/>
            <w:gridSpan w:val="2"/>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因公出国（境）费</w:t>
            </w:r>
          </w:p>
        </w:tc>
        <w:tc>
          <w:tcPr>
            <w:tcW w:w="2246" w:type="dxa"/>
            <w:gridSpan w:val="4"/>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公务用车购置及运行费</w:t>
            </w:r>
          </w:p>
        </w:tc>
        <w:tc>
          <w:tcPr>
            <w:tcW w:w="903"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公务接待费</w:t>
            </w:r>
          </w:p>
        </w:tc>
        <w:tc>
          <w:tcPr>
            <w:tcW w:w="847"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828" w:type="dxa"/>
            <w:gridSpan w:val="2"/>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因公出国（境）费</w:t>
            </w:r>
          </w:p>
        </w:tc>
        <w:tc>
          <w:tcPr>
            <w:tcW w:w="2510" w:type="dxa"/>
            <w:gridSpan w:val="4"/>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公务用车购置及运行费</w:t>
            </w:r>
          </w:p>
        </w:tc>
        <w:tc>
          <w:tcPr>
            <w:tcW w:w="888"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公务接待费</w:t>
            </w:r>
          </w:p>
        </w:tc>
      </w:tr>
      <w:tr>
        <w:trPr>
          <w:trHeight w:val="1070" w:hRule="atLeast"/>
        </w:trPr>
        <w:tc>
          <w:tcPr>
            <w:tcW w:w="902" w:type="dxa"/>
            <w:vMerge w:val="continue"/>
            <w:tcBorders>
              <w:top w:val="single" w:color="000000" w:sz="4" w:space="0"/>
              <w:left w:val="single" w:color="000000" w:sz="12"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821" w:type="dxa"/>
            <w:gridSpan w:val="2"/>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648" w:type="dxa"/>
            <w:gridSpan w:val="2"/>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小计</w:t>
            </w:r>
          </w:p>
        </w:tc>
        <w:tc>
          <w:tcPr>
            <w:tcW w:w="726"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公务用车购置费</w:t>
            </w:r>
          </w:p>
        </w:tc>
        <w:tc>
          <w:tcPr>
            <w:tcW w:w="872"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公务用车运行费</w:t>
            </w:r>
          </w:p>
        </w:tc>
        <w:tc>
          <w:tcPr>
            <w:tcW w:w="903"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84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828" w:type="dxa"/>
            <w:gridSpan w:val="2"/>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811" w:type="dxa"/>
            <w:gridSpan w:val="2"/>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小计</w:t>
            </w:r>
          </w:p>
        </w:tc>
        <w:tc>
          <w:tcPr>
            <w:tcW w:w="825"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公务用车购置费</w:t>
            </w:r>
          </w:p>
        </w:tc>
        <w:tc>
          <w:tcPr>
            <w:tcW w:w="874"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公务用车运行费</w:t>
            </w:r>
          </w:p>
        </w:tc>
        <w:tc>
          <w:tcPr>
            <w:tcW w:w="88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r>
      <w:tr>
        <w:trPr>
          <w:trHeight w:val="549" w:hRule="atLeast"/>
        </w:trPr>
        <w:tc>
          <w:tcPr>
            <w:tcW w:w="902"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821" w:type="dxa"/>
            <w:gridSpan w:val="2"/>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648" w:type="dxa"/>
            <w:gridSpan w:val="2"/>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26"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872"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903"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847"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828" w:type="dxa"/>
            <w:gridSpan w:val="2"/>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811" w:type="dxa"/>
            <w:gridSpan w:val="2"/>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825"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874"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888" w:type="dxa"/>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r>
      <w:tr>
        <w:trPr>
          <w:trHeight w:val="516" w:hRule="atLeast"/>
        </w:trPr>
        <w:tc>
          <w:tcPr>
            <w:tcW w:w="902" w:type="dxa"/>
            <w:tcBorders>
              <w:top w:val="single" w:color="000000" w:sz="4" w:space="0"/>
              <w:left w:val="single" w:color="000000" w:sz="12"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30,000.00</w:t>
            </w:r>
          </w:p>
        </w:tc>
        <w:tc>
          <w:tcPr>
            <w:tcW w:w="821"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64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726"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72"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03"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30,000.00</w:t>
            </w:r>
          </w:p>
        </w:tc>
        <w:tc>
          <w:tcPr>
            <w:tcW w:w="847" w:type="dxa"/>
            <w:tcBorders>
              <w:top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rPr>
              <w:t>23838.00</w:t>
            </w:r>
          </w:p>
        </w:tc>
        <w:tc>
          <w:tcPr>
            <w:tcW w:w="828"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11" w:type="dxa"/>
            <w:gridSpan w:val="2"/>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74"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88" w:type="dxa"/>
            <w:tcBorders>
              <w:top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rPr>
              <w:t>23838.00</w:t>
            </w:r>
          </w:p>
        </w:tc>
      </w:tr>
      <w:tr>
        <w:trPr>
          <w:trHeight w:val="830" w:hRule="atLeast"/>
        </w:trPr>
        <w:tc>
          <w:tcPr>
            <w:tcW w:w="9945" w:type="dxa"/>
            <w:gridSpan w:val="16"/>
            <w:tcBorders>
              <w:left w:val="single" w:color="000000" w:sz="12"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docGrid w:type="lines" w:linePitch="317"/>
        </w:sectPr>
      </w:pPr>
    </w:p>
    <w:tbl>
      <w:tblPr>
        <w:tblW w:w="10500"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rPr>
          <w:trHeight w:val="375" w:hRule="atLeast"/>
        </w:trPr>
        <w:tc>
          <w:tcPr>
            <w:tcW w:w="10500" w:type="dxa"/>
            <w:gridSpan w:val="12"/>
            <w:vAlign w:val="bottom"/>
          </w:tcPr>
          <w:p>
            <w:pPr>
              <w:widowControl/>
              <w:jc w:val="center"/>
              <w:textAlignment w:val="bottom"/>
              <w:rPr>
                <w:rFonts w:ascii="黑体" w:hAnsi="宋体" w:eastAsia="黑体"/>
                <w:color w:val="000000"/>
                <w:sz w:val="28"/>
                <w:szCs w:val="28"/>
              </w:rPr>
            </w:pPr>
            <w:r>
              <w:rPr>
                <w:rFonts w:hint="eastAsia" w:ascii="黑体" w:hAnsi="宋体" w:eastAsia="黑体"/>
                <w:color w:val="000000"/>
                <w:kern w:val="0"/>
                <w:sz w:val="28"/>
                <w:szCs w:val="28"/>
              </w:rPr>
              <w:t>政府性基金预算财政拨款收入支出决算表</w:t>
            </w:r>
          </w:p>
        </w:tc>
      </w:tr>
      <w:tr>
        <w:trPr>
          <w:trHeight w:val="285" w:hRule="atLeast"/>
        </w:trPr>
        <w:tc>
          <w:tcPr>
            <w:tcW w:w="1591" w:type="dxa"/>
            <w:gridSpan w:val="2"/>
            <w:vAlign w:val="center"/>
          </w:tcPr>
          <w:p>
            <w:pPr>
              <w:rPr>
                <w:rFonts w:ascii="宋体" w:hAnsi="宋体" w:cs="宋体"/>
                <w:color w:val="000000"/>
                <w:sz w:val="16"/>
                <w:szCs w:val="16"/>
              </w:rPr>
            </w:pPr>
          </w:p>
        </w:tc>
        <w:tc>
          <w:tcPr>
            <w:tcW w:w="1436" w:type="dxa"/>
            <w:vAlign w:val="center"/>
          </w:tcPr>
          <w:p>
            <w:pPr>
              <w:rPr>
                <w:rFonts w:ascii="宋体" w:hAnsi="宋体" w:cs="宋体"/>
                <w:color w:val="000000"/>
                <w:sz w:val="16"/>
                <w:szCs w:val="16"/>
              </w:rPr>
            </w:pPr>
          </w:p>
        </w:tc>
        <w:tc>
          <w:tcPr>
            <w:tcW w:w="1166" w:type="dxa"/>
            <w:vAlign w:val="center"/>
          </w:tcPr>
          <w:p>
            <w:pPr>
              <w:rPr>
                <w:rFonts w:ascii="宋体" w:hAnsi="宋体" w:cs="宋体"/>
                <w:color w:val="000000"/>
                <w:sz w:val="16"/>
                <w:szCs w:val="16"/>
              </w:rPr>
            </w:pPr>
          </w:p>
        </w:tc>
        <w:tc>
          <w:tcPr>
            <w:tcW w:w="1297" w:type="dxa"/>
            <w:gridSpan w:val="2"/>
            <w:vAlign w:val="center"/>
          </w:tcPr>
          <w:p>
            <w:pPr>
              <w:rPr>
                <w:rFonts w:ascii="宋体" w:hAnsi="宋体" w:cs="宋体"/>
                <w:color w:val="000000"/>
                <w:sz w:val="16"/>
                <w:szCs w:val="16"/>
              </w:rPr>
            </w:pPr>
          </w:p>
        </w:tc>
        <w:tc>
          <w:tcPr>
            <w:tcW w:w="751" w:type="dxa"/>
            <w:vAlign w:val="center"/>
          </w:tcPr>
          <w:p>
            <w:pPr>
              <w:rPr>
                <w:rFonts w:ascii="宋体" w:hAnsi="宋体" w:cs="宋体"/>
                <w:color w:val="000000"/>
                <w:sz w:val="16"/>
                <w:szCs w:val="16"/>
              </w:rPr>
            </w:pPr>
          </w:p>
        </w:tc>
        <w:tc>
          <w:tcPr>
            <w:tcW w:w="999" w:type="dxa"/>
            <w:gridSpan w:val="2"/>
            <w:vAlign w:val="center"/>
          </w:tcPr>
          <w:p>
            <w:pPr>
              <w:rPr>
                <w:rFonts w:ascii="宋体" w:hAnsi="宋体" w:cs="宋体"/>
                <w:color w:val="000000"/>
                <w:sz w:val="16"/>
                <w:szCs w:val="16"/>
              </w:rPr>
            </w:pPr>
          </w:p>
        </w:tc>
        <w:tc>
          <w:tcPr>
            <w:tcW w:w="2000" w:type="dxa"/>
            <w:gridSpan w:val="2"/>
            <w:vAlign w:val="center"/>
          </w:tcPr>
          <w:p>
            <w:pPr>
              <w:rPr>
                <w:rFonts w:ascii="宋体" w:hAnsi="宋体" w:cs="宋体"/>
                <w:color w:val="000000"/>
                <w:sz w:val="16"/>
                <w:szCs w:val="16"/>
              </w:rPr>
            </w:pPr>
          </w:p>
        </w:tc>
        <w:tc>
          <w:tcPr>
            <w:tcW w:w="1260" w:type="dxa"/>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公开08表</w:t>
            </w:r>
          </w:p>
        </w:tc>
      </w:tr>
      <w:tr>
        <w:trPr>
          <w:trHeight w:val="270" w:hRule="atLeast"/>
        </w:trPr>
        <w:tc>
          <w:tcPr>
            <w:tcW w:w="1591" w:type="dxa"/>
            <w:gridSpan w:val="2"/>
            <w:vAlign w:val="center"/>
          </w:tcPr>
          <w:p>
            <w:pPr>
              <w:rPr>
                <w:rFonts w:ascii="宋体" w:hAnsi="宋体" w:cs="宋体"/>
                <w:color w:val="000000"/>
                <w:sz w:val="16"/>
                <w:szCs w:val="16"/>
              </w:rPr>
            </w:pPr>
          </w:p>
        </w:tc>
        <w:tc>
          <w:tcPr>
            <w:tcW w:w="1436" w:type="dxa"/>
            <w:vAlign w:val="center"/>
          </w:tcPr>
          <w:p>
            <w:pPr>
              <w:rPr>
                <w:rFonts w:ascii="宋体" w:hAnsi="宋体" w:cs="宋体"/>
                <w:color w:val="000000"/>
                <w:sz w:val="16"/>
                <w:szCs w:val="16"/>
              </w:rPr>
            </w:pPr>
          </w:p>
        </w:tc>
        <w:tc>
          <w:tcPr>
            <w:tcW w:w="1166" w:type="dxa"/>
            <w:vAlign w:val="center"/>
          </w:tcPr>
          <w:p>
            <w:pPr>
              <w:rPr>
                <w:rFonts w:ascii="宋体" w:hAnsi="宋体" w:cs="宋体"/>
                <w:color w:val="000000"/>
                <w:sz w:val="16"/>
                <w:szCs w:val="16"/>
              </w:rPr>
            </w:pPr>
          </w:p>
        </w:tc>
        <w:tc>
          <w:tcPr>
            <w:tcW w:w="1297" w:type="dxa"/>
            <w:gridSpan w:val="2"/>
            <w:vAlign w:val="center"/>
          </w:tcPr>
          <w:p>
            <w:pPr>
              <w:rPr>
                <w:rFonts w:ascii="宋体" w:hAnsi="宋体" w:cs="宋体"/>
                <w:color w:val="000000"/>
                <w:sz w:val="16"/>
                <w:szCs w:val="16"/>
              </w:rPr>
            </w:pPr>
          </w:p>
        </w:tc>
        <w:tc>
          <w:tcPr>
            <w:tcW w:w="751" w:type="dxa"/>
            <w:vAlign w:val="center"/>
          </w:tcPr>
          <w:p>
            <w:pPr>
              <w:rPr>
                <w:rFonts w:ascii="宋体" w:hAnsi="宋体" w:cs="宋体"/>
                <w:color w:val="000000"/>
                <w:sz w:val="16"/>
                <w:szCs w:val="16"/>
              </w:rPr>
            </w:pPr>
          </w:p>
        </w:tc>
        <w:tc>
          <w:tcPr>
            <w:tcW w:w="999" w:type="dxa"/>
            <w:gridSpan w:val="2"/>
            <w:vAlign w:val="center"/>
          </w:tcPr>
          <w:p>
            <w:pPr>
              <w:rPr>
                <w:rFonts w:ascii="宋体" w:hAnsi="宋体" w:cs="宋体"/>
                <w:color w:val="000000"/>
                <w:sz w:val="16"/>
                <w:szCs w:val="16"/>
              </w:rPr>
            </w:pPr>
          </w:p>
        </w:tc>
        <w:tc>
          <w:tcPr>
            <w:tcW w:w="2000" w:type="dxa"/>
            <w:gridSpan w:val="2"/>
            <w:vAlign w:val="center"/>
          </w:tcPr>
          <w:p>
            <w:pPr>
              <w:rPr>
                <w:rFonts w:ascii="宋体" w:hAnsi="宋体" w:cs="宋体"/>
                <w:color w:val="000000"/>
                <w:sz w:val="16"/>
                <w:szCs w:val="16"/>
              </w:rPr>
            </w:pPr>
          </w:p>
        </w:tc>
        <w:tc>
          <w:tcPr>
            <w:tcW w:w="1260" w:type="dxa"/>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单位：万元</w:t>
            </w:r>
          </w:p>
        </w:tc>
      </w:tr>
      <w:tr>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年末结转和结余</w:t>
            </w:r>
          </w:p>
        </w:tc>
      </w:tr>
      <w:tr>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功能分类</w:t>
            </w:r>
            <w:r>
              <w:rPr>
                <w:rFonts w:hint="eastAsia" w:ascii="宋体" w:hAnsi="宋体" w:cs="宋体"/>
                <w:b/>
                <w:color w:val="000000"/>
                <w:kern w:val="0"/>
                <w:sz w:val="16"/>
                <w:szCs w:val="16"/>
              </w:rPr>
              <w:br/>
            </w:r>
            <w:r>
              <w:rPr>
                <w:rFonts w:hint="eastAsia" w:ascii="宋体" w:hAnsi="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s="宋体"/>
                <w:b/>
                <w:color w:val="000000"/>
                <w:sz w:val="16"/>
                <w:szCs w:val="16"/>
              </w:rPr>
            </w:pPr>
          </w:p>
        </w:tc>
      </w:tr>
      <w:tr>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6</w:t>
            </w:r>
          </w:p>
        </w:tc>
      </w:tr>
      <w:tr>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b/>
                <w:color w:val="000000"/>
                <w:sz w:val="16"/>
                <w:szCs w:val="16"/>
              </w:rPr>
            </w:pPr>
            <w:r>
              <w:rPr>
                <w:rFonts w:hint="eastAsia" w:ascii="宋体" w:hAnsi="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000000"/>
                <w:sz w:val="16"/>
                <w:szCs w:val="16"/>
              </w:rPr>
            </w:pPr>
            <w:r>
              <w:rPr>
                <w:rFonts w:hint="eastAsia" w:ascii="宋体" w:hAnsi="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r>
      <w:tr>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r>
      <w:tr>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b/>
                <w:color w:val="000000"/>
                <w:sz w:val="16"/>
                <w:szCs w:val="16"/>
              </w:rPr>
            </w:pPr>
            <w:r>
              <w:rPr>
                <w:rFonts w:hint="eastAsia" w:ascii="宋体" w:hAnsi="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000000"/>
                <w:sz w:val="16"/>
                <w:szCs w:val="16"/>
              </w:rPr>
            </w:pPr>
            <w:r>
              <w:rPr>
                <w:rFonts w:hint="eastAsia" w:ascii="宋体" w:hAnsi="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cs="宋体"/>
                <w:color w:val="000000"/>
                <w:kern w:val="0"/>
                <w:sz w:val="16"/>
                <w:szCs w:val="16"/>
              </w:rPr>
            </w:pP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cs="宋体"/>
                <w:color w:val="000000"/>
                <w:kern w:val="0"/>
                <w:sz w:val="16"/>
                <w:szCs w:val="16"/>
              </w:rPr>
            </w:pP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cs="宋体"/>
                <w:color w:val="000000"/>
                <w:kern w:val="0"/>
                <w:sz w:val="16"/>
                <w:szCs w:val="16"/>
              </w:rPr>
            </w:pPr>
          </w:p>
        </w:tc>
      </w:tr>
      <w:tr>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cs="宋体"/>
                <w:color w:val="000000"/>
                <w:sz w:val="16"/>
                <w:szCs w:val="16"/>
              </w:rPr>
            </w:pPr>
          </w:p>
        </w:tc>
      </w:tr>
      <w:tr>
        <w:trPr>
          <w:trHeight w:val="285" w:hRule="atLeast"/>
        </w:trPr>
        <w:tc>
          <w:tcPr>
            <w:tcW w:w="10500" w:type="dxa"/>
            <w:gridSpan w:val="12"/>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注：本表反映部门本年度政府性基金预算财政拨款收入支出及结转和结余情况。</w:t>
            </w:r>
          </w:p>
        </w:tc>
      </w:tr>
      <w:tr>
        <w:trPr>
          <w:trHeight w:val="285" w:hRule="atLeast"/>
        </w:trPr>
        <w:tc>
          <w:tcPr>
            <w:tcW w:w="10500" w:type="dxa"/>
            <w:gridSpan w:val="12"/>
            <w:vAlign w:val="center"/>
          </w:tcPr>
          <w:p>
            <w:pPr>
              <w:widowControl/>
              <w:jc w:val="left"/>
              <w:textAlignment w:val="center"/>
              <w:rPr>
                <w:rFonts w:ascii="宋体" w:hAnsi="宋体" w:cs="宋体"/>
                <w:sz w:val="20"/>
                <w:szCs w:val="20"/>
              </w:rPr>
            </w:pPr>
            <w:r>
              <w:rPr>
                <w:rFonts w:hint="eastAsia" w:ascii="宋体" w:hAnsi="宋体" w:cs="宋体"/>
                <w:kern w:val="0"/>
                <w:sz w:val="20"/>
                <w:szCs w:val="20"/>
              </w:rPr>
              <w:t>说明：南阳市卧龙区民族宗教局没有政府性基金收入，也没有使用政府性基金安排的支出，故本表无数据。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docGrid w:type="lines" w:linePitch="317"/>
        </w:sect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南阳市卧龙区民族宗教局</w:t>
      </w:r>
    </w:p>
    <w:p>
      <w:pPr>
        <w:jc w:val="center"/>
        <w:rPr>
          <w:rFonts w:ascii="隶书" w:hAnsi="隶书" w:eastAsia="隶书" w:cs="隶书"/>
          <w:sz w:val="48"/>
          <w:szCs w:val="48"/>
        </w:rPr>
        <w:sectPr>
          <w:pgSz w:w="11906" w:h="16838"/>
          <w:pgMar w:top="1440" w:right="1531" w:bottom="1440" w:left="1587" w:header="850" w:footer="992" w:gutter="0"/>
          <w:pgNumType w:fmt="numberInDash"/>
          <w:cols w:space="720" w:num="1"/>
          <w:docGrid w:type="lines" w:linePitch="317"/>
        </w:sectPr>
      </w:pPr>
      <w:r>
        <w:rPr>
          <w:rFonts w:hint="eastAsia" w:ascii="隶书" w:hAnsi="隶书" w:eastAsia="隶书" w:cs="隶书"/>
          <w:sz w:val="48"/>
          <w:szCs w:val="48"/>
        </w:rPr>
        <w:t>201</w:t>
      </w:r>
      <w:r>
        <w:rPr>
          <w:rFonts w:hint="eastAsia" w:ascii="隶书" w:hAnsi="隶书" w:eastAsia="隶书" w:cs="隶书"/>
          <w:sz w:val="48"/>
          <w:szCs w:val="48"/>
          <w:lang w:val="en-US" w:eastAsia="zh-CN"/>
        </w:rPr>
        <w:t>7</w:t>
      </w:r>
      <w:r>
        <w:rPr>
          <w:rFonts w:hint="eastAsia" w:ascii="隶书" w:hAnsi="隶书" w:eastAsia="隶书" w:cs="隶书"/>
          <w:sz w:val="48"/>
          <w:szCs w:val="48"/>
        </w:rPr>
        <w:t>年度部门决算情况说明</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jc w:val="left"/>
        <w:rPr>
          <w:rFonts w:ascii="宋体" w:hAnsi="宋体" w:cs="宋体"/>
          <w:sz w:val="24"/>
        </w:rPr>
      </w:pP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年度收</w:t>
      </w:r>
      <w:r>
        <w:rPr>
          <w:rFonts w:hint="eastAsia" w:ascii="仿宋_GB2312" w:hAnsi="宋体" w:eastAsia="仿宋_GB2312" w:cs="Courier New"/>
          <w:sz w:val="32"/>
          <w:szCs w:val="32"/>
          <w:lang w:eastAsia="zh-CN"/>
        </w:rPr>
        <w:t>、支总计均为</w:t>
      </w:r>
      <w:r>
        <w:rPr>
          <w:rFonts w:hint="eastAsia" w:ascii="仿宋_GB2312" w:hAnsi="宋体" w:eastAsia="仿宋_GB2312" w:cs="Courier New"/>
          <w:sz w:val="32"/>
          <w:szCs w:val="32"/>
          <w:lang w:val="en-US" w:eastAsia="zh-CN"/>
        </w:rPr>
        <w:t>158.27</w:t>
      </w:r>
      <w:r>
        <w:rPr>
          <w:rFonts w:hint="eastAsia" w:ascii="仿宋_GB2312" w:hAnsi="宋体" w:eastAsia="仿宋_GB2312" w:cs="Courier New"/>
          <w:sz w:val="32"/>
          <w:szCs w:val="32"/>
        </w:rPr>
        <w:t>万元，与201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年相比，收、支总计</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11.22</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7.6%。主要原因是农林水利支出增加。</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hint="eastAsia" w:ascii="仿宋_GB2312" w:hAnsi="Times New Roman" w:eastAsia="仿宋_GB2312"/>
          <w:sz w:val="32"/>
          <w:szCs w:val="32"/>
          <w:lang w:val="en-US" w:eastAsia="zh-CN"/>
        </w:rPr>
        <w:t>75.81</w:t>
      </w:r>
      <w:r>
        <w:rPr>
          <w:rFonts w:hint="eastAsia" w:ascii="仿宋_GB2312" w:hAnsi="Times New Roman" w:eastAsia="仿宋_GB2312"/>
          <w:sz w:val="32"/>
          <w:szCs w:val="32"/>
        </w:rPr>
        <w:t>万元，其中：财政拨款收入</w:t>
      </w:r>
      <w:r>
        <w:rPr>
          <w:rFonts w:hint="eastAsia" w:ascii="仿宋_GB2312" w:hAnsi="Times New Roman" w:eastAsia="仿宋_GB2312"/>
          <w:sz w:val="32"/>
          <w:szCs w:val="32"/>
          <w:lang w:val="en-US" w:eastAsia="zh-CN"/>
        </w:rPr>
        <w:t>74.47</w:t>
      </w:r>
      <w:r>
        <w:rPr>
          <w:rFonts w:hint="eastAsia" w:ascii="仿宋_GB2312" w:hAnsi="Times New Roman" w:eastAsia="仿宋_GB2312"/>
          <w:sz w:val="32"/>
          <w:szCs w:val="32"/>
        </w:rPr>
        <w:t>万元，占98</w:t>
      </w:r>
      <w:r>
        <w:rPr>
          <w:rFonts w:ascii="仿宋_GB2312" w:hAnsi="Times New Roman" w:eastAsia="仿宋_GB2312"/>
          <w:sz w:val="32"/>
          <w:szCs w:val="32"/>
        </w:rPr>
        <w:t>%</w:t>
      </w:r>
      <w:r>
        <w:rPr>
          <w:rFonts w:hint="eastAsia" w:ascii="仿宋_GB2312" w:hAnsi="Times New Roman" w:eastAsia="仿宋_GB2312"/>
          <w:sz w:val="32"/>
          <w:szCs w:val="32"/>
        </w:rPr>
        <w:t>；其他收入</w:t>
      </w:r>
      <w:r>
        <w:rPr>
          <w:rFonts w:hint="eastAsia" w:ascii="仿宋_GB2312" w:hAnsi="Times New Roman" w:eastAsia="仿宋_GB2312"/>
          <w:sz w:val="32"/>
          <w:szCs w:val="32"/>
          <w:lang w:val="en-US" w:eastAsia="zh-CN"/>
        </w:rPr>
        <w:t>1.34</w:t>
      </w:r>
      <w:r>
        <w:rPr>
          <w:rFonts w:hint="eastAsia" w:ascii="仿宋_GB2312" w:hAnsi="Times New Roman" w:eastAsia="仿宋_GB2312"/>
          <w:sz w:val="32"/>
          <w:szCs w:val="32"/>
        </w:rPr>
        <w:t>万元，占2</w:t>
      </w:r>
      <w:r>
        <w:rPr>
          <w:rFonts w:ascii="仿宋_GB2312" w:hAnsi="Times New Roman" w:eastAsia="仿宋_GB2312"/>
          <w:sz w:val="32"/>
          <w:szCs w:val="32"/>
        </w:rPr>
        <w:t>%</w:t>
      </w:r>
      <w:r>
        <w:rPr>
          <w:rFonts w:hint="eastAsia" w:ascii="仿宋_GB2312" w:hAnsi="Times New Roman" w:eastAsia="仿宋_GB2312"/>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年度支出合计</w:t>
      </w:r>
      <w:r>
        <w:rPr>
          <w:rFonts w:hint="eastAsia" w:ascii="仿宋_GB2312" w:hAnsi="宋体" w:eastAsia="仿宋_GB2312" w:cs="Courier New"/>
          <w:sz w:val="32"/>
          <w:szCs w:val="32"/>
          <w:lang w:val="en-US" w:eastAsia="zh-CN"/>
        </w:rPr>
        <w:t>148.71</w:t>
      </w:r>
      <w:r>
        <w:rPr>
          <w:rFonts w:hint="eastAsia" w:ascii="仿宋_GB2312" w:hAnsi="宋体" w:eastAsia="仿宋_GB2312" w:cs="Courier New"/>
          <w:sz w:val="32"/>
          <w:szCs w:val="32"/>
        </w:rPr>
        <w:t>万元，其中：基本支出</w:t>
      </w:r>
      <w:r>
        <w:rPr>
          <w:rFonts w:hint="eastAsia" w:ascii="仿宋_GB2312" w:hAnsi="宋体" w:eastAsia="仿宋_GB2312" w:cs="Courier New"/>
          <w:sz w:val="32"/>
          <w:szCs w:val="32"/>
          <w:lang w:val="en-US" w:eastAsia="zh-CN"/>
        </w:rPr>
        <w:t>76.71</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51.6</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jc w:val="left"/>
        <w:rPr>
          <w:rFonts w:ascii="宋体" w:hAnsi="宋体" w:cs="宋体"/>
          <w:sz w:val="24"/>
        </w:rPr>
      </w:pP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年财政拨款收</w:t>
      </w:r>
      <w:r>
        <w:rPr>
          <w:rFonts w:hint="eastAsia" w:ascii="仿宋_GB2312" w:hAnsi="宋体" w:eastAsia="仿宋_GB2312" w:cs="Courier New"/>
          <w:sz w:val="32"/>
          <w:szCs w:val="32"/>
          <w:lang w:eastAsia="zh-CN"/>
        </w:rPr>
        <w:t>、支</w:t>
      </w:r>
      <w:r>
        <w:rPr>
          <w:rFonts w:hint="eastAsia" w:ascii="仿宋_GB2312" w:hAnsi="宋体" w:eastAsia="仿宋_GB2312" w:cs="Courier New"/>
          <w:sz w:val="32"/>
          <w:szCs w:val="32"/>
        </w:rPr>
        <w:t>总</w:t>
      </w:r>
      <w:r>
        <w:rPr>
          <w:rFonts w:hint="eastAsia" w:ascii="仿宋_GB2312" w:hAnsi="宋体" w:eastAsia="仿宋_GB2312" w:cs="Courier New"/>
          <w:sz w:val="32"/>
          <w:szCs w:val="32"/>
          <w:lang w:eastAsia="zh-CN"/>
        </w:rPr>
        <w:t>计均为</w:t>
      </w:r>
      <w:r>
        <w:rPr>
          <w:rFonts w:hint="eastAsia" w:ascii="仿宋_GB2312" w:hAnsi="宋体" w:eastAsia="仿宋_GB2312" w:cs="Courier New"/>
          <w:sz w:val="32"/>
          <w:szCs w:val="32"/>
          <w:lang w:val="en-US" w:eastAsia="zh-CN"/>
        </w:rPr>
        <w:t>156.93</w:t>
      </w:r>
      <w:r>
        <w:rPr>
          <w:rFonts w:hint="eastAsia" w:ascii="仿宋_GB2312" w:hAnsi="宋体" w:eastAsia="仿宋_GB2312" w:cs="Courier New"/>
          <w:sz w:val="32"/>
          <w:szCs w:val="32"/>
        </w:rPr>
        <w:t>万元。与201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年相比，财政拨款收</w:t>
      </w:r>
      <w:r>
        <w:rPr>
          <w:rFonts w:hint="eastAsia" w:ascii="仿宋_GB2312" w:hAnsi="宋体" w:eastAsia="仿宋_GB2312" w:cs="Courier New"/>
          <w:sz w:val="32"/>
          <w:szCs w:val="32"/>
          <w:lang w:eastAsia="zh-CN"/>
        </w:rPr>
        <w:t>、支</w:t>
      </w:r>
      <w:r>
        <w:rPr>
          <w:rFonts w:hint="eastAsia" w:ascii="仿宋_GB2312" w:hAnsi="宋体" w:eastAsia="仿宋_GB2312" w:cs="Courier New"/>
          <w:sz w:val="32"/>
          <w:szCs w:val="32"/>
        </w:rPr>
        <w:t>总计</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12.28</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8.5</w:t>
      </w:r>
      <w:r>
        <w:rPr>
          <w:rFonts w:hint="eastAsia" w:ascii="仿宋_GB2312" w:hAnsi="宋体" w:eastAsia="仿宋_GB2312" w:cs="Courier New"/>
          <w:sz w:val="32"/>
          <w:szCs w:val="32"/>
        </w:rPr>
        <w:t>%。</w:t>
      </w:r>
      <w:r>
        <w:rPr>
          <w:rFonts w:hint="eastAsia" w:ascii="仿宋_GB2312" w:hAnsi="宋体" w:eastAsia="仿宋_GB2312" w:cs="Courier New"/>
          <w:sz w:val="32"/>
          <w:szCs w:val="32"/>
          <w:lang w:val="en-US" w:eastAsia="zh-CN"/>
        </w:rPr>
        <w:t>主要原因是农林水利支出增加。</w:t>
      </w:r>
    </w:p>
    <w:p>
      <w:pPr>
        <w:adjustRightInd w:val="0"/>
        <w:snapToGrid w:val="0"/>
        <w:spacing w:line="360" w:lineRule="auto"/>
        <w:jc w:val="both"/>
        <w:rPr>
          <w:rFonts w:ascii="黑体" w:hAnsi="黑体" w:eastAsia="黑体"/>
          <w:sz w:val="32"/>
          <w:szCs w:val="32"/>
        </w:rPr>
      </w:pPr>
      <w:bookmarkStart w:id="0" w:name="_GoBack"/>
      <w:bookmarkEnd w:id="0"/>
      <w:r>
        <w:rPr>
          <w:rFonts w:hint="eastAsia" w:ascii="黑体" w:hAnsi="黑体" w:eastAsia="黑体"/>
          <w:sz w:val="32"/>
          <w:szCs w:val="32"/>
          <w:lang w:val="en-US" w:eastAsia="zh-CN"/>
        </w:rPr>
        <w:t xml:space="preserve">    五、</w:t>
      </w:r>
      <w:r>
        <w:rPr>
          <w:rFonts w:hint="eastAsia" w:ascii="黑体" w:hAnsi="黑体" w:eastAsia="黑体"/>
          <w:sz w:val="32"/>
          <w:szCs w:val="32"/>
        </w:rPr>
        <w:t>关于一般公共预算财政拨款支出决算情况说明</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年一般公共预算财政拨款支出</w:t>
      </w:r>
      <w:r>
        <w:rPr>
          <w:rFonts w:hint="eastAsia" w:ascii="仿宋_GB2312" w:hAnsi="宋体" w:eastAsia="仿宋_GB2312" w:cs="Courier New"/>
          <w:sz w:val="32"/>
          <w:szCs w:val="32"/>
          <w:lang w:val="en-US" w:eastAsia="zh-CN"/>
        </w:rPr>
        <w:t>148.71</w:t>
      </w:r>
      <w:r>
        <w:rPr>
          <w:rFonts w:hint="eastAsia" w:ascii="仿宋_GB2312" w:hAnsi="宋体" w:eastAsia="仿宋_GB2312" w:cs="Courier New"/>
          <w:sz w:val="32"/>
          <w:szCs w:val="32"/>
        </w:rPr>
        <w:t>万元，占支出合计的100%。与201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年相比，一般公共预算财政拨款支出减少</w:t>
      </w:r>
      <w:r>
        <w:rPr>
          <w:rFonts w:hint="eastAsia" w:ascii="仿宋_GB2312" w:hAnsi="宋体" w:eastAsia="仿宋_GB2312" w:cs="Courier New"/>
          <w:sz w:val="32"/>
          <w:szCs w:val="32"/>
          <w:lang w:val="en-US" w:eastAsia="zh-CN"/>
        </w:rPr>
        <w:t>86.52</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139</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年度一般公共预算财政拨款支出</w:t>
      </w:r>
      <w:r>
        <w:rPr>
          <w:rFonts w:hint="eastAsia" w:ascii="仿宋_GB2312" w:hAnsi="宋体" w:eastAsia="仿宋_GB2312" w:cs="Courier New"/>
          <w:sz w:val="32"/>
          <w:szCs w:val="32"/>
          <w:lang w:val="en-US" w:eastAsia="zh-CN"/>
        </w:rPr>
        <w:t>148.71</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52.53</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35.33</w:t>
      </w:r>
      <w:r>
        <w:rPr>
          <w:rFonts w:hint="eastAsia" w:ascii="仿宋_GB2312" w:hAnsi="宋体" w:eastAsia="仿宋_GB2312" w:cs="Courier New"/>
          <w:sz w:val="32"/>
          <w:szCs w:val="32"/>
        </w:rPr>
        <w:t>%；</w:t>
      </w:r>
      <w:r>
        <w:rPr>
          <w:rFonts w:hint="eastAsia" w:ascii="仿宋_GB2312" w:hAnsi="宋体" w:eastAsia="仿宋_GB2312" w:cs="Courier New"/>
          <w:b/>
          <w:bCs/>
          <w:sz w:val="32"/>
          <w:szCs w:val="32"/>
        </w:rPr>
        <w:t>社会保障和就业支出</w:t>
      </w:r>
      <w:r>
        <w:rPr>
          <w:rFonts w:hint="eastAsia" w:ascii="仿宋_GB2312" w:hAnsi="宋体" w:eastAsia="仿宋_GB2312" w:cs="Courier New"/>
          <w:b/>
          <w:bCs/>
          <w:sz w:val="32"/>
          <w:szCs w:val="32"/>
          <w:lang w:val="en-US" w:eastAsia="zh-CN"/>
        </w:rPr>
        <w:t>23.63</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15.89</w:t>
      </w:r>
      <w:r>
        <w:rPr>
          <w:rFonts w:hint="eastAsia" w:ascii="仿宋_GB2312" w:hAnsi="宋体" w:eastAsia="仿宋_GB2312" w:cs="Courier New"/>
          <w:sz w:val="32"/>
          <w:szCs w:val="32"/>
        </w:rPr>
        <w:t>%；医疗卫生与计划生育支出</w:t>
      </w:r>
      <w:r>
        <w:rPr>
          <w:rFonts w:hint="eastAsia" w:ascii="仿宋_GB2312" w:hAnsi="宋体" w:eastAsia="仿宋_GB2312" w:cs="Courier New"/>
          <w:sz w:val="32"/>
          <w:szCs w:val="32"/>
          <w:lang w:val="en-US" w:eastAsia="zh-CN"/>
        </w:rPr>
        <w:t>2.55</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1.71</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项目支出</w:t>
      </w:r>
      <w:r>
        <w:rPr>
          <w:rFonts w:hint="eastAsia" w:ascii="仿宋_GB2312" w:hAnsi="宋体" w:eastAsia="仿宋_GB2312" w:cs="Courier New"/>
          <w:sz w:val="32"/>
          <w:szCs w:val="32"/>
          <w:lang w:val="en-US" w:eastAsia="zh-CN"/>
        </w:rPr>
        <w:t>70万元，占47.07。</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年度一般公共预算财政拨款支出年初预算为</w:t>
      </w:r>
      <w:r>
        <w:rPr>
          <w:rFonts w:hint="eastAsia" w:ascii="仿宋_GB2312" w:hAnsi="宋体" w:eastAsia="仿宋_GB2312" w:cs="Courier New"/>
          <w:sz w:val="32"/>
          <w:szCs w:val="32"/>
          <w:lang w:val="en-US" w:eastAsia="zh-CN"/>
        </w:rPr>
        <w:t>87.8</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148.71</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169</w:t>
      </w:r>
      <w:r>
        <w:rPr>
          <w:rFonts w:hint="eastAsia" w:ascii="仿宋_GB2312" w:hAnsi="宋体" w:eastAsia="仿宋_GB2312" w:cs="Courier New"/>
          <w:sz w:val="32"/>
          <w:szCs w:val="32"/>
        </w:rPr>
        <w:t>%。其中：</w:t>
      </w:r>
    </w:p>
    <w:p>
      <w:pPr>
        <w:numPr>
          <w:ilvl w:val="0"/>
          <w:numId w:val="6"/>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一般公共服务（类）财政事务（款）行政运行（项）。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35.28</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35.28</w:t>
      </w:r>
      <w:r>
        <w:rPr>
          <w:rFonts w:hint="eastAsia" w:ascii="仿宋_GB2312" w:hAnsi="宋体" w:eastAsia="仿宋_GB2312" w:cs="Courier New"/>
          <w:sz w:val="32"/>
          <w:szCs w:val="32"/>
        </w:rPr>
        <w:t>万元，完成年初预算的100%。</w:t>
      </w:r>
    </w:p>
    <w:p>
      <w:pPr>
        <w:numPr>
          <w:ilvl w:val="0"/>
          <w:numId w:val="6"/>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一般公共服务（类）财政事务（款）一般行政管理事务（项）。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11.25，支出决算为11.25万元，完成年初预算的100%。</w:t>
      </w:r>
    </w:p>
    <w:p>
      <w:pPr>
        <w:numPr>
          <w:ilvl w:val="0"/>
          <w:numId w:val="6"/>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社会保障和就业支出（类）行政单位离退休（项）。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20.79</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20.79</w:t>
      </w:r>
      <w:r>
        <w:rPr>
          <w:rFonts w:hint="eastAsia" w:ascii="仿宋_GB2312" w:hAnsi="宋体" w:eastAsia="仿宋_GB2312" w:cs="Courier New"/>
          <w:sz w:val="32"/>
          <w:szCs w:val="32"/>
        </w:rPr>
        <w:t>万元，完成年初预算的100%。</w:t>
      </w:r>
    </w:p>
    <w:p>
      <w:pPr>
        <w:numPr>
          <w:ilvl w:val="0"/>
          <w:numId w:val="6"/>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社会保障和就业支出（类）死亡抚恤（项）。</w:t>
      </w:r>
      <w:r>
        <w:rPr>
          <w:rFonts w:hint="eastAsia" w:ascii="仿宋_GB2312" w:hAnsi="宋体" w:eastAsia="仿宋_GB2312" w:cs="Courier New"/>
          <w:sz w:val="32"/>
          <w:szCs w:val="32"/>
        </w:rPr>
        <w:t>年初预算为0.67万元，支出决算为0.67万元，完成年初预算的100%。</w:t>
      </w:r>
    </w:p>
    <w:p>
      <w:pPr>
        <w:numPr>
          <w:ilvl w:val="0"/>
          <w:numId w:val="6"/>
        </w:numPr>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医疗卫生与计划生育支出（类）行政单位医疗（项）。</w:t>
      </w:r>
      <w:r>
        <w:rPr>
          <w:rFonts w:hint="eastAsia" w:ascii="仿宋_GB2312" w:hAnsi="宋体" w:eastAsia="仿宋_GB2312" w:cs="Courier New"/>
          <w:sz w:val="32"/>
          <w:szCs w:val="32"/>
        </w:rPr>
        <w:t>年初预算为2.</w:t>
      </w:r>
      <w:r>
        <w:rPr>
          <w:rFonts w:hint="eastAsia" w:ascii="仿宋_GB2312" w:hAnsi="宋体" w:eastAsia="仿宋_GB2312" w:cs="Courier New"/>
          <w:sz w:val="32"/>
          <w:szCs w:val="32"/>
          <w:lang w:val="en-US" w:eastAsia="zh-CN"/>
        </w:rPr>
        <w:t>55</w:t>
      </w:r>
      <w:r>
        <w:rPr>
          <w:rFonts w:hint="eastAsia" w:ascii="仿宋_GB2312" w:hAnsi="宋体" w:eastAsia="仿宋_GB2312" w:cs="Courier New"/>
          <w:sz w:val="32"/>
          <w:szCs w:val="32"/>
        </w:rPr>
        <w:t>万元，支出决算为2.</w:t>
      </w:r>
      <w:r>
        <w:rPr>
          <w:rFonts w:hint="eastAsia" w:ascii="仿宋_GB2312" w:hAnsi="宋体" w:eastAsia="仿宋_GB2312" w:cs="Courier New"/>
          <w:sz w:val="32"/>
          <w:szCs w:val="32"/>
          <w:lang w:val="en-US" w:eastAsia="zh-CN"/>
        </w:rPr>
        <w:t>55</w:t>
      </w:r>
      <w:r>
        <w:rPr>
          <w:rFonts w:hint="eastAsia" w:ascii="仿宋_GB2312" w:hAnsi="宋体" w:eastAsia="仿宋_GB2312" w:cs="Courier New"/>
          <w:sz w:val="32"/>
          <w:szCs w:val="32"/>
        </w:rPr>
        <w:t>万元，完成年初预算的100%。</w:t>
      </w:r>
    </w:p>
    <w:p>
      <w:pPr>
        <w:numPr>
          <w:numId w:val="0"/>
        </w:numPr>
        <w:adjustRightInd w:val="0"/>
        <w:snapToGrid w:val="0"/>
        <w:spacing w:line="360" w:lineRule="auto"/>
        <w:ind w:leftChars="200"/>
        <w:outlineLvl w:val="1"/>
        <w:rPr>
          <w:rFonts w:ascii="黑体" w:hAnsi="黑体" w:eastAsia="黑体"/>
          <w:sz w:val="32"/>
          <w:szCs w:val="32"/>
          <w:highlight w:val="none"/>
        </w:rPr>
      </w:pPr>
      <w:r>
        <w:rPr>
          <w:rFonts w:hint="eastAsia" w:ascii="黑体" w:hAnsi="黑体" w:eastAsia="黑体"/>
          <w:sz w:val="32"/>
          <w:szCs w:val="32"/>
          <w:highlight w:val="none"/>
          <w:lang w:eastAsia="zh-CN"/>
        </w:rPr>
        <w:t>六、</w:t>
      </w:r>
      <w:r>
        <w:rPr>
          <w:rFonts w:hint="eastAsia" w:ascii="黑体" w:hAnsi="黑体" w:eastAsia="黑体"/>
          <w:sz w:val="32"/>
          <w:szCs w:val="32"/>
          <w:highlight w:val="none"/>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年一般公共预算财政拨款基本支出</w:t>
      </w:r>
      <w:r>
        <w:rPr>
          <w:rFonts w:hint="eastAsia" w:ascii="仿宋_GB2312" w:hAnsi="宋体" w:eastAsia="仿宋_GB2312" w:cs="Courier New"/>
          <w:sz w:val="32"/>
          <w:szCs w:val="32"/>
          <w:lang w:val="en-US" w:eastAsia="zh-CN"/>
        </w:rPr>
        <w:t>148.71</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w:t>
      </w:r>
      <w:r>
        <w:rPr>
          <w:rFonts w:hint="eastAsia" w:ascii="仿宋_GB2312" w:hAnsi="Times New Roman" w:eastAsia="仿宋_GB2312" w:cs="仿宋_GB2312"/>
          <w:bCs/>
          <w:spacing w:val="-1"/>
          <w:kern w:val="0"/>
          <w:sz w:val="32"/>
          <w:szCs w:val="32"/>
          <w:lang w:val="en-US" w:eastAsia="zh-CN"/>
        </w:rPr>
        <w:t>57.3</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主要包括：基本工资、津贴补贴、奖金、社会保障费用、离休费、退休费、奖励金、生活补助、其他对个人和家庭的补助支出；</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lang w:val="en-US" w:eastAsia="zh-CN"/>
        </w:rPr>
        <w:t>19.41</w:t>
      </w:r>
      <w:r>
        <w:rPr>
          <w:rFonts w:hint="eastAsia" w:ascii="仿宋_GB2312" w:hAnsi="Times New Roman" w:eastAsia="仿宋_GB2312" w:cs="仿宋_GB2312"/>
          <w:spacing w:val="-2"/>
          <w:kern w:val="0"/>
          <w:sz w:val="32"/>
          <w:szCs w:val="32"/>
        </w:rPr>
        <w:t>万元</w:t>
      </w:r>
      <w:r>
        <w:rPr>
          <w:rFonts w:hint="eastAsia" w:ascii="仿宋_GB2312" w:hAnsi="宋体" w:eastAsia="仿宋_GB2312" w:cs="Courier New"/>
          <w:sz w:val="32"/>
          <w:szCs w:val="32"/>
        </w:rPr>
        <w:t>，主要包括：办公费、印刷费、差费、邮电费、公务接待、劳务费、交通费、其他商品和服务支出。</w:t>
      </w:r>
    </w:p>
    <w:p>
      <w:pPr>
        <w:numPr>
          <w:numId w:val="0"/>
        </w:numPr>
        <w:adjustRightInd w:val="0"/>
        <w:snapToGrid w:val="0"/>
        <w:spacing w:line="360" w:lineRule="auto"/>
        <w:ind w:leftChars="200"/>
        <w:outlineLvl w:val="1"/>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关于一般公共预算财政拨款“三公”经费支出决算情况说明</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年度“三公”经费财政拨款支出预算为</w:t>
      </w:r>
      <w:r>
        <w:rPr>
          <w:rFonts w:hint="eastAsia" w:ascii="仿宋_GB2312" w:hAnsi="宋体" w:eastAsia="仿宋_GB2312" w:cs="Courier New"/>
          <w:sz w:val="32"/>
          <w:szCs w:val="32"/>
          <w:lang w:val="en-US" w:eastAsia="zh-CN"/>
        </w:rPr>
        <w:t>3</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2.38</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79</w:t>
      </w:r>
      <w:r>
        <w:rPr>
          <w:rFonts w:hint="eastAsia" w:ascii="仿宋_GB2312" w:hAnsi="宋体" w:eastAsia="仿宋_GB2312" w:cs="Courier New"/>
          <w:sz w:val="32"/>
          <w:szCs w:val="32"/>
        </w:rPr>
        <w:t>%，其中：公务接待费支出决算为</w:t>
      </w:r>
      <w:r>
        <w:rPr>
          <w:rFonts w:hint="eastAsia" w:ascii="仿宋_GB2312" w:hAnsi="宋体" w:eastAsia="仿宋_GB2312" w:cs="Courier New"/>
          <w:sz w:val="32"/>
          <w:szCs w:val="32"/>
          <w:lang w:val="en-US" w:eastAsia="zh-CN"/>
        </w:rPr>
        <w:t>2.38</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79</w:t>
      </w: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年度“三公”经费支出决算数小于预算数的主要原因是单位压缩了公务支出。</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年度“三公”经费财政拨款支出决算数比201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年减少</w:t>
      </w:r>
      <w:r>
        <w:rPr>
          <w:rFonts w:hint="eastAsia" w:ascii="仿宋_GB2312" w:hAnsi="宋体" w:eastAsia="仿宋_GB2312" w:cs="Courier New"/>
          <w:sz w:val="32"/>
          <w:szCs w:val="32"/>
          <w:lang w:val="en-US" w:eastAsia="zh-CN"/>
        </w:rPr>
        <w:t>3.2</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51.6</w:t>
      </w:r>
      <w:r>
        <w:rPr>
          <w:rFonts w:hint="eastAsia" w:ascii="仿宋_GB2312" w:hAnsi="宋体" w:eastAsia="仿宋_GB2312" w:cs="Courier New"/>
          <w:sz w:val="32"/>
          <w:szCs w:val="32"/>
        </w:rPr>
        <w:t>%，其中：公务用车购置及运行费支出决算减少3万元，下降100%；公务接待费支出决算</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1.04</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77%，原因是天主教教育转化工作餐叙支出。</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年度“三公”经费财政拨款支出决算中，公务接待费支出决算</w:t>
      </w:r>
      <w:r>
        <w:rPr>
          <w:rFonts w:hint="eastAsia" w:ascii="仿宋_GB2312" w:hAnsi="宋体" w:eastAsia="仿宋_GB2312" w:cs="Courier New"/>
          <w:sz w:val="32"/>
          <w:szCs w:val="32"/>
          <w:lang w:val="en-US" w:eastAsia="zh-CN"/>
        </w:rPr>
        <w:t>2.38</w:t>
      </w:r>
      <w:r>
        <w:rPr>
          <w:rFonts w:hint="eastAsia" w:ascii="仿宋_GB2312" w:hAnsi="宋体" w:eastAsia="仿宋_GB2312" w:cs="Courier New"/>
          <w:sz w:val="32"/>
          <w:szCs w:val="32"/>
        </w:rPr>
        <w:t>万元，占100%。具体情况如下：</w:t>
      </w:r>
    </w:p>
    <w:p>
      <w:pPr>
        <w:kinsoku w:val="0"/>
        <w:overflowPunct w:val="0"/>
        <w:autoSpaceDE w:val="0"/>
        <w:autoSpaceDN w:val="0"/>
        <w:adjustRightInd w:val="0"/>
        <w:snapToGrid w:val="0"/>
        <w:spacing w:line="360" w:lineRule="auto"/>
        <w:ind w:left="420" w:leftChars="200"/>
        <w:rPr>
          <w:rFonts w:ascii="仿宋_GB2312" w:hAnsi="宋体" w:eastAsia="仿宋_GB2312" w:cs="Courier New"/>
          <w:b/>
          <w:bCs/>
          <w:sz w:val="32"/>
          <w:szCs w:val="32"/>
        </w:rPr>
      </w:pPr>
      <w:r>
        <w:rPr>
          <w:rFonts w:hint="eastAsia" w:ascii="仿宋_GB2312" w:hAnsi="宋体" w:eastAsia="仿宋_GB2312" w:cs="Courier New"/>
          <w:b/>
          <w:bCs/>
          <w:sz w:val="32"/>
          <w:szCs w:val="32"/>
        </w:rPr>
        <w:t xml:space="preserve">  1.因公出国（境）费</w:t>
      </w:r>
      <w:r>
        <w:rPr>
          <w:rFonts w:hint="eastAsia" w:ascii="仿宋_GB2312" w:hAnsi="宋体" w:eastAsia="仿宋_GB2312" w:cs="Courier New"/>
          <w:sz w:val="32"/>
          <w:szCs w:val="32"/>
        </w:rPr>
        <w:t>支出0万元。</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r>
        <w:rPr>
          <w:rFonts w:hint="eastAsia" w:ascii="仿宋_GB2312" w:hAnsi="宋体" w:eastAsia="仿宋_GB2312" w:cs="Courier New"/>
          <w:b/>
          <w:bCs/>
          <w:sz w:val="32"/>
          <w:szCs w:val="32"/>
        </w:rPr>
        <w:t xml:space="preserve">     2.公务用车购置及运行费</w:t>
      </w:r>
      <w:r>
        <w:rPr>
          <w:rFonts w:hint="eastAsia" w:ascii="仿宋_GB2312" w:hAnsi="宋体" w:eastAsia="仿宋_GB2312" w:cs="Courier New"/>
          <w:sz w:val="32"/>
          <w:szCs w:val="32"/>
        </w:rPr>
        <w:t>支出0万元。</w:t>
      </w:r>
    </w:p>
    <w:p>
      <w:pPr>
        <w:kinsoku w:val="0"/>
        <w:overflowPunct w:val="0"/>
        <w:autoSpaceDE w:val="0"/>
        <w:autoSpaceDN w:val="0"/>
        <w:adjustRightInd w:val="0"/>
        <w:snapToGrid w:val="0"/>
        <w:spacing w:line="360" w:lineRule="auto"/>
        <w:rPr>
          <w:rFonts w:ascii="仿宋_GB2312" w:hAnsi="宋体" w:eastAsia="仿宋_GB2312" w:cs="Courier New"/>
          <w:b/>
          <w:bCs/>
          <w:sz w:val="32"/>
          <w:szCs w:val="32"/>
        </w:rPr>
      </w:pPr>
      <w:r>
        <w:rPr>
          <w:rFonts w:hint="eastAsia" w:ascii="仿宋_GB2312" w:hAnsi="宋体" w:eastAsia="仿宋_GB2312" w:cs="Courier New"/>
          <w:b/>
          <w:bCs/>
          <w:sz w:val="32"/>
          <w:szCs w:val="32"/>
        </w:rPr>
        <w:t xml:space="preserve">    3.公务接待费支出</w:t>
      </w:r>
      <w:r>
        <w:rPr>
          <w:rFonts w:hint="eastAsia" w:ascii="仿宋_GB2312" w:hAnsi="宋体" w:eastAsia="仿宋_GB2312" w:cs="Courier New"/>
          <w:b/>
          <w:bCs/>
          <w:sz w:val="32"/>
          <w:szCs w:val="32"/>
          <w:lang w:val="en-US" w:eastAsia="zh-CN"/>
        </w:rPr>
        <w:t>2.38</w:t>
      </w:r>
      <w:r>
        <w:rPr>
          <w:rFonts w:hint="eastAsia" w:ascii="仿宋_GB2312" w:hAnsi="宋体" w:eastAsia="仿宋_GB2312" w:cs="Courier New"/>
          <w:b/>
          <w:bCs/>
          <w:sz w:val="32"/>
          <w:szCs w:val="32"/>
        </w:rPr>
        <w:t>万元。</w:t>
      </w:r>
      <w:r>
        <w:rPr>
          <w:rFonts w:hint="eastAsia" w:ascii="仿宋_GB2312" w:hAnsi="宋体" w:eastAsia="仿宋_GB2312" w:cs="Courier New"/>
          <w:sz w:val="32"/>
          <w:szCs w:val="32"/>
        </w:rPr>
        <w:t>主要用于接待民族宗教工作对象和乡镇、村级工作人员。南阳市卧龙区民族宗教局201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年度共接待国内来访团组</w:t>
      </w:r>
      <w:r>
        <w:rPr>
          <w:rFonts w:hint="eastAsia" w:ascii="仿宋_GB2312" w:hAnsi="宋体" w:eastAsia="仿宋_GB2312" w:cs="Courier New"/>
          <w:sz w:val="32"/>
          <w:szCs w:val="32"/>
          <w:lang w:val="en-US" w:eastAsia="zh-CN"/>
        </w:rPr>
        <w:t>25</w:t>
      </w:r>
      <w:r>
        <w:rPr>
          <w:rFonts w:hint="eastAsia" w:ascii="仿宋_GB2312" w:hAnsi="宋体" w:eastAsia="仿宋_GB2312" w:cs="Courier New"/>
          <w:sz w:val="32"/>
          <w:szCs w:val="32"/>
        </w:rPr>
        <w:t>个、来访人员</w:t>
      </w:r>
      <w:r>
        <w:rPr>
          <w:rFonts w:hint="eastAsia" w:ascii="仿宋_GB2312" w:hAnsi="宋体" w:eastAsia="仿宋_GB2312" w:cs="Courier New"/>
          <w:sz w:val="32"/>
          <w:szCs w:val="32"/>
          <w:lang w:val="en-US" w:eastAsia="zh-CN"/>
        </w:rPr>
        <w:t>200</w:t>
      </w:r>
      <w:r>
        <w:rPr>
          <w:rFonts w:hint="eastAsia" w:ascii="仿宋_GB2312" w:hAnsi="宋体" w:eastAsia="仿宋_GB2312" w:cs="Courier New"/>
          <w:sz w:val="32"/>
          <w:szCs w:val="32"/>
        </w:rPr>
        <w:t>人次（不包括陪同人员）。</w:t>
      </w:r>
    </w:p>
    <w:p>
      <w:pPr>
        <w:numPr>
          <w:numId w:val="0"/>
        </w:numPr>
        <w:adjustRightInd w:val="0"/>
        <w:snapToGrid w:val="0"/>
        <w:spacing w:line="360" w:lineRule="auto"/>
        <w:ind w:leftChars="200"/>
        <w:outlineLvl w:val="1"/>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关于预算绩效情况说明</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绩效管理工作开展情况。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根据财政预算管理要求，南阳市卧龙区民族宗教局</w:t>
      </w:r>
      <w:r>
        <w:rPr>
          <w:rFonts w:hint="eastAsia" w:ascii="仿宋_GB2312" w:hAnsi="宋体" w:eastAsia="仿宋_GB2312" w:cs="Courier New"/>
          <w:sz w:val="32"/>
          <w:szCs w:val="32"/>
          <w:lang w:eastAsia="zh-CN"/>
        </w:rPr>
        <w:t>未开展</w:t>
      </w: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年度一般公共预算项目支出全面开展绩效自评。</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部门决算中项目绩效自评结果。</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南阳市卧龙区民族宗教局在201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年度部门决算中无绩效评价结果</w:t>
      </w:r>
    </w:p>
    <w:p>
      <w:pPr>
        <w:numPr>
          <w:numId w:val="0"/>
        </w:numPr>
        <w:adjustRightInd w:val="0"/>
        <w:snapToGrid w:val="0"/>
        <w:spacing w:line="360" w:lineRule="auto"/>
        <w:ind w:leftChars="200"/>
        <w:outlineLvl w:val="1"/>
        <w:rPr>
          <w:rFonts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南阳市卧龙区民族宗教局201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年度无政府性基金预算财政拨款支出。</w:t>
      </w:r>
    </w:p>
    <w:p>
      <w:pPr>
        <w:numPr>
          <w:numId w:val="0"/>
        </w:numPr>
        <w:adjustRightInd w:val="0"/>
        <w:snapToGrid w:val="0"/>
        <w:spacing w:line="360" w:lineRule="auto"/>
        <w:ind w:leftChars="200"/>
        <w:outlineLvl w:val="1"/>
        <w:rPr>
          <w:rFonts w:ascii="楷体_GB2312" w:hAnsi="Times New Roman" w:eastAsia="楷体_GB2312"/>
          <w:bCs/>
          <w:kern w:val="0"/>
          <w:sz w:val="32"/>
          <w:szCs w:val="32"/>
        </w:rPr>
      </w:pPr>
      <w:r>
        <w:rPr>
          <w:rFonts w:hint="eastAsia" w:ascii="黑体" w:hAnsi="黑体" w:eastAsia="黑体"/>
          <w:sz w:val="32"/>
          <w:szCs w:val="32"/>
          <w:lang w:eastAsia="zh-CN"/>
        </w:rPr>
        <w:t>十、</w:t>
      </w: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年度机关运行经费支出</w:t>
      </w:r>
      <w:r>
        <w:rPr>
          <w:rFonts w:hint="eastAsia" w:ascii="仿宋_GB2312" w:hAnsi="宋体" w:eastAsia="仿宋_GB2312" w:cs="Courier New"/>
          <w:sz w:val="32"/>
          <w:szCs w:val="32"/>
          <w:lang w:val="en-US" w:eastAsia="zh-CN"/>
        </w:rPr>
        <w:t>19.4</w:t>
      </w:r>
      <w:r>
        <w:rPr>
          <w:rFonts w:hint="eastAsia" w:ascii="仿宋_GB2312" w:hAnsi="宋体" w:eastAsia="仿宋_GB2312" w:cs="Courier New"/>
          <w:sz w:val="32"/>
          <w:szCs w:val="32"/>
        </w:rPr>
        <w:t>万元，比201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年减少</w:t>
      </w:r>
      <w:r>
        <w:rPr>
          <w:rFonts w:hint="eastAsia" w:ascii="仿宋_GB2312" w:hAnsi="宋体" w:eastAsia="仿宋_GB2312" w:cs="Courier New"/>
          <w:sz w:val="32"/>
          <w:szCs w:val="32"/>
          <w:lang w:val="en-US" w:eastAsia="zh-CN"/>
        </w:rPr>
        <w:t>1.06</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5.2</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numId w:val="0"/>
        </w:numPr>
        <w:kinsoku w:val="0"/>
        <w:overflowPunct w:val="0"/>
        <w:autoSpaceDE w:val="0"/>
        <w:autoSpaceDN w:val="0"/>
        <w:adjustRightInd w:val="0"/>
        <w:snapToGrid w:val="0"/>
        <w:spacing w:line="360" w:lineRule="auto"/>
        <w:ind w:left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lang w:eastAsia="zh-CN"/>
        </w:rPr>
        <w:t>十一、</w:t>
      </w: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年度政府采购支出总额</w:t>
      </w:r>
      <w:r>
        <w:rPr>
          <w:rFonts w:hint="eastAsia" w:ascii="仿宋_GB2312" w:hAnsi="宋体" w:eastAsia="仿宋_GB2312" w:cs="Courier New"/>
          <w:sz w:val="32"/>
          <w:szCs w:val="32"/>
          <w:lang w:val="en-US" w:eastAsia="zh-CN"/>
        </w:rPr>
        <w:t>1.2</w:t>
      </w:r>
      <w:r>
        <w:rPr>
          <w:rFonts w:hint="eastAsia" w:ascii="仿宋_GB2312" w:hAnsi="宋体" w:eastAsia="仿宋_GB2312" w:cs="Courier New"/>
          <w:sz w:val="32"/>
          <w:szCs w:val="32"/>
        </w:rPr>
        <w:t>万元，其中：政府采购货物支出</w:t>
      </w:r>
      <w:r>
        <w:rPr>
          <w:rFonts w:hint="eastAsia" w:ascii="仿宋_GB2312" w:hAnsi="宋体" w:eastAsia="仿宋_GB2312" w:cs="Courier New"/>
          <w:sz w:val="32"/>
          <w:szCs w:val="32"/>
          <w:lang w:val="en-US" w:eastAsia="zh-CN"/>
        </w:rPr>
        <w:t>1.2</w:t>
      </w:r>
      <w:r>
        <w:rPr>
          <w:rFonts w:hint="eastAsia" w:ascii="仿宋_GB2312" w:hAnsi="宋体" w:eastAsia="仿宋_GB2312" w:cs="Courier New"/>
          <w:sz w:val="32"/>
          <w:szCs w:val="32"/>
        </w:rPr>
        <w:t>万元，政府采购工程支出0万元，政府采购服务支出0万元。授予小微企业合同金额</w:t>
      </w:r>
      <w:r>
        <w:rPr>
          <w:rFonts w:hint="eastAsia" w:ascii="仿宋_GB2312" w:hAnsi="宋体" w:eastAsia="仿宋_GB2312" w:cs="Courier New"/>
          <w:sz w:val="32"/>
          <w:szCs w:val="32"/>
          <w:lang w:val="en-US" w:eastAsia="zh-CN"/>
        </w:rPr>
        <w:t>1.2</w:t>
      </w:r>
      <w:r>
        <w:rPr>
          <w:rFonts w:hint="eastAsia" w:ascii="仿宋_GB2312" w:hAnsi="宋体" w:eastAsia="仿宋_GB2312" w:cs="Courier New"/>
          <w:sz w:val="32"/>
          <w:szCs w:val="32"/>
        </w:rPr>
        <w:t>万元，占政府采购支出总额的100%。</w:t>
      </w:r>
    </w:p>
    <w:p>
      <w:pPr>
        <w:numPr>
          <w:numId w:val="0"/>
        </w:numPr>
        <w:kinsoku w:val="0"/>
        <w:overflowPunct w:val="0"/>
        <w:autoSpaceDE w:val="0"/>
        <w:autoSpaceDN w:val="0"/>
        <w:adjustRightInd w:val="0"/>
        <w:snapToGrid w:val="0"/>
        <w:spacing w:line="360" w:lineRule="auto"/>
        <w:ind w:left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lang w:eastAsia="zh-CN"/>
        </w:rPr>
        <w:t>十二、</w:t>
      </w: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年期末，南阳市卧龙区民族宗教局共有车辆0辆；单价50万元以上通用设备0台（套），单位价值100万元以上专用设备0台（套）。</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720" w:num="1"/>
          <w:docGrid w:type="lines" w:linePitch="317"/>
        </w:sect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720" w:num="1"/>
          <w:docGrid w:type="lines" w:linePitch="317"/>
        </w:sectPr>
      </w:pPr>
      <w:r>
        <w:rPr>
          <w:rFonts w:hint="eastAsia" w:ascii="隶书" w:hAnsi="隶书" w:eastAsia="隶书" w:cs="隶书"/>
          <w:sz w:val="48"/>
          <w:szCs w:val="48"/>
        </w:rPr>
        <w:t>第四部分　　名词解释</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单位从同级政府财政部门取得的各类财政拨款。</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六、其他收入：单位取得的除“财政拨款收入”、“事业收入”、“上级补助收入”、“附属单位上缴收入”、“经营收入”等以外的收入。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widowControl/>
        <w:wordWrap/>
        <w:adjustRightInd/>
        <w:snapToGrid/>
        <w:spacing w:line="590" w:lineRule="exact"/>
        <w:ind w:left="0" w:leftChars="0" w:right="0" w:firstLine="640" w:firstLineChars="200"/>
        <w:jc w:val="left"/>
        <w:textAlignment w:val="auto"/>
        <w:outlineLvl w:val="9"/>
        <w:rPr>
          <w:rFonts w:hint="eastAsia" w:ascii="黑体" w:hAnsi="仿宋_GB2312" w:eastAsia="黑体"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6"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- 13 -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0634077">
    <w:nsid w:val="5971DBDD"/>
    <w:multiLevelType w:val="singleLevel"/>
    <w:tmpl w:val="5971DBDD"/>
    <w:lvl w:ilvl="0" w:tentative="1">
      <w:start w:val="1"/>
      <w:numFmt w:val="chineseCounting"/>
      <w:suff w:val="nothing"/>
      <w:lvlText w:val="（%1）"/>
      <w:lvlJc w:val="left"/>
      <w:pPr>
        <w:ind w:left="0" w:firstLine="420"/>
      </w:pPr>
      <w:rPr>
        <w:rFonts w:hint="eastAsia"/>
      </w:rPr>
    </w:lvl>
  </w:abstractNum>
  <w:abstractNum w:abstractNumId="1500635283">
    <w:nsid w:val="5971E093"/>
    <w:multiLevelType w:val="singleLevel"/>
    <w:tmpl w:val="5971E093"/>
    <w:lvl w:ilvl="0" w:tentative="1">
      <w:start w:val="1"/>
      <w:numFmt w:val="chineseCounting"/>
      <w:suff w:val="nothing"/>
      <w:lvlText w:val="（%1）"/>
      <w:lvlJc w:val="left"/>
      <w:pPr>
        <w:ind w:left="0" w:firstLine="420"/>
      </w:pPr>
      <w:rPr>
        <w:rFonts w:hint="eastAsia"/>
      </w:rPr>
    </w:lvl>
  </w:abstractNum>
  <w:abstractNum w:abstractNumId="1500626777">
    <w:nsid w:val="5971BF59"/>
    <w:multiLevelType w:val="singleLevel"/>
    <w:tmpl w:val="5971BF59"/>
    <w:lvl w:ilvl="0" w:tentative="1">
      <w:start w:val="1"/>
      <w:numFmt w:val="chineseCounting"/>
      <w:suff w:val="nothing"/>
      <w:lvlText w:val="%1、"/>
      <w:lvlJc w:val="left"/>
      <w:pPr>
        <w:ind w:left="0" w:firstLine="420"/>
      </w:pPr>
      <w:rPr>
        <w:rFonts w:hint="eastAsia"/>
      </w:rPr>
    </w:lvl>
  </w:abstractNum>
  <w:abstractNum w:abstractNumId="1500637046">
    <w:nsid w:val="5971E776"/>
    <w:multiLevelType w:val="singleLevel"/>
    <w:tmpl w:val="5971E776"/>
    <w:lvl w:ilvl="0" w:tentative="1">
      <w:start w:val="1"/>
      <w:numFmt w:val="chineseCounting"/>
      <w:suff w:val="nothing"/>
      <w:lvlText w:val="（%1）"/>
      <w:lvlJc w:val="left"/>
      <w:pPr>
        <w:ind w:left="0" w:firstLine="420"/>
      </w:pPr>
      <w:rPr>
        <w:rFonts w:hint="eastAsia"/>
      </w:rPr>
    </w:lvl>
  </w:abstractNum>
  <w:abstractNum w:abstractNumId="1500633794">
    <w:nsid w:val="5971DAC2"/>
    <w:multiLevelType w:val="singleLevel"/>
    <w:tmpl w:val="5971DAC2"/>
    <w:lvl w:ilvl="0" w:tentative="1">
      <w:start w:val="1"/>
      <w:numFmt w:val="chineseCounting"/>
      <w:suff w:val="nothing"/>
      <w:lvlText w:val="%1、"/>
      <w:lvlJc w:val="left"/>
      <w:pPr>
        <w:ind w:left="0" w:firstLine="420"/>
      </w:pPr>
      <w:rPr>
        <w:rFonts w:hint="eastAsia"/>
      </w:rPr>
    </w:lvl>
  </w:abstractNum>
  <w:abstractNum w:abstractNumId="1500627663">
    <w:nsid w:val="5971C2CF"/>
    <w:multiLevelType w:val="singleLevel"/>
    <w:tmpl w:val="5971C2CF"/>
    <w:lvl w:ilvl="0" w:tentative="1">
      <w:start w:val="1"/>
      <w:numFmt w:val="decimal"/>
      <w:suff w:val="nothing"/>
      <w:lvlText w:val="%1．"/>
      <w:lvlJc w:val="left"/>
      <w:pPr>
        <w:ind w:left="0" w:firstLine="400"/>
      </w:pPr>
      <w:rPr>
        <w:rFonts w:hint="default"/>
      </w:rPr>
    </w:lvl>
  </w:abstractNum>
  <w:abstractNum w:abstractNumId="1500634368">
    <w:nsid w:val="5971DD00"/>
    <w:multiLevelType w:val="singleLevel"/>
    <w:tmpl w:val="5971DD00"/>
    <w:lvl w:ilvl="0" w:tentative="1">
      <w:start w:val="1"/>
      <w:numFmt w:val="decimal"/>
      <w:suff w:val="nothing"/>
      <w:lvlText w:val="%1．"/>
      <w:lvlJc w:val="left"/>
      <w:pPr>
        <w:ind w:left="0" w:firstLine="400"/>
      </w:pPr>
      <w:rPr>
        <w:rFonts w:hint="default"/>
      </w:rPr>
    </w:lvl>
  </w:abstractNum>
  <w:abstractNum w:abstractNumId="1500626455">
    <w:nsid w:val="5971BE17"/>
    <w:multiLevelType w:val="singleLevel"/>
    <w:tmpl w:val="5971BE17"/>
    <w:lvl w:ilvl="0" w:tentative="1">
      <w:start w:val="1"/>
      <w:numFmt w:val="chineseCounting"/>
      <w:suff w:val="nothing"/>
      <w:lvlText w:val="%1、"/>
      <w:lvlJc w:val="left"/>
    </w:lvl>
  </w:abstractNum>
  <w:num w:numId="1">
    <w:abstractNumId w:val="1500626455"/>
  </w:num>
  <w:num w:numId="2">
    <w:abstractNumId w:val="1500626777"/>
  </w:num>
  <w:num w:numId="3">
    <w:abstractNumId w:val="1500627663"/>
  </w:num>
  <w:num w:numId="4">
    <w:abstractNumId w:val="1500633794"/>
  </w:num>
  <w:num w:numId="5">
    <w:abstractNumId w:val="1500634077"/>
  </w:num>
  <w:num w:numId="6">
    <w:abstractNumId w:val="1500634368"/>
  </w:num>
  <w:num w:numId="7">
    <w:abstractNumId w:val="1500635283"/>
  </w:num>
  <w:num w:numId="8">
    <w:abstractNumId w:val="15006370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bordersDoNotSurroundHeader w:val="1"/>
  <w:bordersDoNotSurroundFooter w:val="1"/>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nhideWhenUsed/>
    <w:uiPriority w:val="1"/>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5">
    <w:name w:val="font31"/>
    <w:qFormat/>
    <w:uiPriority w:val="0"/>
    <w:rPr>
      <w:rFonts w:ascii="Arial" w:hAnsi="Arial" w:cs="Arial"/>
      <w:color w:val="000000"/>
      <w:sz w:val="16"/>
      <w:szCs w:val="16"/>
      <w:u w:val="none"/>
    </w:rPr>
  </w:style>
  <w:style w:type="character" w:customStyle="1" w:styleId="6">
    <w:name w:val="font01"/>
    <w:qFormat/>
    <w:uiPriority w:val="0"/>
    <w:rPr>
      <w:rFonts w:hint="default" w:ascii="Arial" w:hAnsi="Arial" w:cs="Arial"/>
      <w:color w:val="000000"/>
      <w:sz w:val="16"/>
      <w:szCs w:val="16"/>
      <w:u w:val="none"/>
    </w:rPr>
  </w:style>
  <w:style w:type="character" w:customStyle="1" w:styleId="7">
    <w:name w:val="font4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1871</Words>
  <Characters>10665</Characters>
  <Lines>88</Lines>
  <Paragraphs>25</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2017-09-04T07:34:00Z</cp:lastPrinted>
  <dcterms:modified xsi:type="dcterms:W3CDTF">2018-10-23T08:02:05Z</dcterms:modified>
  <dc:title>南阳市卧龙区民族宗教局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