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b/>
          <w:sz w:val="52"/>
          <w:szCs w:val="52"/>
        </w:rPr>
      </w:pPr>
      <w:r>
        <w:rPr>
          <w:rFonts w:hint="eastAsia"/>
          <w:b/>
          <w:sz w:val="52"/>
          <w:szCs w:val="52"/>
        </w:rPr>
        <w:t>南阳市卧龙区棉花蔬菜生产服务中心</w:t>
      </w:r>
    </w:p>
    <w:p>
      <w:pPr>
        <w:jc w:val="center"/>
        <w:rPr>
          <w:rFonts w:ascii="黑体" w:hAnsi="黑体" w:eastAsia="黑体" w:cs="黑体"/>
          <w:sz w:val="52"/>
          <w:szCs w:val="52"/>
        </w:rPr>
      </w:pPr>
    </w:p>
    <w:p>
      <w:pPr>
        <w:jc w:val="center"/>
        <w:rPr>
          <w:rFonts w:ascii="隶书" w:hAnsi="隶书" w:eastAsia="隶书" w:cs="隶书"/>
          <w:sz w:val="52"/>
          <w:szCs w:val="52"/>
        </w:rPr>
        <w:sectPr>
          <w:footerReference r:id="rId3" w:type="default"/>
          <w:footerReference r:id="rId4" w:type="even"/>
          <w:pgSz w:w="11906" w:h="16838"/>
          <w:pgMar w:top="1440" w:right="1531" w:bottom="1440" w:left="1587" w:header="850" w:footer="992" w:gutter="0"/>
          <w:pgNumType w:fmt="numberInDash" w:start="1"/>
          <w:cols w:space="0" w:num="1"/>
          <w:docGrid w:type="lines" w:linePitch="317" w:charSpace="0"/>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rPr>
          <w:b/>
          <w:sz w:val="32"/>
          <w:szCs w:val="32"/>
        </w:rPr>
      </w:pPr>
      <w:r>
        <w:rPr>
          <w:rFonts w:hint="eastAsia" w:ascii="黑体" w:hAnsi="黑体" w:eastAsia="黑体" w:cs="黑体"/>
          <w:sz w:val="32"/>
          <w:szCs w:val="32"/>
        </w:rPr>
        <w:t>第一部分　　</w:t>
      </w:r>
      <w:r>
        <w:rPr>
          <w:rFonts w:hint="eastAsia" w:ascii="宋体" w:hAnsi="宋体" w:cs="黑体"/>
          <w:sz w:val="32"/>
          <w:szCs w:val="32"/>
        </w:rPr>
        <w:t>南阳市</w:t>
      </w:r>
      <w:r>
        <w:rPr>
          <w:rFonts w:hint="eastAsia" w:ascii="宋体" w:hAnsi="宋体"/>
          <w:sz w:val="32"/>
          <w:szCs w:val="32"/>
        </w:rPr>
        <w:t>卧龙区棉花蔬菜生产服务中心</w:t>
      </w:r>
      <w:r>
        <w:rPr>
          <w:rFonts w:hint="eastAsia" w:ascii="宋体" w:hAnsi="宋体" w:cs="黑体"/>
          <w:sz w:val="32"/>
          <w:szCs w:val="32"/>
        </w:rPr>
        <w:t>概况</w:t>
      </w:r>
    </w:p>
    <w:p>
      <w:pPr>
        <w:numPr>
          <w:ilvl w:val="0"/>
          <w:numId w:val="1"/>
        </w:numPr>
        <w:jc w:val="left"/>
        <w:rPr>
          <w:rFonts w:ascii="宋体" w:cs="宋体"/>
          <w:sz w:val="32"/>
          <w:szCs w:val="32"/>
        </w:rPr>
      </w:pPr>
      <w:r>
        <w:rPr>
          <w:rFonts w:hint="eastAsia" w:ascii="宋体" w:hAnsi="宋体" w:cs="宋体"/>
          <w:sz w:val="32"/>
          <w:szCs w:val="32"/>
        </w:rPr>
        <w:t>主要职责</w:t>
      </w:r>
    </w:p>
    <w:p>
      <w:pPr>
        <w:numPr>
          <w:ilvl w:val="0"/>
          <w:numId w:val="1"/>
        </w:numPr>
        <w:jc w:val="left"/>
        <w:rPr>
          <w:rFonts w:ascii="宋体" w:cs="宋体"/>
          <w:sz w:val="32"/>
          <w:szCs w:val="32"/>
        </w:rPr>
      </w:pPr>
      <w:r>
        <w:rPr>
          <w:rFonts w:hint="eastAsia" w:ascii="宋体" w:hAnsi="宋体" w:cs="宋体"/>
          <w:sz w:val="32"/>
          <w:szCs w:val="32"/>
        </w:rPr>
        <w:t>部门决算单位构成</w:t>
      </w:r>
    </w:p>
    <w:p>
      <w:pPr>
        <w:jc w:val="left"/>
        <w:rPr>
          <w:rFonts w:ascii="宋体" w:cs="黑体"/>
          <w:sz w:val="32"/>
          <w:szCs w:val="32"/>
        </w:rPr>
      </w:pPr>
      <w:r>
        <w:rPr>
          <w:rFonts w:hint="eastAsia" w:ascii="黑体" w:hAnsi="黑体" w:eastAsia="黑体" w:cs="黑体"/>
          <w:sz w:val="32"/>
          <w:szCs w:val="32"/>
        </w:rPr>
        <w:t>第二部分　</w:t>
      </w:r>
      <w:r>
        <w:rPr>
          <w:rFonts w:hint="eastAsia" w:ascii="宋体" w:hAnsi="宋体" w:cs="黑体"/>
          <w:sz w:val="32"/>
          <w:szCs w:val="32"/>
        </w:rPr>
        <w:t>南阳市</w:t>
      </w:r>
      <w:r>
        <w:rPr>
          <w:rFonts w:hint="eastAsia" w:ascii="宋体" w:hAnsi="宋体"/>
          <w:sz w:val="32"/>
          <w:szCs w:val="32"/>
        </w:rPr>
        <w:t>卧龙区棉花蔬菜生产服务中心</w:t>
      </w:r>
      <w:r>
        <w:rPr>
          <w:rFonts w:ascii="宋体" w:hAnsi="宋体" w:cs="黑体"/>
          <w:sz w:val="32"/>
          <w:szCs w:val="32"/>
        </w:rPr>
        <w:t>2016</w:t>
      </w:r>
      <w:r>
        <w:rPr>
          <w:rFonts w:hint="eastAsia" w:ascii="宋体" w:hAnsi="宋体" w:cs="黑体"/>
          <w:sz w:val="32"/>
          <w:szCs w:val="32"/>
        </w:rPr>
        <w:t>年度部门决算表</w:t>
      </w:r>
    </w:p>
    <w:p>
      <w:pPr>
        <w:jc w:val="left"/>
        <w:rPr>
          <w:rFonts w:ascii="宋体" w:cs="宋体"/>
          <w:sz w:val="32"/>
          <w:szCs w:val="32"/>
        </w:rPr>
      </w:pPr>
      <w:r>
        <w:rPr>
          <w:rFonts w:hint="eastAsia" w:ascii="宋体" w:hAnsi="宋体" w:cs="宋体"/>
          <w:sz w:val="32"/>
          <w:szCs w:val="32"/>
        </w:rPr>
        <w:t>一、收入支出决算总表</w:t>
      </w:r>
    </w:p>
    <w:p>
      <w:pPr>
        <w:jc w:val="left"/>
        <w:rPr>
          <w:rFonts w:ascii="宋体" w:cs="宋体"/>
          <w:sz w:val="32"/>
          <w:szCs w:val="32"/>
        </w:rPr>
      </w:pPr>
      <w:r>
        <w:rPr>
          <w:rFonts w:hint="eastAsia" w:ascii="宋体" w:hAnsi="宋体" w:cs="宋体"/>
          <w:sz w:val="32"/>
          <w:szCs w:val="32"/>
        </w:rPr>
        <w:t>二、收入决算表</w:t>
      </w:r>
    </w:p>
    <w:p>
      <w:pPr>
        <w:jc w:val="left"/>
        <w:rPr>
          <w:rFonts w:ascii="宋体" w:cs="宋体"/>
          <w:sz w:val="32"/>
          <w:szCs w:val="32"/>
        </w:rPr>
      </w:pPr>
      <w:r>
        <w:rPr>
          <w:rFonts w:hint="eastAsia" w:ascii="宋体" w:hAnsi="宋体" w:cs="宋体"/>
          <w:sz w:val="32"/>
          <w:szCs w:val="32"/>
        </w:rPr>
        <w:t>三、支出决算表</w:t>
      </w:r>
    </w:p>
    <w:p>
      <w:pPr>
        <w:jc w:val="left"/>
        <w:rPr>
          <w:rFonts w:ascii="宋体" w:cs="宋体"/>
          <w:sz w:val="32"/>
          <w:szCs w:val="32"/>
        </w:rPr>
      </w:pPr>
      <w:r>
        <w:rPr>
          <w:rFonts w:hint="eastAsia" w:ascii="宋体" w:hAnsi="宋体" w:cs="宋体"/>
          <w:sz w:val="32"/>
          <w:szCs w:val="32"/>
        </w:rPr>
        <w:t>四、财政拨款收入支出决算总表</w:t>
      </w:r>
    </w:p>
    <w:p>
      <w:pPr>
        <w:jc w:val="left"/>
        <w:rPr>
          <w:rFonts w:ascii="宋体" w:cs="宋体"/>
          <w:sz w:val="32"/>
          <w:szCs w:val="32"/>
        </w:rPr>
      </w:pPr>
      <w:r>
        <w:rPr>
          <w:rFonts w:hint="eastAsia" w:ascii="宋体" w:hAnsi="宋体" w:cs="宋体"/>
          <w:sz w:val="32"/>
          <w:szCs w:val="32"/>
        </w:rPr>
        <w:t>五、一般公共预算财政拨款支出决算表</w:t>
      </w:r>
    </w:p>
    <w:p>
      <w:pPr>
        <w:jc w:val="left"/>
        <w:rPr>
          <w:rFonts w:ascii="宋体" w:cs="宋体"/>
          <w:sz w:val="32"/>
          <w:szCs w:val="32"/>
        </w:rPr>
      </w:pPr>
      <w:r>
        <w:rPr>
          <w:rFonts w:hint="eastAsia" w:ascii="宋体" w:hAnsi="宋体" w:cs="宋体"/>
          <w:sz w:val="32"/>
          <w:szCs w:val="32"/>
        </w:rPr>
        <w:t>六、一般公共预算财政拨款基本支出决算表</w:t>
      </w:r>
    </w:p>
    <w:p>
      <w:pPr>
        <w:jc w:val="left"/>
        <w:rPr>
          <w:rFonts w:ascii="宋体" w:cs="宋体"/>
          <w:sz w:val="32"/>
          <w:szCs w:val="32"/>
        </w:rPr>
      </w:pPr>
      <w:r>
        <w:rPr>
          <w:rFonts w:hint="eastAsia" w:ascii="宋体" w:hAnsi="宋体" w:cs="宋体"/>
          <w:sz w:val="32"/>
          <w:szCs w:val="32"/>
        </w:rPr>
        <w:t>七、一般公共预算财政拨款“三公”经费支出决算表</w:t>
      </w:r>
    </w:p>
    <w:p>
      <w:pPr>
        <w:jc w:val="left"/>
        <w:rPr>
          <w:rFonts w:asci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hint="eastAsia" w:ascii="宋体" w:hAnsi="宋体"/>
          <w:sz w:val="32"/>
          <w:szCs w:val="32"/>
        </w:rPr>
        <w:t>卧龙区棉花蔬菜生产服务中心</w:t>
      </w:r>
      <w:r>
        <w:rPr>
          <w:rFonts w:ascii="黑体" w:hAnsi="黑体" w:eastAsia="黑体" w:cs="黑体"/>
          <w:sz w:val="32"/>
          <w:szCs w:val="32"/>
        </w:rPr>
        <w:t>2016</w:t>
      </w:r>
      <w:r>
        <w:rPr>
          <w:rFonts w:hint="eastAsia" w:ascii="黑体" w:hAnsi="黑体" w:eastAsia="黑体" w:cs="黑体"/>
          <w:sz w:val="32"/>
          <w:szCs w:val="32"/>
        </w:rPr>
        <w:t>年度部门决算情况说明</w:t>
      </w:r>
    </w:p>
    <w:p>
      <w:pPr>
        <w:jc w:val="left"/>
        <w:rPr>
          <w:rFonts w:ascii="黑体" w:hAnsi="黑体" w:eastAsia="黑体" w:cs="黑体"/>
          <w:sz w:val="32"/>
          <w:szCs w:val="32"/>
        </w:rPr>
        <w:sectPr>
          <w:footerReference r:id="rId5" w:type="default"/>
          <w:pgSz w:w="11906" w:h="16838"/>
          <w:pgMar w:top="1440" w:right="1531" w:bottom="1440" w:left="1587" w:header="850" w:footer="992" w:gutter="0"/>
          <w:pgNumType w:fmt="numberInDash"/>
          <w:cols w:space="0" w:num="1"/>
          <w:docGrid w:type="lines" w:linePitch="317" w:charSpace="0"/>
        </w:sectPr>
      </w:pPr>
      <w:r>
        <w:rPr>
          <w:rFonts w:hint="eastAsia" w:ascii="黑体" w:hAnsi="黑体" w:eastAsia="黑体" w:cs="黑体"/>
          <w:sz w:val="32"/>
          <w:szCs w:val="32"/>
        </w:rPr>
        <w:t>第四部分　　名词解释</w:t>
      </w:r>
    </w:p>
    <w:p>
      <w:pPr>
        <w:jc w:val="center"/>
        <w:rPr>
          <w:rFonts w:ascii="隶书" w:hAnsi="隶书" w:eastAsia="隶书" w:cs="隶书"/>
          <w:sz w:val="48"/>
          <w:szCs w:val="48"/>
        </w:rPr>
      </w:pPr>
      <w:r>
        <w:rPr>
          <w:rFonts w:hint="eastAsia" w:ascii="隶书" w:hAnsi="隶书" w:eastAsia="隶书" w:cs="隶书"/>
          <w:sz w:val="48"/>
          <w:szCs w:val="48"/>
        </w:rPr>
        <w:t>第一部分</w:t>
      </w:r>
    </w:p>
    <w:p>
      <w:pPr>
        <w:jc w:val="center"/>
        <w:rPr>
          <w:rFonts w:ascii="隶书" w:hAnsi="隶书" w:eastAsia="隶书" w:cs="隶书"/>
          <w:sz w:val="48"/>
          <w:szCs w:val="48"/>
        </w:rPr>
      </w:pPr>
      <w:r>
        <w:rPr>
          <w:rFonts w:hint="eastAsia"/>
          <w:b/>
          <w:sz w:val="48"/>
          <w:szCs w:val="48"/>
        </w:rPr>
        <w:t>卧龙区棉花蔬菜生产服务中心</w:t>
      </w:r>
      <w:r>
        <w:rPr>
          <w:rFonts w:hint="eastAsia" w:ascii="隶书" w:hAnsi="隶书" w:eastAsia="隶书" w:cs="隶书"/>
          <w:sz w:val="48"/>
          <w:szCs w:val="48"/>
        </w:rPr>
        <w:t>概况</w:t>
      </w:r>
    </w:p>
    <w:p>
      <w:pPr>
        <w:jc w:val="center"/>
        <w:rPr>
          <w:rFonts w:ascii="隶书" w:hAnsi="隶书" w:eastAsia="隶书" w:cs="隶书"/>
          <w:sz w:val="44"/>
          <w:szCs w:val="44"/>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一、主要职责</w:t>
      </w:r>
    </w:p>
    <w:p>
      <w:pPr>
        <w:widowControl/>
        <w:ind w:firstLine="640" w:firstLineChars="200"/>
        <w:jc w:val="left"/>
        <w:rPr>
          <w:rFonts w:ascii="宋体" w:cs="宋体"/>
          <w:color w:val="333333"/>
          <w:kern w:val="0"/>
          <w:sz w:val="32"/>
          <w:szCs w:val="32"/>
        </w:rPr>
      </w:pPr>
      <w:r>
        <w:rPr>
          <w:rFonts w:hint="eastAsia" w:ascii="宋体" w:hAnsi="宋体" w:cs="宋体"/>
          <w:color w:val="333333"/>
          <w:kern w:val="0"/>
          <w:sz w:val="32"/>
          <w:szCs w:val="32"/>
        </w:rPr>
        <w:t>（一）贯彻落实国家、省、市棉花蔬菜生产有关政策及《农产品质量安全法》。</w:t>
      </w:r>
    </w:p>
    <w:p>
      <w:pPr>
        <w:widowControl/>
        <w:ind w:firstLine="640" w:firstLineChars="200"/>
        <w:jc w:val="left"/>
        <w:rPr>
          <w:rFonts w:ascii="宋体" w:cs="宋体"/>
          <w:color w:val="333333"/>
          <w:kern w:val="0"/>
          <w:sz w:val="32"/>
          <w:szCs w:val="32"/>
        </w:rPr>
      </w:pPr>
      <w:r>
        <w:rPr>
          <w:rFonts w:hint="eastAsia" w:ascii="宋体" w:hAnsi="宋体" w:cs="宋体"/>
          <w:color w:val="333333"/>
          <w:kern w:val="0"/>
          <w:sz w:val="32"/>
          <w:szCs w:val="32"/>
        </w:rPr>
        <w:t>（二）组织协调全区</w:t>
      </w:r>
      <w:r>
        <w:rPr>
          <w:rFonts w:hint="eastAsia" w:ascii="宋体" w:cs="宋体"/>
          <w:color w:val="333333"/>
          <w:kern w:val="0"/>
          <w:sz w:val="32"/>
          <w:szCs w:val="32"/>
        </w:rPr>
        <w:t>“</w:t>
      </w:r>
      <w:r>
        <w:rPr>
          <w:rFonts w:hint="eastAsia" w:ascii="宋体" w:hAnsi="宋体" w:cs="宋体"/>
          <w:color w:val="333333"/>
          <w:kern w:val="0"/>
          <w:sz w:val="32"/>
          <w:szCs w:val="32"/>
        </w:rPr>
        <w:t>菜篮子</w:t>
      </w:r>
      <w:r>
        <w:rPr>
          <w:rFonts w:hint="eastAsia" w:ascii="宋体" w:cs="宋体"/>
          <w:color w:val="333333"/>
          <w:kern w:val="0"/>
          <w:sz w:val="32"/>
          <w:szCs w:val="32"/>
        </w:rPr>
        <w:t>”</w:t>
      </w:r>
      <w:r>
        <w:rPr>
          <w:rFonts w:hint="eastAsia" w:ascii="宋体" w:hAnsi="宋体" w:cs="宋体"/>
          <w:color w:val="333333"/>
          <w:kern w:val="0"/>
          <w:sz w:val="32"/>
          <w:szCs w:val="32"/>
        </w:rPr>
        <w:t>工程建设及无公害农产品管理工作。</w:t>
      </w:r>
    </w:p>
    <w:p>
      <w:pPr>
        <w:widowControl/>
        <w:ind w:left="740" w:leftChars="200" w:hanging="320" w:hangingChars="100"/>
        <w:jc w:val="left"/>
        <w:rPr>
          <w:rFonts w:ascii="宋体" w:cs="宋体"/>
          <w:color w:val="333333"/>
          <w:kern w:val="0"/>
          <w:sz w:val="32"/>
          <w:szCs w:val="32"/>
        </w:rPr>
      </w:pPr>
      <w:r>
        <w:rPr>
          <w:rFonts w:hint="eastAsia" w:ascii="宋体" w:hAnsi="宋体" w:cs="宋体"/>
          <w:color w:val="333333"/>
          <w:kern w:val="0"/>
          <w:sz w:val="32"/>
          <w:szCs w:val="32"/>
        </w:rPr>
        <w:t>（三）制定全区棉花、蔬菜、瓜类、食用菌基地建设，市场建设的发展规划。项目立项、组织实施等工作。</w:t>
      </w:r>
    </w:p>
    <w:p>
      <w:pPr>
        <w:widowControl/>
        <w:ind w:firstLine="480" w:firstLineChars="150"/>
        <w:jc w:val="left"/>
        <w:rPr>
          <w:rFonts w:ascii="宋体" w:cs="宋体"/>
          <w:color w:val="333333"/>
          <w:kern w:val="0"/>
          <w:sz w:val="32"/>
          <w:szCs w:val="32"/>
        </w:rPr>
      </w:pPr>
      <w:r>
        <w:rPr>
          <w:rFonts w:hint="eastAsia" w:ascii="宋体" w:hAnsi="宋体" w:cs="宋体"/>
          <w:color w:val="333333"/>
          <w:kern w:val="0"/>
          <w:sz w:val="32"/>
          <w:szCs w:val="32"/>
        </w:rPr>
        <w:t>（四）协助开展全区无公害蔬菜市场管理及行政执法工作。</w:t>
      </w:r>
    </w:p>
    <w:p>
      <w:pPr>
        <w:widowControl/>
        <w:ind w:firstLine="640" w:firstLineChars="200"/>
        <w:jc w:val="left"/>
        <w:rPr>
          <w:rFonts w:ascii="宋体" w:cs="宋体"/>
          <w:color w:val="333333"/>
          <w:kern w:val="0"/>
          <w:sz w:val="32"/>
          <w:szCs w:val="32"/>
        </w:rPr>
      </w:pPr>
      <w:r>
        <w:rPr>
          <w:rFonts w:hint="eastAsia" w:ascii="宋体" w:hAnsi="宋体" w:cs="宋体"/>
          <w:color w:val="333333"/>
          <w:kern w:val="0"/>
          <w:sz w:val="32"/>
          <w:szCs w:val="32"/>
        </w:rPr>
        <w:t>（五）抓好全区棉花、蔬菜新品种、新技术的引进、示范、推广；组织棉花蔬菜科技培训，开展技术指导。</w:t>
      </w:r>
    </w:p>
    <w:p>
      <w:pPr>
        <w:widowControl/>
        <w:ind w:firstLine="640" w:firstLineChars="200"/>
        <w:jc w:val="left"/>
        <w:rPr>
          <w:rFonts w:ascii="宋体" w:cs="宋体"/>
          <w:color w:val="333333"/>
          <w:kern w:val="0"/>
          <w:sz w:val="32"/>
          <w:szCs w:val="32"/>
        </w:rPr>
      </w:pPr>
      <w:r>
        <w:rPr>
          <w:rFonts w:hint="eastAsia" w:ascii="宋体" w:hAnsi="宋体" w:cs="宋体"/>
          <w:color w:val="333333"/>
          <w:kern w:val="0"/>
          <w:sz w:val="32"/>
          <w:szCs w:val="32"/>
        </w:rPr>
        <w:t>（六）完成上级交办的其它工作。</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ind w:firstLine="640" w:firstLineChars="200"/>
        <w:rPr>
          <w:rFonts w:ascii="宋体"/>
          <w:sz w:val="32"/>
          <w:szCs w:val="32"/>
        </w:rPr>
      </w:pPr>
      <w:r>
        <w:rPr>
          <w:rFonts w:hint="eastAsia" w:ascii="宋体" w:hAnsi="宋体"/>
          <w:sz w:val="32"/>
          <w:szCs w:val="32"/>
        </w:rPr>
        <w:t>纳入南阳市卧龙区棉花蔬菜生产服务中心</w:t>
      </w:r>
      <w:r>
        <w:rPr>
          <w:rFonts w:ascii="宋体" w:hAnsi="宋体"/>
          <w:sz w:val="32"/>
          <w:szCs w:val="32"/>
        </w:rPr>
        <w:t>2016</w:t>
      </w:r>
      <w:r>
        <w:rPr>
          <w:rFonts w:hint="eastAsia" w:ascii="宋体" w:hAnsi="宋体"/>
          <w:sz w:val="32"/>
          <w:szCs w:val="32"/>
        </w:rPr>
        <w:t>年度部门决算编制范围的单位包括：南阳市卧龙区棉花蔬菜生产服务中心机关本级决算和南阳市卧龙区蔬菜研究所决算。</w:t>
      </w:r>
    </w:p>
    <w:p>
      <w:pPr>
        <w:ind w:firstLine="640" w:firstLineChars="200"/>
        <w:rPr>
          <w:rFonts w:ascii="宋体"/>
          <w:sz w:val="32"/>
          <w:szCs w:val="32"/>
        </w:rPr>
      </w:pPr>
      <w:r>
        <w:rPr>
          <w:rFonts w:ascii="宋体" w:hAnsi="宋体"/>
          <w:sz w:val="32"/>
          <w:szCs w:val="32"/>
        </w:rPr>
        <w:t xml:space="preserve">1. </w:t>
      </w:r>
      <w:r>
        <w:rPr>
          <w:rFonts w:hint="eastAsia" w:ascii="宋体" w:hAnsi="宋体"/>
          <w:sz w:val="32"/>
          <w:szCs w:val="32"/>
        </w:rPr>
        <w:t>南阳市卧龙区棉花蔬菜生产服务中心机关本级</w:t>
      </w:r>
    </w:p>
    <w:p>
      <w:pPr>
        <w:ind w:firstLine="640" w:firstLineChars="200"/>
        <w:rPr>
          <w:rFonts w:ascii="宋体"/>
          <w:sz w:val="32"/>
          <w:szCs w:val="32"/>
        </w:rPr>
      </w:pPr>
      <w:r>
        <w:rPr>
          <w:rFonts w:ascii="宋体" w:hAnsi="宋体"/>
          <w:sz w:val="32"/>
          <w:szCs w:val="32"/>
        </w:rPr>
        <w:t xml:space="preserve">2. </w:t>
      </w:r>
      <w:r>
        <w:rPr>
          <w:rFonts w:hint="eastAsia" w:ascii="宋体" w:hAnsi="宋体"/>
          <w:sz w:val="32"/>
          <w:szCs w:val="32"/>
        </w:rPr>
        <w:t>南阳市卧龙区蔬菜研究所</w:t>
      </w: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sectPr>
          <w:footerReference r:id="rId6" w:type="default"/>
          <w:pgSz w:w="11906" w:h="16838"/>
          <w:pgMar w:top="1440" w:right="1531" w:bottom="1440" w:left="1587" w:header="850" w:footer="992" w:gutter="0"/>
          <w:pgNumType w:fmt="numberInDash"/>
          <w:cols w:space="0" w:num="1"/>
          <w:docGrid w:type="lines" w:linePitch="317" w:charSpace="0"/>
        </w:sectPr>
      </w:pPr>
      <w:r>
        <w:rPr>
          <w:rFonts w:hint="eastAsia" w:ascii="宋体" w:hAnsi="宋体" w:cs="黑体"/>
          <w:b/>
          <w:sz w:val="48"/>
          <w:szCs w:val="48"/>
        </w:rPr>
        <w:t>南阳市</w:t>
      </w:r>
      <w:r>
        <w:rPr>
          <w:rFonts w:hint="eastAsia" w:ascii="宋体" w:hAnsi="宋体"/>
          <w:b/>
          <w:sz w:val="48"/>
          <w:szCs w:val="48"/>
        </w:rPr>
        <w:t>卧龙区棉花蔬菜生产服务中心</w:t>
      </w:r>
      <w:r>
        <w:rPr>
          <w:rFonts w:ascii="隶书" w:hAnsi="隶书" w:eastAsia="隶书" w:cs="隶书"/>
          <w:sz w:val="48"/>
          <w:szCs w:val="48"/>
        </w:rPr>
        <w:t>2016</w:t>
      </w:r>
      <w:r>
        <w:rPr>
          <w:rFonts w:hint="eastAsia" w:ascii="隶书" w:hAnsi="隶书" w:eastAsia="隶书" w:cs="隶书"/>
          <w:sz w:val="48"/>
          <w:szCs w:val="48"/>
        </w:rPr>
        <w:t>年度部门决算表</w:t>
      </w:r>
    </w:p>
    <w:tbl>
      <w:tblPr>
        <w:tblStyle w:val="7"/>
        <w:tblW w:w="10350" w:type="dxa"/>
        <w:tblInd w:w="-1040" w:type="dxa"/>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blPrEx>
          <w:tblLayout w:type="fixed"/>
          <w:tblCellMar>
            <w:top w:w="15" w:type="dxa"/>
            <w:left w:w="15" w:type="dxa"/>
            <w:bottom w:w="15" w:type="dxa"/>
            <w:right w:w="15" w:type="dxa"/>
          </w:tblCellMar>
        </w:tblPrEx>
        <w:trPr>
          <w:trHeight w:val="375" w:hRule="atLeast"/>
        </w:trPr>
        <w:tc>
          <w:tcPr>
            <w:tcW w:w="10350" w:type="dxa"/>
            <w:gridSpan w:val="10"/>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blPrEx>
          <w:tblLayout w:type="fixed"/>
          <w:tblCellMar>
            <w:top w:w="15" w:type="dxa"/>
            <w:left w:w="15" w:type="dxa"/>
            <w:bottom w:w="15" w:type="dxa"/>
            <w:right w:w="15" w:type="dxa"/>
          </w:tblCellMar>
        </w:tblPrEx>
        <w:trPr>
          <w:trHeight w:val="315" w:hRule="atLeast"/>
        </w:trPr>
        <w:tc>
          <w:tcPr>
            <w:tcW w:w="3282" w:type="dxa"/>
            <w:gridSpan w:val="3"/>
            <w:vAlign w:val="center"/>
          </w:tcPr>
          <w:p>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pPr>
              <w:rPr>
                <w:rFonts w:ascii="宋体" w:cs="宋体"/>
                <w:color w:val="000000"/>
                <w:sz w:val="16"/>
                <w:szCs w:val="16"/>
              </w:rPr>
            </w:pPr>
          </w:p>
        </w:tc>
        <w:tc>
          <w:tcPr>
            <w:tcW w:w="1316" w:type="dxa"/>
            <w:vAlign w:val="center"/>
          </w:tcPr>
          <w:p>
            <w:pPr>
              <w:rPr>
                <w:rFonts w:ascii="宋体" w:cs="宋体"/>
                <w:color w:val="000000"/>
                <w:sz w:val="16"/>
                <w:szCs w:val="16"/>
              </w:rPr>
            </w:pPr>
          </w:p>
        </w:tc>
        <w:tc>
          <w:tcPr>
            <w:tcW w:w="3144" w:type="dxa"/>
            <w:gridSpan w:val="3"/>
            <w:vAlign w:val="center"/>
          </w:tcPr>
          <w:p>
            <w:pPr>
              <w:rPr>
                <w:rFonts w:ascii="宋体" w:cs="宋体"/>
                <w:color w:val="000000"/>
                <w:sz w:val="16"/>
                <w:szCs w:val="16"/>
              </w:rPr>
            </w:pPr>
          </w:p>
        </w:tc>
        <w:tc>
          <w:tcPr>
            <w:tcW w:w="527" w:type="dxa"/>
            <w:vAlign w:val="center"/>
          </w:tcPr>
          <w:p>
            <w:pPr>
              <w:rPr>
                <w:rFonts w:ascii="宋体" w:cs="宋体"/>
                <w:color w:val="000000"/>
                <w:sz w:val="16"/>
                <w:szCs w:val="16"/>
              </w:rPr>
            </w:pPr>
          </w:p>
        </w:tc>
        <w:tc>
          <w:tcPr>
            <w:tcW w:w="1609"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3282" w:type="dxa"/>
            <w:gridSpan w:val="3"/>
            <w:vAlign w:val="center"/>
          </w:tcPr>
          <w:p>
            <w:pPr>
              <w:rPr>
                <w:rFonts w:ascii="宋体" w:cs="宋体"/>
                <w:color w:val="000000"/>
                <w:sz w:val="16"/>
                <w:szCs w:val="16"/>
              </w:rPr>
            </w:pPr>
            <w:r>
              <w:rPr>
                <w:rFonts w:hint="eastAsia" w:ascii="宋体" w:cs="宋体"/>
                <w:color w:val="000000"/>
                <w:sz w:val="16"/>
                <w:szCs w:val="16"/>
              </w:rPr>
              <w:t>南阳市卧龙区棉花蔬菜生产服务中心汇总</w:t>
            </w:r>
          </w:p>
        </w:tc>
        <w:tc>
          <w:tcPr>
            <w:tcW w:w="472" w:type="dxa"/>
            <w:vAlign w:val="center"/>
          </w:tcPr>
          <w:p>
            <w:pPr>
              <w:rPr>
                <w:rFonts w:ascii="宋体" w:cs="宋体"/>
                <w:color w:val="000000"/>
                <w:sz w:val="16"/>
                <w:szCs w:val="16"/>
              </w:rPr>
            </w:pPr>
          </w:p>
        </w:tc>
        <w:tc>
          <w:tcPr>
            <w:tcW w:w="1316" w:type="dxa"/>
            <w:vAlign w:val="center"/>
          </w:tcPr>
          <w:p>
            <w:pPr>
              <w:rPr>
                <w:rFonts w:ascii="宋体" w:cs="宋体"/>
                <w:color w:val="000000"/>
                <w:sz w:val="16"/>
                <w:szCs w:val="16"/>
              </w:rPr>
            </w:pPr>
          </w:p>
        </w:tc>
        <w:tc>
          <w:tcPr>
            <w:tcW w:w="3144" w:type="dxa"/>
            <w:gridSpan w:val="3"/>
            <w:vAlign w:val="center"/>
          </w:tcPr>
          <w:p>
            <w:pPr>
              <w:rPr>
                <w:rFonts w:ascii="宋体" w:cs="宋体"/>
                <w:color w:val="000000"/>
                <w:sz w:val="16"/>
                <w:szCs w:val="16"/>
              </w:rPr>
            </w:pPr>
          </w:p>
        </w:tc>
        <w:tc>
          <w:tcPr>
            <w:tcW w:w="527" w:type="dxa"/>
            <w:vAlign w:val="center"/>
          </w:tcPr>
          <w:p>
            <w:pPr>
              <w:rPr>
                <w:rFonts w:ascii="宋体" w:cs="宋体"/>
                <w:color w:val="000000"/>
                <w:sz w:val="16"/>
                <w:szCs w:val="16"/>
              </w:rPr>
            </w:pPr>
          </w:p>
        </w:tc>
        <w:tc>
          <w:tcPr>
            <w:tcW w:w="1609"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r>
              <w:rPr>
                <w:rFonts w:ascii="宋体" w:cs="宋体"/>
                <w:color w:val="000000"/>
                <w:sz w:val="16"/>
                <w:szCs w:val="16"/>
              </w:rPr>
              <w:t>220.31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r>
              <w:rPr>
                <w:rFonts w:ascii="宋体" w:cs="宋体"/>
                <w:color w:val="000000"/>
                <w:sz w:val="16"/>
                <w:szCs w:val="16"/>
              </w:rPr>
              <w:t>30.50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r>
              <w:rPr>
                <w:rFonts w:ascii="宋体" w:cs="宋体"/>
                <w:color w:val="000000"/>
                <w:sz w:val="16"/>
                <w:szCs w:val="16"/>
              </w:rPr>
              <w:t>68.36</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r>
              <w:rPr>
                <w:rFonts w:ascii="宋体" w:cs="宋体"/>
                <w:color w:val="000000"/>
                <w:sz w:val="16"/>
                <w:szCs w:val="16"/>
              </w:rPr>
              <w:t>10.25</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r>
              <w:rPr>
                <w:rFonts w:ascii="宋体" w:cs="宋体"/>
                <w:color w:val="000000"/>
                <w:sz w:val="16"/>
                <w:szCs w:val="16"/>
              </w:rPr>
              <w:t>172.20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r>
              <w:rPr>
                <w:rFonts w:ascii="宋体" w:cs="宋体"/>
                <w:b/>
                <w:color w:val="000000"/>
                <w:sz w:val="16"/>
                <w:szCs w:val="16"/>
              </w:rPr>
              <w:t>250.81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r>
              <w:rPr>
                <w:rFonts w:ascii="宋体" w:cs="宋体"/>
                <w:b/>
                <w:color w:val="000000"/>
                <w:sz w:val="16"/>
                <w:szCs w:val="16"/>
              </w:rPr>
              <w:t>250.81</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b/>
                <w:color w:val="000000"/>
                <w:sz w:val="16"/>
                <w:szCs w:val="16"/>
              </w:rPr>
            </w:pPr>
            <w:r>
              <w:rPr>
                <w:rFonts w:ascii="宋体" w:cs="宋体"/>
                <w:b/>
                <w:color w:val="000000"/>
                <w:sz w:val="16"/>
                <w:szCs w:val="16"/>
              </w:rPr>
              <w:t>250.81</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center"/>
              <w:rPr>
                <w:rFonts w:ascii="宋体" w:cs="宋体"/>
                <w:b/>
                <w:color w:val="000000"/>
                <w:sz w:val="16"/>
                <w:szCs w:val="16"/>
              </w:rPr>
            </w:pPr>
            <w:r>
              <w:rPr>
                <w:rFonts w:ascii="宋体" w:cs="宋体"/>
                <w:b/>
                <w:color w:val="000000"/>
                <w:sz w:val="16"/>
                <w:szCs w:val="16"/>
              </w:rPr>
              <w:t>250.81</w:t>
            </w:r>
          </w:p>
        </w:tc>
      </w:tr>
      <w:tr>
        <w:tblPrEx>
          <w:tblLayout w:type="fixed"/>
          <w:tblCellMar>
            <w:top w:w="15" w:type="dxa"/>
            <w:left w:w="15" w:type="dxa"/>
            <w:bottom w:w="15" w:type="dxa"/>
            <w:right w:w="15" w:type="dxa"/>
          </w:tblCellMar>
        </w:tblPrEx>
        <w:trPr>
          <w:trHeight w:val="555" w:hRule="atLeast"/>
        </w:trPr>
        <w:tc>
          <w:tcPr>
            <w:tcW w:w="10350" w:type="dxa"/>
            <w:gridSpan w:val="10"/>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7"/>
        <w:tblW w:w="10337" w:type="dxa"/>
        <w:tblInd w:w="-827" w:type="dxa"/>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blPrEx>
          <w:tblLayout w:type="fixed"/>
          <w:tblCellMar>
            <w:top w:w="15" w:type="dxa"/>
            <w:left w:w="15" w:type="dxa"/>
            <w:bottom w:w="15" w:type="dxa"/>
            <w:right w:w="15" w:type="dxa"/>
          </w:tblCellMar>
        </w:tblPrEx>
        <w:trPr>
          <w:trHeight w:val="375" w:hRule="atLeast"/>
        </w:trPr>
        <w:tc>
          <w:tcPr>
            <w:tcW w:w="10337" w:type="dxa"/>
            <w:gridSpan w:val="16"/>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收入决算表</w:t>
            </w:r>
          </w:p>
        </w:tc>
      </w:tr>
      <w:tr>
        <w:tblPrEx>
          <w:tblLayout w:type="fixed"/>
          <w:tblCellMar>
            <w:top w:w="15" w:type="dxa"/>
            <w:left w:w="15" w:type="dxa"/>
            <w:bottom w:w="15" w:type="dxa"/>
            <w:right w:w="15" w:type="dxa"/>
          </w:tblCellMar>
        </w:tblPrEx>
        <w:trPr>
          <w:trHeight w:val="285" w:hRule="atLeast"/>
        </w:trPr>
        <w:tc>
          <w:tcPr>
            <w:tcW w:w="1637" w:type="dxa"/>
            <w:gridSpan w:val="2"/>
            <w:vAlign w:val="center"/>
          </w:tcPr>
          <w:p>
            <w:pPr>
              <w:rPr>
                <w:rFonts w:ascii="宋体" w:cs="宋体"/>
                <w:color w:val="000000"/>
                <w:sz w:val="16"/>
                <w:szCs w:val="16"/>
              </w:rPr>
            </w:pPr>
          </w:p>
        </w:tc>
        <w:tc>
          <w:tcPr>
            <w:tcW w:w="1036" w:type="dxa"/>
            <w:vAlign w:val="center"/>
          </w:tcPr>
          <w:p>
            <w:pPr>
              <w:rPr>
                <w:rFonts w:ascii="宋体" w:cs="宋体"/>
                <w:color w:val="000000"/>
                <w:sz w:val="16"/>
                <w:szCs w:val="16"/>
              </w:rPr>
            </w:pPr>
          </w:p>
        </w:tc>
        <w:tc>
          <w:tcPr>
            <w:tcW w:w="1904"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2673" w:type="dxa"/>
            <w:gridSpan w:val="3"/>
            <w:vAlign w:val="center"/>
          </w:tcPr>
          <w:p>
            <w:pPr>
              <w:rPr>
                <w:rFonts w:ascii="宋体" w:cs="宋体"/>
                <w:color w:val="000000"/>
                <w:sz w:val="16"/>
                <w:szCs w:val="16"/>
              </w:rPr>
            </w:pPr>
            <w:r>
              <w:rPr>
                <w:rFonts w:hint="eastAsia" w:ascii="宋体" w:cs="宋体"/>
                <w:color w:val="000000"/>
                <w:sz w:val="16"/>
                <w:szCs w:val="16"/>
              </w:rPr>
              <w:t>南阳市卧龙区棉花蔬菜生产服务中心汇总</w:t>
            </w:r>
          </w:p>
        </w:tc>
        <w:tc>
          <w:tcPr>
            <w:tcW w:w="1904"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w:t>
            </w:r>
            <w:r>
              <w:rPr>
                <w:rFonts w:ascii="宋体" w:hAnsi="宋体" w:cs="宋体"/>
                <w:b/>
                <w:color w:val="000000"/>
                <w:kern w:val="0"/>
                <w:sz w:val="16"/>
                <w:szCs w:val="16"/>
              </w:rPr>
              <w:t xml:space="preserve"> </w:t>
            </w:r>
            <w:r>
              <w:rPr>
                <w:rFonts w:hint="eastAsia" w:ascii="宋体" w:hAnsi="宋体" w:cs="宋体"/>
                <w:b/>
                <w:color w:val="000000"/>
                <w:kern w:val="0"/>
                <w:sz w:val="16"/>
                <w:szCs w:val="16"/>
              </w:rPr>
              <w:t>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附属单位</w:t>
            </w:r>
            <w:r>
              <w:rPr>
                <w:rFonts w:ascii="宋体" w:cs="宋体"/>
                <w:b/>
                <w:color w:val="000000"/>
                <w:kern w:val="0"/>
                <w:sz w:val="16"/>
                <w:szCs w:val="16"/>
              </w:rPr>
              <w:br w:type="textWrapping"/>
            </w:r>
            <w:r>
              <w:rPr>
                <w:rFonts w:hint="eastAsia" w:ascii="宋体" w:hAnsi="宋体" w:cs="宋体"/>
                <w:b/>
                <w:color w:val="000000"/>
                <w:kern w:val="0"/>
                <w:sz w:val="16"/>
                <w:szCs w:val="16"/>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其他收入</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r>
              <w:rPr>
                <w:rFonts w:ascii="宋体" w:cs="宋体"/>
                <w:b/>
                <w:color w:val="000000"/>
                <w:sz w:val="16"/>
                <w:szCs w:val="16"/>
              </w:rPr>
              <w:t>250.81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r>
              <w:rPr>
                <w:rFonts w:ascii="宋体" w:cs="宋体"/>
                <w:b/>
                <w:color w:val="000000"/>
                <w:sz w:val="16"/>
                <w:szCs w:val="16"/>
              </w:rPr>
              <w:t>220.31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r>
              <w:rPr>
                <w:rFonts w:ascii="宋体" w:cs="宋体"/>
                <w:b/>
                <w:color w:val="000000"/>
                <w:sz w:val="16"/>
                <w:szCs w:val="16"/>
              </w:rPr>
              <w:t>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r>
              <w:rPr>
                <w:rFonts w:ascii="宋体" w:cs="宋体"/>
                <w:b/>
                <w:color w:val="000000"/>
                <w:sz w:val="16"/>
                <w:szCs w:val="16"/>
              </w:rPr>
              <w:t>30.50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r>
              <w:rPr>
                <w:rFonts w:ascii="宋体" w:cs="宋体"/>
                <w:b/>
                <w:color w:val="000000"/>
                <w:sz w:val="16"/>
                <w:szCs w:val="16"/>
              </w:rPr>
              <w:t>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r>
              <w:rPr>
                <w:rFonts w:ascii="宋体" w:cs="宋体"/>
                <w:b/>
                <w:color w:val="000000"/>
                <w:sz w:val="16"/>
                <w:szCs w:val="16"/>
              </w:rPr>
              <w:t>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r>
              <w:rPr>
                <w:rFonts w:ascii="宋体" w:cs="宋体"/>
                <w:b/>
                <w:color w:val="000000"/>
                <w:sz w:val="16"/>
                <w:szCs w:val="16"/>
              </w:rPr>
              <w:t>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人大事务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机关服务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人大会议</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2320303</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地方政府向国际组织借款付息支出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10337" w:type="dxa"/>
            <w:gridSpan w:val="16"/>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2098" w:right="1531" w:bottom="1984" w:left="1587" w:header="850" w:footer="992" w:gutter="0"/>
          <w:pgNumType w:fmt="numberInDash"/>
          <w:cols w:space="0" w:num="1"/>
          <w:docGrid w:type="lines" w:linePitch="317" w:charSpace="0"/>
        </w:sectPr>
      </w:pPr>
    </w:p>
    <w:tbl>
      <w:tblPr>
        <w:tblStyle w:val="7"/>
        <w:tblW w:w="10350" w:type="dxa"/>
        <w:tblInd w:w="-821" w:type="dxa"/>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blPrEx>
          <w:tblLayout w:type="fixed"/>
          <w:tblCellMar>
            <w:top w:w="15" w:type="dxa"/>
            <w:left w:w="15" w:type="dxa"/>
            <w:bottom w:w="15" w:type="dxa"/>
            <w:right w:w="15" w:type="dxa"/>
          </w:tblCellMar>
        </w:tblPrEx>
        <w:trPr>
          <w:trHeight w:val="375" w:hRule="atLeast"/>
        </w:trPr>
        <w:tc>
          <w:tcPr>
            <w:tcW w:w="10350"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1482" w:type="dxa"/>
            <w:gridSpan w:val="2"/>
            <w:vAlign w:val="center"/>
          </w:tcPr>
          <w:p>
            <w:pPr>
              <w:rPr>
                <w:rFonts w:ascii="宋体" w:cs="宋体"/>
                <w:color w:val="000000"/>
                <w:sz w:val="16"/>
                <w:szCs w:val="16"/>
              </w:rPr>
            </w:pPr>
          </w:p>
        </w:tc>
        <w:tc>
          <w:tcPr>
            <w:tcW w:w="1638" w:type="dxa"/>
            <w:vAlign w:val="center"/>
          </w:tcPr>
          <w:p>
            <w:pPr>
              <w:rPr>
                <w:rFonts w:ascii="宋体" w:cs="宋体"/>
                <w:color w:val="000000"/>
                <w:sz w:val="16"/>
                <w:szCs w:val="16"/>
              </w:rPr>
            </w:pPr>
          </w:p>
        </w:tc>
        <w:tc>
          <w:tcPr>
            <w:tcW w:w="1042"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19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3120" w:type="dxa"/>
            <w:gridSpan w:val="3"/>
            <w:vAlign w:val="center"/>
          </w:tcPr>
          <w:p>
            <w:pPr>
              <w:rPr>
                <w:rFonts w:ascii="宋体" w:cs="宋体"/>
                <w:color w:val="000000"/>
                <w:sz w:val="16"/>
                <w:szCs w:val="16"/>
              </w:rPr>
            </w:pPr>
            <w:r>
              <w:rPr>
                <w:rFonts w:hint="eastAsia" w:ascii="宋体" w:cs="宋体"/>
                <w:color w:val="000000"/>
                <w:sz w:val="16"/>
                <w:szCs w:val="16"/>
              </w:rPr>
              <w:t>南阳市卧龙区棉花蔬菜生产服务中心汇总</w:t>
            </w:r>
          </w:p>
        </w:tc>
        <w:tc>
          <w:tcPr>
            <w:tcW w:w="1042"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19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对附属单位</w:t>
            </w:r>
            <w:r>
              <w:rPr>
                <w:rFonts w:ascii="宋体" w:cs="宋体"/>
                <w:b/>
                <w:color w:val="000000"/>
                <w:kern w:val="0"/>
                <w:sz w:val="16"/>
                <w:szCs w:val="16"/>
              </w:rPr>
              <w:br w:type="textWrapping"/>
            </w:r>
            <w:r>
              <w:rPr>
                <w:rFonts w:hint="eastAsia" w:ascii="宋体" w:hAnsi="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cs="宋体"/>
                <w:b/>
                <w:color w:val="000000"/>
                <w:sz w:val="16"/>
                <w:szCs w:val="16"/>
              </w:rPr>
              <w:t>250.81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226.41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24.4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cs="宋体"/>
                <w:b/>
                <w:color w:val="000000"/>
                <w:kern w:val="0"/>
                <w:sz w:val="16"/>
                <w:szCs w:val="16"/>
              </w:rPr>
              <w:t>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cs="宋体"/>
                <w:b/>
                <w:color w:val="000000"/>
                <w:kern w:val="0"/>
                <w:sz w:val="16"/>
                <w:szCs w:val="16"/>
              </w:rPr>
              <w:t>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cs="宋体"/>
                <w:b/>
                <w:color w:val="000000"/>
                <w:kern w:val="0"/>
                <w:sz w:val="16"/>
                <w:szCs w:val="16"/>
              </w:rPr>
              <w:t>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人大事务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机关服务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人大会议</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2010105</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人大立法</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2010106</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人大监督</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2010107</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人大代表履职能力提升</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2320411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国有土地使用权出让金债务付息支出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50"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rPr>
          <w:rFonts w:ascii="隶书" w:hAnsi="隶书" w:eastAsia="隶书" w:cs="隶书"/>
          <w:sz w:val="52"/>
          <w:szCs w:val="52"/>
        </w:rPr>
        <w:sectPr>
          <w:pgSz w:w="11906" w:h="16838"/>
          <w:pgMar w:top="2098" w:right="1474" w:bottom="1984" w:left="1587" w:header="850" w:footer="992" w:gutter="0"/>
          <w:pgNumType w:fmt="numberInDash"/>
          <w:cols w:space="0" w:num="1"/>
          <w:docGrid w:type="lines" w:linePitch="318" w:charSpace="0"/>
        </w:sectPr>
      </w:pPr>
    </w:p>
    <w:tbl>
      <w:tblPr>
        <w:tblStyle w:val="7"/>
        <w:tblW w:w="10425" w:type="dxa"/>
        <w:tblInd w:w="-887" w:type="dxa"/>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blPrEx>
          <w:tblLayout w:type="fixed"/>
          <w:tblCellMar>
            <w:top w:w="15" w:type="dxa"/>
            <w:left w:w="15" w:type="dxa"/>
            <w:bottom w:w="15" w:type="dxa"/>
            <w:right w:w="15" w:type="dxa"/>
          </w:tblCellMar>
        </w:tblPrEx>
        <w:trPr>
          <w:trHeight w:val="169" w:hRule="atLeast"/>
        </w:trPr>
        <w:tc>
          <w:tcPr>
            <w:tcW w:w="1042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107" w:hRule="atLeast"/>
        </w:trPr>
        <w:tc>
          <w:tcPr>
            <w:tcW w:w="2289"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416" w:type="dxa"/>
            <w:vAlign w:val="center"/>
          </w:tcPr>
          <w:p>
            <w:pPr>
              <w:rPr>
                <w:rFonts w:ascii="宋体" w:cs="宋体"/>
                <w:color w:val="000000"/>
                <w:sz w:val="16"/>
                <w:szCs w:val="16"/>
              </w:rPr>
            </w:pPr>
          </w:p>
        </w:tc>
        <w:tc>
          <w:tcPr>
            <w:tcW w:w="1432"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vAlign w:val="center"/>
          </w:tcPr>
          <w:p>
            <w:pPr>
              <w:jc w:val="right"/>
              <w:rPr>
                <w:rFonts w:ascii="宋体" w:cs="宋体"/>
                <w:color w:val="000000"/>
                <w:sz w:val="16"/>
                <w:szCs w:val="16"/>
              </w:rPr>
            </w:pPr>
          </w:p>
        </w:tc>
        <w:tc>
          <w:tcPr>
            <w:tcW w:w="265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90" w:hRule="atLeast"/>
        </w:trPr>
        <w:tc>
          <w:tcPr>
            <w:tcW w:w="2604" w:type="dxa"/>
            <w:gridSpan w:val="4"/>
            <w:vAlign w:val="center"/>
          </w:tcPr>
          <w:p>
            <w:pPr>
              <w:rPr>
                <w:rFonts w:ascii="宋体" w:cs="宋体"/>
                <w:color w:val="000000"/>
                <w:sz w:val="16"/>
                <w:szCs w:val="16"/>
              </w:rPr>
            </w:pPr>
            <w:r>
              <w:rPr>
                <w:rFonts w:hint="eastAsia" w:ascii="宋体" w:cs="宋体"/>
                <w:color w:val="000000"/>
                <w:sz w:val="16"/>
                <w:szCs w:val="16"/>
              </w:rPr>
              <w:t>南阳市卧龙区棉花蔬菜生产服务中心汇总</w:t>
            </w:r>
          </w:p>
        </w:tc>
        <w:tc>
          <w:tcPr>
            <w:tcW w:w="1416" w:type="dxa"/>
            <w:vAlign w:val="center"/>
          </w:tcPr>
          <w:p>
            <w:pPr>
              <w:rPr>
                <w:rFonts w:ascii="宋体" w:cs="宋体"/>
                <w:color w:val="000000"/>
                <w:sz w:val="16"/>
                <w:szCs w:val="16"/>
              </w:rPr>
            </w:pPr>
          </w:p>
        </w:tc>
        <w:tc>
          <w:tcPr>
            <w:tcW w:w="1432"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vAlign w:val="center"/>
          </w:tcPr>
          <w:p>
            <w:pPr>
              <w:jc w:val="right"/>
              <w:rPr>
                <w:rFonts w:ascii="宋体" w:cs="宋体"/>
                <w:color w:val="000000"/>
                <w:sz w:val="16"/>
                <w:szCs w:val="16"/>
              </w:rPr>
            </w:pPr>
          </w:p>
        </w:tc>
        <w:tc>
          <w:tcPr>
            <w:tcW w:w="265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政府性基金预算财政拨款</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w:t>
            </w:r>
            <w:r>
              <w:rPr>
                <w:rFonts w:ascii="宋体" w:hAnsi="宋体" w:cs="宋体"/>
                <w:b/>
                <w:color w:val="000000"/>
                <w:kern w:val="0"/>
                <w:sz w:val="16"/>
                <w:szCs w:val="16"/>
              </w:rPr>
              <w:t xml:space="preserve">    </w:t>
            </w:r>
            <w:r>
              <w:rPr>
                <w:rFonts w:hint="eastAsia" w:ascii="宋体" w:hAnsi="宋体" w:cs="宋体"/>
                <w:b/>
                <w:color w:val="000000"/>
                <w:kern w:val="0"/>
                <w:sz w:val="16"/>
                <w:szCs w:val="16"/>
              </w:rPr>
              <w:t>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220.31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58.36</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58.36</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10.25</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10.25</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151.70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151.70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220.31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220.31</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220.31</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cs="宋体"/>
                <w:b/>
                <w:color w:val="000000"/>
                <w:kern w:val="0"/>
                <w:sz w:val="16"/>
                <w:szCs w:val="16"/>
              </w:rPr>
              <w:t>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PrEx>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220.31</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220.31</w:t>
            </w:r>
          </w:p>
        </w:tc>
        <w:tc>
          <w:tcPr>
            <w:tcW w:w="130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220.31</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宋体"/>
                <w:b/>
                <w:color w:val="000000"/>
                <w:sz w:val="16"/>
                <w:szCs w:val="16"/>
              </w:rPr>
            </w:pPr>
          </w:p>
        </w:tc>
      </w:tr>
    </w:tbl>
    <w:p>
      <w:pPr>
        <w:spacing w:line="360" w:lineRule="auto"/>
        <w:jc w:val="center"/>
        <w:rPr>
          <w:rFonts w:ascii="隶书" w:hAnsi="隶书" w:eastAsia="隶书" w:cs="隶书"/>
          <w:sz w:val="52"/>
          <w:szCs w:val="52"/>
        </w:rPr>
      </w:pPr>
      <w:r>
        <w:rPr>
          <w:rFonts w:ascii="隶书" w:hAnsi="隶书" w:eastAsia="隶书" w:cs="隶书"/>
          <w:sz w:val="52"/>
          <w:szCs w:val="52"/>
        </w:rPr>
        <w:br w:type="page"/>
      </w:r>
    </w:p>
    <w:tbl>
      <w:tblPr>
        <w:tblStyle w:val="7"/>
        <w:tblW w:w="10440" w:type="dxa"/>
        <w:tblInd w:w="-902" w:type="dxa"/>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blPrEx>
          <w:tblLayout w:type="fixed"/>
          <w:tblCellMar>
            <w:top w:w="15" w:type="dxa"/>
            <w:left w:w="15" w:type="dxa"/>
            <w:bottom w:w="15" w:type="dxa"/>
            <w:right w:w="15" w:type="dxa"/>
          </w:tblCellMar>
        </w:tblPrEx>
        <w:trPr>
          <w:trHeight w:val="375" w:hRule="atLeast"/>
        </w:trPr>
        <w:tc>
          <w:tcPr>
            <w:tcW w:w="10440"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trHeight w:val="285" w:hRule="atLeast"/>
        </w:trPr>
        <w:tc>
          <w:tcPr>
            <w:tcW w:w="1891"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849"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3691" w:type="dxa"/>
            <w:gridSpan w:val="3"/>
            <w:vAlign w:val="center"/>
          </w:tcPr>
          <w:p>
            <w:pPr>
              <w:rPr>
                <w:rFonts w:ascii="宋体" w:cs="宋体"/>
                <w:color w:val="000000"/>
                <w:sz w:val="16"/>
                <w:szCs w:val="16"/>
              </w:rPr>
            </w:pPr>
            <w:r>
              <w:rPr>
                <w:rFonts w:hint="eastAsia" w:ascii="宋体" w:cs="宋体"/>
                <w:color w:val="000000"/>
                <w:sz w:val="16"/>
                <w:szCs w:val="16"/>
              </w:rPr>
              <w:t>南阳市卧龙区棉花蔬菜生产服务中心汇总</w:t>
            </w: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849"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220.31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195.91</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24.4</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人大事务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机关服务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人大会议</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人大立法</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2010106</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人大监督</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2010107</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人大代表履职能力提升</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代表工作</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人大信访工作</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2010150</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600" w:hRule="atLeast"/>
        </w:trPr>
        <w:tc>
          <w:tcPr>
            <w:tcW w:w="10440"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7"/>
        <w:tblW w:w="10485" w:type="dxa"/>
        <w:tblInd w:w="-896" w:type="dxa"/>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blPrEx>
          <w:tblLayout w:type="fixed"/>
          <w:tblCellMar>
            <w:top w:w="15" w:type="dxa"/>
            <w:left w:w="15" w:type="dxa"/>
            <w:bottom w:w="15" w:type="dxa"/>
            <w:right w:w="15" w:type="dxa"/>
          </w:tblCellMar>
        </w:tblPrEx>
        <w:trPr>
          <w:trHeight w:val="375" w:hRule="atLeast"/>
        </w:trPr>
        <w:tc>
          <w:tcPr>
            <w:tcW w:w="1048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650"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873"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3444" w:type="dxa"/>
            <w:gridSpan w:val="3"/>
            <w:vAlign w:val="center"/>
          </w:tcPr>
          <w:p>
            <w:pPr>
              <w:rPr>
                <w:rFonts w:ascii="宋体" w:cs="宋体"/>
                <w:color w:val="000000"/>
                <w:sz w:val="16"/>
                <w:szCs w:val="16"/>
              </w:rPr>
            </w:pPr>
            <w:r>
              <w:rPr>
                <w:rFonts w:hint="eastAsia" w:ascii="宋体" w:cs="宋体"/>
                <w:color w:val="000000"/>
                <w:sz w:val="16"/>
                <w:szCs w:val="16"/>
              </w:rPr>
              <w:t>南阳市卧龙区棉花蔬菜生产服务中心汇总</w:t>
            </w: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873"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131.23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7.81</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52.10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2.23</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64.62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11.74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0.04</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1.53</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0.41</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0.76</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56.87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0.05</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b/>
                <w:color w:val="000000"/>
                <w:kern w:val="0"/>
                <w:sz w:val="16"/>
                <w:szCs w:val="16"/>
              </w:rPr>
              <w:t>56.87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0.08</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0.2</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ind w:right="160"/>
              <w:jc w:val="right"/>
              <w:textAlignment w:val="center"/>
              <w:rPr>
                <w:rFonts w:ascii="宋体" w:cs="宋体"/>
                <w:color w:val="000000"/>
                <w:sz w:val="16"/>
                <w:szCs w:val="16"/>
              </w:rPr>
            </w:pPr>
            <w:r>
              <w:rPr>
                <w:rFonts w:ascii="宋体" w:hAnsi="宋体" w:cs="宋体"/>
                <w:color w:val="000000"/>
                <w:kern w:val="0"/>
                <w:sz w:val="16"/>
                <w:szCs w:val="16"/>
              </w:rPr>
              <w:t>2.51</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b/>
                <w:color w:val="000000"/>
                <w:kern w:val="0"/>
                <w:sz w:val="16"/>
                <w:szCs w:val="16"/>
              </w:rPr>
              <w:t>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kern w:val="0"/>
                <w:sz w:val="16"/>
                <w:szCs w:val="16"/>
              </w:rPr>
              <w:t>0</w:t>
            </w:r>
          </w:p>
        </w:tc>
      </w:tr>
      <w:tr>
        <w:tblPrEx>
          <w:tblLayout w:type="fixed"/>
        </w:tblPrEx>
        <w:trPr>
          <w:trHeight w:val="477" w:hRule="atLeast"/>
        </w:trPr>
        <w:tc>
          <w:tcPr>
            <w:tcW w:w="10485" w:type="dxa"/>
            <w:gridSpan w:val="9"/>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7"/>
        <w:tblW w:w="10324" w:type="dxa"/>
        <w:tblInd w:w="-911" w:type="dxa"/>
        <w:tblLayout w:type="fixed"/>
        <w:tblCellMar>
          <w:top w:w="15" w:type="dxa"/>
          <w:left w:w="15" w:type="dxa"/>
          <w:bottom w:w="15" w:type="dxa"/>
          <w:right w:w="15" w:type="dxa"/>
        </w:tblCellMar>
      </w:tblPr>
      <w:tblGrid>
        <w:gridCol w:w="922"/>
        <w:gridCol w:w="861"/>
        <w:gridCol w:w="62"/>
        <w:gridCol w:w="700"/>
        <w:gridCol w:w="110"/>
        <w:gridCol w:w="243"/>
        <w:gridCol w:w="336"/>
        <w:gridCol w:w="294"/>
        <w:gridCol w:w="629"/>
        <w:gridCol w:w="77"/>
        <w:gridCol w:w="915"/>
        <w:gridCol w:w="509"/>
        <w:gridCol w:w="413"/>
        <w:gridCol w:w="234"/>
        <w:gridCol w:w="630"/>
        <w:gridCol w:w="59"/>
        <w:gridCol w:w="571"/>
        <w:gridCol w:w="249"/>
        <w:gridCol w:w="381"/>
        <w:gridCol w:w="439"/>
        <w:gridCol w:w="820"/>
        <w:gridCol w:w="870"/>
      </w:tblGrid>
      <w:tr>
        <w:tblPrEx>
          <w:tblLayout w:type="fixed"/>
          <w:tblCellMar>
            <w:top w:w="15" w:type="dxa"/>
            <w:left w:w="15" w:type="dxa"/>
            <w:bottom w:w="15" w:type="dxa"/>
            <w:right w:w="15" w:type="dxa"/>
          </w:tblCellMar>
        </w:tblPrEx>
        <w:trPr>
          <w:trHeight w:val="375" w:hRule="atLeast"/>
        </w:trPr>
        <w:tc>
          <w:tcPr>
            <w:tcW w:w="10324"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一般公共预算财政拨款“三公”经费支出决算表</w:t>
            </w:r>
          </w:p>
        </w:tc>
      </w:tr>
      <w:tr>
        <w:tblPrEx>
          <w:tblLayout w:type="fixed"/>
          <w:tblCellMar>
            <w:top w:w="15" w:type="dxa"/>
            <w:left w:w="15" w:type="dxa"/>
            <w:bottom w:w="15" w:type="dxa"/>
            <w:right w:w="15" w:type="dxa"/>
          </w:tblCellMar>
        </w:tblPrEx>
        <w:trPr>
          <w:trHeight w:val="285" w:hRule="atLeast"/>
        </w:trPr>
        <w:tc>
          <w:tcPr>
            <w:tcW w:w="1783" w:type="dxa"/>
            <w:gridSpan w:val="2"/>
            <w:vAlign w:val="center"/>
          </w:tcPr>
          <w:p>
            <w:pPr>
              <w:rPr>
                <w:rFonts w:ascii="宋体" w:cs="宋体"/>
                <w:color w:val="000000"/>
                <w:sz w:val="16"/>
                <w:szCs w:val="16"/>
              </w:rPr>
            </w:pPr>
          </w:p>
        </w:tc>
        <w:tc>
          <w:tcPr>
            <w:tcW w:w="872" w:type="dxa"/>
            <w:gridSpan w:val="3"/>
            <w:vAlign w:val="center"/>
          </w:tcPr>
          <w:p>
            <w:pPr>
              <w:rPr>
                <w:rFonts w:ascii="宋体" w:cs="宋体"/>
                <w:color w:val="000000"/>
                <w:sz w:val="16"/>
                <w:szCs w:val="16"/>
              </w:rPr>
            </w:pPr>
          </w:p>
        </w:tc>
        <w:tc>
          <w:tcPr>
            <w:tcW w:w="243" w:type="dxa"/>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29" w:type="dxa"/>
            <w:vAlign w:val="center"/>
          </w:tcPr>
          <w:p>
            <w:pPr>
              <w:rPr>
                <w:rFonts w:ascii="宋体" w:cs="宋体"/>
                <w:color w:val="000000"/>
                <w:sz w:val="16"/>
                <w:szCs w:val="16"/>
              </w:rPr>
            </w:pPr>
          </w:p>
        </w:tc>
        <w:tc>
          <w:tcPr>
            <w:tcW w:w="992" w:type="dxa"/>
            <w:gridSpan w:val="2"/>
            <w:vAlign w:val="center"/>
          </w:tcPr>
          <w:p>
            <w:pPr>
              <w:rPr>
                <w:rFonts w:ascii="宋体" w:cs="宋体"/>
                <w:color w:val="000000"/>
                <w:sz w:val="16"/>
                <w:szCs w:val="16"/>
              </w:rPr>
            </w:pPr>
          </w:p>
        </w:tc>
        <w:tc>
          <w:tcPr>
            <w:tcW w:w="509" w:type="dxa"/>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30" w:type="dxa"/>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212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2655" w:type="dxa"/>
            <w:gridSpan w:val="5"/>
            <w:vAlign w:val="center"/>
          </w:tcPr>
          <w:p>
            <w:pPr>
              <w:ind w:right="-435" w:rightChars="-207"/>
              <w:rPr>
                <w:rFonts w:ascii="宋体" w:cs="宋体"/>
                <w:color w:val="000000"/>
                <w:sz w:val="16"/>
                <w:szCs w:val="16"/>
              </w:rPr>
            </w:pPr>
            <w:r>
              <w:rPr>
                <w:rFonts w:hint="eastAsia" w:ascii="宋体" w:cs="宋体"/>
                <w:color w:val="000000"/>
                <w:sz w:val="16"/>
                <w:szCs w:val="16"/>
              </w:rPr>
              <w:t>南阳市卧龙区棉花蔬菜生产服务中心</w:t>
            </w:r>
          </w:p>
          <w:p>
            <w:pPr>
              <w:ind w:right="-435" w:rightChars="-207"/>
              <w:rPr>
                <w:rFonts w:ascii="宋体" w:cs="宋体"/>
                <w:color w:val="000000"/>
                <w:sz w:val="16"/>
                <w:szCs w:val="16"/>
              </w:rPr>
            </w:pPr>
            <w:r>
              <w:rPr>
                <w:rFonts w:hint="eastAsia" w:ascii="宋体" w:cs="宋体"/>
                <w:color w:val="000000"/>
                <w:sz w:val="16"/>
                <w:szCs w:val="16"/>
              </w:rPr>
              <w:t>汇总</w:t>
            </w:r>
          </w:p>
        </w:tc>
        <w:tc>
          <w:tcPr>
            <w:tcW w:w="243" w:type="dxa"/>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29" w:type="dxa"/>
            <w:vAlign w:val="center"/>
          </w:tcPr>
          <w:p>
            <w:pPr>
              <w:rPr>
                <w:rFonts w:ascii="宋体" w:cs="宋体"/>
                <w:color w:val="000000"/>
                <w:sz w:val="16"/>
                <w:szCs w:val="16"/>
              </w:rPr>
            </w:pPr>
          </w:p>
        </w:tc>
        <w:tc>
          <w:tcPr>
            <w:tcW w:w="992" w:type="dxa"/>
            <w:gridSpan w:val="2"/>
            <w:vAlign w:val="center"/>
          </w:tcPr>
          <w:p>
            <w:pPr>
              <w:rPr>
                <w:rFonts w:ascii="宋体" w:cs="宋体"/>
                <w:color w:val="000000"/>
                <w:sz w:val="16"/>
                <w:szCs w:val="16"/>
              </w:rPr>
            </w:pPr>
          </w:p>
        </w:tc>
        <w:tc>
          <w:tcPr>
            <w:tcW w:w="509" w:type="dxa"/>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30" w:type="dxa"/>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212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49"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hint="eastAsia" w:ascii="宋体" w:hAnsi="宋体" w:cs="宋体"/>
                <w:b/>
                <w:color w:val="000000"/>
                <w:kern w:val="0"/>
                <w:sz w:val="16"/>
                <w:szCs w:val="16"/>
              </w:rPr>
              <w:t>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hint="eastAsia" w:ascii="宋体" w:hAnsi="宋体" w:cs="宋体"/>
                <w:b/>
                <w:color w:val="000000"/>
                <w:kern w:val="0"/>
                <w:sz w:val="16"/>
                <w:szCs w:val="16"/>
              </w:rPr>
              <w:t>年度决算数</w:t>
            </w:r>
          </w:p>
        </w:tc>
      </w:tr>
      <w:tr>
        <w:tblPrEx>
          <w:tblLayout w:type="fixed"/>
          <w:tblCellMar>
            <w:top w:w="15" w:type="dxa"/>
            <w:left w:w="15" w:type="dxa"/>
            <w:bottom w:w="15" w:type="dxa"/>
            <w:right w:w="15" w:type="dxa"/>
          </w:tblCellMar>
        </w:tblPrEx>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389"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r>
      <w:tr>
        <w:tblPrEx>
          <w:tblLayout w:type="fixed"/>
        </w:tblPrEx>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68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68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jc w:val="center"/>
              <w:rPr>
                <w:rFonts w:ascii="宋体" w:cs="宋体"/>
                <w:b/>
                <w:color w:val="000000"/>
                <w:sz w:val="16"/>
                <w:szCs w:val="16"/>
              </w:rPr>
            </w:pPr>
            <w:r>
              <w:rPr>
                <w:rFonts w:ascii="宋体" w:cs="宋体"/>
                <w:b/>
                <w:color w:val="000000"/>
                <w:sz w:val="16"/>
                <w:szCs w:val="16"/>
              </w:rPr>
              <w:t>2.71</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color w:val="000000"/>
                <w:sz w:val="16"/>
                <w:szCs w:val="16"/>
              </w:rPr>
            </w:pPr>
            <w:r>
              <w:rPr>
                <w:rFonts w:ascii="宋体" w:cs="宋体"/>
                <w:color w:val="000000"/>
                <w:sz w:val="16"/>
                <w:szCs w:val="16"/>
              </w:rPr>
              <w:t>0</w:t>
            </w:r>
          </w:p>
        </w:tc>
        <w:tc>
          <w:tcPr>
            <w:tcW w:w="700"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color w:val="000000"/>
                <w:sz w:val="16"/>
                <w:szCs w:val="16"/>
              </w:rPr>
            </w:pPr>
            <w:r>
              <w:rPr>
                <w:rFonts w:ascii="宋体" w:cs="宋体"/>
                <w:color w:val="000000"/>
                <w:sz w:val="16"/>
                <w:szCs w:val="16"/>
              </w:rPr>
              <w:t>2.51</w:t>
            </w:r>
          </w:p>
        </w:tc>
        <w:tc>
          <w:tcPr>
            <w:tcW w:w="689" w:type="dxa"/>
            <w:gridSpan w:val="3"/>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color w:val="000000"/>
                <w:sz w:val="16"/>
                <w:szCs w:val="16"/>
              </w:rPr>
            </w:pPr>
            <w:r>
              <w:rPr>
                <w:rFonts w:ascii="宋体" w:cs="宋体"/>
                <w:color w:val="000000"/>
                <w:sz w:val="16"/>
                <w:szCs w:val="16"/>
              </w:rPr>
              <w:t>0</w:t>
            </w: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color w:val="000000"/>
                <w:sz w:val="16"/>
                <w:szCs w:val="16"/>
              </w:rPr>
            </w:pPr>
            <w:r>
              <w:rPr>
                <w:rFonts w:ascii="宋体" w:cs="宋体"/>
                <w:color w:val="000000"/>
                <w:sz w:val="16"/>
                <w:szCs w:val="16"/>
              </w:rPr>
              <w:t>2.51</w:t>
            </w:r>
          </w:p>
        </w:tc>
        <w:tc>
          <w:tcPr>
            <w:tcW w:w="915"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color w:val="000000"/>
                <w:sz w:val="16"/>
                <w:szCs w:val="16"/>
              </w:rPr>
            </w:pPr>
            <w:r>
              <w:rPr>
                <w:rFonts w:ascii="宋体" w:cs="宋体"/>
                <w:color w:val="000000"/>
                <w:sz w:val="16"/>
                <w:szCs w:val="16"/>
              </w:rPr>
              <w:t>0.2</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b/>
                <w:color w:val="000000"/>
                <w:sz w:val="16"/>
                <w:szCs w:val="16"/>
              </w:rPr>
            </w:pPr>
            <w:r>
              <w:rPr>
                <w:rFonts w:ascii="宋体" w:cs="宋体"/>
                <w:b/>
                <w:color w:val="000000"/>
                <w:sz w:val="16"/>
                <w:szCs w:val="16"/>
              </w:rPr>
              <w:t>2.71</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color w:val="000000"/>
                <w:sz w:val="16"/>
                <w:szCs w:val="16"/>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color w:val="000000"/>
                <w:sz w:val="16"/>
                <w:szCs w:val="16"/>
              </w:rPr>
            </w:pPr>
            <w:r>
              <w:rPr>
                <w:rFonts w:ascii="宋体" w:cs="宋体"/>
                <w:color w:val="000000"/>
                <w:sz w:val="16"/>
                <w:szCs w:val="16"/>
              </w:rPr>
              <w:t>2.51</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color w:val="000000"/>
                <w:sz w:val="16"/>
                <w:szCs w:val="16"/>
              </w:rPr>
            </w:pPr>
            <w:r>
              <w:rPr>
                <w:rFonts w:ascii="宋体" w:cs="宋体"/>
                <w:color w:val="000000"/>
                <w:sz w:val="16"/>
                <w:szCs w:val="16"/>
              </w:rPr>
              <w:t>0</w:t>
            </w:r>
          </w:p>
        </w:tc>
        <w:tc>
          <w:tcPr>
            <w:tcW w:w="820"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color w:val="000000"/>
                <w:sz w:val="16"/>
                <w:szCs w:val="16"/>
              </w:rPr>
            </w:pPr>
            <w:r>
              <w:rPr>
                <w:rFonts w:ascii="宋体" w:cs="宋体"/>
                <w:color w:val="000000"/>
                <w:sz w:val="16"/>
                <w:szCs w:val="16"/>
              </w:rPr>
              <w:t>2.51</w:t>
            </w:r>
          </w:p>
        </w:tc>
        <w:tc>
          <w:tcPr>
            <w:tcW w:w="870" w:type="dxa"/>
            <w:tcBorders>
              <w:top w:val="single" w:color="000000" w:sz="4" w:space="0"/>
              <w:left w:val="single" w:color="000000" w:sz="4" w:space="0"/>
              <w:bottom w:val="single" w:color="000000" w:sz="12" w:space="0"/>
              <w:right w:val="single" w:color="000000" w:sz="12" w:space="0"/>
            </w:tcBorders>
            <w:vAlign w:val="center"/>
          </w:tcPr>
          <w:p>
            <w:pPr>
              <w:jc w:val="center"/>
              <w:rPr>
                <w:rFonts w:ascii="宋体" w:cs="宋体"/>
                <w:color w:val="000000"/>
                <w:sz w:val="16"/>
                <w:szCs w:val="16"/>
              </w:rPr>
            </w:pPr>
            <w:r>
              <w:rPr>
                <w:rFonts w:ascii="宋体" w:cs="宋体"/>
                <w:color w:val="000000"/>
                <w:sz w:val="16"/>
                <w:szCs w:val="16"/>
              </w:rPr>
              <w:t>0.2</w:t>
            </w:r>
          </w:p>
        </w:tc>
      </w:tr>
      <w:tr>
        <w:tblPrEx>
          <w:tblLayout w:type="fixed"/>
          <w:tblCellMar>
            <w:top w:w="15" w:type="dxa"/>
            <w:left w:w="15" w:type="dxa"/>
            <w:bottom w:w="15" w:type="dxa"/>
            <w:right w:w="15" w:type="dxa"/>
          </w:tblCellMar>
        </w:tblPrEx>
        <w:trPr>
          <w:trHeight w:val="600" w:hRule="atLeast"/>
        </w:trPr>
        <w:tc>
          <w:tcPr>
            <w:tcW w:w="10324" w:type="dxa"/>
            <w:gridSpan w:val="2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注：本表反映部门本年度“三公”经费支出预决算情况。其中，</w:t>
            </w:r>
            <w:r>
              <w:rPr>
                <w:rFonts w:ascii="宋体" w:hAnsi="宋体" w:cs="宋体"/>
                <w:color w:val="000000"/>
                <w:kern w:val="0"/>
                <w:sz w:val="16"/>
                <w:szCs w:val="16"/>
              </w:rPr>
              <w:t>2016</w:t>
            </w:r>
            <w:r>
              <w:rPr>
                <w:rFonts w:hint="eastAsia" w:ascii="宋体" w:hAnsi="宋体" w:cs="宋体"/>
                <w:color w:val="000000"/>
                <w:kern w:val="0"/>
                <w:sz w:val="16"/>
                <w:szCs w:val="16"/>
              </w:rPr>
              <w:t>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7"/>
        <w:tblW w:w="10600" w:type="dxa"/>
        <w:tblInd w:w="-902" w:type="dxa"/>
        <w:tblLayout w:type="fixed"/>
        <w:tblCellMar>
          <w:top w:w="15" w:type="dxa"/>
          <w:left w:w="15" w:type="dxa"/>
          <w:bottom w:w="15" w:type="dxa"/>
          <w:right w:w="15" w:type="dxa"/>
        </w:tblCellMar>
      </w:tblPr>
      <w:tblGrid>
        <w:gridCol w:w="705"/>
        <w:gridCol w:w="1572"/>
        <w:gridCol w:w="850"/>
        <w:gridCol w:w="1166"/>
        <w:gridCol w:w="65"/>
        <w:gridCol w:w="1232"/>
        <w:gridCol w:w="751"/>
        <w:gridCol w:w="499"/>
        <w:gridCol w:w="500"/>
        <w:gridCol w:w="750"/>
        <w:gridCol w:w="1250"/>
        <w:gridCol w:w="1260"/>
      </w:tblGrid>
      <w:tr>
        <w:tblPrEx>
          <w:tblLayout w:type="fixed"/>
          <w:tblCellMar>
            <w:top w:w="15" w:type="dxa"/>
            <w:left w:w="15" w:type="dxa"/>
            <w:bottom w:w="15" w:type="dxa"/>
            <w:right w:w="15" w:type="dxa"/>
          </w:tblCellMar>
        </w:tblPrEx>
        <w:trPr>
          <w:trHeight w:val="375" w:hRule="atLeast"/>
        </w:trPr>
        <w:tc>
          <w:tcPr>
            <w:tcW w:w="10600"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2277" w:type="dxa"/>
            <w:gridSpan w:val="2"/>
            <w:vAlign w:val="center"/>
          </w:tcPr>
          <w:p>
            <w:pPr>
              <w:rPr>
                <w:rFonts w:ascii="宋体" w:cs="宋体"/>
                <w:color w:val="000000"/>
                <w:sz w:val="16"/>
                <w:szCs w:val="16"/>
              </w:rPr>
            </w:pPr>
          </w:p>
        </w:tc>
        <w:tc>
          <w:tcPr>
            <w:tcW w:w="850"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97" w:type="dxa"/>
            <w:gridSpan w:val="2"/>
            <w:vAlign w:val="center"/>
          </w:tcPr>
          <w:p>
            <w:pPr>
              <w:rPr>
                <w:rFonts w:ascii="宋体" w:cs="宋体"/>
                <w:color w:val="000000"/>
                <w:sz w:val="16"/>
                <w:szCs w:val="16"/>
              </w:rPr>
            </w:pPr>
          </w:p>
        </w:tc>
        <w:tc>
          <w:tcPr>
            <w:tcW w:w="75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000" w:type="dxa"/>
            <w:gridSpan w:val="2"/>
            <w:vAlign w:val="center"/>
          </w:tcPr>
          <w:p>
            <w:pPr>
              <w:rPr>
                <w:rFonts w:ascii="宋体" w:cs="宋体"/>
                <w:color w:val="000000"/>
                <w:sz w:val="16"/>
                <w:szCs w:val="16"/>
              </w:rPr>
            </w:pPr>
          </w:p>
        </w:tc>
        <w:tc>
          <w:tcPr>
            <w:tcW w:w="12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2277" w:type="dxa"/>
            <w:gridSpan w:val="2"/>
            <w:vAlign w:val="center"/>
          </w:tcPr>
          <w:p>
            <w:pPr>
              <w:rPr>
                <w:rFonts w:ascii="宋体" w:cs="宋体"/>
                <w:color w:val="000000"/>
                <w:sz w:val="16"/>
                <w:szCs w:val="16"/>
              </w:rPr>
            </w:pPr>
            <w:r>
              <w:rPr>
                <w:rFonts w:hint="eastAsia" w:ascii="宋体" w:cs="宋体"/>
                <w:color w:val="000000"/>
                <w:sz w:val="16"/>
                <w:szCs w:val="16"/>
              </w:rPr>
              <w:t>南阳市卧龙区棉花蔬菜生产服务中心汇总</w:t>
            </w:r>
          </w:p>
        </w:tc>
        <w:tc>
          <w:tcPr>
            <w:tcW w:w="850"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97" w:type="dxa"/>
            <w:gridSpan w:val="2"/>
            <w:vAlign w:val="center"/>
          </w:tcPr>
          <w:p>
            <w:pPr>
              <w:rPr>
                <w:rFonts w:ascii="宋体" w:cs="宋体"/>
                <w:color w:val="000000"/>
                <w:sz w:val="16"/>
                <w:szCs w:val="16"/>
              </w:rPr>
            </w:pPr>
          </w:p>
        </w:tc>
        <w:tc>
          <w:tcPr>
            <w:tcW w:w="75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000" w:type="dxa"/>
            <w:gridSpan w:val="2"/>
            <w:vAlign w:val="center"/>
          </w:tcPr>
          <w:p>
            <w:pPr>
              <w:rPr>
                <w:rFonts w:ascii="宋体" w:cs="宋体"/>
                <w:color w:val="000000"/>
                <w:sz w:val="16"/>
                <w:szCs w:val="16"/>
              </w:rPr>
            </w:pPr>
          </w:p>
        </w:tc>
        <w:tc>
          <w:tcPr>
            <w:tcW w:w="12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285" w:hRule="atLeast"/>
        </w:trPr>
        <w:tc>
          <w:tcPr>
            <w:tcW w:w="31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kern w:val="0"/>
                <w:sz w:val="16"/>
                <w:szCs w:val="16"/>
              </w:rPr>
              <w:t>0</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kern w:val="0"/>
                <w:sz w:val="16"/>
                <w:szCs w:val="16"/>
              </w:rPr>
              <w:t>0</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kern w:val="0"/>
                <w:sz w:val="16"/>
                <w:szCs w:val="16"/>
              </w:rPr>
              <w:t>0</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kern w:val="0"/>
                <w:sz w:val="16"/>
                <w:szCs w:val="16"/>
              </w:rPr>
              <w:t>0</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kern w:val="0"/>
                <w:sz w:val="16"/>
                <w:szCs w:val="16"/>
              </w:rPr>
              <w:t>0</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b/>
                <w:color w:val="000000"/>
                <w:kern w:val="0"/>
                <w:sz w:val="16"/>
                <w:szCs w:val="16"/>
              </w:rPr>
              <w:t>0</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10600" w:type="dxa"/>
            <w:gridSpan w:val="1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600" w:type="dxa"/>
            <w:gridSpan w:val="12"/>
            <w:vAlign w:val="center"/>
          </w:tcPr>
          <w:p>
            <w:pPr>
              <w:widowControl/>
              <w:jc w:val="left"/>
              <w:textAlignment w:val="center"/>
              <w:rPr>
                <w:rFonts w:ascii="宋体" w:cs="宋体"/>
                <w:b/>
                <w:color w:val="FF0000"/>
                <w:sz w:val="20"/>
                <w:szCs w:val="20"/>
              </w:rPr>
            </w:pPr>
            <w:r>
              <w:rPr>
                <w:rFonts w:hint="eastAsia" w:ascii="宋体" w:hAnsi="宋体" w:cs="宋体"/>
                <w:b/>
                <w:color w:val="000000"/>
                <w:kern w:val="0"/>
                <w:sz w:val="20"/>
                <w:szCs w:val="20"/>
              </w:rPr>
              <w:t>说明：本单位没有政府性基金收入，也没有使用政府性基金安排的支出，故本表无数据。</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b/>
          <w:sz w:val="52"/>
          <w:szCs w:val="52"/>
        </w:rPr>
      </w:pPr>
      <w:r>
        <w:rPr>
          <w:rFonts w:hint="eastAsia"/>
          <w:b/>
          <w:sz w:val="52"/>
          <w:szCs w:val="52"/>
        </w:rPr>
        <w:t>南阳市卧龙区棉花蔬菜生产服务中心</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年度收入总计</w:t>
      </w:r>
      <w:r>
        <w:rPr>
          <w:rFonts w:ascii="仿宋_GB2312" w:hAnsi="宋体" w:eastAsia="仿宋_GB2312" w:cs="Courier New"/>
          <w:sz w:val="32"/>
          <w:szCs w:val="32"/>
        </w:rPr>
        <w:t>250.81</w:t>
      </w:r>
      <w:r>
        <w:rPr>
          <w:rFonts w:hint="eastAsia" w:ascii="仿宋_GB2312" w:hAnsi="宋体" w:eastAsia="仿宋_GB2312" w:cs="Courier New"/>
          <w:sz w:val="32"/>
          <w:szCs w:val="32"/>
        </w:rPr>
        <w:t>万元，支出总计</w:t>
      </w:r>
      <w:r>
        <w:rPr>
          <w:rFonts w:ascii="仿宋_GB2312" w:hAnsi="宋体" w:eastAsia="仿宋_GB2312" w:cs="Courier New"/>
          <w:sz w:val="32"/>
          <w:szCs w:val="32"/>
        </w:rPr>
        <w:t>250.81</w:t>
      </w:r>
      <w:r>
        <w:rPr>
          <w:rFonts w:hint="eastAsia" w:ascii="仿宋_GB2312" w:hAnsi="宋体" w:eastAsia="仿宋_GB2312" w:cs="Courier New"/>
          <w:sz w:val="32"/>
          <w:szCs w:val="32"/>
        </w:rPr>
        <w:t>万元，与</w:t>
      </w:r>
      <w:r>
        <w:rPr>
          <w:rFonts w:ascii="仿宋_GB2312" w:hAnsi="宋体" w:eastAsia="仿宋_GB2312" w:cs="Courier New"/>
          <w:sz w:val="32"/>
          <w:szCs w:val="32"/>
        </w:rPr>
        <w:t>2015</w:t>
      </w:r>
      <w:r>
        <w:rPr>
          <w:rFonts w:hint="eastAsia" w:ascii="仿宋_GB2312" w:hAnsi="宋体" w:eastAsia="仿宋_GB2312" w:cs="Courier New"/>
          <w:sz w:val="32"/>
          <w:szCs w:val="32"/>
        </w:rPr>
        <w:t>年相比，收、支总计各增加</w:t>
      </w:r>
      <w:r>
        <w:rPr>
          <w:rFonts w:ascii="仿宋_GB2312" w:hAnsi="宋体" w:eastAsia="仿宋_GB2312" w:cs="Courier New"/>
          <w:sz w:val="32"/>
          <w:szCs w:val="32"/>
        </w:rPr>
        <w:t>33.26</w:t>
      </w:r>
      <w:r>
        <w:rPr>
          <w:rFonts w:hint="eastAsia" w:ascii="仿宋_GB2312" w:hAnsi="宋体" w:eastAsia="仿宋_GB2312" w:cs="Courier New"/>
          <w:sz w:val="32"/>
          <w:szCs w:val="32"/>
        </w:rPr>
        <w:t>万元，增长</w:t>
      </w:r>
      <w:r>
        <w:rPr>
          <w:rFonts w:ascii="仿宋_GB2312" w:hAnsi="宋体" w:eastAsia="仿宋_GB2312" w:cs="Courier New"/>
          <w:sz w:val="32"/>
          <w:szCs w:val="32"/>
        </w:rPr>
        <w:t>13.26%</w:t>
      </w:r>
      <w:r>
        <w:rPr>
          <w:rFonts w:hint="eastAsia" w:ascii="仿宋_GB2312" w:hAnsi="宋体" w:eastAsia="仿宋_GB2312" w:cs="Courier New"/>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ascii="仿宋_GB2312" w:hAnsi="宋体" w:eastAsia="仿宋_GB2312" w:cs="Courier New"/>
          <w:sz w:val="32"/>
          <w:szCs w:val="32"/>
        </w:rPr>
        <w:t>250.81</w:t>
      </w:r>
      <w:r>
        <w:rPr>
          <w:rFonts w:hint="eastAsia" w:ascii="仿宋_GB2312" w:hAnsi="Times New Roman" w:eastAsia="仿宋_GB2312"/>
          <w:sz w:val="32"/>
          <w:szCs w:val="32"/>
        </w:rPr>
        <w:t>万元，其中：财政拨款收入</w:t>
      </w:r>
      <w:r>
        <w:rPr>
          <w:rFonts w:ascii="仿宋_GB2312" w:hAnsi="宋体" w:eastAsia="仿宋_GB2312" w:cs="Courier New"/>
          <w:sz w:val="32"/>
          <w:szCs w:val="32"/>
        </w:rPr>
        <w:t>220.31</w:t>
      </w:r>
      <w:r>
        <w:rPr>
          <w:rFonts w:hint="eastAsia" w:ascii="仿宋_GB2312" w:hAnsi="Times New Roman" w:eastAsia="仿宋_GB2312"/>
          <w:sz w:val="32"/>
          <w:szCs w:val="32"/>
        </w:rPr>
        <w:t>万元，占</w:t>
      </w:r>
      <w:r>
        <w:rPr>
          <w:rFonts w:ascii="仿宋_GB2312" w:hAnsi="Times New Roman" w:eastAsia="仿宋_GB2312"/>
          <w:sz w:val="32"/>
          <w:szCs w:val="32"/>
        </w:rPr>
        <w:t>87.84%</w:t>
      </w:r>
      <w:r>
        <w:rPr>
          <w:rFonts w:hint="eastAsia" w:ascii="仿宋_GB2312" w:hAnsi="Times New Roman" w:eastAsia="仿宋_GB2312"/>
          <w:sz w:val="32"/>
          <w:szCs w:val="32"/>
        </w:rPr>
        <w:t>；事业收入</w:t>
      </w:r>
      <w:r>
        <w:rPr>
          <w:rFonts w:ascii="仿宋_GB2312" w:hAnsi="Times New Roman" w:eastAsia="仿宋_GB2312"/>
          <w:sz w:val="32"/>
          <w:szCs w:val="32"/>
        </w:rPr>
        <w:t>30.50</w:t>
      </w:r>
      <w:r>
        <w:rPr>
          <w:rFonts w:hint="eastAsia" w:ascii="仿宋_GB2312" w:hAnsi="Times New Roman" w:eastAsia="仿宋_GB2312"/>
          <w:sz w:val="32"/>
          <w:szCs w:val="32"/>
        </w:rPr>
        <w:t>万元，</w:t>
      </w:r>
      <w:r>
        <w:rPr>
          <w:rFonts w:ascii="仿宋_GB2312" w:hAnsi="Times New Roman" w:eastAsia="仿宋_GB2312"/>
          <w:sz w:val="32"/>
          <w:szCs w:val="32"/>
        </w:rPr>
        <w:t>12.16%</w:t>
      </w:r>
      <w:r>
        <w:rPr>
          <w:rFonts w:hint="eastAsia" w:ascii="仿宋_GB2312" w:hAnsi="Times New Roman" w:eastAsia="仿宋_GB2312"/>
          <w:sz w:val="32"/>
          <w:szCs w:val="32"/>
        </w:rPr>
        <w:t>；经营收入</w:t>
      </w:r>
      <w:r>
        <w:rPr>
          <w:rFonts w:ascii="仿宋_GB2312" w:hAnsi="Times New Roman" w:eastAsia="仿宋_GB2312"/>
          <w:sz w:val="32"/>
          <w:szCs w:val="32"/>
        </w:rPr>
        <w:t>0</w:t>
      </w:r>
      <w:r>
        <w:rPr>
          <w:rFonts w:hint="eastAsia" w:ascii="仿宋_GB2312" w:hAnsi="Times New Roman" w:eastAsia="仿宋_GB2312"/>
          <w:sz w:val="32"/>
          <w:szCs w:val="32"/>
        </w:rPr>
        <w:t>万元，占</w:t>
      </w:r>
      <w:r>
        <w:rPr>
          <w:rFonts w:ascii="仿宋_GB2312" w:hAnsi="Times New Roman" w:eastAsia="仿宋_GB2312"/>
          <w:sz w:val="32"/>
          <w:szCs w:val="32"/>
        </w:rPr>
        <w:t>0%</w:t>
      </w:r>
      <w:r>
        <w:rPr>
          <w:rFonts w:hint="eastAsia" w:ascii="仿宋_GB2312" w:hAnsi="Times New Roman" w:eastAsia="仿宋_GB2312"/>
          <w:sz w:val="32"/>
          <w:szCs w:val="32"/>
        </w:rPr>
        <w:t>；其他收入</w:t>
      </w:r>
      <w:r>
        <w:rPr>
          <w:rFonts w:ascii="仿宋_GB2312" w:hAnsi="Times New Roman" w:eastAsia="仿宋_GB2312"/>
          <w:sz w:val="32"/>
          <w:szCs w:val="32"/>
        </w:rPr>
        <w:t>0</w:t>
      </w:r>
      <w:r>
        <w:rPr>
          <w:rFonts w:hint="eastAsia" w:ascii="仿宋_GB2312" w:hAnsi="Times New Roman" w:eastAsia="仿宋_GB2312"/>
          <w:sz w:val="32"/>
          <w:szCs w:val="32"/>
        </w:rPr>
        <w:t>万元，占</w:t>
      </w:r>
      <w:r>
        <w:rPr>
          <w:rFonts w:ascii="仿宋_GB2312" w:hAnsi="Times New Roman" w:eastAsia="仿宋_GB2312"/>
          <w:sz w:val="32"/>
          <w:szCs w:val="32"/>
        </w:rPr>
        <w:t>0%</w:t>
      </w:r>
      <w:r>
        <w:rPr>
          <w:rFonts w:hint="eastAsia" w:ascii="仿宋_GB2312" w:hAnsi="Times New Roman" w:eastAsia="仿宋_GB2312"/>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年度支出合计</w:t>
      </w:r>
      <w:r>
        <w:rPr>
          <w:rFonts w:ascii="仿宋_GB2312" w:hAnsi="宋体" w:eastAsia="仿宋_GB2312" w:cs="Courier New"/>
          <w:sz w:val="32"/>
          <w:szCs w:val="32"/>
        </w:rPr>
        <w:t>250.81</w:t>
      </w:r>
      <w:r>
        <w:rPr>
          <w:rFonts w:hint="eastAsia" w:ascii="仿宋_GB2312" w:hAnsi="宋体" w:eastAsia="仿宋_GB2312" w:cs="Courier New"/>
          <w:sz w:val="32"/>
          <w:szCs w:val="32"/>
        </w:rPr>
        <w:t>万元，其中：基本支出</w:t>
      </w:r>
      <w:r>
        <w:rPr>
          <w:rFonts w:ascii="仿宋_GB2312" w:hAnsi="宋体" w:eastAsia="仿宋_GB2312" w:cs="Courier New"/>
          <w:sz w:val="32"/>
          <w:szCs w:val="32"/>
        </w:rPr>
        <w:t>226.41</w:t>
      </w:r>
      <w:r>
        <w:rPr>
          <w:rFonts w:hint="eastAsia" w:ascii="仿宋_GB2312" w:hAnsi="宋体" w:eastAsia="仿宋_GB2312" w:cs="Courier New"/>
          <w:sz w:val="32"/>
          <w:szCs w:val="32"/>
        </w:rPr>
        <w:t>万元，占</w:t>
      </w:r>
      <w:r>
        <w:rPr>
          <w:rFonts w:ascii="仿宋_GB2312" w:hAnsi="宋体" w:eastAsia="仿宋_GB2312" w:cs="Courier New"/>
          <w:sz w:val="32"/>
          <w:szCs w:val="32"/>
        </w:rPr>
        <w:t>90.28%</w:t>
      </w:r>
      <w:r>
        <w:rPr>
          <w:rFonts w:hint="eastAsia" w:ascii="仿宋_GB2312" w:hAnsi="宋体" w:eastAsia="仿宋_GB2312" w:cs="Courier New"/>
          <w:sz w:val="32"/>
          <w:szCs w:val="32"/>
        </w:rPr>
        <w:t>；项目支出</w:t>
      </w:r>
      <w:r>
        <w:rPr>
          <w:rFonts w:ascii="仿宋_GB2312" w:hAnsi="宋体" w:eastAsia="仿宋_GB2312" w:cs="Courier New"/>
          <w:sz w:val="32"/>
          <w:szCs w:val="32"/>
        </w:rPr>
        <w:t>24.40</w:t>
      </w:r>
      <w:r>
        <w:rPr>
          <w:rFonts w:hint="eastAsia" w:ascii="仿宋_GB2312" w:hAnsi="宋体" w:eastAsia="仿宋_GB2312" w:cs="Courier New"/>
          <w:sz w:val="32"/>
          <w:szCs w:val="32"/>
        </w:rPr>
        <w:t>万元，占</w:t>
      </w:r>
      <w:r>
        <w:rPr>
          <w:rFonts w:ascii="仿宋_GB2312" w:hAnsi="宋体" w:eastAsia="仿宋_GB2312" w:cs="Courier New"/>
          <w:sz w:val="32"/>
          <w:szCs w:val="32"/>
        </w:rPr>
        <w:t>9.72%</w:t>
      </w:r>
      <w:r>
        <w:rPr>
          <w:rFonts w:hint="eastAsia" w:ascii="仿宋_GB2312" w:hAnsi="宋体" w:eastAsia="仿宋_GB2312" w:cs="Courier New"/>
          <w:sz w:val="32"/>
          <w:szCs w:val="32"/>
        </w:rPr>
        <w:t>；经营支出</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年财政拨款收支总决算</w:t>
      </w:r>
      <w:r>
        <w:rPr>
          <w:rFonts w:ascii="仿宋_GB2312" w:hAnsi="宋体" w:eastAsia="仿宋_GB2312" w:cs="Courier New"/>
          <w:sz w:val="32"/>
          <w:szCs w:val="32"/>
        </w:rPr>
        <w:t>220.31</w:t>
      </w:r>
      <w:r>
        <w:rPr>
          <w:rFonts w:hint="eastAsia" w:ascii="仿宋_GB2312" w:hAnsi="宋体" w:eastAsia="仿宋_GB2312" w:cs="Courier New"/>
          <w:sz w:val="32"/>
          <w:szCs w:val="32"/>
        </w:rPr>
        <w:t>万元。与</w:t>
      </w:r>
      <w:r>
        <w:rPr>
          <w:rFonts w:ascii="仿宋_GB2312" w:hAnsi="宋体" w:eastAsia="仿宋_GB2312" w:cs="Courier New"/>
          <w:sz w:val="32"/>
          <w:szCs w:val="32"/>
        </w:rPr>
        <w:t>2015</w:t>
      </w:r>
      <w:r>
        <w:rPr>
          <w:rFonts w:hint="eastAsia" w:ascii="仿宋_GB2312" w:hAnsi="宋体" w:eastAsia="仿宋_GB2312" w:cs="Courier New"/>
          <w:sz w:val="32"/>
          <w:szCs w:val="32"/>
        </w:rPr>
        <w:t>年相比，财政拨款收、支总计各增加</w:t>
      </w:r>
      <w:r>
        <w:rPr>
          <w:rFonts w:ascii="仿宋_GB2312" w:hAnsi="宋体" w:eastAsia="仿宋_GB2312" w:cs="Courier New"/>
          <w:sz w:val="32"/>
          <w:szCs w:val="32"/>
        </w:rPr>
        <w:t>33.26</w:t>
      </w:r>
      <w:r>
        <w:rPr>
          <w:rFonts w:hint="eastAsia" w:ascii="仿宋_GB2312" w:hAnsi="宋体" w:eastAsia="仿宋_GB2312" w:cs="Courier New"/>
          <w:sz w:val="32"/>
          <w:szCs w:val="32"/>
        </w:rPr>
        <w:t>万元，增长</w:t>
      </w:r>
      <w:r>
        <w:rPr>
          <w:rFonts w:ascii="仿宋_GB2312" w:hAnsi="宋体" w:eastAsia="仿宋_GB2312" w:cs="Courier New"/>
          <w:sz w:val="32"/>
          <w:szCs w:val="32"/>
        </w:rPr>
        <w:t>14.44%</w:t>
      </w:r>
      <w:r>
        <w:rPr>
          <w:rFonts w:hint="eastAsia" w:ascii="仿宋_GB2312" w:hAnsi="宋体" w:eastAsia="仿宋_GB2312" w:cs="Courier New"/>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年一般公共预算财政拨款支出</w:t>
      </w:r>
      <w:r>
        <w:rPr>
          <w:rFonts w:ascii="仿宋_GB2312" w:hAnsi="宋体" w:eastAsia="仿宋_GB2312" w:cs="Courier New"/>
          <w:sz w:val="32"/>
          <w:szCs w:val="32"/>
        </w:rPr>
        <w:t>220.31</w:t>
      </w:r>
      <w:r>
        <w:rPr>
          <w:rFonts w:hint="eastAsia" w:ascii="仿宋_GB2312" w:hAnsi="宋体" w:eastAsia="仿宋_GB2312" w:cs="Courier New"/>
          <w:sz w:val="32"/>
          <w:szCs w:val="32"/>
        </w:rPr>
        <w:t>万元，占支出合计的</w:t>
      </w:r>
      <w:r>
        <w:rPr>
          <w:rFonts w:ascii="仿宋_GB2312" w:hAnsi="Times New Roman" w:eastAsia="仿宋_GB2312"/>
          <w:sz w:val="32"/>
          <w:szCs w:val="32"/>
        </w:rPr>
        <w:t>87.84%</w:t>
      </w:r>
      <w:r>
        <w:rPr>
          <w:rFonts w:hint="eastAsia" w:ascii="仿宋_GB2312" w:hAnsi="宋体" w:eastAsia="仿宋_GB2312" w:cs="Courier New"/>
          <w:sz w:val="32"/>
          <w:szCs w:val="32"/>
        </w:rPr>
        <w:t>。与</w:t>
      </w:r>
      <w:r>
        <w:rPr>
          <w:rFonts w:ascii="仿宋_GB2312" w:hAnsi="宋体" w:eastAsia="仿宋_GB2312" w:cs="Courier New"/>
          <w:sz w:val="32"/>
          <w:szCs w:val="32"/>
        </w:rPr>
        <w:t>2015</w:t>
      </w:r>
      <w:r>
        <w:rPr>
          <w:rFonts w:hint="eastAsia" w:ascii="仿宋_GB2312" w:hAnsi="宋体" w:eastAsia="仿宋_GB2312" w:cs="Courier New"/>
          <w:sz w:val="32"/>
          <w:szCs w:val="32"/>
        </w:rPr>
        <w:t>年相比，一般公共预算财政拨款支出增加</w:t>
      </w:r>
      <w:r>
        <w:rPr>
          <w:rFonts w:ascii="仿宋_GB2312" w:hAnsi="宋体" w:eastAsia="仿宋_GB2312" w:cs="Courier New"/>
          <w:sz w:val="32"/>
          <w:szCs w:val="32"/>
        </w:rPr>
        <w:t>33.26</w:t>
      </w:r>
      <w:r>
        <w:rPr>
          <w:rFonts w:hint="eastAsia" w:ascii="仿宋_GB2312" w:hAnsi="宋体" w:eastAsia="仿宋_GB2312" w:cs="Courier New"/>
          <w:sz w:val="32"/>
          <w:szCs w:val="32"/>
        </w:rPr>
        <w:t>万元，增长</w:t>
      </w:r>
      <w:r>
        <w:rPr>
          <w:rFonts w:ascii="仿宋_GB2312" w:hAnsi="宋体" w:eastAsia="仿宋_GB2312" w:cs="Courier New"/>
          <w:sz w:val="32"/>
          <w:szCs w:val="32"/>
        </w:rPr>
        <w:t>14.44%</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w:t>
      </w:r>
      <w:r>
        <w:rPr>
          <w:rFonts w:ascii="仿宋_GB2312" w:hAnsi="宋体" w:eastAsia="仿宋_GB2312" w:cs="Courier New"/>
          <w:sz w:val="32"/>
          <w:szCs w:val="32"/>
        </w:rPr>
        <w:t>220.31</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ascii="仿宋_GB2312" w:hAnsi="宋体" w:eastAsia="仿宋_GB2312" w:cs="Courier New"/>
          <w:sz w:val="32"/>
          <w:szCs w:val="32"/>
        </w:rPr>
        <w:t>220.31</w:t>
      </w:r>
      <w:r>
        <w:rPr>
          <w:rFonts w:hint="eastAsia" w:ascii="仿宋_GB2312" w:hAnsi="宋体" w:eastAsia="仿宋_GB2312" w:cs="Courier New"/>
          <w:sz w:val="32"/>
          <w:szCs w:val="32"/>
        </w:rPr>
        <w:t>万元，占</w:t>
      </w:r>
      <w:r>
        <w:rPr>
          <w:rFonts w:ascii="仿宋_GB2312" w:hAnsi="宋体" w:eastAsia="仿宋_GB2312" w:cs="Courier New"/>
          <w:sz w:val="32"/>
          <w:szCs w:val="32"/>
        </w:rPr>
        <w:t>100%</w:t>
      </w:r>
      <w:r>
        <w:rPr>
          <w:rFonts w:hint="eastAsia" w:ascii="仿宋_GB2312" w:hAnsi="宋体" w:eastAsia="仿宋_GB2312" w:cs="Courier New"/>
          <w:sz w:val="32"/>
          <w:szCs w:val="32"/>
        </w:rPr>
        <w:t>；</w:t>
      </w:r>
      <w:r>
        <w:rPr>
          <w:rFonts w:hint="eastAsia" w:ascii="仿宋_GB2312" w:hAnsi="宋体" w:eastAsia="仿宋_GB2312" w:cs="Courier New"/>
          <w:b/>
          <w:bCs/>
          <w:sz w:val="32"/>
          <w:szCs w:val="32"/>
        </w:rPr>
        <w:t>外交（类）</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年度一般公共预算财政拨款支出年初预算为</w:t>
      </w:r>
      <w:r>
        <w:rPr>
          <w:rFonts w:ascii="仿宋_GB2312" w:hAnsi="宋体" w:eastAsia="仿宋_GB2312" w:cs="Courier New"/>
          <w:sz w:val="32"/>
          <w:szCs w:val="32"/>
        </w:rPr>
        <w:t>192.0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220.31</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114.74%</w:t>
      </w:r>
      <w:r>
        <w:rPr>
          <w:rFonts w:hint="eastAsia" w:ascii="仿宋_GB2312" w:hAnsi="宋体" w:eastAsia="仿宋_GB2312" w:cs="Courier New"/>
          <w:sz w:val="32"/>
          <w:szCs w:val="32"/>
        </w:rPr>
        <w:t>。决算数大于预算数的主要原因：一是人员增加。其中：调入纪检员</w:t>
      </w:r>
      <w:r>
        <w:rPr>
          <w:rFonts w:ascii="仿宋_GB2312" w:hAnsi="宋体" w:eastAsia="仿宋_GB2312" w:cs="Courier New"/>
          <w:sz w:val="32"/>
          <w:szCs w:val="32"/>
        </w:rPr>
        <w:t>1</w:t>
      </w:r>
      <w:r>
        <w:rPr>
          <w:rFonts w:hint="eastAsia" w:ascii="仿宋_GB2312" w:hAnsi="宋体" w:eastAsia="仿宋_GB2312" w:cs="Courier New"/>
          <w:sz w:val="32"/>
          <w:szCs w:val="32"/>
        </w:rPr>
        <w:t>名。二是</w:t>
      </w:r>
      <w:r>
        <w:rPr>
          <w:rFonts w:ascii="仿宋_GB2312" w:hAnsi="宋体" w:eastAsia="仿宋_GB2312" w:cs="Courier New"/>
          <w:sz w:val="32"/>
          <w:szCs w:val="32"/>
        </w:rPr>
        <w:t>12</w:t>
      </w:r>
      <w:r>
        <w:rPr>
          <w:rFonts w:hint="eastAsia" w:ascii="仿宋_GB2312" w:hAnsi="宋体" w:eastAsia="仿宋_GB2312" w:cs="Courier New"/>
          <w:sz w:val="32"/>
          <w:szCs w:val="32"/>
        </w:rPr>
        <w:t>月份工资普调。</w:t>
      </w:r>
    </w:p>
    <w:p>
      <w:pPr>
        <w:numPr>
          <w:ilvl w:val="0"/>
          <w:numId w:val="5"/>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一般公共服务（类）财政事务（款）行政运行（项）。</w:t>
      </w:r>
      <w:r>
        <w:rPr>
          <w:rFonts w:hint="eastAsia" w:ascii="仿宋_GB2312" w:hAnsi="宋体" w:eastAsia="仿宋_GB2312"/>
          <w:bCs/>
          <w:sz w:val="32"/>
          <w:szCs w:val="32"/>
        </w:rPr>
        <w:t>人员经费</w:t>
      </w:r>
      <w:r>
        <w:rPr>
          <w:rFonts w:hint="eastAsia" w:ascii="仿宋_GB2312" w:hAnsi="宋体" w:eastAsia="仿宋_GB2312" w:cs="Courier New"/>
          <w:sz w:val="32"/>
          <w:szCs w:val="32"/>
        </w:rPr>
        <w:t>初预算为</w:t>
      </w:r>
      <w:r>
        <w:rPr>
          <w:rFonts w:ascii="仿宋_GB2312" w:hAnsi="宋体" w:eastAsia="仿宋_GB2312" w:cs="Courier New"/>
          <w:sz w:val="32"/>
          <w:szCs w:val="32"/>
        </w:rPr>
        <w:t>162.1</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188.10</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116.04%</w:t>
      </w:r>
      <w:r>
        <w:rPr>
          <w:rFonts w:hint="eastAsia" w:ascii="仿宋_GB2312" w:hAnsi="宋体" w:eastAsia="仿宋_GB2312" w:cs="Courier New"/>
          <w:sz w:val="32"/>
          <w:szCs w:val="32"/>
        </w:rPr>
        <w:t>。决算数大于预算数的主要原因是</w:t>
      </w:r>
      <w:r>
        <w:rPr>
          <w:rFonts w:ascii="仿宋_GB2312" w:hAnsi="宋体" w:eastAsia="仿宋_GB2312" w:cs="Courier New"/>
          <w:sz w:val="32"/>
          <w:szCs w:val="32"/>
        </w:rPr>
        <w:t>2016</w:t>
      </w:r>
      <w:r>
        <w:rPr>
          <w:rFonts w:hint="eastAsia" w:ascii="仿宋_GB2312" w:hAnsi="宋体" w:eastAsia="仿宋_GB2312" w:cs="Courier New"/>
          <w:sz w:val="32"/>
          <w:szCs w:val="32"/>
        </w:rPr>
        <w:t>年开始缴纳养老保险，人员增加及医保风险金缴费比例提高。</w:t>
      </w:r>
    </w:p>
    <w:p>
      <w:pPr>
        <w:numPr>
          <w:ilvl w:val="0"/>
          <w:numId w:val="5"/>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一般公共服务（类）财政事务（款）一般行政管理事务（项）。</w:t>
      </w:r>
      <w:r>
        <w:rPr>
          <w:rFonts w:hint="eastAsia" w:ascii="仿宋_GB2312" w:hAnsi="宋体" w:eastAsia="仿宋_GB2312"/>
          <w:bCs/>
          <w:sz w:val="32"/>
          <w:szCs w:val="32"/>
        </w:rPr>
        <w:t>日常公用经费支出</w:t>
      </w:r>
      <w:r>
        <w:rPr>
          <w:rFonts w:hint="eastAsia" w:ascii="仿宋_GB2312" w:hAnsi="宋体" w:eastAsia="仿宋_GB2312" w:cs="Courier New"/>
          <w:sz w:val="32"/>
          <w:szCs w:val="32"/>
        </w:rPr>
        <w:t>年初预算为</w:t>
      </w:r>
      <w:r>
        <w:rPr>
          <w:rFonts w:ascii="仿宋_GB2312" w:hAnsi="宋体" w:eastAsia="仿宋_GB2312" w:cs="Courier New"/>
          <w:sz w:val="32"/>
          <w:szCs w:val="32"/>
        </w:rPr>
        <w:t>6.5</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7.81</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120.15%</w:t>
      </w:r>
      <w:r>
        <w:rPr>
          <w:rFonts w:hint="eastAsia" w:ascii="仿宋_GB2312" w:hAnsi="宋体" w:eastAsia="仿宋_GB2312" w:cs="Courier New"/>
          <w:sz w:val="32"/>
          <w:szCs w:val="32"/>
        </w:rPr>
        <w:t>。决算数大于预算数的主要原因是单位物业管理费增加及“双创”工作经费。</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年一般公共预算财政拨款基本支出</w:t>
      </w:r>
      <w:r>
        <w:rPr>
          <w:rFonts w:ascii="仿宋_GB2312" w:hAnsi="宋体" w:eastAsia="仿宋_GB2312" w:cs="Courier New"/>
          <w:sz w:val="32"/>
          <w:szCs w:val="32"/>
        </w:rPr>
        <w:t>220.31</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ascii="仿宋_GB2312" w:hAnsi="Times New Roman" w:eastAsia="仿宋_GB2312" w:cs="仿宋_GB2312"/>
          <w:bCs/>
          <w:spacing w:val="-1"/>
          <w:kern w:val="0"/>
          <w:sz w:val="32"/>
          <w:szCs w:val="32"/>
        </w:rPr>
        <w:t>188.10</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主要包括：基本工资、津贴补贴、福补及退休费等；</w:t>
      </w:r>
      <w:r>
        <w:rPr>
          <w:rFonts w:hint="eastAsia" w:ascii="仿宋_GB2312" w:hAnsi="Times New Roman" w:eastAsia="仿宋_GB2312" w:cs="仿宋_GB2312"/>
          <w:spacing w:val="-1"/>
          <w:kern w:val="0"/>
          <w:sz w:val="32"/>
          <w:szCs w:val="32"/>
        </w:rPr>
        <w:t>公用经费</w:t>
      </w:r>
      <w:r>
        <w:rPr>
          <w:rFonts w:ascii="仿宋_GB2312" w:hAnsi="Times New Roman" w:eastAsia="仿宋_GB2312" w:cs="仿宋_GB2312"/>
          <w:spacing w:val="-2"/>
          <w:kern w:val="0"/>
          <w:sz w:val="32"/>
          <w:szCs w:val="32"/>
        </w:rPr>
        <w:t>7.81</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，主要包括：办公费、水费、电费、邮电费、物业管理费、公务接待费、公务用车维护费等。</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年度“三公”经费财政拨款支出预算为</w:t>
      </w:r>
      <w:r>
        <w:rPr>
          <w:rFonts w:ascii="仿宋_GB2312" w:hAnsi="宋体" w:eastAsia="仿宋_GB2312" w:cs="Courier New"/>
          <w:sz w:val="32"/>
          <w:szCs w:val="32"/>
        </w:rPr>
        <w:t>2.71</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2.71</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100%</w:t>
      </w:r>
      <w:r>
        <w:rPr>
          <w:rFonts w:hint="eastAsia" w:ascii="仿宋_GB2312" w:hAnsi="宋体" w:eastAsia="仿宋_GB2312" w:cs="Courier New"/>
          <w:sz w:val="32"/>
          <w:szCs w:val="32"/>
        </w:rPr>
        <w:t>，其中：因公出国（境）费支出决算为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；公务用车购置及运行费支出决算为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0%</w:t>
      </w:r>
      <w:r>
        <w:rPr>
          <w:rFonts w:hint="eastAsia" w:ascii="仿宋_GB2312" w:hAnsi="宋体" w:eastAsia="仿宋_GB2312" w:cs="Courier New"/>
          <w:sz w:val="32"/>
          <w:szCs w:val="32"/>
        </w:rPr>
        <w:t>；公务接待费支出决算为</w:t>
      </w:r>
      <w:r>
        <w:rPr>
          <w:rFonts w:ascii="仿宋_GB2312" w:hAnsi="宋体" w:eastAsia="仿宋_GB2312" w:cs="Courier New"/>
          <w:sz w:val="32"/>
          <w:szCs w:val="32"/>
        </w:rPr>
        <w:t>0.2</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66.67%</w:t>
      </w:r>
      <w:r>
        <w:rPr>
          <w:rFonts w:hint="eastAsia" w:ascii="仿宋_GB2312" w:hAnsi="宋体" w:eastAsia="仿宋_GB2312" w:cs="Courier New"/>
          <w:sz w:val="32"/>
          <w:szCs w:val="32"/>
        </w:rPr>
        <w:t>。</w:t>
      </w: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年度“三公”经费支出决算数与预算数持平。</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年度“三公”经费财政拨款支出决算数比</w:t>
      </w:r>
      <w:r>
        <w:rPr>
          <w:rFonts w:ascii="仿宋_GB2312" w:hAnsi="宋体" w:eastAsia="仿宋_GB2312" w:cs="Courier New"/>
          <w:sz w:val="32"/>
          <w:szCs w:val="32"/>
        </w:rPr>
        <w:t>2015</w:t>
      </w:r>
      <w:r>
        <w:rPr>
          <w:rFonts w:hint="eastAsia" w:ascii="仿宋_GB2312" w:hAnsi="宋体" w:eastAsia="仿宋_GB2312" w:cs="Courier New"/>
          <w:sz w:val="32"/>
          <w:szCs w:val="32"/>
        </w:rPr>
        <w:t>年减少</w:t>
      </w:r>
      <w:r>
        <w:rPr>
          <w:rFonts w:ascii="仿宋_GB2312" w:hAnsi="宋体" w:eastAsia="仿宋_GB2312" w:cs="Courier New"/>
          <w:sz w:val="32"/>
          <w:szCs w:val="32"/>
        </w:rPr>
        <w:t>0.6</w:t>
      </w:r>
      <w:r>
        <w:rPr>
          <w:rFonts w:hint="eastAsia" w:ascii="仿宋_GB2312" w:hAnsi="宋体" w:eastAsia="仿宋_GB2312" w:cs="Courier New"/>
          <w:sz w:val="32"/>
          <w:szCs w:val="32"/>
        </w:rPr>
        <w:t>万元，下降</w:t>
      </w:r>
      <w:r>
        <w:rPr>
          <w:rFonts w:ascii="仿宋_GB2312" w:hAnsi="宋体" w:eastAsia="仿宋_GB2312" w:cs="Courier New"/>
          <w:sz w:val="32"/>
          <w:szCs w:val="32"/>
        </w:rPr>
        <w:t>26.09%</w:t>
      </w:r>
      <w:r>
        <w:rPr>
          <w:rFonts w:hint="eastAsia" w:ascii="仿宋_GB2312" w:hAnsi="宋体" w:eastAsia="仿宋_GB2312" w:cs="Courier New"/>
          <w:sz w:val="32"/>
          <w:szCs w:val="32"/>
        </w:rPr>
        <w:t>，其中：因公出国（境）费支出决算增加</w:t>
      </w:r>
      <w:r>
        <w:rPr>
          <w:rFonts w:ascii="仿宋_GB2312" w:hAnsi="宋体" w:eastAsia="仿宋_GB2312" w:cs="Courier New"/>
          <w:sz w:val="32"/>
          <w:szCs w:val="32"/>
        </w:rPr>
        <w:t>0</w:t>
      </w:r>
      <w:r>
        <w:rPr>
          <w:rFonts w:hint="eastAsia" w:ascii="仿宋_GB2312" w:hAnsi="宋体" w:eastAsia="仿宋_GB2312" w:cs="Courier New"/>
          <w:sz w:val="32"/>
          <w:szCs w:val="32"/>
        </w:rPr>
        <w:t>万元，增长</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；公务用车购置及运行费支出决算增加</w:t>
      </w:r>
      <w:r>
        <w:rPr>
          <w:rFonts w:ascii="仿宋_GB2312" w:hAnsi="宋体" w:eastAsia="仿宋_GB2312" w:cs="Courier New"/>
          <w:sz w:val="32"/>
          <w:szCs w:val="32"/>
        </w:rPr>
        <w:t>0</w:t>
      </w:r>
      <w:r>
        <w:rPr>
          <w:rFonts w:hint="eastAsia" w:ascii="仿宋_GB2312" w:hAnsi="宋体" w:eastAsia="仿宋_GB2312" w:cs="Courier New"/>
          <w:sz w:val="32"/>
          <w:szCs w:val="32"/>
        </w:rPr>
        <w:t>万元，增长</w:t>
      </w:r>
      <w:r>
        <w:rPr>
          <w:rFonts w:ascii="仿宋_GB2312" w:hAnsi="宋体" w:eastAsia="仿宋_GB2312" w:cs="Courier New"/>
          <w:sz w:val="32"/>
          <w:szCs w:val="32"/>
        </w:rPr>
        <w:t>0%</w:t>
      </w:r>
      <w:r>
        <w:rPr>
          <w:rFonts w:hint="eastAsia" w:ascii="仿宋_GB2312" w:hAnsi="宋体" w:eastAsia="仿宋_GB2312" w:cs="Courier New"/>
          <w:sz w:val="32"/>
          <w:szCs w:val="32"/>
        </w:rPr>
        <w:t>；公务接待费支出决算</w:t>
      </w:r>
      <w:r>
        <w:rPr>
          <w:rFonts w:ascii="仿宋_GB2312" w:hAnsi="宋体" w:eastAsia="仿宋_GB2312" w:cs="Courier New"/>
          <w:sz w:val="32"/>
          <w:szCs w:val="32"/>
        </w:rPr>
        <w:t>0</w:t>
      </w:r>
      <w:r>
        <w:rPr>
          <w:rFonts w:hint="eastAsia" w:ascii="仿宋_GB2312" w:hAnsi="宋体" w:eastAsia="仿宋_GB2312" w:cs="Courier New"/>
          <w:sz w:val="32"/>
          <w:szCs w:val="32"/>
        </w:rPr>
        <w:t>减少</w:t>
      </w:r>
      <w:r>
        <w:rPr>
          <w:rFonts w:ascii="仿宋_GB2312" w:hAnsi="宋体" w:eastAsia="仿宋_GB2312" w:cs="Courier New"/>
          <w:sz w:val="32"/>
          <w:szCs w:val="32"/>
        </w:rPr>
        <w:t>0.1</w:t>
      </w:r>
      <w:r>
        <w:rPr>
          <w:rFonts w:hint="eastAsia" w:ascii="仿宋_GB2312" w:hAnsi="宋体" w:eastAsia="仿宋_GB2312" w:cs="Courier New"/>
          <w:sz w:val="32"/>
          <w:szCs w:val="32"/>
        </w:rPr>
        <w:t>万元，下降</w:t>
      </w:r>
      <w:r>
        <w:rPr>
          <w:rFonts w:ascii="仿宋_GB2312" w:hAnsi="宋体" w:eastAsia="仿宋_GB2312" w:cs="Courier New"/>
          <w:sz w:val="32"/>
          <w:szCs w:val="32"/>
        </w:rPr>
        <w:t>33.33%</w:t>
      </w:r>
      <w:r>
        <w:rPr>
          <w:rFonts w:hint="eastAsia" w:ascii="仿宋_GB2312" w:hAnsi="宋体" w:eastAsia="仿宋_GB2312" w:cs="Courier New"/>
          <w:sz w:val="32"/>
          <w:szCs w:val="32"/>
        </w:rPr>
        <w:t>。公务用车运行费支出减少的主要原因是当年秋季雨水多，秸秆禁烧下乡督查时间段短；公务接待费支出减少的主要原因是</w:t>
      </w:r>
      <w:r>
        <w:rPr>
          <w:rFonts w:hint="eastAsia" w:ascii="仿宋_GB2312" w:eastAsia="仿宋_GB2312"/>
          <w:color w:val="000000"/>
          <w:sz w:val="32"/>
          <w:szCs w:val="32"/>
        </w:rPr>
        <w:t>“</w:t>
      </w:r>
      <w:r>
        <w:fldChar w:fldCharType="begin"/>
      </w:r>
      <w:r>
        <w:instrText xml:space="preserve"> HYPERLINK "http://www.wm114.cn/0o/45/index.html" </w:instrText>
      </w:r>
      <w:r>
        <w:fldChar w:fldCharType="separate"/>
      </w:r>
      <w:r>
        <w:rPr>
          <w:rStyle w:val="6"/>
          <w:rFonts w:hint="eastAsia" w:ascii="仿宋_GB2312" w:eastAsia="仿宋_GB2312"/>
          <w:color w:val="000000"/>
          <w:sz w:val="32"/>
          <w:szCs w:val="32"/>
          <w:u w:val="none"/>
        </w:rPr>
        <w:t>两学一做</w:t>
      </w:r>
      <w:r>
        <w:rPr>
          <w:rStyle w:val="6"/>
          <w:rFonts w:hint="eastAsia" w:ascii="仿宋_GB2312" w:eastAsia="仿宋_GB2312"/>
          <w:color w:val="000000"/>
          <w:sz w:val="32"/>
          <w:szCs w:val="32"/>
          <w:u w:val="none"/>
        </w:rPr>
        <w:fldChar w:fldCharType="end"/>
      </w:r>
      <w:r>
        <w:rPr>
          <w:rFonts w:hint="eastAsia" w:ascii="仿宋_GB2312" w:eastAsia="仿宋_GB2312"/>
          <w:color w:val="000000"/>
          <w:sz w:val="32"/>
          <w:szCs w:val="32"/>
        </w:rPr>
        <w:t>”学习教育活动的成果展现</w:t>
      </w:r>
      <w:r>
        <w:rPr>
          <w:rFonts w:hint="eastAsia" w:ascii="仿宋_GB2312" w:hAnsi="宋体" w:eastAsia="仿宋_GB2312" w:cs="Courier New"/>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年度“三公”经费财政拨款支出决算中，因公出国（境）费支出决算</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；公务用车购置费为</w:t>
      </w:r>
      <w:r>
        <w:rPr>
          <w:rFonts w:ascii="仿宋_GB2312" w:hAnsi="宋体" w:eastAsia="仿宋_GB2312" w:cs="Courier New"/>
          <w:sz w:val="32"/>
          <w:szCs w:val="32"/>
        </w:rPr>
        <w:t>0</w:t>
      </w:r>
      <w:r>
        <w:rPr>
          <w:rFonts w:hint="eastAsia" w:ascii="仿宋_GB2312" w:hAnsi="宋体" w:eastAsia="仿宋_GB2312" w:cs="Courier New"/>
          <w:sz w:val="32"/>
          <w:szCs w:val="32"/>
        </w:rPr>
        <w:t>万元，公务用车运行费支出决算</w:t>
      </w:r>
      <w:r>
        <w:rPr>
          <w:rFonts w:ascii="仿宋_GB2312" w:hAnsi="宋体" w:eastAsia="仿宋_GB2312" w:cs="Courier New"/>
          <w:sz w:val="32"/>
          <w:szCs w:val="32"/>
        </w:rPr>
        <w:t>2.51</w:t>
      </w:r>
      <w:r>
        <w:rPr>
          <w:rFonts w:hint="eastAsia" w:ascii="仿宋_GB2312" w:hAnsi="宋体" w:eastAsia="仿宋_GB2312" w:cs="Courier New"/>
          <w:sz w:val="32"/>
          <w:szCs w:val="32"/>
        </w:rPr>
        <w:t>万元，占</w:t>
      </w:r>
      <w:r>
        <w:rPr>
          <w:rFonts w:ascii="仿宋_GB2312" w:hAnsi="宋体" w:eastAsia="仿宋_GB2312" w:cs="Courier New"/>
          <w:sz w:val="32"/>
          <w:szCs w:val="32"/>
        </w:rPr>
        <w:t>92.62%</w:t>
      </w:r>
      <w:r>
        <w:rPr>
          <w:rFonts w:hint="eastAsia" w:ascii="仿宋_GB2312" w:hAnsi="宋体" w:eastAsia="仿宋_GB2312" w:cs="Courier New"/>
          <w:sz w:val="32"/>
          <w:szCs w:val="32"/>
        </w:rPr>
        <w:t>；公务接待费支出决算</w:t>
      </w:r>
      <w:r>
        <w:rPr>
          <w:rFonts w:ascii="仿宋_GB2312" w:hAnsi="宋体" w:eastAsia="仿宋_GB2312" w:cs="Courier New"/>
          <w:sz w:val="32"/>
          <w:szCs w:val="32"/>
        </w:rPr>
        <w:t>0.2</w:t>
      </w:r>
      <w:r>
        <w:rPr>
          <w:rFonts w:hint="eastAsia" w:ascii="仿宋_GB2312" w:hAnsi="宋体" w:eastAsia="仿宋_GB2312" w:cs="Courier New"/>
          <w:sz w:val="32"/>
          <w:szCs w:val="32"/>
        </w:rPr>
        <w:t>万元，占</w:t>
      </w:r>
      <w:r>
        <w:rPr>
          <w:rFonts w:ascii="仿宋_GB2312" w:hAnsi="宋体" w:eastAsia="仿宋_GB2312" w:cs="Courier New"/>
          <w:sz w:val="32"/>
          <w:szCs w:val="32"/>
        </w:rPr>
        <w:t>7.38%</w:t>
      </w:r>
      <w:r>
        <w:rPr>
          <w:rFonts w:hint="eastAsia" w:ascii="仿宋_GB2312" w:hAnsi="宋体" w:eastAsia="仿宋_GB2312" w:cs="Courier New"/>
          <w:sz w:val="32"/>
          <w:szCs w:val="32"/>
        </w:rPr>
        <w:t>。具体情况如下：</w:t>
      </w:r>
    </w:p>
    <w:p>
      <w:pPr>
        <w:numPr>
          <w:ilvl w:val="0"/>
          <w:numId w:val="7"/>
        </w:numPr>
        <w:kinsoku w:val="0"/>
        <w:overflowPunct w:val="0"/>
        <w:autoSpaceDE w:val="0"/>
        <w:autoSpaceDN w:val="0"/>
        <w:adjustRightInd w:val="0"/>
        <w:snapToGrid w:val="0"/>
        <w:spacing w:line="360" w:lineRule="auto"/>
        <w:rPr>
          <w:rFonts w:ascii="仿宋_GB2312" w:hAnsi="宋体" w:eastAsia="仿宋_GB2312" w:cs="Courier New"/>
          <w:sz w:val="32"/>
          <w:szCs w:val="32"/>
        </w:rPr>
      </w:pPr>
      <w:r>
        <w:rPr>
          <w:rFonts w:hint="eastAsia" w:ascii="仿宋_GB2312" w:hAnsi="宋体" w:eastAsia="仿宋_GB2312"/>
          <w:b/>
          <w:bCs/>
          <w:sz w:val="32"/>
          <w:szCs w:val="32"/>
        </w:rPr>
        <w:t>因公出国（境）费</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numPr>
          <w:ilvl w:val="0"/>
          <w:numId w:val="7"/>
        </w:num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宋体" w:eastAsia="仿宋_GB2312"/>
          <w:b/>
          <w:bCs/>
          <w:sz w:val="32"/>
          <w:szCs w:val="32"/>
        </w:rPr>
        <w:t>公务用车购置及运行费</w:t>
      </w:r>
      <w:r>
        <w:rPr>
          <w:rFonts w:hint="eastAsia" w:ascii="仿宋_GB2312" w:hAnsi="宋体" w:eastAsia="仿宋_GB2312" w:cs="Courier New"/>
          <w:sz w:val="32"/>
          <w:szCs w:val="32"/>
        </w:rPr>
        <w:t>支出</w:t>
      </w:r>
      <w:r>
        <w:rPr>
          <w:rFonts w:ascii="仿宋_GB2312" w:hAnsi="宋体" w:eastAsia="仿宋_GB2312" w:cs="Courier New"/>
          <w:sz w:val="32"/>
          <w:szCs w:val="32"/>
        </w:rPr>
        <w:t>2.51</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ascii="仿宋_GB2312" w:hAnsi="宋体" w:eastAsia="仿宋_GB2312" w:cs="Courier New"/>
          <w:sz w:val="32"/>
          <w:szCs w:val="32"/>
        </w:rPr>
        <w:t>0</w:t>
      </w:r>
      <w:r>
        <w:rPr>
          <w:rFonts w:hint="eastAsia" w:ascii="仿宋_GB2312" w:hAnsi="宋体" w:eastAsia="仿宋_GB2312" w:cs="Courier New"/>
          <w:sz w:val="32"/>
          <w:szCs w:val="32"/>
        </w:rPr>
        <w:t>万元。</w:t>
      </w: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ascii="仿宋_GB2312" w:hAnsi="宋体" w:eastAsia="仿宋_GB2312" w:cs="Courier New"/>
          <w:sz w:val="32"/>
          <w:szCs w:val="32"/>
        </w:rPr>
        <w:t>2.51</w:t>
      </w:r>
      <w:r>
        <w:rPr>
          <w:rFonts w:hint="eastAsia" w:ascii="仿宋_GB2312" w:hAnsi="宋体" w:eastAsia="仿宋_GB2312" w:cs="Courier New"/>
          <w:sz w:val="32"/>
          <w:szCs w:val="32"/>
        </w:rPr>
        <w:t>万元。主要用于开展农业生产技术下乡服务</w:t>
      </w:r>
      <w:r>
        <w:rPr>
          <w:rFonts w:hint="eastAsia" w:ascii="仿宋_GB2312" w:hAnsi="宋体" w:eastAsia="仿宋_GB2312" w:cs="宋体"/>
          <w:color w:val="333333"/>
          <w:kern w:val="0"/>
          <w:sz w:val="32"/>
          <w:szCs w:val="32"/>
        </w:rPr>
        <w:t>所需公务用车的燃料费、维修费、过路过桥费、保险费等支出</w:t>
      </w:r>
      <w:r>
        <w:rPr>
          <w:rFonts w:hint="eastAsia" w:ascii="仿宋_GB2312" w:hAnsi="宋体" w:eastAsia="仿宋_GB2312" w:cs="Courier New"/>
          <w:sz w:val="32"/>
          <w:szCs w:val="32"/>
        </w:rPr>
        <w:t>。</w:t>
      </w:r>
      <w:r>
        <w:rPr>
          <w:rFonts w:ascii="仿宋_GB2312" w:hAnsi="宋体" w:eastAsia="仿宋_GB2312" w:cs="Courier New"/>
          <w:sz w:val="32"/>
          <w:szCs w:val="32"/>
        </w:rPr>
        <w:t>2016</w:t>
      </w:r>
      <w:r>
        <w:rPr>
          <w:rFonts w:hint="eastAsia" w:ascii="仿宋_GB2312" w:hAnsi="宋体" w:eastAsia="仿宋_GB2312" w:cs="Courier New"/>
          <w:sz w:val="32"/>
          <w:szCs w:val="32"/>
        </w:rPr>
        <w:t>年期末，南阳市卧龙区棉花蔬菜生产服务中心机关开支财政拨款的公务用车保有量为</w:t>
      </w:r>
      <w:r>
        <w:rPr>
          <w:rFonts w:ascii="仿宋_GB2312" w:hAnsi="宋体" w:eastAsia="仿宋_GB2312" w:cs="Courier New"/>
          <w:sz w:val="32"/>
          <w:szCs w:val="32"/>
        </w:rPr>
        <w:t>1</w:t>
      </w:r>
      <w:r>
        <w:rPr>
          <w:rFonts w:hint="eastAsia" w:ascii="仿宋_GB2312" w:hAnsi="宋体" w:eastAsia="仿宋_GB2312" w:cs="Courier New"/>
          <w:sz w:val="32"/>
          <w:szCs w:val="32"/>
        </w:rPr>
        <w:t>辆。</w:t>
      </w:r>
    </w:p>
    <w:p>
      <w:pPr>
        <w:kinsoku w:val="0"/>
        <w:overflowPunct w:val="0"/>
        <w:autoSpaceDE w:val="0"/>
        <w:autoSpaceDN w:val="0"/>
        <w:adjustRightInd w:val="0"/>
        <w:snapToGrid w:val="0"/>
        <w:spacing w:line="360" w:lineRule="auto"/>
        <w:ind w:firstLine="472" w:firstLineChars="147"/>
        <w:rPr>
          <w:rFonts w:ascii="仿宋_GB2312" w:hAnsi="宋体" w:eastAsia="仿宋_GB2312" w:cs="Courier New"/>
          <w:b/>
          <w:bCs/>
          <w:sz w:val="32"/>
          <w:szCs w:val="32"/>
        </w:rPr>
      </w:pPr>
      <w:r>
        <w:rPr>
          <w:rFonts w:ascii="仿宋_GB2312" w:hAnsi="宋体" w:eastAsia="仿宋_GB2312"/>
          <w:b/>
          <w:bCs/>
          <w:sz w:val="32"/>
          <w:szCs w:val="32"/>
        </w:rPr>
        <w:t>3.</w:t>
      </w:r>
      <w:r>
        <w:rPr>
          <w:rFonts w:hint="eastAsia" w:ascii="仿宋_GB2312" w:hAnsi="宋体" w:eastAsia="仿宋_GB2312"/>
          <w:b/>
          <w:bCs/>
          <w:sz w:val="32"/>
          <w:szCs w:val="32"/>
        </w:rPr>
        <w:t>公务接待费支出</w:t>
      </w:r>
      <w:r>
        <w:rPr>
          <w:rFonts w:ascii="仿宋_GB2312" w:hAnsi="宋体" w:eastAsia="仿宋_GB2312"/>
          <w:b/>
          <w:bCs/>
          <w:sz w:val="32"/>
          <w:szCs w:val="32"/>
        </w:rPr>
        <w:t>0.2</w:t>
      </w:r>
      <w:r>
        <w:rPr>
          <w:rFonts w:hint="eastAsia" w:ascii="仿宋_GB2312" w:hAnsi="宋体" w:eastAsia="仿宋_GB2312"/>
          <w:b/>
          <w:bCs/>
          <w:sz w:val="32"/>
          <w:szCs w:val="32"/>
        </w:rPr>
        <w:t>万元。</w:t>
      </w:r>
      <w:r>
        <w:rPr>
          <w:rFonts w:hint="eastAsia" w:ascii="仿宋_GB2312" w:hAnsi="宋体" w:eastAsia="仿宋_GB2312" w:cs="Courier New"/>
          <w:sz w:val="32"/>
          <w:szCs w:val="32"/>
        </w:rPr>
        <w:t>主要用于</w:t>
      </w:r>
      <w:r>
        <w:rPr>
          <w:rFonts w:hint="eastAsia" w:ascii="仿宋_GB2312" w:hAnsi="宋体" w:eastAsia="仿宋_GB2312" w:cs="宋体"/>
          <w:color w:val="333333"/>
          <w:kern w:val="0"/>
          <w:sz w:val="32"/>
          <w:szCs w:val="32"/>
        </w:rPr>
        <w:t>按规定开支的各类公务接待支出。</w:t>
      </w:r>
      <w:r>
        <w:rPr>
          <w:rFonts w:ascii="仿宋_GB2312" w:hAnsi="宋体" w:eastAsia="仿宋_GB2312" w:cs="Courier New"/>
          <w:sz w:val="32"/>
          <w:szCs w:val="32"/>
        </w:rPr>
        <w:t>2016</w:t>
      </w:r>
      <w:r>
        <w:rPr>
          <w:rFonts w:hint="eastAsia" w:ascii="仿宋_GB2312" w:hAnsi="宋体" w:eastAsia="仿宋_GB2312" w:cs="Courier New"/>
          <w:sz w:val="32"/>
          <w:szCs w:val="32"/>
        </w:rPr>
        <w:t>年度共接待来访人员</w:t>
      </w:r>
      <w:r>
        <w:rPr>
          <w:rFonts w:ascii="仿宋_GB2312" w:hAnsi="宋体" w:eastAsia="仿宋_GB2312" w:cs="Courier New"/>
          <w:sz w:val="32"/>
          <w:szCs w:val="32"/>
        </w:rPr>
        <w:t>11</w:t>
      </w:r>
      <w:r>
        <w:rPr>
          <w:rFonts w:hint="eastAsia" w:ascii="仿宋_GB2312" w:hAnsi="宋体" w:eastAsia="仿宋_GB2312" w:cs="Courier New"/>
          <w:sz w:val="32"/>
          <w:szCs w:val="32"/>
        </w:rPr>
        <w:t>批次</w:t>
      </w:r>
      <w:r>
        <w:rPr>
          <w:rFonts w:ascii="仿宋_GB2312" w:hAnsi="宋体" w:eastAsia="仿宋_GB2312" w:cs="Courier New"/>
          <w:sz w:val="32"/>
          <w:szCs w:val="32"/>
        </w:rPr>
        <w:t>60</w:t>
      </w:r>
      <w:r>
        <w:rPr>
          <w:rFonts w:hint="eastAsia" w:ascii="仿宋_GB2312" w:hAnsi="宋体" w:eastAsia="仿宋_GB2312" w:cs="Courier New"/>
          <w:sz w:val="32"/>
          <w:szCs w:val="32"/>
        </w:rPr>
        <w:t>人次（不包括陪同人员）。</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根据财政预算管理要求，南阳市卧龙区棉花蔬菜生产服务中心对</w:t>
      </w: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年度一般公共预算项目支出全面开展绩效自评。其中，二级项目</w:t>
      </w:r>
      <w:r>
        <w:rPr>
          <w:rFonts w:ascii="仿宋_GB2312" w:hAnsi="宋体" w:eastAsia="仿宋_GB2312" w:cs="Courier New"/>
          <w:sz w:val="32"/>
          <w:szCs w:val="32"/>
        </w:rPr>
        <w:t>1</w:t>
      </w:r>
      <w:r>
        <w:rPr>
          <w:rFonts w:hint="eastAsia" w:ascii="仿宋_GB2312" w:hAnsi="宋体" w:eastAsia="仿宋_GB2312" w:cs="Courier New"/>
          <w:sz w:val="32"/>
          <w:szCs w:val="32"/>
        </w:rPr>
        <w:t>个，共涉及预算资金</w:t>
      </w:r>
      <w:r>
        <w:rPr>
          <w:rFonts w:ascii="仿宋_GB2312" w:hAnsi="宋体" w:eastAsia="仿宋_GB2312" w:cs="Courier New"/>
          <w:sz w:val="32"/>
          <w:szCs w:val="32"/>
        </w:rPr>
        <w:t>24.4</w:t>
      </w:r>
      <w:r>
        <w:rPr>
          <w:rFonts w:hint="eastAsia" w:ascii="仿宋_GB2312" w:hAnsi="宋体" w:eastAsia="仿宋_GB2312" w:cs="Courier New"/>
          <w:sz w:val="32"/>
          <w:szCs w:val="32"/>
        </w:rPr>
        <w:t>万元，自评覆盖率达到</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南阳市卧龙区棉花蔬菜生产服务中心在</w:t>
      </w:r>
      <w:r>
        <w:rPr>
          <w:rFonts w:ascii="仿宋_GB2312" w:hAnsi="宋体" w:eastAsia="仿宋_GB2312" w:cs="Courier New"/>
          <w:sz w:val="32"/>
          <w:szCs w:val="32"/>
        </w:rPr>
        <w:t>2016</w:t>
      </w:r>
      <w:r>
        <w:rPr>
          <w:rFonts w:hint="eastAsia" w:ascii="仿宋_GB2312" w:hAnsi="宋体" w:eastAsia="仿宋_GB2312" w:cs="Courier New"/>
          <w:sz w:val="32"/>
          <w:szCs w:val="32"/>
        </w:rPr>
        <w:t>年度部门决算中增加“蔬菜基地建设”项目绩效评价结果。根据</w:t>
      </w:r>
      <w:r>
        <w:rPr>
          <w:rFonts w:ascii="仿宋_GB2312" w:hAnsi="宋体" w:eastAsia="仿宋_GB2312" w:cs="Courier New"/>
          <w:sz w:val="32"/>
          <w:szCs w:val="32"/>
        </w:rPr>
        <w:t>2016</w:t>
      </w:r>
      <w:r>
        <w:rPr>
          <w:rFonts w:hint="eastAsia" w:ascii="仿宋_GB2312" w:hAnsi="宋体" w:eastAsia="仿宋_GB2312" w:cs="Courier New"/>
          <w:sz w:val="32"/>
          <w:szCs w:val="32"/>
        </w:rPr>
        <w:t>年年初设定的绩效目标，“蔬菜基地建设”项目自评得分为</w:t>
      </w:r>
      <w:r>
        <w:rPr>
          <w:rFonts w:ascii="仿宋_GB2312" w:hAnsi="宋体" w:eastAsia="仿宋_GB2312" w:cs="Courier New"/>
          <w:sz w:val="32"/>
          <w:szCs w:val="32"/>
        </w:rPr>
        <w:t>100</w:t>
      </w:r>
      <w:r>
        <w:rPr>
          <w:rFonts w:hint="eastAsia" w:ascii="仿宋_GB2312" w:hAnsi="宋体" w:eastAsia="仿宋_GB2312" w:cs="Courier New"/>
          <w:sz w:val="32"/>
          <w:szCs w:val="32"/>
        </w:rPr>
        <w:t>分。</w:t>
      </w:r>
    </w:p>
    <w:p>
      <w:pPr>
        <w:kinsoku w:val="0"/>
        <w:overflowPunct w:val="0"/>
        <w:autoSpaceDE w:val="0"/>
        <w:autoSpaceDN w:val="0"/>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年度政府性基金预算财政拨款支出年初预算为</w:t>
      </w:r>
      <w:r>
        <w:rPr>
          <w:rFonts w:ascii="仿宋_GB2312" w:hAnsi="宋体" w:eastAsia="仿宋_GB2312" w:cs="Courier New"/>
          <w:sz w:val="32"/>
          <w:szCs w:val="32"/>
        </w:rPr>
        <w:t>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年度机关运行经费支出</w:t>
      </w:r>
      <w:r>
        <w:rPr>
          <w:rFonts w:ascii="仿宋_GB2312" w:hAnsi="宋体" w:eastAsia="仿宋_GB2312" w:cs="Courier New"/>
          <w:sz w:val="32"/>
          <w:szCs w:val="32"/>
        </w:rPr>
        <w:t>7.81</w:t>
      </w:r>
      <w:r>
        <w:rPr>
          <w:rFonts w:hint="eastAsia" w:ascii="仿宋_GB2312" w:hAnsi="宋体" w:eastAsia="仿宋_GB2312" w:cs="Courier New"/>
          <w:sz w:val="32"/>
          <w:szCs w:val="32"/>
        </w:rPr>
        <w:t>万元，比</w:t>
      </w:r>
      <w:r>
        <w:rPr>
          <w:rFonts w:ascii="仿宋_GB2312" w:hAnsi="宋体" w:eastAsia="仿宋_GB2312" w:cs="Courier New"/>
          <w:sz w:val="32"/>
          <w:szCs w:val="32"/>
        </w:rPr>
        <w:t>2015</w:t>
      </w:r>
      <w:r>
        <w:rPr>
          <w:rFonts w:hint="eastAsia" w:ascii="仿宋_GB2312" w:hAnsi="宋体" w:eastAsia="仿宋_GB2312" w:cs="Courier New"/>
          <w:sz w:val="32"/>
          <w:szCs w:val="32"/>
        </w:rPr>
        <w:t>年增加</w:t>
      </w:r>
      <w:r>
        <w:rPr>
          <w:rFonts w:ascii="仿宋_GB2312" w:hAnsi="宋体" w:eastAsia="仿宋_GB2312" w:cs="Courier New"/>
          <w:sz w:val="32"/>
          <w:szCs w:val="32"/>
        </w:rPr>
        <w:t>4.05</w:t>
      </w:r>
      <w:r>
        <w:rPr>
          <w:rFonts w:hint="eastAsia" w:ascii="仿宋_GB2312" w:hAnsi="宋体" w:eastAsia="仿宋_GB2312" w:cs="Courier New"/>
          <w:sz w:val="32"/>
          <w:szCs w:val="32"/>
        </w:rPr>
        <w:t>万元，增长</w:t>
      </w:r>
      <w:r>
        <w:rPr>
          <w:rFonts w:ascii="仿宋_GB2312" w:hAnsi="宋体" w:eastAsia="仿宋_GB2312" w:cs="Courier New"/>
          <w:sz w:val="32"/>
          <w:szCs w:val="32"/>
        </w:rPr>
        <w:t>51.86%</w:t>
      </w:r>
      <w:r>
        <w:rPr>
          <w:rFonts w:hint="eastAsia" w:ascii="仿宋_GB2312" w:hAnsi="宋体" w:eastAsia="仿宋_GB2312" w:cs="Courier New"/>
          <w:sz w:val="32"/>
          <w:szCs w:val="32"/>
        </w:rPr>
        <w:t>。主要是南阳市争创卫生城市和文明城市需要的环境创设等投资加大。</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年度政府采购支出总额</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年期末，南阳市卧龙区棉花蔬菜生产服务中心共有车辆</w:t>
      </w:r>
      <w:r>
        <w:rPr>
          <w:rFonts w:ascii="仿宋_GB2312" w:hAnsi="宋体" w:eastAsia="仿宋_GB2312" w:cs="Courier New"/>
          <w:sz w:val="32"/>
          <w:szCs w:val="32"/>
        </w:rPr>
        <w:t>1</w:t>
      </w:r>
      <w:r>
        <w:rPr>
          <w:rFonts w:hint="eastAsia" w:ascii="仿宋_GB2312" w:hAnsi="宋体" w:eastAsia="仿宋_GB2312" w:cs="Courier New"/>
          <w:sz w:val="32"/>
          <w:szCs w:val="32"/>
        </w:rPr>
        <w:t>辆，其中：一般公务用车</w:t>
      </w:r>
      <w:r>
        <w:rPr>
          <w:rFonts w:ascii="仿宋_GB2312" w:hAnsi="宋体" w:eastAsia="仿宋_GB2312" w:cs="Courier New"/>
          <w:sz w:val="32"/>
          <w:szCs w:val="32"/>
        </w:rPr>
        <w:t>1</w:t>
      </w:r>
      <w:r>
        <w:rPr>
          <w:rFonts w:hint="eastAsia" w:ascii="仿宋_GB2312" w:hAnsi="宋体" w:eastAsia="仿宋_GB2312" w:cs="Courier New"/>
          <w:sz w:val="32"/>
          <w:szCs w:val="32"/>
        </w:rPr>
        <w:t>辆；单价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ascii="仿宋_GB2312" w:hAnsi="宋体" w:eastAsia="仿宋_GB2312" w:cs="Courier New"/>
          <w:sz w:val="32"/>
          <w:szCs w:val="32"/>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ascii="仿宋_GB2312" w:hAnsi="宋体" w:eastAsia="仿宋_GB2312" w:cs="Courier New"/>
          <w:sz w:val="32"/>
          <w:szCs w:val="32"/>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6" w:h="16838"/>
          <w:pgMar w:top="1440" w:right="1531" w:bottom="1440" w:left="1587" w:header="850" w:footer="992" w:gutter="0"/>
          <w:pgNumType w:fmt="numberInDash"/>
          <w:cols w:space="0" w:num="1"/>
          <w:docGrid w:type="lines" w:linePitch="317" w:charSpace="0"/>
        </w:sectPr>
      </w:pPr>
    </w:p>
    <w:p>
      <w:pPr>
        <w:jc w:val="center"/>
        <w:outlineLvl w:val="0"/>
        <w:rPr>
          <w:rFonts w:ascii="隶书" w:hAnsi="隶书" w:eastAsia="隶书" w:cs="隶书"/>
          <w:sz w:val="48"/>
          <w:szCs w:val="48"/>
        </w:rPr>
      </w:pPr>
      <w:r>
        <w:rPr>
          <w:rFonts w:hint="eastAsia" w:ascii="隶书" w:hAnsi="隶书" w:eastAsia="隶书" w:cs="隶书"/>
          <w:sz w:val="48"/>
          <w:szCs w:val="48"/>
        </w:rPr>
        <w:t>第四部分　　名词解释</w:t>
      </w:r>
    </w:p>
    <w:p>
      <w:pPr>
        <w:jc w:val="center"/>
        <w:outlineLvl w:val="0"/>
        <w:rPr>
          <w:rFonts w:ascii="隶书" w:hAnsi="隶书" w:eastAsia="隶书" w:cs="隶书"/>
          <w:sz w:val="48"/>
          <w:szCs w:val="48"/>
        </w:rPr>
      </w:pPr>
    </w:p>
    <w:p>
      <w:pPr>
        <w:kinsoku w:val="0"/>
        <w:overflowPunct w:val="0"/>
        <w:autoSpaceDE w:val="0"/>
        <w:autoSpaceDN w:val="0"/>
        <w:adjustRightInd w:val="0"/>
        <w:snapToGrid w:val="0"/>
        <w:spacing w:line="360" w:lineRule="auto"/>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指区级财政当年拨付的资金。</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指事业单位开展专业业务活动及辅助活动所取得的收入。</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r>
        <w:rPr>
          <w:rFonts w:hint="eastAsia" w:ascii="仿宋_GB2312" w:hAnsi="宋体" w:eastAsia="仿宋_GB2312" w:cs="Courier New"/>
          <w:b/>
          <w:bCs/>
          <w:sz w:val="32"/>
          <w:szCs w:val="32"/>
        </w:rPr>
        <w:t>三、其他收入：</w:t>
      </w:r>
      <w:r>
        <w:rPr>
          <w:rFonts w:hint="eastAsia" w:ascii="仿宋_GB2312" w:hAnsi="宋体" w:eastAsia="仿宋_GB2312" w:cs="Courier New"/>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r>
        <w:rPr>
          <w:rFonts w:hint="eastAsia" w:ascii="仿宋_GB2312" w:hAnsi="宋体" w:eastAsia="仿宋_GB2312" w:cs="Courier New"/>
          <w:b/>
          <w:bCs/>
          <w:sz w:val="32"/>
          <w:szCs w:val="32"/>
        </w:rPr>
        <w:t>四、基本支出：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r>
        <w:rPr>
          <w:rFonts w:hint="eastAsia" w:ascii="仿宋_GB2312" w:hAnsi="宋体" w:eastAsia="仿宋_GB2312" w:cs="Courier New"/>
          <w:b/>
          <w:bCs/>
          <w:sz w:val="32"/>
          <w:szCs w:val="32"/>
        </w:rPr>
        <w:t>五、项目支出：</w:t>
      </w:r>
      <w:r>
        <w:rPr>
          <w:rFonts w:hint="eastAsia" w:ascii="仿宋_GB2312" w:hAnsi="宋体" w:eastAsia="仿宋_GB2312" w:cs="Courier New"/>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jc w:val="left"/>
        <w:rPr>
          <w:rFonts w:ascii="仿宋_GB2312" w:hAnsi="宋体" w:eastAsia="仿宋_GB2312" w:cs="Courier New"/>
          <w:sz w:val="32"/>
          <w:szCs w:val="32"/>
        </w:rPr>
      </w:pPr>
      <w:r>
        <w:rPr>
          <w:rFonts w:hint="eastAsia" w:ascii="仿宋_GB2312" w:hAnsi="宋体" w:eastAsia="仿宋_GB2312" w:cs="Courier New"/>
          <w:b/>
          <w:bCs/>
          <w:sz w:val="32"/>
          <w:szCs w:val="32"/>
        </w:rPr>
        <w:t>六、“三公”经费：</w:t>
      </w:r>
      <w:r>
        <w:rPr>
          <w:rFonts w:hint="eastAsia" w:ascii="仿宋_GB2312" w:hAnsi="宋体" w:eastAsia="仿宋_GB2312" w:cs="Courier New"/>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highlight w:val="yellow"/>
        </w:rPr>
      </w:pPr>
      <w:r>
        <w:rPr>
          <w:rFonts w:hint="eastAsia" w:ascii="仿宋_GB2312" w:hAnsi="宋体" w:eastAsia="仿宋_GB2312" w:cs="Courier New"/>
          <w:b/>
          <w:bCs/>
          <w:sz w:val="32"/>
          <w:szCs w:val="32"/>
        </w:rPr>
        <w:t>七、</w:t>
      </w:r>
      <w:r>
        <w:rPr>
          <w:rFonts w:hint="eastAsia" w:ascii="仿宋_GB2312" w:hAnsi="宋体" w:eastAsia="仿宋_GB2312" w:cs="Courier New"/>
          <w:b/>
          <w:sz w:val="32"/>
          <w:szCs w:val="32"/>
        </w:rPr>
        <w:t>机关</w:t>
      </w:r>
      <w:r>
        <w:rPr>
          <w:rFonts w:hint="eastAsia" w:ascii="仿宋_GB2312" w:hAnsi="宋体" w:eastAsia="仿宋_GB2312" w:cs="Courier New"/>
          <w:b/>
          <w:bCs/>
          <w:sz w:val="32"/>
          <w:szCs w:val="32"/>
        </w:rPr>
        <w:t>运行经费：</w:t>
      </w:r>
      <w:r>
        <w:rPr>
          <w:rFonts w:hint="eastAsia" w:ascii="仿宋_GB2312" w:hAnsi="宋体" w:eastAsia="仿宋_GB2312" w:cs="Courier New"/>
          <w:sz w:val="32"/>
          <w:szCs w:val="32"/>
        </w:rPr>
        <w:t>指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0" w:name="_GoBack"/>
      <w:bookmarkEnd w:id="0"/>
    </w:p>
    <w:sectPr>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0000000000000000000"/>
    <w:charset w:val="86"/>
    <w:family w:val="script"/>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- 1 -</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- 17 -</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D04FB"/>
    <w:multiLevelType w:val="multilevel"/>
    <w:tmpl w:val="287D04FB"/>
    <w:lvl w:ilvl="0" w:tentative="0">
      <w:start w:val="1"/>
      <w:numFmt w:val="decimal"/>
      <w:lvlText w:val="%1."/>
      <w:lvlJc w:val="left"/>
      <w:pPr>
        <w:tabs>
          <w:tab w:val="left" w:pos="1003"/>
        </w:tabs>
        <w:ind w:left="1003" w:hanging="360"/>
      </w:pPr>
      <w:rPr>
        <w:rFonts w:hint="default" w:cs="Times New Roman"/>
        <w:b/>
      </w:rPr>
    </w:lvl>
    <w:lvl w:ilvl="1" w:tentative="0">
      <w:start w:val="1"/>
      <w:numFmt w:val="lowerLetter"/>
      <w:lvlText w:val="%2)"/>
      <w:lvlJc w:val="left"/>
      <w:pPr>
        <w:tabs>
          <w:tab w:val="left" w:pos="1483"/>
        </w:tabs>
        <w:ind w:left="1483" w:hanging="420"/>
      </w:pPr>
      <w:rPr>
        <w:rFonts w:cs="Times New Roman"/>
      </w:rPr>
    </w:lvl>
    <w:lvl w:ilvl="2" w:tentative="0">
      <w:start w:val="1"/>
      <w:numFmt w:val="lowerRoman"/>
      <w:lvlText w:val="%3."/>
      <w:lvlJc w:val="right"/>
      <w:pPr>
        <w:tabs>
          <w:tab w:val="left" w:pos="1903"/>
        </w:tabs>
        <w:ind w:left="1903" w:hanging="420"/>
      </w:pPr>
      <w:rPr>
        <w:rFonts w:cs="Times New Roman"/>
      </w:rPr>
    </w:lvl>
    <w:lvl w:ilvl="3" w:tentative="0">
      <w:start w:val="1"/>
      <w:numFmt w:val="decimal"/>
      <w:lvlText w:val="%4."/>
      <w:lvlJc w:val="left"/>
      <w:pPr>
        <w:tabs>
          <w:tab w:val="left" w:pos="2323"/>
        </w:tabs>
        <w:ind w:left="2323" w:hanging="420"/>
      </w:pPr>
      <w:rPr>
        <w:rFonts w:cs="Times New Roman"/>
      </w:rPr>
    </w:lvl>
    <w:lvl w:ilvl="4" w:tentative="0">
      <w:start w:val="1"/>
      <w:numFmt w:val="lowerLetter"/>
      <w:lvlText w:val="%5)"/>
      <w:lvlJc w:val="left"/>
      <w:pPr>
        <w:tabs>
          <w:tab w:val="left" w:pos="2743"/>
        </w:tabs>
        <w:ind w:left="2743" w:hanging="420"/>
      </w:pPr>
      <w:rPr>
        <w:rFonts w:cs="Times New Roman"/>
      </w:rPr>
    </w:lvl>
    <w:lvl w:ilvl="5" w:tentative="0">
      <w:start w:val="1"/>
      <w:numFmt w:val="lowerRoman"/>
      <w:lvlText w:val="%6."/>
      <w:lvlJc w:val="right"/>
      <w:pPr>
        <w:tabs>
          <w:tab w:val="left" w:pos="3163"/>
        </w:tabs>
        <w:ind w:left="3163" w:hanging="420"/>
      </w:pPr>
      <w:rPr>
        <w:rFonts w:cs="Times New Roman"/>
      </w:rPr>
    </w:lvl>
    <w:lvl w:ilvl="6" w:tentative="0">
      <w:start w:val="1"/>
      <w:numFmt w:val="decimal"/>
      <w:lvlText w:val="%7."/>
      <w:lvlJc w:val="left"/>
      <w:pPr>
        <w:tabs>
          <w:tab w:val="left" w:pos="3583"/>
        </w:tabs>
        <w:ind w:left="3583" w:hanging="420"/>
      </w:pPr>
      <w:rPr>
        <w:rFonts w:cs="Times New Roman"/>
      </w:rPr>
    </w:lvl>
    <w:lvl w:ilvl="7" w:tentative="0">
      <w:start w:val="1"/>
      <w:numFmt w:val="lowerLetter"/>
      <w:lvlText w:val="%8)"/>
      <w:lvlJc w:val="left"/>
      <w:pPr>
        <w:tabs>
          <w:tab w:val="left" w:pos="4003"/>
        </w:tabs>
        <w:ind w:left="4003" w:hanging="420"/>
      </w:pPr>
      <w:rPr>
        <w:rFonts w:cs="Times New Roman"/>
      </w:rPr>
    </w:lvl>
    <w:lvl w:ilvl="8" w:tentative="0">
      <w:start w:val="1"/>
      <w:numFmt w:val="lowerRoman"/>
      <w:lvlText w:val="%9."/>
      <w:lvlJc w:val="right"/>
      <w:pPr>
        <w:tabs>
          <w:tab w:val="left" w:pos="4423"/>
        </w:tabs>
        <w:ind w:left="4423" w:hanging="420"/>
      </w:pPr>
      <w:rPr>
        <w:rFonts w:cs="Times New Roman"/>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C193"/>
    <w:multiLevelType w:val="singleLevel"/>
    <w:tmpl w:val="5971C193"/>
    <w:lvl w:ilvl="0" w:tentative="0">
      <w:start w:val="2"/>
      <w:numFmt w:val="chineseCounting"/>
      <w:suff w:val="nothing"/>
      <w:lvlText w:val="%1、"/>
      <w:lvlJc w:val="left"/>
      <w:rPr>
        <w:rFonts w:cs="Times New Roman"/>
      </w:rPr>
    </w:lvl>
  </w:abstractNum>
  <w:abstractNum w:abstractNumId="3">
    <w:nsid w:val="5971DAC2"/>
    <w:multiLevelType w:val="singleLevel"/>
    <w:tmpl w:val="5971DAC2"/>
    <w:lvl w:ilvl="0" w:tentative="0">
      <w:start w:val="1"/>
      <w:numFmt w:val="chineseCounting"/>
      <w:suff w:val="nothing"/>
      <w:lvlText w:val="%1、"/>
      <w:lvlJc w:val="left"/>
      <w:pPr>
        <w:ind w:firstLine="420"/>
      </w:pPr>
      <w:rPr>
        <w:rFonts w:hint="eastAsia" w:cs="Times New Roman"/>
      </w:rPr>
    </w:lvl>
  </w:abstractNum>
  <w:abstractNum w:abstractNumId="4">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5">
    <w:nsid w:val="5971DD00"/>
    <w:multiLevelType w:val="singleLevel"/>
    <w:tmpl w:val="5971DD00"/>
    <w:lvl w:ilvl="0" w:tentative="0">
      <w:start w:val="1"/>
      <w:numFmt w:val="decimal"/>
      <w:suff w:val="nothing"/>
      <w:lvlText w:val="%1．"/>
      <w:lvlJc w:val="left"/>
      <w:pPr>
        <w:ind w:firstLine="400"/>
      </w:pPr>
      <w:rPr>
        <w:rFonts w:hint="default" w:cs="Times New Roman"/>
      </w:rPr>
    </w:lvl>
  </w:abstractNum>
  <w:abstractNum w:abstractNumId="6">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7">
    <w:nsid w:val="5971E776"/>
    <w:multiLevelType w:val="singleLevel"/>
    <w:tmpl w:val="5971E776"/>
    <w:lvl w:ilvl="0" w:tentative="0">
      <w:start w:val="1"/>
      <w:numFmt w:val="chineseCounting"/>
      <w:suff w:val="nothing"/>
      <w:lvlText w:val="（%1）"/>
      <w:lvlJc w:val="left"/>
      <w:pPr>
        <w:ind w:firstLine="420"/>
      </w:pPr>
      <w:rPr>
        <w:rFonts w:hint="eastAsia" w:cs="Times New Roman"/>
      </w:rPr>
    </w:lvl>
  </w:abstractNum>
  <w:abstractNum w:abstractNumId="8">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9"/>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B6E"/>
    <w:rsid w:val="000063A1"/>
    <w:rsid w:val="00012748"/>
    <w:rsid w:val="000260F4"/>
    <w:rsid w:val="00031C68"/>
    <w:rsid w:val="00046F3D"/>
    <w:rsid w:val="00057E13"/>
    <w:rsid w:val="00073CA5"/>
    <w:rsid w:val="00077D97"/>
    <w:rsid w:val="00083C50"/>
    <w:rsid w:val="000873F7"/>
    <w:rsid w:val="00096E10"/>
    <w:rsid w:val="000B5A03"/>
    <w:rsid w:val="000C6D3B"/>
    <w:rsid w:val="001150B0"/>
    <w:rsid w:val="001344F8"/>
    <w:rsid w:val="001500A6"/>
    <w:rsid w:val="00170C28"/>
    <w:rsid w:val="00172A27"/>
    <w:rsid w:val="001B3485"/>
    <w:rsid w:val="001B598B"/>
    <w:rsid w:val="001F4A02"/>
    <w:rsid w:val="00215F9C"/>
    <w:rsid w:val="002253DA"/>
    <w:rsid w:val="0023748D"/>
    <w:rsid w:val="002443E9"/>
    <w:rsid w:val="00250FDD"/>
    <w:rsid w:val="002537B6"/>
    <w:rsid w:val="00257DEB"/>
    <w:rsid w:val="002600C4"/>
    <w:rsid w:val="00270587"/>
    <w:rsid w:val="00274FA4"/>
    <w:rsid w:val="002929B4"/>
    <w:rsid w:val="002D75A3"/>
    <w:rsid w:val="00302491"/>
    <w:rsid w:val="00335DE4"/>
    <w:rsid w:val="003370BF"/>
    <w:rsid w:val="003408DF"/>
    <w:rsid w:val="00356884"/>
    <w:rsid w:val="00384D25"/>
    <w:rsid w:val="0039285E"/>
    <w:rsid w:val="00393656"/>
    <w:rsid w:val="003A1F7F"/>
    <w:rsid w:val="003B6136"/>
    <w:rsid w:val="003C5C49"/>
    <w:rsid w:val="003E52C7"/>
    <w:rsid w:val="003E6B89"/>
    <w:rsid w:val="003F50CB"/>
    <w:rsid w:val="003F5266"/>
    <w:rsid w:val="00423781"/>
    <w:rsid w:val="00430AC3"/>
    <w:rsid w:val="00454F2B"/>
    <w:rsid w:val="0046063C"/>
    <w:rsid w:val="00461D75"/>
    <w:rsid w:val="0046727B"/>
    <w:rsid w:val="0048499F"/>
    <w:rsid w:val="00493276"/>
    <w:rsid w:val="00493BC1"/>
    <w:rsid w:val="004D2C5A"/>
    <w:rsid w:val="004D3E33"/>
    <w:rsid w:val="004E7474"/>
    <w:rsid w:val="004F22CB"/>
    <w:rsid w:val="004F2491"/>
    <w:rsid w:val="005166E8"/>
    <w:rsid w:val="00536906"/>
    <w:rsid w:val="005552AC"/>
    <w:rsid w:val="005623E1"/>
    <w:rsid w:val="00562D9F"/>
    <w:rsid w:val="00587F96"/>
    <w:rsid w:val="005E3139"/>
    <w:rsid w:val="005F28A7"/>
    <w:rsid w:val="006048C8"/>
    <w:rsid w:val="00641571"/>
    <w:rsid w:val="00641CD1"/>
    <w:rsid w:val="006722AC"/>
    <w:rsid w:val="00684308"/>
    <w:rsid w:val="00692867"/>
    <w:rsid w:val="006A2BA9"/>
    <w:rsid w:val="006B5C49"/>
    <w:rsid w:val="006E0D8C"/>
    <w:rsid w:val="006F7D72"/>
    <w:rsid w:val="0071546D"/>
    <w:rsid w:val="007249B1"/>
    <w:rsid w:val="00740E1F"/>
    <w:rsid w:val="007415E0"/>
    <w:rsid w:val="00756448"/>
    <w:rsid w:val="00760F40"/>
    <w:rsid w:val="00773361"/>
    <w:rsid w:val="007A7D12"/>
    <w:rsid w:val="007B0D35"/>
    <w:rsid w:val="007B302A"/>
    <w:rsid w:val="007B5ACA"/>
    <w:rsid w:val="007B646D"/>
    <w:rsid w:val="007C61D6"/>
    <w:rsid w:val="007F088E"/>
    <w:rsid w:val="008107BA"/>
    <w:rsid w:val="00812C95"/>
    <w:rsid w:val="00860885"/>
    <w:rsid w:val="00866C5C"/>
    <w:rsid w:val="008822B5"/>
    <w:rsid w:val="008907FB"/>
    <w:rsid w:val="008B0741"/>
    <w:rsid w:val="008C61E5"/>
    <w:rsid w:val="008E3FB3"/>
    <w:rsid w:val="008F3FC4"/>
    <w:rsid w:val="009108DE"/>
    <w:rsid w:val="009138DE"/>
    <w:rsid w:val="0095168A"/>
    <w:rsid w:val="00952465"/>
    <w:rsid w:val="0098028F"/>
    <w:rsid w:val="009A28F5"/>
    <w:rsid w:val="009A6CCE"/>
    <w:rsid w:val="009A7B34"/>
    <w:rsid w:val="009B5F2E"/>
    <w:rsid w:val="009C2DD0"/>
    <w:rsid w:val="00A2197B"/>
    <w:rsid w:val="00A228BF"/>
    <w:rsid w:val="00A252CB"/>
    <w:rsid w:val="00A26F25"/>
    <w:rsid w:val="00A47150"/>
    <w:rsid w:val="00A50B6A"/>
    <w:rsid w:val="00A61B9D"/>
    <w:rsid w:val="00A70251"/>
    <w:rsid w:val="00A97082"/>
    <w:rsid w:val="00A97214"/>
    <w:rsid w:val="00B1343A"/>
    <w:rsid w:val="00B42DDC"/>
    <w:rsid w:val="00B458CF"/>
    <w:rsid w:val="00B52E14"/>
    <w:rsid w:val="00B92120"/>
    <w:rsid w:val="00B96604"/>
    <w:rsid w:val="00BA4609"/>
    <w:rsid w:val="00BB217F"/>
    <w:rsid w:val="00BC6B80"/>
    <w:rsid w:val="00BD27BF"/>
    <w:rsid w:val="00BD4091"/>
    <w:rsid w:val="00BF6CFD"/>
    <w:rsid w:val="00C150CE"/>
    <w:rsid w:val="00C4636A"/>
    <w:rsid w:val="00C66334"/>
    <w:rsid w:val="00C730B2"/>
    <w:rsid w:val="00C81558"/>
    <w:rsid w:val="00CB73C9"/>
    <w:rsid w:val="00CD71F9"/>
    <w:rsid w:val="00D04064"/>
    <w:rsid w:val="00D157E0"/>
    <w:rsid w:val="00D209D1"/>
    <w:rsid w:val="00D24640"/>
    <w:rsid w:val="00D347BA"/>
    <w:rsid w:val="00D40CE5"/>
    <w:rsid w:val="00D47E9A"/>
    <w:rsid w:val="00D54950"/>
    <w:rsid w:val="00D707D3"/>
    <w:rsid w:val="00D7403D"/>
    <w:rsid w:val="00D77056"/>
    <w:rsid w:val="00D877C8"/>
    <w:rsid w:val="00DA2CB7"/>
    <w:rsid w:val="00DA4421"/>
    <w:rsid w:val="00DE1136"/>
    <w:rsid w:val="00DE5D1B"/>
    <w:rsid w:val="00DE6B1C"/>
    <w:rsid w:val="00E05680"/>
    <w:rsid w:val="00E1760C"/>
    <w:rsid w:val="00E21960"/>
    <w:rsid w:val="00E41115"/>
    <w:rsid w:val="00E53B25"/>
    <w:rsid w:val="00E673D8"/>
    <w:rsid w:val="00E6759A"/>
    <w:rsid w:val="00E72FA8"/>
    <w:rsid w:val="00EA4A8D"/>
    <w:rsid w:val="00EA6ED4"/>
    <w:rsid w:val="00EB5323"/>
    <w:rsid w:val="00ED04FA"/>
    <w:rsid w:val="00ED6435"/>
    <w:rsid w:val="00EF2991"/>
    <w:rsid w:val="00EF3507"/>
    <w:rsid w:val="00F427C0"/>
    <w:rsid w:val="00F751C6"/>
    <w:rsid w:val="00F93934"/>
    <w:rsid w:val="00FA790A"/>
    <w:rsid w:val="00FB4F45"/>
    <w:rsid w:val="00FD36C5"/>
    <w:rsid w:val="00FD4C91"/>
    <w:rsid w:val="00FE3850"/>
    <w:rsid w:val="00FE6B34"/>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683136"/>
    <w:rsid w:val="738C1FE2"/>
    <w:rsid w:val="75531EF6"/>
    <w:rsid w:val="75D0003D"/>
    <w:rsid w:val="764F7877"/>
    <w:rsid w:val="7AA141FF"/>
    <w:rsid w:val="7C445B57"/>
    <w:rsid w:val="7D713C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locked/>
    <w:uiPriority w:val="99"/>
    <w:rPr>
      <w:rFonts w:cs="Times New Roman"/>
    </w:rPr>
  </w:style>
  <w:style w:type="character" w:styleId="6">
    <w:name w:val="Hyperlink"/>
    <w:basedOn w:val="4"/>
    <w:uiPriority w:val="99"/>
    <w:rPr>
      <w:rFonts w:cs="Times New Roman"/>
      <w:color w:val="0000FF"/>
      <w:u w:val="single"/>
    </w:rPr>
  </w:style>
  <w:style w:type="character" w:customStyle="1" w:styleId="8">
    <w:name w:val="Footer Char"/>
    <w:basedOn w:val="4"/>
    <w:link w:val="2"/>
    <w:semiHidden/>
    <w:qFormat/>
    <w:locked/>
    <w:uiPriority w:val="99"/>
    <w:rPr>
      <w:rFonts w:ascii="Calibri" w:hAnsi="Calibri" w:cs="Times New Roman"/>
      <w:sz w:val="18"/>
      <w:szCs w:val="18"/>
    </w:rPr>
  </w:style>
  <w:style w:type="character" w:customStyle="1" w:styleId="9">
    <w:name w:val="Header Char"/>
    <w:basedOn w:val="4"/>
    <w:link w:val="3"/>
    <w:semiHidden/>
    <w:locked/>
    <w:uiPriority w:val="99"/>
    <w:rPr>
      <w:rFonts w:ascii="Calibri" w:hAnsi="Calibri" w:cs="Times New Roman"/>
      <w:sz w:val="18"/>
      <w:szCs w:val="18"/>
    </w:rPr>
  </w:style>
  <w:style w:type="character" w:customStyle="1" w:styleId="10">
    <w:name w:val="font31"/>
    <w:basedOn w:val="4"/>
    <w:uiPriority w:val="99"/>
    <w:rPr>
      <w:rFonts w:ascii="Arial" w:hAnsi="Arial" w:cs="Arial"/>
      <w:color w:val="000000"/>
      <w:sz w:val="16"/>
      <w:szCs w:val="16"/>
      <w:u w:val="none"/>
    </w:rPr>
  </w:style>
  <w:style w:type="character" w:customStyle="1" w:styleId="11">
    <w:name w:val="font01"/>
    <w:basedOn w:val="4"/>
    <w:uiPriority w:val="99"/>
    <w:rPr>
      <w:rFonts w:ascii="Arial" w:hAnsi="Arial" w:cs="Arial"/>
      <w:color w:val="000000"/>
      <w:sz w:val="16"/>
      <w:szCs w:val="16"/>
      <w:u w:val="none"/>
    </w:rPr>
  </w:style>
  <w:style w:type="character" w:customStyle="1" w:styleId="12">
    <w:name w:val="font41"/>
    <w:basedOn w:val="4"/>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22</Pages>
  <Words>1394</Words>
  <Characters>7949</Characters>
  <Lines>0</Lines>
  <Paragraphs>0</Paragraphs>
  <TotalTime>0</TotalTime>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2017-11-08T09:09:00Z</dcterms:created>
  <dc:creator>wsj</dc:creator>
  <cp:lastModifiedBy>Administrator</cp:lastModifiedBy>
  <cp:lastPrinted>2017-11-08T09:10:00Z</cp:lastPrinted>
  <dcterms:modified xsi:type="dcterms:W3CDTF">2017-11-10T01:49:37Z</dcterms:modified>
  <dc:title>ＸＸ厅（局）</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