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52"/>
          <w:szCs w:val="52"/>
          <w:lang w:val="en-US" w:eastAsia="zh-CN"/>
        </w:rPr>
      </w:pPr>
    </w:p>
    <w:p>
      <w:pPr>
        <w:ind w:firstLine="780" w:firstLineChars="150"/>
        <w:rPr>
          <w:rFonts w:ascii="仿宋_GB2312" w:hAnsi="仿宋_GB2312" w:eastAsia="仿宋_GB2312" w:cs="仿宋_GB2312"/>
          <w:sz w:val="44"/>
          <w:szCs w:val="44"/>
        </w:rPr>
      </w:pPr>
      <w:r>
        <w:rPr>
          <w:rFonts w:hint="eastAsia" w:ascii="隶书" w:hAnsi="隶书" w:eastAsia="隶书" w:cs="隶书"/>
          <w:sz w:val="52"/>
          <w:szCs w:val="52"/>
        </w:rPr>
        <w:t>卧龙市场发展服务中心</w:t>
      </w:r>
    </w:p>
    <w:p>
      <w:pPr>
        <w:ind w:firstLine="1300" w:firstLineChars="250"/>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2016</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卧龙市场发展服务中心概况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卧龙市场发展服务中心</w:t>
      </w:r>
      <w:r>
        <w:rPr>
          <w:rFonts w:ascii="黑体" w:hAnsi="黑体" w:eastAsia="黑体" w:cs="黑体"/>
          <w:sz w:val="32"/>
          <w:szCs w:val="32"/>
        </w:rPr>
        <w:t>2016</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黑体" w:hAnsi="黑体" w:eastAsia="黑体" w:cs="黑体"/>
          <w:sz w:val="32"/>
          <w:szCs w:val="32"/>
        </w:rPr>
      </w:pPr>
      <w:r>
        <w:rPr>
          <w:rFonts w:hint="eastAsia" w:ascii="黑体" w:hAnsi="黑体" w:eastAsia="黑体" w:cs="黑体"/>
          <w:sz w:val="32"/>
          <w:szCs w:val="32"/>
        </w:rPr>
        <w:t>第三部分　　卧龙市场发展服务中心</w:t>
      </w:r>
      <w:r>
        <w:rPr>
          <w:rFonts w:ascii="黑体" w:hAnsi="黑体" w:eastAsia="黑体" w:cs="黑体"/>
          <w:sz w:val="32"/>
          <w:szCs w:val="32"/>
        </w:rPr>
        <w:t>2016</w:t>
      </w:r>
      <w:r>
        <w:rPr>
          <w:rFonts w:hint="eastAsia" w:ascii="黑体" w:hAnsi="黑体" w:eastAsia="黑体" w:cs="黑体"/>
          <w:sz w:val="32"/>
          <w:szCs w:val="32"/>
        </w:rPr>
        <w:t>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w:t>
      </w:r>
      <w:r>
        <w:rPr>
          <w:rFonts w:hint="eastAsia" w:ascii="黑体" w:hAnsi="黑体" w:eastAsia="黑体" w:cs="黑体"/>
          <w:sz w:val="48"/>
          <w:szCs w:val="48"/>
        </w:rPr>
        <w:t>卧龙市场发展服务中心概括</w:t>
      </w:r>
    </w:p>
    <w:p>
      <w:pPr>
        <w:adjustRightInd w:val="0"/>
        <w:snapToGrid w:val="0"/>
        <w:spacing w:line="360" w:lineRule="auto"/>
        <w:rPr>
          <w:rFonts w:ascii="黑体" w:hAnsi="黑体" w:eastAsia="黑体" w:cs="黑体"/>
          <w:sz w:val="32"/>
          <w:szCs w:val="32"/>
        </w:rPr>
      </w:pPr>
      <w:r>
        <w:rPr>
          <w:rFonts w:hint="eastAsia" w:ascii="黑体" w:hAnsi="黑体" w:eastAsia="黑体" w:cs="黑体"/>
          <w:sz w:val="32"/>
          <w:szCs w:val="32"/>
        </w:rPr>
        <w:t>主要职责</w:t>
      </w:r>
      <w:r>
        <w:rPr>
          <w:rFonts w:ascii="黑体" w:hAnsi="黑体" w:eastAsia="黑体" w:cs="黑体"/>
          <w:sz w:val="32"/>
          <w:szCs w:val="32"/>
        </w:rPr>
        <w:t>:</w:t>
      </w:r>
    </w:p>
    <w:p>
      <w:pPr>
        <w:adjustRightInd w:val="0"/>
        <w:snapToGrid w:val="0"/>
        <w:spacing w:line="360" w:lineRule="auto"/>
        <w:ind w:firstLine="643" w:firstLineChars="200"/>
        <w:rPr>
          <w:rFonts w:ascii="楷体_GB2312" w:hAnsi="宋体" w:eastAsia="楷体_GB2312" w:cs="Courier New"/>
          <w:b/>
          <w:kern w:val="0"/>
          <w:sz w:val="32"/>
          <w:szCs w:val="32"/>
        </w:rPr>
      </w:pPr>
      <w:r>
        <w:rPr>
          <w:rFonts w:hint="eastAsia" w:ascii="仿宋" w:hAnsi="仿宋" w:eastAsia="仿宋"/>
          <w:b/>
          <w:sz w:val="32"/>
          <w:szCs w:val="32"/>
        </w:rPr>
        <w:t>根据中共南阳市委办公室（宛办</w:t>
      </w:r>
      <w:r>
        <w:rPr>
          <w:rFonts w:ascii="仿宋" w:hAnsi="仿宋" w:eastAsia="仿宋"/>
          <w:b/>
          <w:sz w:val="32"/>
          <w:szCs w:val="32"/>
        </w:rPr>
        <w:t>[2010]14</w:t>
      </w:r>
      <w:r>
        <w:rPr>
          <w:rFonts w:hint="eastAsia" w:ascii="仿宋" w:hAnsi="仿宋" w:eastAsia="仿宋"/>
          <w:b/>
          <w:sz w:val="32"/>
          <w:szCs w:val="32"/>
        </w:rPr>
        <w:t>号）文件精神，南阳市卧龙市场发展服务中心主要职责：按照行政区域划分，在辖区内负责贯彻执行国家、省、市有关市场发展、建设、管理服务方面的法律法规及方针政策，拟定并组织实施市场发展的规划、办法和措施；负责辖区内农贸市场的改造建设和经营管理工作，合理利用城市公共土地资源，开发建设专业农贸市场、社区农贸市场和连锁鲜活超市及钢材、建材、汽车等专业市场，服务市场交易，促进市场繁荣；负责对所辖市场经营活动的日常管理，管理市场物业，搞好设施维护、改造及资产管理，配合有关执法部门对市场经营者违法违章问题进行查处等；</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黑体" w:hAnsi="黑体" w:eastAsia="黑体" w:cs="黑体"/>
          <w:sz w:val="32"/>
          <w:szCs w:val="32"/>
        </w:rPr>
        <w:t>卧龙市场发展服务中心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年度部门决算编制范围的单位包括：</w:t>
      </w:r>
    </w:p>
    <w:p>
      <w:pPr>
        <w:numPr>
          <w:ilvl w:val="0"/>
          <w:numId w:val="3"/>
        </w:numPr>
        <w:spacing w:line="360" w:lineRule="auto"/>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卧龙市场发展服务中心</w:t>
      </w:r>
      <w:r>
        <w:rPr>
          <w:rFonts w:hint="eastAsia" w:ascii="仿宋_GB2312" w:hAnsi="仿宋_GB2312" w:eastAsia="仿宋_GB2312" w:cs="仿宋_GB2312"/>
          <w:sz w:val="32"/>
          <w:szCs w:val="32"/>
        </w:rPr>
        <w:t>本级</w:t>
      </w:r>
    </w:p>
    <w:p>
      <w:pPr>
        <w:spacing w:line="360" w:lineRule="auto"/>
        <w:jc w:val="left"/>
        <w:rPr>
          <w:rFonts w:ascii="仿宋_GB2312" w:hAnsi="仿宋_GB2312" w:eastAsia="仿宋_GB2312" w:cs="仿宋_GB2312"/>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48"/>
          <w:szCs w:val="48"/>
        </w:rPr>
        <w:t>卧龙市场发展服务中心</w:t>
      </w:r>
      <w:r>
        <w:rPr>
          <w:rFonts w:ascii="隶书" w:hAnsi="隶书" w:eastAsia="隶书" w:cs="隶书"/>
          <w:sz w:val="48"/>
          <w:szCs w:val="48"/>
        </w:rPr>
        <w:t>2016</w:t>
      </w:r>
      <w:r>
        <w:rPr>
          <w:rFonts w:hint="eastAsia" w:ascii="隶书" w:hAnsi="隶书" w:eastAsia="隶书" w:cs="隶书"/>
          <w:sz w:val="48"/>
          <w:szCs w:val="48"/>
        </w:rPr>
        <w:t>年度部门决算表</w:t>
      </w: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48"/>
          <w:szCs w:val="48"/>
        </w:rPr>
        <w:t>卧龙市场发展服务中心</w:t>
      </w:r>
      <w:r>
        <w:rPr>
          <w:rFonts w:ascii="隶书" w:hAnsi="隶书" w:eastAsia="隶书" w:cs="隶书"/>
          <w:sz w:val="48"/>
          <w:szCs w:val="48"/>
        </w:rPr>
        <w:t>2016</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年度收入总计</w:t>
      </w:r>
      <w:r>
        <w:rPr>
          <w:rFonts w:ascii="仿宋_GB2312" w:hAnsi="宋体" w:eastAsia="仿宋_GB2312" w:cs="Courier New"/>
          <w:sz w:val="32"/>
          <w:szCs w:val="32"/>
        </w:rPr>
        <w:t>506.9</w:t>
      </w:r>
      <w:r>
        <w:rPr>
          <w:rFonts w:hint="eastAsia" w:ascii="仿宋_GB2312" w:hAnsi="宋体" w:eastAsia="仿宋_GB2312" w:cs="Courier New"/>
          <w:sz w:val="32"/>
          <w:szCs w:val="32"/>
        </w:rPr>
        <w:t>万元，支出总计</w:t>
      </w:r>
      <w:r>
        <w:rPr>
          <w:rFonts w:ascii="仿宋_GB2312" w:hAnsi="宋体" w:eastAsia="仿宋_GB2312" w:cs="Courier New"/>
          <w:sz w:val="32"/>
          <w:szCs w:val="32"/>
        </w:rPr>
        <w:t>526.49</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年相比，收入减少</w:t>
      </w:r>
      <w:r>
        <w:rPr>
          <w:rFonts w:ascii="仿宋_GB2312" w:hAnsi="宋体" w:eastAsia="仿宋_GB2312" w:cs="Courier New"/>
          <w:sz w:val="32"/>
          <w:szCs w:val="32"/>
        </w:rPr>
        <w:t>73.16</w:t>
      </w:r>
      <w:r>
        <w:rPr>
          <w:rFonts w:hint="eastAsia" w:ascii="仿宋_GB2312" w:hAnsi="宋体" w:eastAsia="仿宋_GB2312" w:cs="Courier New"/>
          <w:sz w:val="32"/>
          <w:szCs w:val="32"/>
        </w:rPr>
        <w:t>万元，下降</w:t>
      </w:r>
      <w:r>
        <w:rPr>
          <w:rFonts w:ascii="仿宋_GB2312" w:hAnsi="宋体" w:eastAsia="仿宋_GB2312" w:cs="Courier New"/>
          <w:sz w:val="32"/>
          <w:szCs w:val="32"/>
        </w:rPr>
        <w:t>12.61%</w:t>
      </w:r>
      <w:r>
        <w:rPr>
          <w:rFonts w:hint="eastAsia" w:ascii="仿宋_GB2312" w:hAnsi="宋体" w:eastAsia="仿宋_GB2312" w:cs="Courier New"/>
          <w:sz w:val="32"/>
          <w:szCs w:val="32"/>
        </w:rPr>
        <w:t>、支出减少</w:t>
      </w:r>
      <w:r>
        <w:rPr>
          <w:rFonts w:ascii="仿宋_GB2312" w:hAnsi="宋体" w:eastAsia="仿宋_GB2312" w:cs="Courier New"/>
          <w:sz w:val="32"/>
          <w:szCs w:val="32"/>
        </w:rPr>
        <w:t>43.96</w:t>
      </w:r>
      <w:r>
        <w:rPr>
          <w:rFonts w:hint="eastAsia" w:ascii="仿宋_GB2312" w:hAnsi="宋体" w:eastAsia="仿宋_GB2312" w:cs="Courier New"/>
          <w:sz w:val="32"/>
          <w:szCs w:val="32"/>
        </w:rPr>
        <w:t>万元，下降</w:t>
      </w:r>
      <w:r>
        <w:rPr>
          <w:rFonts w:ascii="仿宋_GB2312" w:hAnsi="宋体" w:eastAsia="仿宋_GB2312" w:cs="Courier New"/>
          <w:sz w:val="32"/>
          <w:szCs w:val="32"/>
        </w:rPr>
        <w:t>7.7%</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ascii="仿宋_GB2312" w:hAnsi="Times New Roman" w:eastAsia="仿宋_GB2312"/>
          <w:sz w:val="32"/>
          <w:szCs w:val="32"/>
        </w:rPr>
        <w:t>506.9</w:t>
      </w:r>
      <w:r>
        <w:rPr>
          <w:rFonts w:hint="eastAsia" w:ascii="仿宋_GB2312" w:hAnsi="Times New Roman" w:eastAsia="仿宋_GB2312"/>
          <w:sz w:val="32"/>
          <w:szCs w:val="32"/>
        </w:rPr>
        <w:t>万元，其中：财政拨款收入</w:t>
      </w:r>
      <w:r>
        <w:rPr>
          <w:rFonts w:ascii="仿宋_GB2312" w:hAnsi="Times New Roman" w:eastAsia="仿宋_GB2312"/>
          <w:sz w:val="32"/>
          <w:szCs w:val="32"/>
        </w:rPr>
        <w:t>506.9</w:t>
      </w:r>
      <w:r>
        <w:rPr>
          <w:rFonts w:hint="eastAsia" w:ascii="仿宋_GB2312" w:hAnsi="Times New Roman" w:eastAsia="仿宋_GB2312"/>
          <w:sz w:val="32"/>
          <w:szCs w:val="32"/>
        </w:rPr>
        <w:t>万元，占</w:t>
      </w:r>
      <w:r>
        <w:rPr>
          <w:rFonts w:ascii="仿宋_GB2312" w:hAnsi="Times New Roman" w:eastAsia="仿宋_GB2312"/>
          <w:sz w:val="32"/>
          <w:szCs w:val="32"/>
        </w:rPr>
        <w:t>100%</w:t>
      </w:r>
      <w:r>
        <w:rPr>
          <w:rFonts w:hint="eastAsia" w:ascii="仿宋_GB2312" w:hAnsi="Times New Roman" w:eastAsia="仿宋_GB2312"/>
          <w:sz w:val="32"/>
          <w:szCs w:val="32"/>
        </w:rPr>
        <w:t>；事业收入</w:t>
      </w:r>
      <w:r>
        <w:rPr>
          <w:rFonts w:ascii="仿宋_GB2312" w:hAnsi="Times New Roman" w:eastAsia="仿宋_GB2312"/>
          <w:sz w:val="32"/>
          <w:szCs w:val="32"/>
        </w:rPr>
        <w:t>0</w:t>
      </w:r>
      <w:r>
        <w:rPr>
          <w:rFonts w:hint="eastAsia" w:ascii="仿宋_GB2312" w:hAnsi="Times New Roman" w:eastAsia="仿宋_GB2312"/>
          <w:sz w:val="32"/>
          <w:szCs w:val="32"/>
        </w:rPr>
        <w:t>万元，占</w:t>
      </w:r>
      <w:r>
        <w:rPr>
          <w:rFonts w:ascii="仿宋_GB2312" w:hAnsi="Times New Roman" w:eastAsia="仿宋_GB2312"/>
          <w:sz w:val="32"/>
          <w:szCs w:val="32"/>
        </w:rPr>
        <w:t>0%</w:t>
      </w:r>
      <w:r>
        <w:rPr>
          <w:rFonts w:hint="eastAsia" w:ascii="仿宋_GB2312" w:hAnsi="Times New Roman" w:eastAsia="仿宋_GB2312"/>
          <w:sz w:val="32"/>
          <w:szCs w:val="32"/>
        </w:rPr>
        <w:t>；经营收入</w:t>
      </w:r>
      <w:r>
        <w:rPr>
          <w:rFonts w:ascii="仿宋_GB2312" w:hAnsi="Times New Roman" w:eastAsia="仿宋_GB2312"/>
          <w:sz w:val="32"/>
          <w:szCs w:val="32"/>
        </w:rPr>
        <w:t>0</w:t>
      </w:r>
      <w:r>
        <w:rPr>
          <w:rFonts w:hint="eastAsia" w:ascii="仿宋_GB2312" w:hAnsi="Times New Roman" w:eastAsia="仿宋_GB2312"/>
          <w:sz w:val="32"/>
          <w:szCs w:val="32"/>
        </w:rPr>
        <w:t>万元，占</w:t>
      </w:r>
      <w:r>
        <w:rPr>
          <w:rFonts w:ascii="仿宋_GB2312" w:hAnsi="Times New Roman" w:eastAsia="仿宋_GB2312"/>
          <w:sz w:val="32"/>
          <w:szCs w:val="32"/>
        </w:rPr>
        <w:t>0%</w:t>
      </w:r>
      <w:r>
        <w:rPr>
          <w:rFonts w:hint="eastAsia" w:ascii="仿宋_GB2312" w:hAnsi="Times New Roman" w:eastAsia="仿宋_GB2312"/>
          <w:sz w:val="32"/>
          <w:szCs w:val="32"/>
        </w:rPr>
        <w:t>；其他收入</w:t>
      </w:r>
      <w:r>
        <w:rPr>
          <w:rFonts w:ascii="仿宋_GB2312" w:hAnsi="Times New Roman" w:eastAsia="仿宋_GB2312"/>
          <w:sz w:val="32"/>
          <w:szCs w:val="32"/>
        </w:rPr>
        <w:t>0</w:t>
      </w:r>
      <w:r>
        <w:rPr>
          <w:rFonts w:hint="eastAsia" w:ascii="仿宋_GB2312" w:hAnsi="Times New Roman" w:eastAsia="仿宋_GB2312"/>
          <w:sz w:val="32"/>
          <w:szCs w:val="32"/>
        </w:rPr>
        <w:t>万元，占</w:t>
      </w:r>
      <w:r>
        <w:rPr>
          <w:rFonts w:ascii="仿宋_GB2312" w:hAnsi="Times New Roman" w:eastAsia="仿宋_GB2312"/>
          <w:sz w:val="32"/>
          <w:szCs w:val="32"/>
        </w:rPr>
        <w:t>0%</w:t>
      </w:r>
      <w:r>
        <w:rPr>
          <w:rFonts w:hint="eastAsia" w:ascii="仿宋_GB2312" w:hAnsi="Times New Roman" w:eastAsia="仿宋_GB2312"/>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年度支出合计</w:t>
      </w:r>
      <w:r>
        <w:rPr>
          <w:rFonts w:ascii="仿宋_GB2312" w:hAnsi="宋体" w:eastAsia="仿宋_GB2312" w:cs="Courier New"/>
          <w:sz w:val="32"/>
          <w:szCs w:val="32"/>
        </w:rPr>
        <w:t>526.49</w:t>
      </w:r>
      <w:r>
        <w:rPr>
          <w:rFonts w:hint="eastAsia" w:ascii="仿宋_GB2312" w:hAnsi="宋体" w:eastAsia="仿宋_GB2312" w:cs="Courier New"/>
          <w:sz w:val="32"/>
          <w:szCs w:val="32"/>
        </w:rPr>
        <w:t>万元，其中：基本支出</w:t>
      </w:r>
      <w:r>
        <w:rPr>
          <w:rFonts w:ascii="仿宋_GB2312" w:hAnsi="宋体" w:eastAsia="仿宋_GB2312" w:cs="Courier New"/>
          <w:sz w:val="32"/>
          <w:szCs w:val="32"/>
        </w:rPr>
        <w:t>526.49</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；项目支出</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；经营支出</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年财政拨款收入总决算</w:t>
      </w:r>
      <w:r>
        <w:rPr>
          <w:rFonts w:ascii="仿宋_GB2312" w:hAnsi="宋体" w:eastAsia="仿宋_GB2312" w:cs="Courier New"/>
          <w:sz w:val="32"/>
          <w:szCs w:val="32"/>
        </w:rPr>
        <w:t>506.9</w:t>
      </w:r>
      <w:r>
        <w:rPr>
          <w:rFonts w:hint="eastAsia" w:ascii="仿宋_GB2312" w:hAnsi="宋体" w:eastAsia="仿宋_GB2312" w:cs="Courier New"/>
          <w:sz w:val="32"/>
          <w:szCs w:val="32"/>
        </w:rPr>
        <w:t>万元，支出</w:t>
      </w:r>
      <w:r>
        <w:rPr>
          <w:rFonts w:ascii="仿宋_GB2312" w:hAnsi="宋体" w:eastAsia="仿宋_GB2312" w:cs="Courier New"/>
          <w:sz w:val="32"/>
          <w:szCs w:val="32"/>
        </w:rPr>
        <w:t>526.49</w:t>
      </w:r>
      <w:r>
        <w:rPr>
          <w:rFonts w:hint="eastAsia" w:ascii="仿宋_GB2312" w:hAnsi="宋体" w:eastAsia="仿宋_GB2312" w:cs="Courier New"/>
          <w:sz w:val="32"/>
          <w:szCs w:val="32"/>
        </w:rPr>
        <w:t>万元。与</w:t>
      </w:r>
      <w:r>
        <w:rPr>
          <w:rFonts w:ascii="仿宋_GB2312" w:hAnsi="宋体" w:eastAsia="仿宋_GB2312" w:cs="Courier New"/>
          <w:sz w:val="32"/>
          <w:szCs w:val="32"/>
        </w:rPr>
        <w:t>2015</w:t>
      </w:r>
      <w:r>
        <w:rPr>
          <w:rFonts w:hint="eastAsia" w:ascii="仿宋_GB2312" w:hAnsi="宋体" w:eastAsia="仿宋_GB2312" w:cs="Courier New"/>
          <w:sz w:val="32"/>
          <w:szCs w:val="32"/>
        </w:rPr>
        <w:t>年相比，财政拨款收入减少</w:t>
      </w:r>
      <w:r>
        <w:rPr>
          <w:rFonts w:ascii="仿宋_GB2312" w:hAnsi="宋体" w:eastAsia="仿宋_GB2312" w:cs="Courier New"/>
          <w:sz w:val="32"/>
          <w:szCs w:val="32"/>
        </w:rPr>
        <w:t>73.13</w:t>
      </w:r>
      <w:r>
        <w:rPr>
          <w:rFonts w:hint="eastAsia" w:ascii="仿宋_GB2312" w:hAnsi="宋体" w:eastAsia="仿宋_GB2312" w:cs="Courier New"/>
          <w:sz w:val="32"/>
          <w:szCs w:val="32"/>
        </w:rPr>
        <w:t>万元、下降</w:t>
      </w:r>
      <w:r>
        <w:rPr>
          <w:rFonts w:ascii="仿宋_GB2312" w:hAnsi="宋体" w:eastAsia="仿宋_GB2312" w:cs="Courier New"/>
          <w:sz w:val="32"/>
          <w:szCs w:val="32"/>
        </w:rPr>
        <w:t>12.61%</w:t>
      </w:r>
      <w:r>
        <w:rPr>
          <w:rFonts w:hint="eastAsia" w:ascii="仿宋_GB2312" w:hAnsi="宋体" w:eastAsia="仿宋_GB2312" w:cs="Courier New"/>
          <w:sz w:val="32"/>
          <w:szCs w:val="32"/>
        </w:rPr>
        <w:t>支出减少</w:t>
      </w:r>
      <w:r>
        <w:rPr>
          <w:rFonts w:ascii="仿宋_GB2312" w:hAnsi="宋体" w:eastAsia="仿宋_GB2312" w:cs="Courier New"/>
          <w:sz w:val="32"/>
          <w:szCs w:val="32"/>
        </w:rPr>
        <w:t>43.96</w:t>
      </w:r>
      <w:r>
        <w:rPr>
          <w:rFonts w:hint="eastAsia" w:ascii="仿宋_GB2312" w:hAnsi="宋体" w:eastAsia="仿宋_GB2312" w:cs="Courier New"/>
          <w:sz w:val="32"/>
          <w:szCs w:val="32"/>
        </w:rPr>
        <w:t>万元，下降</w:t>
      </w:r>
      <w:r>
        <w:rPr>
          <w:rFonts w:ascii="仿宋_GB2312" w:hAnsi="宋体" w:eastAsia="仿宋_GB2312" w:cs="Courier New"/>
          <w:sz w:val="32"/>
          <w:szCs w:val="32"/>
        </w:rPr>
        <w:t>7.7%</w:t>
      </w:r>
      <w:r>
        <w:rPr>
          <w:rFonts w:hint="eastAsia" w:ascii="仿宋_GB2312" w:hAnsi="宋体" w:eastAsia="仿宋_GB2312" w:cs="Courier New"/>
          <w:sz w:val="32"/>
          <w:szCs w:val="32"/>
        </w:rPr>
        <w:t>。</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年一般公共预算财政拨款支出</w:t>
      </w:r>
      <w:r>
        <w:rPr>
          <w:rFonts w:ascii="仿宋_GB2312" w:hAnsi="宋体" w:eastAsia="仿宋_GB2312" w:cs="Courier New"/>
          <w:sz w:val="32"/>
          <w:szCs w:val="32"/>
        </w:rPr>
        <w:t>526.49</w:t>
      </w:r>
      <w:r>
        <w:rPr>
          <w:rFonts w:hint="eastAsia" w:ascii="仿宋_GB2312" w:hAnsi="宋体" w:eastAsia="仿宋_GB2312" w:cs="Courier New"/>
          <w:sz w:val="32"/>
          <w:szCs w:val="32"/>
        </w:rPr>
        <w:t>万元，占支出合计的</w:t>
      </w:r>
      <w:r>
        <w:rPr>
          <w:rFonts w:ascii="仿宋_GB2312" w:hAnsi="宋体" w:eastAsia="仿宋_GB2312" w:cs="Courier New"/>
          <w:sz w:val="32"/>
          <w:szCs w:val="32"/>
        </w:rPr>
        <w:t>100%</w:t>
      </w:r>
      <w:r>
        <w:rPr>
          <w:rFonts w:hint="eastAsia" w:ascii="仿宋_GB2312" w:hAnsi="宋体" w:eastAsia="仿宋_GB2312" w:cs="Courier New"/>
          <w:sz w:val="32"/>
          <w:szCs w:val="32"/>
        </w:rPr>
        <w:t>。与</w:t>
      </w:r>
      <w:r>
        <w:rPr>
          <w:rFonts w:ascii="仿宋_GB2312" w:hAnsi="宋体" w:eastAsia="仿宋_GB2312" w:cs="Courier New"/>
          <w:sz w:val="32"/>
          <w:szCs w:val="32"/>
        </w:rPr>
        <w:t>2015</w:t>
      </w:r>
      <w:r>
        <w:rPr>
          <w:rFonts w:hint="eastAsia" w:ascii="仿宋_GB2312" w:hAnsi="宋体" w:eastAsia="仿宋_GB2312" w:cs="Courier New"/>
          <w:sz w:val="32"/>
          <w:szCs w:val="32"/>
        </w:rPr>
        <w:t>年相比，一般公共预算财政拨款支出减少</w:t>
      </w:r>
      <w:r>
        <w:rPr>
          <w:rFonts w:ascii="仿宋_GB2312" w:hAnsi="宋体" w:eastAsia="仿宋_GB2312" w:cs="Courier New"/>
          <w:sz w:val="32"/>
          <w:szCs w:val="32"/>
        </w:rPr>
        <w:t>43.96</w:t>
      </w:r>
      <w:r>
        <w:rPr>
          <w:rFonts w:hint="eastAsia" w:ascii="仿宋_GB2312" w:hAnsi="宋体" w:eastAsia="仿宋_GB2312" w:cs="Courier New"/>
          <w:sz w:val="32"/>
          <w:szCs w:val="32"/>
        </w:rPr>
        <w:t>万元，下降</w:t>
      </w:r>
      <w:r>
        <w:rPr>
          <w:rFonts w:ascii="仿宋_GB2312" w:hAnsi="宋体" w:eastAsia="仿宋_GB2312" w:cs="Courier New"/>
          <w:sz w:val="32"/>
          <w:szCs w:val="32"/>
        </w:rPr>
        <w:t>7.7%</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w:t>
      </w:r>
      <w:r>
        <w:rPr>
          <w:rFonts w:ascii="仿宋_GB2312" w:hAnsi="宋体" w:eastAsia="仿宋_GB2312" w:cs="Courier New"/>
          <w:sz w:val="32"/>
          <w:szCs w:val="32"/>
        </w:rPr>
        <w:t>526.49</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ascii="仿宋_GB2312" w:hAnsi="宋体" w:eastAsia="仿宋_GB2312" w:cs="Courier New"/>
          <w:sz w:val="32"/>
          <w:szCs w:val="32"/>
        </w:rPr>
        <w:t>526.49</w:t>
      </w:r>
      <w:r>
        <w:rPr>
          <w:rFonts w:hint="eastAsia" w:ascii="仿宋_GB2312" w:hAnsi="宋体" w:eastAsia="仿宋_GB2312" w:cs="Courier New"/>
          <w:sz w:val="32"/>
          <w:szCs w:val="32"/>
        </w:rPr>
        <w:t>万元，占</w:t>
      </w:r>
      <w:r>
        <w:rPr>
          <w:rFonts w:ascii="仿宋_GB2312" w:hAnsi="宋体" w:eastAsia="仿宋_GB2312" w:cs="Courier New"/>
          <w:sz w:val="32"/>
          <w:szCs w:val="32"/>
        </w:rPr>
        <w:t>100%</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外交（类）</w:t>
      </w:r>
      <w:r>
        <w:rPr>
          <w:rFonts w:hint="eastAsia" w:ascii="仿宋_GB2312" w:hAnsi="宋体" w:eastAsia="仿宋_GB2312" w:cs="Courier New"/>
          <w:sz w:val="32"/>
          <w:szCs w:val="32"/>
        </w:rPr>
        <w:t>支出</w:t>
      </w:r>
      <w:r>
        <w:rPr>
          <w:rFonts w:ascii="仿宋_GB2312" w:hAnsi="宋体" w:eastAsia="仿宋_GB2312" w:cs="Courier New"/>
          <w:sz w:val="32"/>
          <w:szCs w:val="32"/>
        </w:rPr>
        <w:t>0</w:t>
      </w:r>
      <w:r>
        <w:rPr>
          <w:rFonts w:hint="eastAsia" w:ascii="仿宋_GB2312" w:hAnsi="宋体" w:eastAsia="仿宋_GB2312" w:cs="Courier New"/>
          <w:sz w:val="32"/>
          <w:szCs w:val="32"/>
        </w:rPr>
        <w:t>万元，占</w:t>
      </w:r>
      <w:r>
        <w:rPr>
          <w:rFonts w:ascii="仿宋_GB2312" w:hAnsi="宋体" w:eastAsia="仿宋_GB2312" w:cs="Courier New"/>
          <w:sz w:val="32"/>
          <w:szCs w:val="32"/>
        </w:rPr>
        <w:t>0%</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年度一般公共预算财政拨款支出年初预算为554.59万元，支出决算为</w:t>
      </w:r>
      <w:r>
        <w:rPr>
          <w:rFonts w:ascii="仿宋_GB2312" w:hAnsi="宋体" w:eastAsia="仿宋_GB2312" w:cs="Courier New"/>
          <w:sz w:val="32"/>
          <w:szCs w:val="32"/>
        </w:rPr>
        <w:t>526.49</w:t>
      </w:r>
      <w:r>
        <w:rPr>
          <w:rFonts w:hint="eastAsia" w:ascii="仿宋_GB2312" w:hAnsi="宋体" w:eastAsia="仿宋_GB2312" w:cs="Courier New"/>
          <w:sz w:val="32"/>
          <w:szCs w:val="32"/>
        </w:rPr>
        <w:t>万元，完成年初预算的94.93</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一般公共服务（类）财政事务（款）行政运行（项）。</w:t>
      </w:r>
      <w:r>
        <w:rPr>
          <w:rFonts w:hint="eastAsia" w:ascii="仿宋_GB2312" w:hAnsi="宋体" w:eastAsia="仿宋_GB2312" w:cs="Courier New"/>
          <w:sz w:val="32"/>
          <w:szCs w:val="32"/>
        </w:rPr>
        <w:t>年初预算为554.59万元，支出决算为</w:t>
      </w:r>
      <w:r>
        <w:rPr>
          <w:rFonts w:ascii="仿宋_GB2312" w:hAnsi="宋体" w:eastAsia="仿宋_GB2312" w:cs="Courier New"/>
          <w:sz w:val="32"/>
          <w:szCs w:val="32"/>
        </w:rPr>
        <w:t>526.49</w:t>
      </w:r>
      <w:r>
        <w:rPr>
          <w:rFonts w:hint="eastAsia" w:ascii="仿宋_GB2312" w:hAnsi="宋体" w:eastAsia="仿宋_GB2312" w:cs="Courier New"/>
          <w:sz w:val="32"/>
          <w:szCs w:val="32"/>
        </w:rPr>
        <w:t>万元，完成年初预算的94.93</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一般公共服务（类）财政事务（款）一般行政管理事务（项）。</w:t>
      </w:r>
      <w:r>
        <w:rPr>
          <w:rFonts w:hint="eastAsia" w:ascii="仿宋_GB2312" w:hAnsi="宋体" w:eastAsia="仿宋_GB2312" w:cs="Courier New"/>
          <w:sz w:val="32"/>
          <w:szCs w:val="32"/>
        </w:rPr>
        <w:t>年初预算为0万元，支出决算为0万元，完成年初预算的0</w:t>
      </w:r>
      <w:r>
        <w:rPr>
          <w:rFonts w:ascii="仿宋_GB2312" w:hAnsi="宋体" w:eastAsia="仿宋_GB2312" w:cs="Courier New"/>
          <w:sz w:val="32"/>
          <w:szCs w:val="32"/>
        </w:rPr>
        <w:t>%</w:t>
      </w:r>
      <w:r>
        <w:rPr>
          <w:rFonts w:hint="eastAsia" w:ascii="仿宋_GB2312" w:hAnsi="宋体" w:eastAsia="仿宋_GB2312" w:cs="Courier New"/>
          <w:sz w:val="32"/>
          <w:szCs w:val="32"/>
        </w:rPr>
        <w:t>。(无此项)</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800" w:firstLineChars="250"/>
        <w:outlineLvl w:val="1"/>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2016年一般公共预算财政拨款基本支出526.49万元，其中：</w:t>
      </w:r>
      <w:r>
        <w:rPr>
          <w:rFonts w:hint="eastAsia" w:ascii="仿宋_GB2312" w:hAnsi="Times New Roman" w:eastAsia="仿宋_GB2312" w:cs="仿宋_GB2312"/>
          <w:bCs/>
          <w:spacing w:val="-1"/>
          <w:kern w:val="0"/>
          <w:sz w:val="32"/>
          <w:szCs w:val="32"/>
        </w:rPr>
        <w:t>人员经费470.2万元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主要包括：基本工资126.90万元、津贴补贴151.82万元、奖金12.06万元，社会保障缴费92.11万元，绩效工资49.1万元，退休费2.64万元，奖励金0.456万元，住房公积金35.1万元</w:t>
      </w:r>
      <w:r>
        <w:rPr>
          <w:rFonts w:hint="eastAsia" w:ascii="仿宋_GB2312" w:hAnsi="宋体" w:eastAsia="仿宋_GB2312" w:cs="Courier New"/>
          <w:sz w:val="32"/>
          <w:szCs w:val="32"/>
          <w:lang w:eastAsia="zh-CN"/>
        </w:rPr>
        <w:t>。</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rPr>
        <w:t>56.3万元</w:t>
      </w:r>
      <w:r>
        <w:rPr>
          <w:rFonts w:hint="eastAsia" w:ascii="仿宋_GB2312" w:hAnsi="宋体" w:eastAsia="仿宋_GB2312" w:cs="Courier New"/>
          <w:sz w:val="32"/>
          <w:szCs w:val="32"/>
        </w:rPr>
        <w:t>，主要包括：办公费6.5万元，印刷费1.54万元，电费0.5万元，邮电费0.5万元，维修费22.87万元，招待费12.95万元，劳务费4.08万元，其他交通费用6.5万元，办公设备购置0.8万元</w:t>
      </w:r>
      <w:r>
        <w:rPr>
          <w:rFonts w:hint="eastAsia" w:ascii="仿宋_GB2312" w:hAnsi="宋体" w:eastAsia="仿宋_GB2312" w:cs="Courier New"/>
          <w:sz w:val="32"/>
          <w:szCs w:val="32"/>
          <w:lang w:eastAsia="zh-CN"/>
        </w:rPr>
        <w:t>。</w:t>
      </w:r>
    </w:p>
    <w:p>
      <w:p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七  关于一般公共预算财政拨款“三公”经费支出决算情况说明</w:t>
      </w:r>
    </w:p>
    <w:p>
      <w:pPr>
        <w:numPr>
          <w:ilvl w:val="0"/>
          <w:numId w:val="6"/>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rPr>
        <w:t>2016年度市场发展服务中心“三公”经费</w:t>
      </w:r>
      <w:r>
        <w:rPr>
          <w:rFonts w:hint="eastAsia" w:ascii="仿宋_GB2312" w:hAnsi="宋体" w:eastAsia="仿宋_GB2312" w:cs="Courier New"/>
          <w:sz w:val="32"/>
          <w:szCs w:val="32"/>
          <w:lang w:eastAsia="zh-CN"/>
        </w:rPr>
        <w:t>财政拨款支出</w:t>
      </w:r>
      <w:r>
        <w:rPr>
          <w:rFonts w:hint="eastAsia" w:ascii="仿宋_GB2312" w:hAnsi="宋体" w:eastAsia="仿宋_GB2312" w:cs="Courier New"/>
          <w:sz w:val="32"/>
          <w:szCs w:val="32"/>
        </w:rPr>
        <w:t>预算数12.95万元，</w:t>
      </w:r>
      <w:r>
        <w:rPr>
          <w:rFonts w:hint="eastAsia" w:ascii="仿宋_GB2312" w:hAnsi="宋体" w:eastAsia="仿宋_GB2312" w:cs="Courier New"/>
          <w:sz w:val="32"/>
          <w:szCs w:val="32"/>
          <w:lang w:eastAsia="zh-CN"/>
        </w:rPr>
        <w:t>支出</w:t>
      </w:r>
      <w:r>
        <w:rPr>
          <w:rFonts w:hint="eastAsia" w:ascii="仿宋_GB2312" w:hAnsi="宋体" w:eastAsia="仿宋_GB2312" w:cs="Courier New"/>
          <w:sz w:val="32"/>
          <w:szCs w:val="32"/>
        </w:rPr>
        <w:t>决算为12.95万元</w:t>
      </w:r>
      <w:r>
        <w:rPr>
          <w:rFonts w:hint="eastAsia" w:ascii="仿宋_GB2312" w:hAnsi="宋体" w:eastAsia="仿宋_GB2312" w:cs="Courier New"/>
          <w:sz w:val="32"/>
          <w:szCs w:val="32"/>
          <w:lang w:eastAsia="zh-CN"/>
        </w:rPr>
        <w:t>，完成预算的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其中：公务接待费支出决算为</w:t>
      </w:r>
      <w:r>
        <w:rPr>
          <w:rFonts w:hint="eastAsia" w:ascii="仿宋_GB2312" w:hAnsi="宋体" w:eastAsia="仿宋_GB2312" w:cs="Courier New"/>
          <w:sz w:val="32"/>
          <w:szCs w:val="32"/>
          <w:lang w:val="en-US" w:eastAsia="zh-CN"/>
        </w:rPr>
        <w:t>12.95万元，完成预算的100%。</w:t>
      </w:r>
    </w:p>
    <w:p>
      <w:pPr>
        <w:numPr>
          <w:numId w:val="0"/>
        </w:numPr>
        <w:kinsoku w:val="0"/>
        <w:overflowPunct w:val="0"/>
        <w:autoSpaceDE w:val="0"/>
        <w:autoSpaceDN w:val="0"/>
        <w:adjustRightInd w:val="0"/>
        <w:snapToGrid w:val="0"/>
        <w:spacing w:line="360" w:lineRule="auto"/>
        <w:rPr>
          <w:rFonts w:ascii="楷体_GB2312" w:hAnsi="楷体_GB2312" w:eastAsia="楷体_GB2312" w:cs="楷体_GB2312"/>
          <w:sz w:val="32"/>
          <w:szCs w:val="32"/>
        </w:rPr>
      </w:pPr>
      <w:r>
        <w:rPr>
          <w:rFonts w:hint="eastAsia" w:ascii="仿宋_GB2312" w:hAnsi="宋体" w:eastAsia="仿宋_GB2312" w:cs="Courier New"/>
          <w:sz w:val="32"/>
          <w:szCs w:val="32"/>
          <w:lang w:val="en-US" w:eastAsia="zh-CN"/>
        </w:rPr>
        <w:t>2016年度</w:t>
      </w:r>
      <w:r>
        <w:rPr>
          <w:rFonts w:hint="eastAsia" w:ascii="楷体_GB2312" w:hAnsi="楷体_GB2312" w:eastAsia="楷体_GB2312" w:cs="楷体_GB2312"/>
          <w:sz w:val="32"/>
          <w:szCs w:val="32"/>
        </w:rPr>
        <w:t>“三公”经费财政拨款支出决算</w:t>
      </w:r>
      <w:r>
        <w:rPr>
          <w:rFonts w:hint="eastAsia" w:ascii="楷体_GB2312" w:hAnsi="楷体_GB2312" w:eastAsia="楷体_GB2312" w:cs="楷体_GB2312"/>
          <w:sz w:val="32"/>
          <w:szCs w:val="32"/>
          <w:lang w:eastAsia="zh-CN"/>
        </w:rPr>
        <w:t>数比</w:t>
      </w:r>
      <w:r>
        <w:rPr>
          <w:rFonts w:hint="eastAsia" w:ascii="楷体_GB2312" w:hAnsi="楷体_GB2312" w:eastAsia="楷体_GB2312" w:cs="楷体_GB2312"/>
          <w:sz w:val="32"/>
          <w:szCs w:val="32"/>
          <w:lang w:val="en-US" w:eastAsia="zh-CN"/>
        </w:rPr>
        <w:t>2015年增加12.95万元，增长1295%，其中：公务招待费支出决算增加12.95万元，增长1295%。公务招待支出增加的主要原因是：市场发展中心公务招待费用原来没有公共预算财政拨款支出费用。</w:t>
      </w:r>
    </w:p>
    <w:p>
      <w:pPr>
        <w:numPr>
          <w:numId w:val="0"/>
        </w:numPr>
        <w:kinsoku w:val="0"/>
        <w:overflowPunct w:val="0"/>
        <w:autoSpaceDE w:val="0"/>
        <w:autoSpaceDN w:val="0"/>
        <w:adjustRightInd w:val="0"/>
        <w:snapToGrid w:val="0"/>
        <w:spacing w:line="360" w:lineRule="auto"/>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“三公”经费财政拨款支出决算</w:t>
      </w:r>
      <w:r>
        <w:rPr>
          <w:rFonts w:hint="eastAsia" w:ascii="楷体_GB2312" w:hAnsi="楷体_GB2312" w:eastAsia="楷体_GB2312" w:cs="楷体_GB2312"/>
          <w:sz w:val="32"/>
          <w:szCs w:val="32"/>
          <w:lang w:eastAsia="zh-CN"/>
        </w:rPr>
        <w:t>具体</w:t>
      </w:r>
      <w:r>
        <w:rPr>
          <w:rFonts w:hint="eastAsia" w:ascii="楷体_GB2312" w:hAnsi="楷体_GB2312" w:eastAsia="楷体_GB2312" w:cs="楷体_GB2312"/>
          <w:sz w:val="32"/>
          <w:szCs w:val="32"/>
        </w:rPr>
        <w:t>情况说明。</w:t>
      </w:r>
    </w:p>
    <w:p>
      <w:pPr>
        <w:kinsoku w:val="0"/>
        <w:overflowPunct w:val="0"/>
        <w:autoSpaceDE w:val="0"/>
        <w:autoSpaceDN w:val="0"/>
        <w:adjustRightInd w:val="0"/>
        <w:snapToGrid w:val="0"/>
        <w:spacing w:line="360" w:lineRule="auto"/>
        <w:ind w:left="315" w:leftChars="150" w:firstLine="320" w:firstLineChars="100"/>
        <w:rPr>
          <w:rFonts w:hint="eastAsia" w:ascii="楷体_GB2312" w:hAnsi="楷体_GB2312" w:eastAsia="楷体_GB2312" w:cs="楷体_GB2312"/>
          <w:sz w:val="32"/>
          <w:szCs w:val="32"/>
          <w:lang w:val="en-US" w:eastAsia="zh-CN"/>
        </w:rPr>
      </w:pPr>
      <w:r>
        <w:rPr>
          <w:rFonts w:hint="eastAsia" w:ascii="仿宋_GB2312" w:hAnsi="宋体" w:eastAsia="仿宋_GB2312" w:cs="Courier New"/>
          <w:sz w:val="32"/>
          <w:szCs w:val="32"/>
        </w:rPr>
        <w:t>2016年度市场发展服务中心“三公”经费</w:t>
      </w:r>
      <w:r>
        <w:rPr>
          <w:rFonts w:hint="eastAsia" w:ascii="仿宋_GB2312" w:hAnsi="宋体" w:eastAsia="仿宋_GB2312" w:cs="Courier New"/>
          <w:sz w:val="32"/>
          <w:szCs w:val="32"/>
          <w:lang w:eastAsia="zh-CN"/>
        </w:rPr>
        <w:t>财政拨款支出决算中，</w:t>
      </w:r>
      <w:r>
        <w:rPr>
          <w:rFonts w:hint="eastAsia" w:ascii="楷体_GB2312" w:hAnsi="楷体_GB2312" w:eastAsia="楷体_GB2312" w:cs="楷体_GB2312"/>
          <w:sz w:val="32"/>
          <w:szCs w:val="32"/>
          <w:lang w:val="en-US" w:eastAsia="zh-CN"/>
        </w:rPr>
        <w:t>公务招待支出决算12.95万元，占100%。具体情况如下：</w:t>
      </w:r>
    </w:p>
    <w:p>
      <w:pPr>
        <w:numPr>
          <w:ilvl w:val="0"/>
          <w:numId w:val="7"/>
        </w:numPr>
        <w:kinsoku w:val="0"/>
        <w:overflowPunct w:val="0"/>
        <w:autoSpaceDE w:val="0"/>
        <w:autoSpaceDN w:val="0"/>
        <w:adjustRightInd w:val="0"/>
        <w:snapToGrid w:val="0"/>
        <w:spacing w:line="360" w:lineRule="auto"/>
        <w:ind w:left="315" w:leftChars="150" w:firstLine="320" w:firstLineChars="1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公务用车购置及运行费0万元</w:t>
      </w:r>
    </w:p>
    <w:p>
      <w:pPr>
        <w:widowControl w:val="0"/>
        <w:numPr>
          <w:numId w:val="0"/>
        </w:numPr>
        <w:kinsoku w:val="0"/>
        <w:overflowPunct w:val="0"/>
        <w:autoSpaceDE w:val="0"/>
        <w:autoSpaceDN w:val="0"/>
        <w:adjustRightInd w:val="0"/>
        <w:snapToGrid w:val="0"/>
        <w:spacing w:line="360" w:lineRule="auto"/>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  公务招待费支出12.95万元</w:t>
      </w:r>
    </w:p>
    <w:p>
      <w:pPr>
        <w:kinsoku w:val="0"/>
        <w:overflowPunct w:val="0"/>
        <w:autoSpaceDE w:val="0"/>
        <w:autoSpaceDN w:val="0"/>
        <w:adjustRightInd w:val="0"/>
        <w:snapToGrid w:val="0"/>
        <w:spacing w:line="360" w:lineRule="auto"/>
        <w:rPr>
          <w:rFonts w:ascii="黑体" w:hAnsi="黑体" w:eastAsia="黑体"/>
          <w:sz w:val="32"/>
          <w:szCs w:val="32"/>
        </w:rPr>
      </w:pPr>
      <w:r>
        <w:rPr>
          <w:rFonts w:hint="eastAsia" w:ascii="黑体" w:hAnsi="黑体" w:eastAsia="黑体"/>
          <w:sz w:val="32"/>
          <w:szCs w:val="32"/>
        </w:rPr>
        <w:t>八  关于预算绩效情况说明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绩效管理工作开展情况。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卧龙市场发展服务中心无此项。</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部门决算中项目绩效自评结果。</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卧龙市场发展服务中心无此项。</w:t>
      </w:r>
    </w:p>
    <w:p>
      <w:p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九  关于政府性基金预算财政拨款支出决算情况说明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2016年度政府性基金预算财政拨款支出无此项。</w:t>
      </w:r>
    </w:p>
    <w:p>
      <w:p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十   其他重要事项的情况说明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卧龙市场发展服务中心无此项。</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2016年度政府采购支出无此项。</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期末，卧龙市场发展服务中心共有车辆0辆，其中：一般公务用车0辆、一般执法执勤用车0辆、特种专业技术用车0辆，其他用车0辆，其他用车主要是：无。单价50万元以上通用设备0台（套），单位价值100万元以上专用设备0台（套）。</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8" w:header="851" w:footer="992" w:gutter="0"/>
          <w:pgNumType w:fmt="numberInDash"/>
          <w:cols w:space="0" w:num="1"/>
          <w:docGrid w:linePitch="317" w:charSpace="0"/>
        </w:sectPr>
      </w:pPr>
    </w:p>
    <w:p>
      <w:pPr>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bookmarkStart w:id="0" w:name="_GoBack"/>
      <w:bookmarkEnd w:id="0"/>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指区级财政当年拨付的资金。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指事业单位开展专业业务活动及辅助活动所取得的收入。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三、其他收入：</w:t>
      </w:r>
      <w:r>
        <w:rPr>
          <w:rFonts w:hint="eastAsia" w:ascii="仿宋_GB2312" w:hAnsi="宋体" w:eastAsia="仿宋_GB2312" w:cs="Courier New"/>
          <w:sz w:val="32"/>
          <w:szCs w:val="32"/>
        </w:rPr>
        <w:t>指本部门取得的除“财政拨款收入”、“事业收入”、“经营收入”等以外的收入。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rPr>
        <w:t>指事业单位在当年的“财政拨款收入”、“事业收入”和“其他收入”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五、年末结转和结余：</w:t>
      </w:r>
      <w:r>
        <w:rPr>
          <w:rFonts w:hint="eastAsia" w:ascii="仿宋_GB2312" w:hAnsi="宋体" w:eastAsia="仿宋_GB2312" w:cs="Courier New"/>
          <w:sz w:val="32"/>
          <w:szCs w:val="32"/>
        </w:rPr>
        <w:t>指本年度或以前年度预算安排、因客观条件发生变化无法按原计划实施，需延迟到以后年度按有关规定继续使用的资金。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九十、“三公”经费：</w:t>
      </w:r>
      <w:r>
        <w:rPr>
          <w:rFonts w:hint="eastAsia" w:ascii="仿宋_GB2312" w:hAnsi="宋体" w:eastAsia="仿宋_GB2312" w:cs="Courier New"/>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九十一、机关运行经费：</w:t>
      </w:r>
      <w:r>
        <w:rPr>
          <w:rFonts w:hint="eastAsia" w:ascii="仿宋_GB2312" w:hAnsi="宋体" w:eastAsia="仿宋_GB2312" w:cs="Courier New"/>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object>
          <v:shape id="_x0000_i1025" o:spt="75" alt="" type="#_x0000_t75" style="height:34.05pt;width:145.05pt;" o:ole="t" filled="f" o:preferrelative="t" stroked="f" coordsize="21600,21600">
            <v:path/>
            <v:fill on="f" focussize="0,0"/>
            <v:stroke on="f"/>
            <v:imagedata r:id="rId7" o:title=""/>
            <o:lock v:ext="edit" aspectratio="t"/>
            <w10:wrap type="none"/>
            <w10:anchorlock/>
          </v:shape>
          <o:OLEObject Type="Embed" ProgID="Package" ShapeID="_x0000_i1025" DrawAspect="Content" ObjectID="_1468075725" r:id="rId6">
            <o:LockedField>false</o:LockedField>
          </o:OLEObject>
        </w:objec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SimSun-ExtB"/>
    <w:panose1 w:val="00000000000000000000"/>
    <w:charset w:val="86"/>
    <w:family w:val="script"/>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SimSun-ExtB">
    <w:panose1 w:val="02010609060101010101"/>
    <w:charset w:val="86"/>
    <w:family w:val="auto"/>
    <w:pitch w:val="default"/>
    <w:sig w:usb0="00000001" w:usb1="02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- 7 -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abstractNum w:abstractNumId="1">
    <w:nsid w:val="5971C193"/>
    <w:multiLevelType w:val="singleLevel"/>
    <w:tmpl w:val="5971C193"/>
    <w:lvl w:ilvl="0" w:tentative="0">
      <w:start w:val="2"/>
      <w:numFmt w:val="chineseCounting"/>
      <w:suff w:val="nothing"/>
      <w:lvlText w:val="%1、"/>
      <w:lvlJc w:val="left"/>
      <w:rPr>
        <w:rFonts w:cs="Times New Roman"/>
      </w:rPr>
    </w:lvl>
  </w:abstractNum>
  <w:abstractNum w:abstractNumId="2">
    <w:nsid w:val="5971C2CF"/>
    <w:multiLevelType w:val="singleLevel"/>
    <w:tmpl w:val="5971C2CF"/>
    <w:lvl w:ilvl="0" w:tentative="0">
      <w:start w:val="1"/>
      <w:numFmt w:val="decimal"/>
      <w:suff w:val="nothing"/>
      <w:lvlText w:val="%1．"/>
      <w:lvlJc w:val="left"/>
      <w:pPr>
        <w:ind w:left="876" w:firstLine="400"/>
      </w:pPr>
      <w:rPr>
        <w:rFonts w:hint="default" w:cs="Times New Roman"/>
      </w:rPr>
    </w:lvl>
  </w:abstractNum>
  <w:abstractNum w:abstractNumId="3">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4">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5">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6">
    <w:nsid w:val="5971E776"/>
    <w:multiLevelType w:val="singleLevel"/>
    <w:tmpl w:val="5971E776"/>
    <w:lvl w:ilvl="0" w:tentative="0">
      <w:start w:val="1"/>
      <w:numFmt w:val="chineseCounting"/>
      <w:suff w:val="nothing"/>
      <w:lvlText w:val="（%1）"/>
      <w:lvlJc w:val="left"/>
      <w:pPr>
        <w:ind w:firstLine="420"/>
      </w:pPr>
      <w:rPr>
        <w:rFonts w:hint="eastAsia" w:cs="Times New Roman"/>
      </w:rPr>
    </w:lvl>
  </w:abstractNum>
  <w:abstractNum w:abstractNumId="7">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abstractNum w:abstractNumId="8">
    <w:nsid w:val="5A03FFFE"/>
    <w:multiLevelType w:val="singleLevel"/>
    <w:tmpl w:val="5A03FFFE"/>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A8F"/>
    <w:rsid w:val="000218A0"/>
    <w:rsid w:val="00083849"/>
    <w:rsid w:val="00094877"/>
    <w:rsid w:val="000B4C80"/>
    <w:rsid w:val="000B5A03"/>
    <w:rsid w:val="000B5D2A"/>
    <w:rsid w:val="00105DD8"/>
    <w:rsid w:val="001150B0"/>
    <w:rsid w:val="00172A27"/>
    <w:rsid w:val="001B0D10"/>
    <w:rsid w:val="001C1FB0"/>
    <w:rsid w:val="001C65C5"/>
    <w:rsid w:val="00206D39"/>
    <w:rsid w:val="00230628"/>
    <w:rsid w:val="00280A03"/>
    <w:rsid w:val="002929B4"/>
    <w:rsid w:val="003B3780"/>
    <w:rsid w:val="003C10CB"/>
    <w:rsid w:val="0040360B"/>
    <w:rsid w:val="004A0EF2"/>
    <w:rsid w:val="004C6F45"/>
    <w:rsid w:val="00506529"/>
    <w:rsid w:val="0052026E"/>
    <w:rsid w:val="0057090C"/>
    <w:rsid w:val="00575CEA"/>
    <w:rsid w:val="005C3C14"/>
    <w:rsid w:val="005D0827"/>
    <w:rsid w:val="005D1AD7"/>
    <w:rsid w:val="00610EE5"/>
    <w:rsid w:val="00632637"/>
    <w:rsid w:val="00671C08"/>
    <w:rsid w:val="006C7D4C"/>
    <w:rsid w:val="007A25BF"/>
    <w:rsid w:val="00822209"/>
    <w:rsid w:val="008457E9"/>
    <w:rsid w:val="00854C66"/>
    <w:rsid w:val="008839A8"/>
    <w:rsid w:val="00893BD2"/>
    <w:rsid w:val="008D2037"/>
    <w:rsid w:val="009108DE"/>
    <w:rsid w:val="0093548C"/>
    <w:rsid w:val="00A41110"/>
    <w:rsid w:val="00B31FA6"/>
    <w:rsid w:val="00B458CF"/>
    <w:rsid w:val="00B6071A"/>
    <w:rsid w:val="00B94766"/>
    <w:rsid w:val="00BF4FD6"/>
    <w:rsid w:val="00C83D6D"/>
    <w:rsid w:val="00CD71F9"/>
    <w:rsid w:val="00D40A52"/>
    <w:rsid w:val="00D727EE"/>
    <w:rsid w:val="00DA1A30"/>
    <w:rsid w:val="00DA7DBC"/>
    <w:rsid w:val="00E153C0"/>
    <w:rsid w:val="00E209D2"/>
    <w:rsid w:val="00E35744"/>
    <w:rsid w:val="00E75DDF"/>
    <w:rsid w:val="00EA6DDF"/>
    <w:rsid w:val="00EA74DE"/>
    <w:rsid w:val="00F2752D"/>
    <w:rsid w:val="00F3387A"/>
    <w:rsid w:val="00F468DC"/>
    <w:rsid w:val="00F6360F"/>
    <w:rsid w:val="00FA0F8F"/>
    <w:rsid w:val="00FA78CA"/>
    <w:rsid w:val="04453648"/>
    <w:rsid w:val="05DB00B9"/>
    <w:rsid w:val="09BB2134"/>
    <w:rsid w:val="0CA434B9"/>
    <w:rsid w:val="0E4C156E"/>
    <w:rsid w:val="10BD4691"/>
    <w:rsid w:val="11585E8B"/>
    <w:rsid w:val="15492582"/>
    <w:rsid w:val="18F44D57"/>
    <w:rsid w:val="1D415527"/>
    <w:rsid w:val="1DAE3413"/>
    <w:rsid w:val="1E7D3B34"/>
    <w:rsid w:val="22A51050"/>
    <w:rsid w:val="239408AA"/>
    <w:rsid w:val="283D43BA"/>
    <w:rsid w:val="28D8715B"/>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5025239"/>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4"/>
    <w:link w:val="2"/>
    <w:semiHidden/>
    <w:locked/>
    <w:uiPriority w:val="99"/>
    <w:rPr>
      <w:rFonts w:ascii="Calibri" w:hAnsi="Calibri" w:cs="Times New Roman"/>
      <w:sz w:val="18"/>
      <w:szCs w:val="18"/>
    </w:rPr>
  </w:style>
  <w:style w:type="character" w:customStyle="1" w:styleId="7">
    <w:name w:val="页眉 Char"/>
    <w:basedOn w:val="4"/>
    <w:link w:val="3"/>
    <w:semiHidden/>
    <w:locked/>
    <w:uiPriority w:val="99"/>
    <w:rPr>
      <w:rFonts w:ascii="Calibri" w:hAnsi="Calibri" w:cs="Times New Roman"/>
      <w:sz w:val="18"/>
      <w:szCs w:val="18"/>
    </w:rPr>
  </w:style>
  <w:style w:type="character" w:customStyle="1" w:styleId="8">
    <w:name w:val="font31"/>
    <w:basedOn w:val="4"/>
    <w:uiPriority w:val="99"/>
    <w:rPr>
      <w:rFonts w:ascii="Arial" w:hAnsi="Arial" w:cs="Arial"/>
      <w:color w:val="000000"/>
      <w:sz w:val="16"/>
      <w:szCs w:val="16"/>
      <w:u w:val="none"/>
    </w:rPr>
  </w:style>
  <w:style w:type="character" w:customStyle="1" w:styleId="9">
    <w:name w:val="font01"/>
    <w:basedOn w:val="4"/>
    <w:uiPriority w:val="99"/>
    <w:rPr>
      <w:rFonts w:ascii="Arial" w:hAnsi="Arial" w:cs="Arial"/>
      <w:color w:val="000000"/>
      <w:sz w:val="16"/>
      <w:szCs w:val="16"/>
      <w:u w:val="none"/>
    </w:rPr>
  </w:style>
  <w:style w:type="character" w:customStyle="1" w:styleId="10">
    <w:name w:val="font41"/>
    <w:basedOn w:val="4"/>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463</Words>
  <Characters>2641</Characters>
  <Lines>22</Lines>
  <Paragraphs>6</Paragraphs>
  <TotalTime>0</TotalTime>
  <ScaleCrop>false</ScaleCrop>
  <LinksUpToDate>false</LinksUpToDate>
  <CharactersWithSpaces>3098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lenovo</cp:lastModifiedBy>
  <cp:lastPrinted>2017-07-25T02:47:00Z</cp:lastPrinted>
  <dcterms:modified xsi:type="dcterms:W3CDTF">2017-11-09T07:15:04Z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