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黑体" w:hAnsi="黑体" w:eastAsia="黑体" w:cs="黑体"/>
          <w:sz w:val="52"/>
          <w:szCs w:val="52"/>
        </w:rPr>
      </w:pPr>
      <w:r>
        <w:rPr>
          <w:rFonts w:hint="eastAsia" w:ascii="隶书" w:hAnsi="隶书" w:eastAsia="隶书" w:cs="隶书"/>
          <w:sz w:val="52"/>
          <w:szCs w:val="52"/>
        </w:rPr>
        <w:t>共青团卧龙区委</w:t>
      </w: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numPr>
          <w:ilvl w:val="0"/>
          <w:numId w:val="1"/>
        </w:numPr>
        <w:jc w:val="left"/>
        <w:rPr>
          <w:rFonts w:hint="eastAsia" w:ascii="黑体" w:hAnsi="黑体" w:eastAsia="黑体" w:cs="黑体"/>
          <w:sz w:val="32"/>
          <w:szCs w:val="32"/>
        </w:rPr>
      </w:pPr>
      <w:r>
        <w:rPr>
          <w:rFonts w:hint="eastAsia" w:ascii="黑体" w:hAnsi="黑体" w:eastAsia="黑体" w:cs="黑体"/>
          <w:sz w:val="32"/>
          <w:szCs w:val="32"/>
        </w:rPr>
        <w:t>分　　共青团卧龙区委概况</w:t>
      </w:r>
    </w:p>
    <w:p>
      <w:pPr>
        <w:numPr>
          <w:ilvl w:val="0"/>
          <w:numId w:val="2"/>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2"/>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共青团卧龙区委</w:t>
      </w:r>
      <w:r>
        <w:rPr>
          <w:rFonts w:ascii="黑体" w:hAnsi="黑体" w:eastAsia="黑体" w:cs="黑体"/>
          <w:sz w:val="32"/>
          <w:szCs w:val="32"/>
        </w:rPr>
        <w:t>2016</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共青团卧龙区委</w:t>
      </w:r>
      <w:r>
        <w:rPr>
          <w:rFonts w:ascii="黑体" w:hAnsi="黑体" w:eastAsia="黑体" w:cs="黑体"/>
          <w:sz w:val="32"/>
          <w:szCs w:val="32"/>
        </w:rPr>
        <w:t>2016</w:t>
      </w:r>
      <w:r>
        <w:rPr>
          <w:rFonts w:hint="eastAsia" w:ascii="黑体" w:hAnsi="黑体" w:eastAsia="黑体" w:cs="黑体"/>
          <w:sz w:val="32"/>
          <w:szCs w:val="32"/>
        </w:rPr>
        <w:t>年度部门决算情况说明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sectPr>
          <w:footerReference r:id="rId3"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共青团卧龙区委概况</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w:t>
      </w:r>
      <w:r>
        <w:rPr>
          <w:rFonts w:hint="eastAsia" w:ascii="黑体" w:hAnsi="黑体" w:eastAsia="黑体" w:cs="黑体"/>
          <w:sz w:val="32"/>
          <w:szCs w:val="32"/>
          <w:lang w:eastAsia="zh-CN"/>
        </w:rPr>
        <w:t>职责</w:t>
      </w:r>
    </w:p>
    <w:p>
      <w:pPr>
        <w:numPr>
          <w:ilvl w:val="0"/>
          <w:numId w:val="4"/>
        </w:numPr>
        <w:spacing w:line="360" w:lineRule="auto"/>
        <w:ind w:firstLine="648" w:firstLineChars="200"/>
        <w:jc w:val="left"/>
        <w:rPr>
          <w:rFonts w:hint="eastAsia" w:ascii="??_GB2312" w:cs="??_GB2312"/>
          <w:spacing w:val="2"/>
          <w:kern w:val="0"/>
          <w:sz w:val="32"/>
          <w:szCs w:val="32"/>
          <w:lang w:eastAsia="zh-CN"/>
        </w:rPr>
      </w:pPr>
      <w:r>
        <w:rPr>
          <w:rFonts w:hint="eastAsia" w:ascii="??_GB2312" w:cs="??_GB2312"/>
          <w:spacing w:val="2"/>
          <w:kern w:val="0"/>
          <w:sz w:val="32"/>
          <w:szCs w:val="32"/>
          <w:lang w:eastAsia="zh-CN"/>
        </w:rPr>
        <w:t>领导全区的共青团工作。</w:t>
      </w:r>
    </w:p>
    <w:p>
      <w:pPr>
        <w:numPr>
          <w:ilvl w:val="0"/>
          <w:numId w:val="4"/>
        </w:numPr>
        <w:spacing w:line="360" w:lineRule="auto"/>
        <w:ind w:firstLine="648" w:firstLineChars="200"/>
        <w:jc w:val="left"/>
        <w:rPr>
          <w:rFonts w:hint="eastAsia" w:ascii="??_GB2312" w:cs="??_GB2312"/>
          <w:spacing w:val="2"/>
          <w:kern w:val="0"/>
          <w:sz w:val="32"/>
          <w:szCs w:val="32"/>
          <w:lang w:eastAsia="zh-CN"/>
        </w:rPr>
      </w:pPr>
      <w:r>
        <w:rPr>
          <w:rFonts w:hint="eastAsia" w:ascii="??_GB2312" w:cs="??_GB2312"/>
          <w:spacing w:val="2"/>
          <w:kern w:val="0"/>
          <w:sz w:val="32"/>
          <w:szCs w:val="32"/>
          <w:lang w:eastAsia="zh-CN"/>
        </w:rPr>
        <w:t>领导全区青联、学联和少先队工作，对全区性青年社团组织实行指导和管理。</w:t>
      </w:r>
      <w:bookmarkStart w:id="0" w:name="_GoBack"/>
      <w:bookmarkEnd w:id="0"/>
    </w:p>
    <w:p>
      <w:pPr>
        <w:numPr>
          <w:ilvl w:val="0"/>
          <w:numId w:val="4"/>
        </w:numPr>
        <w:spacing w:line="360" w:lineRule="auto"/>
        <w:ind w:firstLine="648" w:firstLineChars="200"/>
        <w:jc w:val="left"/>
        <w:rPr>
          <w:rFonts w:hint="eastAsia" w:ascii="??_GB2312" w:cs="??_GB2312"/>
          <w:spacing w:val="2"/>
          <w:kern w:val="0"/>
          <w:sz w:val="32"/>
          <w:szCs w:val="32"/>
          <w:lang w:eastAsia="zh-CN"/>
        </w:rPr>
      </w:pPr>
      <w:r>
        <w:rPr>
          <w:rFonts w:hint="eastAsia" w:ascii="??_GB2312" w:cs="??_GB2312"/>
          <w:spacing w:val="2"/>
          <w:kern w:val="0"/>
          <w:sz w:val="32"/>
          <w:szCs w:val="32"/>
          <w:lang w:eastAsia="zh-CN"/>
        </w:rPr>
        <w:t>参与制定全区青少年事业发展规划，对青少年活动阵地、青少年服务机构等事物进行规划和管理。</w:t>
      </w:r>
    </w:p>
    <w:p>
      <w:pPr>
        <w:numPr>
          <w:ilvl w:val="0"/>
          <w:numId w:val="4"/>
        </w:numPr>
        <w:spacing w:line="360" w:lineRule="auto"/>
        <w:ind w:firstLine="648" w:firstLineChars="200"/>
        <w:jc w:val="left"/>
        <w:rPr>
          <w:rFonts w:hint="eastAsia" w:ascii="??_GB2312" w:cs="??_GB2312"/>
          <w:spacing w:val="2"/>
          <w:kern w:val="0"/>
          <w:sz w:val="32"/>
          <w:szCs w:val="32"/>
          <w:lang w:eastAsia="zh-CN"/>
        </w:rPr>
      </w:pPr>
      <w:r>
        <w:rPr>
          <w:rFonts w:hint="eastAsia" w:ascii="??_GB2312" w:cs="??_GB2312"/>
          <w:spacing w:val="2"/>
          <w:kern w:val="0"/>
          <w:sz w:val="32"/>
          <w:szCs w:val="32"/>
          <w:lang w:eastAsia="zh-CN"/>
        </w:rPr>
        <w:t>承担区委、区政府交办的有关事项。</w:t>
      </w:r>
    </w:p>
    <w:p>
      <w:pPr>
        <w:numPr>
          <w:ilvl w:val="0"/>
          <w:numId w:val="5"/>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numPr>
          <w:ilvl w:val="0"/>
          <w:numId w:val="0"/>
        </w:numPr>
        <w:spacing w:line="360" w:lineRule="auto"/>
        <w:ind w:firstLine="648" w:firstLineChars="200"/>
        <w:jc w:val="left"/>
        <w:rPr>
          <w:rFonts w:hint="eastAsia" w:ascii="仿宋_GB2312" w:cs="仿宋_GB2312"/>
          <w:spacing w:val="2"/>
          <w:kern w:val="0"/>
          <w:sz w:val="32"/>
          <w:szCs w:val="32"/>
          <w:lang w:val="en-US" w:eastAsia="zh-CN" w:bidi="ar-SA"/>
        </w:rPr>
      </w:pPr>
      <w:r>
        <w:rPr>
          <w:rFonts w:hint="eastAsia" w:ascii="仿宋_GB2312" w:cs="仿宋_GB2312"/>
          <w:spacing w:val="2"/>
          <w:kern w:val="0"/>
          <w:sz w:val="32"/>
          <w:szCs w:val="32"/>
          <w:lang w:val="en-US" w:eastAsia="zh-CN" w:bidi="ar-SA"/>
        </w:rPr>
        <w:t>纳入共青团卧龙区委2016年度部门决算编制范围的单位包括：</w:t>
      </w:r>
    </w:p>
    <w:p>
      <w:pPr>
        <w:numPr>
          <w:ilvl w:val="0"/>
          <w:numId w:val="6"/>
        </w:numPr>
        <w:spacing w:line="360" w:lineRule="auto"/>
        <w:ind w:firstLine="648" w:firstLineChars="200"/>
        <w:jc w:val="left"/>
        <w:rPr>
          <w:rFonts w:hint="eastAsia" w:ascii="仿宋_GB2312" w:cs="仿宋_GB2312"/>
          <w:spacing w:val="2"/>
          <w:kern w:val="0"/>
          <w:sz w:val="32"/>
          <w:szCs w:val="32"/>
          <w:lang w:val="en-US" w:eastAsia="zh-CN" w:bidi="ar-SA"/>
        </w:rPr>
      </w:pPr>
      <w:r>
        <w:rPr>
          <w:rFonts w:hint="eastAsia" w:ascii="仿宋_GB2312" w:cs="仿宋_GB2312"/>
          <w:spacing w:val="2"/>
          <w:kern w:val="0"/>
          <w:sz w:val="32"/>
          <w:szCs w:val="32"/>
          <w:lang w:val="en-US" w:eastAsia="zh-CN" w:bidi="ar-SA"/>
        </w:rPr>
        <w:t>共青团卧龙区委本级</w:t>
      </w:r>
    </w:p>
    <w:p>
      <w:pPr>
        <w:numPr>
          <w:ilvl w:val="0"/>
          <w:numId w:val="6"/>
        </w:numPr>
        <w:spacing w:line="360" w:lineRule="auto"/>
        <w:ind w:firstLine="648" w:firstLineChars="200"/>
        <w:jc w:val="left"/>
        <w:rPr>
          <w:rFonts w:hint="eastAsia" w:ascii="仿宋_GB2312" w:cs="仿宋_GB2312"/>
          <w:spacing w:val="2"/>
          <w:kern w:val="0"/>
          <w:sz w:val="32"/>
          <w:szCs w:val="32"/>
          <w:lang w:val="en-US" w:eastAsia="zh-CN" w:bidi="ar-SA"/>
        </w:rPr>
      </w:pPr>
      <w:r>
        <w:rPr>
          <w:rFonts w:hint="eastAsia" w:ascii="仿宋_GB2312" w:cs="仿宋_GB2312"/>
          <w:spacing w:val="2"/>
          <w:kern w:val="0"/>
          <w:sz w:val="32"/>
          <w:szCs w:val="32"/>
          <w:lang w:val="en-US" w:eastAsia="zh-CN" w:bidi="ar-SA"/>
        </w:rPr>
        <w:t>卧龙区青年联合会</w:t>
      </w:r>
    </w:p>
    <w:p>
      <w:pPr>
        <w:spacing w:line="360" w:lineRule="auto"/>
        <w:ind w:firstLine="648" w:firstLineChars="200"/>
        <w:jc w:val="left"/>
        <w:rPr>
          <w:rFonts w:ascii="??_GB2312" w:cs="??_GB2312"/>
          <w:spacing w:val="2"/>
          <w:kern w:val="0"/>
          <w:sz w:val="32"/>
          <w:szCs w:val="32"/>
        </w:rPr>
      </w:pPr>
    </w:p>
    <w:p>
      <w:pPr>
        <w:spacing w:line="360" w:lineRule="auto"/>
        <w:ind w:firstLine="648" w:firstLineChars="200"/>
        <w:jc w:val="left"/>
        <w:rPr>
          <w:rFonts w:ascii="??_GB2312" w:cs="??_GB2312"/>
          <w:spacing w:val="2"/>
          <w:kern w:val="0"/>
          <w:sz w:val="32"/>
          <w:szCs w:val="32"/>
        </w:rPr>
      </w:pPr>
    </w:p>
    <w:p>
      <w:pPr>
        <w:spacing w:line="360" w:lineRule="auto"/>
        <w:ind w:firstLine="648" w:firstLineChars="200"/>
        <w:jc w:val="left"/>
        <w:rPr>
          <w:rFonts w:ascii="??_GB2312" w:cs="??_GB2312"/>
          <w:spacing w:val="2"/>
          <w:kern w:val="0"/>
          <w:sz w:val="32"/>
          <w:szCs w:val="32"/>
        </w:rPr>
      </w:pPr>
    </w:p>
    <w:p>
      <w:pPr>
        <w:spacing w:line="360" w:lineRule="auto"/>
        <w:ind w:firstLine="648" w:firstLineChars="200"/>
        <w:jc w:val="left"/>
        <w:rPr>
          <w:rFonts w:ascii="??_GB2312" w:cs="??_GB2312"/>
          <w:spacing w:val="2"/>
          <w:kern w:val="0"/>
          <w:sz w:val="32"/>
          <w:szCs w:val="32"/>
        </w:rPr>
      </w:pPr>
    </w:p>
    <w:p>
      <w:pPr>
        <w:spacing w:line="360" w:lineRule="auto"/>
        <w:ind w:firstLine="648" w:firstLineChars="200"/>
        <w:jc w:val="left"/>
        <w:rPr>
          <w:rFonts w:ascii="??_GB2312" w:cs="??_GB2312"/>
          <w:spacing w:val="2"/>
          <w:kern w:val="0"/>
          <w:sz w:val="32"/>
          <w:szCs w:val="32"/>
        </w:rPr>
      </w:pPr>
    </w:p>
    <w:p>
      <w:pPr>
        <w:spacing w:line="360" w:lineRule="auto"/>
        <w:ind w:firstLine="648" w:firstLineChars="200"/>
        <w:jc w:val="left"/>
        <w:rPr>
          <w:rFonts w:ascii="??_GB2312" w:cs="??_GB2312"/>
          <w:spacing w:val="2"/>
          <w:kern w:val="0"/>
          <w:sz w:val="32"/>
          <w:szCs w:val="32"/>
        </w:rPr>
      </w:pPr>
    </w:p>
    <w:p>
      <w:pPr>
        <w:spacing w:line="360" w:lineRule="auto"/>
        <w:ind w:firstLine="648" w:firstLineChars="200"/>
        <w:jc w:val="left"/>
        <w:rPr>
          <w:rFonts w:ascii="??_GB2312" w:cs="??_GB2312"/>
          <w:spacing w:val="2"/>
          <w:kern w:val="0"/>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r>
        <w:rPr>
          <w:rFonts w:ascii="黑体" w:hAnsi="黑体" w:eastAsia="黑体" w:cs="黑体"/>
          <w:sz w:val="32"/>
          <w:szCs w:val="32"/>
        </w:rPr>
        <w:t xml:space="preserve">      </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pPr>
      <w:r>
        <w:rPr>
          <w:rFonts w:hint="eastAsia" w:ascii="隶书" w:hAnsi="隶书" w:eastAsia="隶书" w:cs="隶书"/>
          <w:sz w:val="48"/>
          <w:szCs w:val="48"/>
        </w:rPr>
        <w:t>共青团卧龙区委</w:t>
      </w:r>
      <w:r>
        <w:rPr>
          <w:rFonts w:ascii="隶书" w:hAnsi="隶书" w:eastAsia="隶书" w:cs="隶书"/>
          <w:sz w:val="48"/>
          <w:szCs w:val="48"/>
        </w:rPr>
        <w:t>2016</w:t>
      </w:r>
      <w:r>
        <w:rPr>
          <w:rFonts w:hint="eastAsia" w:ascii="隶书" w:hAnsi="隶书" w:eastAsia="隶书" w:cs="隶书"/>
          <w:sz w:val="48"/>
          <w:szCs w:val="48"/>
        </w:rPr>
        <w:t>年度部门决算表</w:t>
      </w: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15"/>
          <w:szCs w:val="15"/>
        </w:rPr>
      </w:pPr>
    </w:p>
    <w:p>
      <w:pPr>
        <w:jc w:val="center"/>
        <w:rPr>
          <w:rFonts w:ascii="隶书" w:hAnsi="隶书" w:eastAsia="隶书" w:cs="隶书"/>
          <w:sz w:val="15"/>
          <w:szCs w:val="15"/>
        </w:rPr>
      </w:pPr>
    </w:p>
    <w:tbl>
      <w:tblPr>
        <w:tblStyle w:val="5"/>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01</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ascii="宋体" w:cs="宋体"/>
                <w:color w:val="000000"/>
                <w:sz w:val="16"/>
                <w:szCs w:val="16"/>
              </w:rPr>
            </w:pP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r>
              <w:rPr>
                <w:rFonts w:ascii="宋体" w:hAnsi="宋体" w:cs="宋体"/>
                <w:color w:val="000000"/>
                <w:sz w:val="16"/>
                <w:szCs w:val="16"/>
              </w:rPr>
              <w:t>29.72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r>
              <w:rPr>
                <w:rFonts w:ascii="宋体" w:hAnsi="宋体" w:cs="宋体"/>
                <w:color w:val="000000"/>
                <w:sz w:val="16"/>
                <w:szCs w:val="16"/>
              </w:rPr>
              <w:t>28.79</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r>
              <w:rPr>
                <w:rFonts w:ascii="宋体" w:hAnsi="宋体" w:cs="宋体"/>
                <w:color w:val="000000"/>
                <w:sz w:val="16"/>
                <w:szCs w:val="16"/>
              </w:rPr>
              <w:t>1.04</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r>
              <w:rPr>
                <w:rFonts w:ascii="宋体" w:hAnsi="宋体" w:cs="宋体"/>
                <w:b/>
                <w:color w:val="000000"/>
                <w:sz w:val="16"/>
                <w:szCs w:val="16"/>
              </w:rPr>
              <w:t>29.72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r>
              <w:rPr>
                <w:rFonts w:ascii="宋体" w:hAnsi="宋体" w:cs="宋体"/>
                <w:b/>
                <w:color w:val="000000"/>
                <w:sz w:val="16"/>
                <w:szCs w:val="16"/>
              </w:rPr>
              <w:t>29.83</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r>
              <w:rPr>
                <w:rFonts w:ascii="宋体" w:hAnsi="宋体" w:cs="宋体"/>
                <w:color w:val="000000"/>
                <w:sz w:val="16"/>
                <w:szCs w:val="16"/>
              </w:rPr>
              <w:t>5.34</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r>
              <w:rPr>
                <w:rFonts w:ascii="宋体" w:hAnsi="宋体" w:cs="宋体"/>
                <w:color w:val="000000"/>
                <w:sz w:val="16"/>
                <w:szCs w:val="16"/>
              </w:rPr>
              <w:t>5.23</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b/>
                <w:color w:val="000000"/>
                <w:sz w:val="16"/>
                <w:szCs w:val="16"/>
              </w:rPr>
            </w:pPr>
            <w:r>
              <w:rPr>
                <w:rFonts w:ascii="宋体" w:hAnsi="宋体" w:cs="宋体"/>
                <w:b/>
                <w:color w:val="000000"/>
                <w:sz w:val="16"/>
                <w:szCs w:val="16"/>
              </w:rPr>
              <w:t>35.06</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center"/>
              <w:rPr>
                <w:rFonts w:ascii="宋体" w:cs="宋体"/>
                <w:b/>
                <w:color w:val="000000"/>
                <w:sz w:val="16"/>
                <w:szCs w:val="16"/>
              </w:rPr>
            </w:pPr>
            <w:r>
              <w:rPr>
                <w:rFonts w:ascii="宋体" w:hAnsi="宋体" w:cs="宋体"/>
                <w:b/>
                <w:color w:val="000000"/>
                <w:sz w:val="16"/>
                <w:szCs w:val="16"/>
              </w:rPr>
              <w:t>35.06</w:t>
            </w:r>
          </w:p>
        </w:tc>
      </w:tr>
      <w:tr>
        <w:tblPrEx>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注：本表反映部门本年度的总收支和年末结转结余情况。</w:t>
            </w:r>
          </w:p>
        </w:tc>
      </w:tr>
    </w:tbl>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p>
    <w:tbl>
      <w:tblPr>
        <w:tblStyle w:val="5"/>
        <w:tblW w:w="10337" w:type="dxa"/>
        <w:tblInd w:w="-827" w:type="dxa"/>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02</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w:t>
            </w:r>
            <w:r>
              <w:rPr>
                <w:rFonts w:ascii="宋体" w:hAnsi="宋体" w:cs="宋体"/>
                <w:b/>
                <w:color w:val="000000"/>
                <w:kern w:val="0"/>
                <w:sz w:val="16"/>
                <w:szCs w:val="16"/>
              </w:rPr>
              <w:t xml:space="preserve"> </w:t>
            </w:r>
            <w:r>
              <w:rPr>
                <w:rFonts w:hint="eastAsia" w:ascii="宋体" w:hAnsi="宋体" w:cs="宋体"/>
                <w:b/>
                <w:color w:val="000000"/>
                <w:kern w:val="0"/>
                <w:sz w:val="16"/>
                <w:szCs w:val="16"/>
              </w:rPr>
              <w:t>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附属单位</w:t>
            </w:r>
            <w:r>
              <w:rPr>
                <w:rFonts w:ascii="宋体" w:cs="宋体"/>
                <w:b/>
                <w:color w:val="000000"/>
                <w:kern w:val="0"/>
                <w:sz w:val="16"/>
                <w:szCs w:val="16"/>
              </w:rPr>
              <w:br w:type="textWrapping"/>
            </w:r>
            <w:r>
              <w:rPr>
                <w:rFonts w:hint="eastAsia" w:ascii="宋体" w:hAnsi="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r>
              <w:rPr>
                <w:rFonts w:ascii="宋体" w:hAnsi="宋体" w:cs="宋体"/>
                <w:b/>
                <w:color w:val="000000"/>
                <w:sz w:val="16"/>
                <w:szCs w:val="16"/>
              </w:rPr>
              <w:t>29.83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r>
              <w:rPr>
                <w:rFonts w:ascii="宋体" w:hAnsi="宋体" w:cs="宋体"/>
                <w:b/>
                <w:color w:val="000000"/>
                <w:sz w:val="16"/>
                <w:szCs w:val="16"/>
              </w:rPr>
              <w:t>29.83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一般公共服务支出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28.79</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28.79</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kern w:val="0"/>
                <w:sz w:val="16"/>
                <w:szCs w:val="16"/>
              </w:rPr>
              <w:t>20103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kern w:val="0"/>
                <w:sz w:val="16"/>
                <w:szCs w:val="16"/>
              </w:rPr>
              <w:t>政府办公厅（室）及相关机构事务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sz w:val="16"/>
                <w:szCs w:val="16"/>
              </w:rPr>
              <w:t>20129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sz w:val="16"/>
                <w:szCs w:val="16"/>
              </w:rPr>
              <w:t>群众团体事务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20.49</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20.49</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2012901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行政运行</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20.49</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20.49</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sz w:val="16"/>
                <w:szCs w:val="16"/>
              </w:rPr>
              <w:t>20199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sz w:val="16"/>
                <w:szCs w:val="16"/>
              </w:rPr>
              <w:t>其他一般公共服务支出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5.3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5.3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sz w:val="16"/>
                <w:szCs w:val="16"/>
              </w:rPr>
              <w:t>21005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sz w:val="16"/>
                <w:szCs w:val="16"/>
              </w:rPr>
              <w:t>医疗保障</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1.04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1.04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对附属单位</w:t>
            </w:r>
            <w:r>
              <w:rPr>
                <w:rFonts w:ascii="宋体" w:cs="宋体"/>
                <w:b/>
                <w:color w:val="000000"/>
                <w:kern w:val="0"/>
                <w:sz w:val="16"/>
                <w:szCs w:val="16"/>
              </w:rPr>
              <w:br w:type="textWrapping"/>
            </w:r>
            <w:r>
              <w:rPr>
                <w:rFonts w:hint="eastAsia" w:ascii="宋体" w:hAnsi="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29.83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29.83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28.79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28.79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kern w:val="0"/>
                <w:sz w:val="16"/>
                <w:szCs w:val="16"/>
              </w:rPr>
              <w:t>20103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kern w:val="0"/>
                <w:sz w:val="16"/>
                <w:szCs w:val="16"/>
              </w:rPr>
              <w:t>政府办公厅（室）及相关机构事务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sz w:val="16"/>
                <w:szCs w:val="16"/>
              </w:rPr>
              <w:t>20129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sz w:val="16"/>
                <w:szCs w:val="16"/>
              </w:rPr>
              <w:t>群众团体事务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20.49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20.49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2012901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行政运行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20.49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20.49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sz w:val="16"/>
                <w:szCs w:val="16"/>
              </w:rPr>
              <w:t>20199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sz w:val="16"/>
                <w:szCs w:val="16"/>
              </w:rPr>
              <w:t>其他一般公共服务支出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5.3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5.3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b/>
                <w:bCs/>
                <w:color w:val="000000"/>
                <w:sz w:val="16"/>
                <w:szCs w:val="16"/>
              </w:rPr>
              <w:t>21005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b/>
                <w:bCs/>
                <w:color w:val="000000"/>
                <w:sz w:val="16"/>
                <w:szCs w:val="16"/>
              </w:rPr>
              <w:t>医疗保障</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1.04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1.04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574"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04</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90"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w:t>
            </w:r>
            <w:r>
              <w:rPr>
                <w:rFonts w:ascii="宋体" w:hAnsi="宋体" w:cs="宋体"/>
                <w:b/>
                <w:color w:val="000000"/>
                <w:kern w:val="0"/>
                <w:sz w:val="16"/>
                <w:szCs w:val="16"/>
              </w:rPr>
              <w:t xml:space="preserve">    </w:t>
            </w:r>
            <w:r>
              <w:rPr>
                <w:rFonts w:hint="eastAsia" w:ascii="宋体" w:hAnsi="宋体" w:cs="宋体"/>
                <w:b/>
                <w:color w:val="000000"/>
                <w:kern w:val="0"/>
                <w:sz w:val="16"/>
                <w:szCs w:val="16"/>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29.72</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28.79</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28.79</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1.04</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1.04</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29.72</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29.83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29.83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5.34</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5.34</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77"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r>
              <w:rPr>
                <w:rFonts w:hint="eastAsia" w:ascii="宋体" w:hAnsi="宋体" w:cs="宋体"/>
                <w:b/>
                <w:color w:val="000000"/>
                <w:kern w:val="0"/>
                <w:sz w:val="16"/>
                <w:szCs w:val="16"/>
              </w:rPr>
              <w:t>总计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color w:val="000000"/>
                <w:kern w:val="0"/>
                <w:sz w:val="16"/>
                <w:szCs w:val="16"/>
              </w:rPr>
              <w:t>35.06</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hint="eastAsia" w:ascii="宋体" w:hAnsi="宋体" w:cs="宋体"/>
                <w:b/>
                <w:color w:val="000000"/>
                <w:kern w:val="0"/>
                <w:sz w:val="16"/>
                <w:szCs w:val="16"/>
              </w:rPr>
              <w:t>总计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color w:val="000000"/>
                <w:kern w:val="0"/>
                <w:sz w:val="16"/>
                <w:szCs w:val="16"/>
              </w:rPr>
              <w:t>35.06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color w:val="000000"/>
                <w:kern w:val="0"/>
                <w:sz w:val="16"/>
                <w:szCs w:val="16"/>
              </w:rPr>
              <w:t>35.06</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pPr>
      <w:r>
        <w:rPr>
          <w:rFonts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05</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29.83</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29.83</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28.79</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28.79</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ascii="宋体" w:hAnsi="宋体" w:cs="宋体"/>
                <w:b/>
                <w:bCs/>
                <w:color w:val="000000"/>
                <w:kern w:val="0"/>
                <w:sz w:val="16"/>
                <w:szCs w:val="16"/>
              </w:rPr>
              <w:t>20103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hint="eastAsia" w:ascii="宋体" w:hAnsi="宋体" w:cs="宋体"/>
                <w:b/>
                <w:bCs/>
                <w:color w:val="000000"/>
                <w:kern w:val="0"/>
                <w:sz w:val="16"/>
                <w:szCs w:val="16"/>
              </w:rPr>
              <w:t>政府办公厅（室）及相关机构事务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16"/>
                <w:szCs w:val="16"/>
              </w:rPr>
            </w:pPr>
            <w:r>
              <w:rPr>
                <w:rFonts w:ascii="宋体" w:hAnsi="宋体" w:cs="宋体"/>
                <w:b/>
                <w:bCs/>
                <w:color w:val="000000"/>
                <w:kern w:val="0"/>
                <w:sz w:val="16"/>
                <w:szCs w:val="16"/>
              </w:rPr>
              <w:t>3</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3</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ascii="宋体" w:hAnsi="宋体" w:cs="宋体"/>
                <w:b/>
                <w:bCs/>
                <w:color w:val="000000"/>
                <w:sz w:val="16"/>
                <w:szCs w:val="16"/>
              </w:rPr>
              <w:t>20129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hint="eastAsia" w:ascii="宋体" w:hAnsi="宋体" w:cs="宋体"/>
                <w:b/>
                <w:bCs/>
                <w:color w:val="000000"/>
                <w:sz w:val="16"/>
                <w:szCs w:val="16"/>
              </w:rPr>
              <w:t>群众团体事务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16"/>
                <w:szCs w:val="16"/>
              </w:rPr>
            </w:pPr>
            <w:r>
              <w:rPr>
                <w:rFonts w:ascii="宋体" w:hAnsi="宋体" w:cs="宋体"/>
                <w:b/>
                <w:bCs/>
                <w:color w:val="000000"/>
                <w:kern w:val="0"/>
                <w:sz w:val="16"/>
                <w:szCs w:val="16"/>
              </w:rPr>
              <w:t>20.49</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20.49</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2012901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20.49</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20.49</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ascii="宋体" w:hAnsi="宋体" w:cs="宋体"/>
                <w:b/>
                <w:bCs/>
                <w:color w:val="000000"/>
                <w:sz w:val="16"/>
                <w:szCs w:val="16"/>
              </w:rPr>
              <w:t>20199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hint="eastAsia" w:ascii="宋体" w:hAnsi="宋体" w:cs="宋体"/>
                <w:b/>
                <w:bCs/>
                <w:color w:val="000000"/>
                <w:sz w:val="16"/>
                <w:szCs w:val="16"/>
              </w:rPr>
              <w:t>其他一般公共服务支出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16"/>
                <w:szCs w:val="16"/>
              </w:rPr>
            </w:pPr>
            <w:r>
              <w:rPr>
                <w:rFonts w:ascii="宋体" w:hAnsi="宋体" w:cs="宋体"/>
                <w:b/>
                <w:bCs/>
                <w:color w:val="000000"/>
                <w:kern w:val="0"/>
                <w:sz w:val="16"/>
                <w:szCs w:val="16"/>
              </w:rPr>
              <w:t>5.3</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5.3</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ascii="宋体" w:hAnsi="宋体" w:cs="宋体"/>
                <w:b/>
                <w:bCs/>
                <w:color w:val="000000"/>
                <w:sz w:val="16"/>
                <w:szCs w:val="16"/>
              </w:rPr>
              <w:t>21005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bCs/>
                <w:color w:val="000000"/>
                <w:sz w:val="16"/>
                <w:szCs w:val="16"/>
              </w:rPr>
            </w:pPr>
            <w:r>
              <w:rPr>
                <w:rFonts w:hint="eastAsia" w:ascii="宋体" w:hAnsi="宋体" w:cs="宋体"/>
                <w:b/>
                <w:bCs/>
                <w:color w:val="000000"/>
                <w:sz w:val="16"/>
                <w:szCs w:val="16"/>
              </w:rPr>
              <w:t>医疗保障</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16"/>
                <w:szCs w:val="16"/>
              </w:rPr>
            </w:pPr>
            <w:r>
              <w:rPr>
                <w:rFonts w:ascii="宋体" w:hAnsi="宋体" w:cs="宋体"/>
                <w:b/>
                <w:bCs/>
                <w:color w:val="000000"/>
                <w:kern w:val="0"/>
                <w:sz w:val="16"/>
                <w:szCs w:val="16"/>
              </w:rPr>
              <w:t>1.04</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b/>
                <w:bCs/>
                <w:color w:val="000000"/>
                <w:kern w:val="0"/>
                <w:sz w:val="16"/>
                <w:szCs w:val="16"/>
              </w:rPr>
              <w:t>1.04</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600" w:hRule="atLeast"/>
        </w:trPr>
        <w:tc>
          <w:tcPr>
            <w:tcW w:w="10440" w:type="dxa"/>
            <w:gridSpan w:val="8"/>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20.46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8.94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7.49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4.29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11.3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0.6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1.04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0.21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0.15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0.1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0.42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2.27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0.15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0.3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0.1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0.51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0.63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0.34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0.34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b/>
                <w:color w:val="000000"/>
                <w:sz w:val="16"/>
                <w:szCs w:val="16"/>
              </w:rPr>
            </w:pPr>
            <w:r>
              <w:rPr>
                <w:rFonts w:ascii="宋体" w:hAnsi="宋体" w:cs="宋体"/>
                <w:b/>
                <w:color w:val="000000"/>
                <w:sz w:val="16"/>
                <w:szCs w:val="16"/>
              </w:rPr>
              <w:t>0.3</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hAnsi="宋体" w:cs="宋体"/>
                <w:color w:val="000000"/>
                <w:sz w:val="16"/>
                <w:szCs w:val="16"/>
              </w:rPr>
              <w:t>0.3</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b/>
                <w:color w:val="000000"/>
                <w:sz w:val="16"/>
                <w:szCs w:val="16"/>
              </w:rPr>
            </w:pPr>
            <w:r>
              <w:rPr>
                <w:rFonts w:ascii="宋体" w:hAnsi="宋体" w:cs="宋体"/>
                <w:b/>
                <w:color w:val="000000"/>
                <w:sz w:val="16"/>
                <w:szCs w:val="16"/>
              </w:rPr>
              <w:t>0.3</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820" w:type="dxa"/>
            <w:tcBorders>
              <w:top w:val="single" w:color="000000" w:sz="4" w:space="0"/>
              <w:left w:val="single" w:color="000000" w:sz="4" w:space="0"/>
              <w:bottom w:val="single" w:color="000000" w:sz="12" w:space="0"/>
              <w:right w:val="single" w:color="000000" w:sz="4" w:space="0"/>
            </w:tcBorders>
            <w:vAlign w:val="center"/>
          </w:tcPr>
          <w:p>
            <w:pPr>
              <w:jc w:val="center"/>
              <w:rPr>
                <w:rFonts w:ascii="宋体" w:cs="宋体"/>
                <w:color w:val="000000"/>
                <w:sz w:val="16"/>
                <w:szCs w:val="16"/>
              </w:rPr>
            </w:pPr>
            <w:r>
              <w:rPr>
                <w:rFonts w:ascii="宋体" w:cs="宋体"/>
                <w:color w:val="000000"/>
                <w:sz w:val="16"/>
                <w:szCs w:val="16"/>
              </w:rPr>
              <w:t>0</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center"/>
              <w:rPr>
                <w:rFonts w:ascii="宋体" w:cs="宋体"/>
                <w:color w:val="000000"/>
                <w:sz w:val="16"/>
                <w:szCs w:val="16"/>
              </w:rPr>
            </w:pPr>
            <w:r>
              <w:rPr>
                <w:rFonts w:ascii="宋体" w:hAnsi="宋体" w:cs="宋体"/>
                <w:color w:val="000000"/>
                <w:sz w:val="16"/>
                <w:szCs w:val="16"/>
              </w:rPr>
              <w:t>0.3</w:t>
            </w:r>
          </w:p>
        </w:tc>
      </w:tr>
      <w:tr>
        <w:tblPrEx>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kern w:val="0"/>
                <w:sz w:val="16"/>
                <w:szCs w:val="16"/>
              </w:rPr>
              <w:t>0</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r>
              <w:rPr>
                <w:rFonts w:hint="eastAsia" w:ascii="宋体" w:hAnsi="宋体" w:cs="宋体"/>
                <w:b/>
                <w:kern w:val="0"/>
                <w:sz w:val="20"/>
                <w:szCs w:val="20"/>
              </w:rPr>
              <w:t>说明：共青团卧龙区委没有政府性基金收入，也没有使用政府性基金安排的支出，故本表无数据。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共青团卧龙区委</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2016</w:t>
      </w:r>
      <w:r>
        <w:rPr>
          <w:rFonts w:hint="eastAsia" w:ascii="隶书" w:hAnsi="隶书" w:eastAsia="隶书" w:cs="隶书"/>
          <w:sz w:val="48"/>
          <w:szCs w:val="48"/>
        </w:rPr>
        <w:t>年度部门决算情况说明</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2016年度收入总计35.06万元，支出总计35.06万元，与2015年相比，收、支总计各增加1.2万元，增长3.54%。</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_GB2312" w:hAnsi="Times New Roman" w:eastAsia="Times New Roman"/>
          <w:sz w:val="32"/>
          <w:szCs w:val="32"/>
        </w:rPr>
      </w:pPr>
      <w:r>
        <w:rPr>
          <w:rFonts w:ascii="??_GB2312" w:hAnsi="宋体" w:eastAsia="Times New Roman" w:cs="Courier New"/>
          <w:sz w:val="32"/>
          <w:szCs w:val="32"/>
        </w:rPr>
        <w:t>2016年度</w:t>
      </w:r>
      <w:r>
        <w:rPr>
          <w:rFonts w:ascii="??_GB2312" w:hAnsi="Times New Roman" w:eastAsia="Times New Roman"/>
          <w:sz w:val="32"/>
          <w:szCs w:val="32"/>
        </w:rPr>
        <w:t>收入合计29.72万元，其中：财政拨款收入29.72万元，占100%。</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2016年度支出合计29.83万元，其中：基本支出29.83万元，占100%。</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2016年财政拨款收入总决算29.72万元，支出总决算29.83万元。与2015年相比，财政拨款收入总计减少4.77万元，下降13.83%，支出总计减少5.57万元，下降15.73%。</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8"/>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2016年一般公共预算财政拨款支出29.83万元，占支出合计的100%。与2015年相比，一般公共预算财政拨款支出减少5.57万元，下降15.73%。</w:t>
      </w:r>
    </w:p>
    <w:p>
      <w:pPr>
        <w:numPr>
          <w:ilvl w:val="0"/>
          <w:numId w:val="8"/>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2016年度一般公共预算财政拨款支出29.83万元，主要用于以下方面：</w:t>
      </w:r>
      <w:r>
        <w:rPr>
          <w:rFonts w:ascii="??_GB2312" w:hAnsi="宋体" w:eastAsia="Times New Roman" w:cs="Courier New"/>
          <w:b/>
          <w:bCs/>
          <w:sz w:val="32"/>
          <w:szCs w:val="32"/>
        </w:rPr>
        <w:t>一般公共服务（类）</w:t>
      </w:r>
      <w:r>
        <w:rPr>
          <w:rFonts w:ascii="??_GB2312" w:hAnsi="宋体" w:eastAsia="Times New Roman" w:cs="Courier New"/>
          <w:sz w:val="32"/>
          <w:szCs w:val="32"/>
        </w:rPr>
        <w:t>支出28.79万元，占96.51%；</w:t>
      </w:r>
      <w:r>
        <w:rPr>
          <w:rFonts w:ascii="??_GB2312" w:hAnsi="宋体" w:eastAsia="Times New Roman" w:cs="Courier New"/>
          <w:b/>
          <w:bCs/>
          <w:sz w:val="32"/>
          <w:szCs w:val="32"/>
        </w:rPr>
        <w:t>医疗卫生与计划生育</w:t>
      </w:r>
      <w:r>
        <w:rPr>
          <w:rFonts w:ascii="??_GB2312" w:hAnsi="宋体" w:eastAsia="Times New Roman" w:cs="Courier New"/>
          <w:sz w:val="32"/>
          <w:szCs w:val="32"/>
        </w:rPr>
        <w:t>支出1.04万元，占3.49%。</w:t>
      </w:r>
    </w:p>
    <w:p>
      <w:pPr>
        <w:numPr>
          <w:ilvl w:val="0"/>
          <w:numId w:val="8"/>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2016年度一般公共预算财政拨款支出年初预算为29.94万元，支出决算为29.83万元，完成年初预算的99.63%。决算数小于预算数。</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2016年一般公共预算财政拨款基本支出29.83万元，其中：</w:t>
      </w:r>
      <w:r>
        <w:rPr>
          <w:rFonts w:ascii="??_GB2312" w:hAnsi="Times New Roman" w:eastAsia="Times New Roman" w:cs="??_GB2312"/>
          <w:bCs/>
          <w:spacing w:val="-1"/>
          <w:kern w:val="0"/>
          <w:sz w:val="32"/>
          <w:szCs w:val="32"/>
        </w:rPr>
        <w:t>人员经费20.56万元</w:t>
      </w:r>
      <w:r>
        <w:rPr>
          <w:rFonts w:ascii="??_GB2312" w:hAnsi="宋体" w:eastAsia="Times New Roman" w:cs="Courier New"/>
          <w:bCs/>
          <w:sz w:val="32"/>
          <w:szCs w:val="32"/>
        </w:rPr>
        <w:t>，</w:t>
      </w:r>
      <w:r>
        <w:rPr>
          <w:rFonts w:ascii="??_GB2312" w:hAnsi="宋体" w:eastAsia="Times New Roman" w:cs="Courier New"/>
          <w:sz w:val="32"/>
          <w:szCs w:val="32"/>
        </w:rPr>
        <w:t>主要包括：基本工资、津贴补贴、奖金、社会保险缴费；</w:t>
      </w:r>
      <w:r>
        <w:rPr>
          <w:rFonts w:ascii="??_GB2312" w:hAnsi="Times New Roman" w:eastAsia="Times New Roman" w:cs="??_GB2312"/>
          <w:b/>
          <w:spacing w:val="-1"/>
          <w:kern w:val="0"/>
          <w:sz w:val="32"/>
          <w:szCs w:val="32"/>
        </w:rPr>
        <w:t>公用经费</w:t>
      </w:r>
      <w:r>
        <w:rPr>
          <w:rFonts w:ascii="??_GB2312" w:hAnsi="Times New Roman" w:eastAsia="Times New Roman" w:cs="??_GB2312"/>
          <w:spacing w:val="-2"/>
          <w:kern w:val="0"/>
          <w:sz w:val="32"/>
          <w:szCs w:val="32"/>
        </w:rPr>
        <w:t>9.27万元</w:t>
      </w:r>
      <w:r>
        <w:rPr>
          <w:rFonts w:ascii="??_GB2312" w:hAnsi="宋体" w:eastAsia="Times New Roman" w:cs="Courier New"/>
          <w:sz w:val="32"/>
          <w:szCs w:val="32"/>
        </w:rPr>
        <w:t>，主要包括：办公费、电费、邮电费、差旅费、维修（护）费、培训费、公务接待费、劳务费、办公设备购置和其他交通费用。</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三公”经费财政拨款支出预算为0.3万元，支出决算为0.3万元，完成预算的100%，其中：因公出国（境）费支出决算为0万元，完成预算的100%；公务用车购置及运行费支出决算为0万元，完成预算的100%；公务接待费支出决算为0.3万元，完成预算的100%。2016年度“三公”经费支出决算数等于预算数。</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三公”经费财政拨款支出决算数比2015年减少0.01万元，下降4.03%，其中：因公出国（境）费支出决算为0万元，无变化；公务用车购置及运行费支出决算为0万元，无变化；公务接待费支出决算减少0.01万元，下降4.03%。公务接待费支出减少的主要原因是响应号召，节约开支。</w:t>
      </w:r>
    </w:p>
    <w:p>
      <w:pPr>
        <w:numPr>
          <w:ilvl w:val="0"/>
          <w:numId w:val="9"/>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2016年度“三公”经费财政拨款支出决算中，因公出国（境）费支出决算0万元，占0%；公务用车购置及运行费支出决算0万元，占0%；公务接待费支出决算0.3万元，占100%。具体情况如下：</w:t>
      </w:r>
    </w:p>
    <w:p>
      <w:pPr>
        <w:numPr>
          <w:ilvl w:val="0"/>
          <w:numId w:val="10"/>
        </w:num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b/>
          <w:bCs/>
          <w:sz w:val="32"/>
          <w:szCs w:val="32"/>
        </w:rPr>
        <w:t>因公出国（境）费</w:t>
      </w:r>
      <w:r>
        <w:rPr>
          <w:rFonts w:ascii="??_GB2312" w:hAnsi="宋体" w:eastAsia="Times New Roman" w:cs="Courier New"/>
          <w:sz w:val="32"/>
          <w:szCs w:val="32"/>
        </w:rPr>
        <w:t>支出0万元。</w:t>
      </w:r>
    </w:p>
    <w:p>
      <w:pPr>
        <w:numPr>
          <w:ilvl w:val="0"/>
          <w:numId w:val="10"/>
        </w:num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b/>
          <w:bCs/>
          <w:sz w:val="32"/>
          <w:szCs w:val="32"/>
        </w:rPr>
        <w:t>公务用车购置及运行费</w:t>
      </w:r>
      <w:r>
        <w:rPr>
          <w:rFonts w:ascii="??_GB2312" w:hAnsi="宋体" w:eastAsia="Times New Roman" w:cs="Courier New"/>
          <w:sz w:val="32"/>
          <w:szCs w:val="32"/>
        </w:rPr>
        <w:t>支出0万元。</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2016年期末，共青团卧龙区委开支财政拨款的公务用车保有量为0辆。</w:t>
      </w:r>
    </w:p>
    <w:p>
      <w:pPr>
        <w:numPr>
          <w:ilvl w:val="0"/>
          <w:numId w:val="10"/>
        </w:numPr>
        <w:kinsoku w:val="0"/>
        <w:overflowPunct w:val="0"/>
        <w:autoSpaceDE w:val="0"/>
        <w:autoSpaceDN w:val="0"/>
        <w:adjustRightInd w:val="0"/>
        <w:snapToGrid w:val="0"/>
        <w:spacing w:line="360" w:lineRule="auto"/>
        <w:ind w:firstLine="640" w:firstLineChars="200"/>
        <w:rPr>
          <w:rFonts w:ascii="??_GB2312" w:hAnsi="宋体" w:eastAsia="Times New Roman" w:cs="Courier New"/>
          <w:b/>
          <w:bCs/>
          <w:sz w:val="32"/>
          <w:szCs w:val="32"/>
        </w:rPr>
      </w:pPr>
      <w:r>
        <w:rPr>
          <w:rFonts w:ascii="??_GB2312" w:hAnsi="宋体" w:eastAsia="Times New Roman"/>
          <w:b/>
          <w:bCs/>
          <w:sz w:val="32"/>
          <w:szCs w:val="32"/>
        </w:rPr>
        <w:t>公务接待费支出</w:t>
      </w:r>
      <w:r>
        <w:rPr>
          <w:rFonts w:ascii="??_GB2312" w:hAnsi="宋体" w:eastAsia="Times New Roman" w:cs="Courier New"/>
          <w:b/>
          <w:bCs/>
          <w:sz w:val="32"/>
          <w:szCs w:val="32"/>
        </w:rPr>
        <w:t>0.3万元。</w:t>
      </w:r>
      <w:r>
        <w:rPr>
          <w:rFonts w:ascii="??_GB2312" w:hAnsi="宋体" w:eastAsia="Times New Roman" w:cs="Courier New"/>
          <w:sz w:val="32"/>
          <w:szCs w:val="32"/>
        </w:rPr>
        <w:t>主要用于日常工作交流。共青团卧龙区委2016年度共接待国内来访批次16次、来访人员76人次（不包括陪同人员）。</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numPr>
          <w:ilvl w:val="0"/>
          <w:numId w:val="11"/>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根据财政预算管理要求，共青团卧龙区委对2016年度一般公共预算项目支出全面开展绩效自评。其中，一级项目2个，二级项目4个，共涉及预算资金29.83万元，自评覆盖率达到100%。</w:t>
      </w:r>
    </w:p>
    <w:p>
      <w:pPr>
        <w:numPr>
          <w:ilvl w:val="0"/>
          <w:numId w:val="11"/>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共青团卧龙区委在2016年度部门决算中增加一般公共预算项目绩效评价结果。根据2016年年初设定的绩效目标，一般公共预算项目自评得分为100分。</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共青团卧龙区委2016年度没有政府性基金预算财政拨款支出。</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2016年度机关运行经费支出9.27万元，比2015年减少3.65万元，下降28.23%。</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Times New Roman" w:eastAsia="楷体_GB2312" w:cs="??_GB2312"/>
          <w:bCs/>
          <w:kern w:val="0"/>
          <w:sz w:val="32"/>
          <w:szCs w:val="32"/>
        </w:rPr>
      </w:pPr>
      <w:r>
        <w:rPr>
          <w:rFonts w:hint="eastAsia" w:ascii="楷体_GB2312" w:hAnsi="Times New Roman" w:eastAsia="楷体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sz w:val="32"/>
          <w:szCs w:val="32"/>
        </w:rPr>
        <w:t>2016年度政府采购支出总额0万元。</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Times New Roman" w:eastAsia="楷体_GB2312" w:cs="??_GB2312"/>
          <w:bCs/>
          <w:kern w:val="0"/>
          <w:sz w:val="32"/>
          <w:szCs w:val="32"/>
        </w:rPr>
      </w:pPr>
      <w:r>
        <w:rPr>
          <w:rFonts w:hint="eastAsia" w:ascii="楷体_GB2312" w:hAnsi="Times New Roman" w:eastAsia="楷体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b/>
          <w:bCs/>
          <w:sz w:val="32"/>
          <w:szCs w:val="32"/>
        </w:rPr>
      </w:pPr>
      <w:r>
        <w:rPr>
          <w:rFonts w:ascii="??_GB2312" w:hAnsi="宋体" w:eastAsia="Times New Roman" w:cs="Courier New"/>
          <w:sz w:val="32"/>
          <w:szCs w:val="32"/>
        </w:rPr>
        <w:t>2016年期末，共青团卧龙区委共有车辆0辆；单价50万元以上通用设备0台（套），单位价值100万元以上专用设备0台（套）。</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b/>
          <w:bCs/>
          <w:sz w:val="32"/>
          <w:szCs w:val="32"/>
        </w:rPr>
        <w:t>一、财政拨款收入：</w:t>
      </w:r>
      <w:r>
        <w:rPr>
          <w:rFonts w:ascii="??_GB2312" w:hAnsi="宋体" w:eastAsia="Times New Roman" w:cs="Courier New"/>
          <w:sz w:val="32"/>
          <w:szCs w:val="32"/>
        </w:rPr>
        <w:t>指</w:t>
      </w:r>
      <w:r>
        <w:rPr>
          <w:rFonts w:hint="eastAsia" w:ascii="??_GB2312" w:hAnsi="宋体" w:cs="Courier New"/>
          <w:sz w:val="32"/>
          <w:szCs w:val="32"/>
        </w:rPr>
        <w:t>区</w:t>
      </w:r>
      <w:r>
        <w:rPr>
          <w:rFonts w:ascii="??_GB2312" w:hAnsi="宋体" w:eastAsia="Times New Roman" w:cs="Courier New"/>
          <w:sz w:val="32"/>
          <w:szCs w:val="32"/>
        </w:rPr>
        <w:t>级财政当年拨付的资金。</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b/>
          <w:bCs/>
          <w:sz w:val="32"/>
          <w:szCs w:val="32"/>
        </w:rPr>
        <w:t>二、年末结转和结余：</w:t>
      </w:r>
      <w:r>
        <w:rPr>
          <w:rFonts w:ascii="??_GB2312" w:hAnsi="宋体" w:eastAsia="Times New Roman"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b/>
          <w:bCs/>
          <w:sz w:val="32"/>
          <w:szCs w:val="32"/>
        </w:rPr>
        <w:t>三、基本支出：</w:t>
      </w:r>
      <w:r>
        <w:rPr>
          <w:rFonts w:ascii="??_GB2312" w:hAnsi="宋体" w:eastAsia="Times New Roman"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0" w:firstLineChars="200"/>
        <w:jc w:val="left"/>
        <w:rPr>
          <w:rFonts w:ascii="??_GB2312" w:hAnsi="宋体" w:eastAsia="Times New Roman" w:cs="Courier New"/>
          <w:sz w:val="32"/>
          <w:szCs w:val="32"/>
        </w:rPr>
      </w:pPr>
      <w:r>
        <w:rPr>
          <w:rFonts w:ascii="??_GB2312" w:hAnsi="宋体" w:eastAsia="Times New Roman" w:cs="Courier New"/>
          <w:b/>
          <w:bCs/>
          <w:sz w:val="32"/>
          <w:szCs w:val="32"/>
        </w:rPr>
        <w:t>四、“三公”经费：</w:t>
      </w:r>
      <w:r>
        <w:rPr>
          <w:rFonts w:ascii="??_GB2312" w:hAnsi="宋体" w:eastAsia="Times New Roman"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ascii="??_GB2312" w:hAnsi="宋体" w:eastAsia="Times New Roman" w:cs="Courier New"/>
          <w:sz w:val="32"/>
          <w:szCs w:val="32"/>
        </w:rPr>
      </w:pPr>
      <w:r>
        <w:rPr>
          <w:rFonts w:ascii="??_GB2312" w:hAnsi="宋体" w:eastAsia="Times New Roman" w:cs="Courier New"/>
          <w:b/>
          <w:bCs/>
          <w:sz w:val="32"/>
          <w:szCs w:val="32"/>
        </w:rPr>
        <w:t>五、机关运行经费：</w:t>
      </w:r>
      <w:r>
        <w:rPr>
          <w:rFonts w:ascii="??_GB2312" w:hAnsi="宋体" w:eastAsia="Times New Roman"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rPr>
          <w:rFonts w:ascii="??_GB2312" w:hAnsi="宋体" w:eastAsia="Times New Roman"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Segoe Print"/>
    <w:panose1 w:val="02010609000101010101"/>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文星简超黑">
    <w:altName w:val="黑体"/>
    <w:panose1 w:val="02010609000101010101"/>
    <w:charset w:val="00"/>
    <w:family w:val="auto"/>
    <w:pitch w:val="default"/>
    <w:sig w:usb0="00000000" w:usb1="00000000" w:usb2="00000000" w:usb3="00000000" w:csb0="00000000" w:csb1="00000000"/>
  </w:font>
  <w:font w:name="文星简行草">
    <w:altName w:val="Segoe Print"/>
    <w:panose1 w:val="02010609000101010101"/>
    <w:charset w:val="00"/>
    <w:family w:val="auto"/>
    <w:pitch w:val="default"/>
    <w:sig w:usb0="00000000" w:usb1="00000000" w:usb2="00000000" w:usb3="00000000" w:csb0="00000000"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文星简隶书">
    <w:altName w:val="宋体"/>
    <w:panose1 w:val="02010609000101010101"/>
    <w:charset w:val="00"/>
    <w:family w:val="auto"/>
    <w:pitch w:val="default"/>
    <w:sig w:usb0="00000000" w:usb1="00000000" w:usb2="00000000" w:usb3="00000000" w:csb0="00000000" w:csb1="00000000"/>
  </w:font>
  <w:font w:name="文星简魏体">
    <w:altName w:val="Segoe Print"/>
    <w:panose1 w:val="02010609000101010101"/>
    <w:charset w:val="00"/>
    <w:family w:val="auto"/>
    <w:pitch w:val="default"/>
    <w:sig w:usb0="00000000" w:usb1="00000000" w:usb2="00000000" w:usb3="00000000" w:csb0="00000000" w:csb1="00000000"/>
  </w:font>
  <w:font w:name="文星简黑变">
    <w:altName w:val="黑体"/>
    <w:panose1 w:val="02010609000101010101"/>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altName w:val="Gabriola"/>
    <w:panose1 w:val="04020705040A02060702"/>
    <w:charset w:val="00"/>
    <w:family w:val="auto"/>
    <w:pitch w:val="default"/>
    <w:sig w:usb0="00000000"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gency FB">
    <w:altName w:val="Malgun Gothic"/>
    <w:panose1 w:val="020B0503020202020204"/>
    <w:charset w:val="00"/>
    <w:family w:val="auto"/>
    <w:pitch w:val="default"/>
    <w:sig w:usb0="00000000"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Outlook">
    <w:altName w:val="Symbol"/>
    <w:panose1 w:val="05010100010000000000"/>
    <w:charset w:val="00"/>
    <w:family w:val="auto"/>
    <w:pitch w:val="default"/>
    <w:sig w:usb0="00000000" w:usb1="00000000" w:usb2="00000000" w:usb3="00000000" w:csb0="80000000" w:csb1="00000000"/>
  </w:font>
  <w:font w:name="Modern No. 20">
    <w:altName w:val="Segoe Print"/>
    <w:panose1 w:val="02070704070505020303"/>
    <w:charset w:val="00"/>
    <w:family w:val="auto"/>
    <w:pitch w:val="default"/>
    <w:sig w:usb0="00000000" w:usb1="00000000" w:usb2="00000000" w:usb3="00000000" w:csb0="20000001" w:csb1="00000000"/>
  </w:font>
  <w:font w:name="Miriam">
    <w:panose1 w:val="020B0502050101010101"/>
    <w:charset w:val="00"/>
    <w:family w:val="auto"/>
    <w:pitch w:val="default"/>
    <w:sig w:usb0="00000801" w:usb1="00000000" w:usb2="00000000" w:usb3="00000000" w:csb0="00000020" w:csb1="00200000"/>
  </w:font>
  <w:font w:name="Microsoft Uighur">
    <w:panose1 w:val="02000000000000000000"/>
    <w:charset w:val="00"/>
    <w:family w:val="auto"/>
    <w:pitch w:val="default"/>
    <w:sig w:usb0="00002003" w:usb1="80000000" w:usb2="00000008" w:usb3="00000000" w:csb0="00000041" w:csb1="00000000"/>
  </w:font>
  <w:font w:name="Microsoft PhagsPa">
    <w:panose1 w:val="020B0502040204020203"/>
    <w:charset w:val="00"/>
    <w:family w:val="auto"/>
    <w:pitch w:val="default"/>
    <w:sig w:usb0="00000003" w:usb1="00200000" w:usb2="08000000" w:usb3="00000000" w:csb0="00000001" w:csb1="00000000"/>
  </w:font>
  <w:font w:name="Microsoft Himalaya">
    <w:panose1 w:val="01010100010101010101"/>
    <w:charset w:val="00"/>
    <w:family w:val="auto"/>
    <w:pitch w:val="default"/>
    <w:sig w:usb0="80000003" w:usb1="00010000" w:usb2="00000040" w:usb3="00000000" w:csb0="00000001" w:csb1="00000000"/>
  </w:font>
  <w:font w:name="Matura MT Script Capitals">
    <w:altName w:val="Mongolian Baiti"/>
    <w:panose1 w:val="03020802060602070202"/>
    <w:charset w:val="00"/>
    <w:family w:val="auto"/>
    <w:pitch w:val="default"/>
    <w:sig w:usb0="00000000" w:usb1="00000000" w:usb2="00000000" w:usb3="00000000" w:csb0="20000001" w:csb1="00000000"/>
  </w:font>
  <w:font w:name="文星简大黑">
    <w:altName w:val="黑体"/>
    <w:panose1 w:val="02010609000101010101"/>
    <w:charset w:val="00"/>
    <w:family w:val="auto"/>
    <w:pitch w:val="default"/>
    <w:sig w:usb0="00000000" w:usb1="00000000" w:usb2="00000000" w:usb3="00000000" w:csb0="00000000" w:csb1="00000000"/>
  </w:font>
  <w:font w:name="文星简中圆">
    <w:altName w:val="Segoe Print"/>
    <w:panose1 w:val="02010609000101010101"/>
    <w:charset w:val="00"/>
    <w:family w:val="auto"/>
    <w:pitch w:val="default"/>
    <w:sig w:usb0="00000000" w:usb1="00000000" w:usb2="00000000" w:usb3="00000000" w:csb0="00000000"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Segoe Print"/>
    <w:panose1 w:val="02010609000101010101"/>
    <w:charset w:val="00"/>
    <w:family w:val="auto"/>
    <w:pitch w:val="default"/>
    <w:sig w:usb0="00000000" w:usb1="00000000" w:usb2="00000000" w:usb3="00000000" w:csb0="00000000"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文星简舒同">
    <w:altName w:val="Segoe Print"/>
    <w:panose1 w:val="02010609000101010101"/>
    <w:charset w:val="00"/>
    <w:family w:val="auto"/>
    <w:pitch w:val="default"/>
    <w:sig w:usb0="00000000" w:usb1="00000000" w:usb2="00000000" w:usb3="00000000" w:csb0="00000000" w:csb1="00000000"/>
  </w:font>
  <w:font w:name="文星简粗黑">
    <w:altName w:val="黑体"/>
    <w:panose1 w:val="02010609000101010101"/>
    <w:charset w:val="00"/>
    <w:family w:val="auto"/>
    <w:pitch w:val="default"/>
    <w:sig w:usb0="00000000" w:usb1="00000000" w:usb2="00000000" w:usb3="00000000" w:csb0="00000000" w:csb1="00000000"/>
  </w:font>
  <w:font w:name="文星简彩云">
    <w:altName w:val="Segoe Print"/>
    <w:panose1 w:val="02010609000101010101"/>
    <w:charset w:val="00"/>
    <w:family w:val="auto"/>
    <w:pitch w:val="default"/>
    <w:sig w:usb0="00000000" w:usb1="00000000" w:usb2="00000000" w:usb3="00000000" w:csb0="00000000" w:csb1="00000000"/>
  </w:font>
  <w:font w:name="文星简大标宋">
    <w:altName w:val="微软雅黑"/>
    <w:panose1 w:val="02010609000101010101"/>
    <w:charset w:val="00"/>
    <w:family w:val="auto"/>
    <w:pitch w:val="default"/>
    <w:sig w:usb0="00000000" w:usb1="00000000" w:usb2="00000000" w:usb3="00000000" w:csb0="00000000" w:csb1="00000000"/>
  </w:font>
  <w:font w:name="文星简行楷">
    <w:altName w:val="宋体"/>
    <w:panose1 w:val="02010609000101010101"/>
    <w:charset w:val="00"/>
    <w:family w:val="auto"/>
    <w:pitch w:val="default"/>
    <w:sig w:usb0="00000000" w:usb1="00000000" w:usb2="00000000" w:usb3="00000000" w:csb0="00000000" w:csb1="00000000"/>
  </w:font>
  <w:font w:name="文星简综艺">
    <w:altName w:val="Segoe Print"/>
    <w:panose1 w:val="02010609000101010101"/>
    <w:charset w:val="00"/>
    <w:family w:val="auto"/>
    <w:pitch w:val="default"/>
    <w:sig w:usb0="00000000" w:usb1="00000000" w:usb2="00000000" w:usb3="00000000" w:csb0="00000000" w:csb1="00000000"/>
  </w:font>
  <w:font w:name="文星简美黑">
    <w:altName w:val="黑体"/>
    <w:panose1 w:val="02010609000101010101"/>
    <w:charset w:val="00"/>
    <w:family w:val="auto"/>
    <w:pitch w:val="default"/>
    <w:sig w:usb0="00000000" w:usb1="00000000" w:usb2="00000000" w:usb3="00000000" w:csb0="00000000" w:csb1="00000000"/>
  </w:font>
  <w:font w:name="文星简胖头鱼">
    <w:altName w:val="Segoe Print"/>
    <w:panose1 w:val="02010609000101010101"/>
    <w:charset w:val="00"/>
    <w:family w:val="auto"/>
    <w:pitch w:val="default"/>
    <w:sig w:usb0="00000000" w:usb1="00000000" w:usb2="00000000" w:usb3="00000000" w:csb0="00000000" w:csb1="00000000"/>
  </w:font>
  <w:font w:name="文星简楷宋">
    <w:altName w:val="宋体"/>
    <w:panose1 w:val="02010609000101010101"/>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 w:name="Symbol">
    <w:panose1 w:val="05050102010706020507"/>
    <w:charset w:val="00"/>
    <w:family w:val="auto"/>
    <w:pitch w:val="default"/>
    <w:sig w:usb0="00000000" w:usb1="00000000" w:usb2="00000000" w:usb3="00000000" w:csb0="80000000" w:csb1="00000000"/>
  </w:font>
  <w:font w:name="Mongolian Baiti">
    <w:panose1 w:val="03000500000000000000"/>
    <w:charset w:val="00"/>
    <w:family w:val="auto"/>
    <w:pitch w:val="default"/>
    <w:sig w:usb0="80000023" w:usb1="00000000" w:usb2="0002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Sans Serif">
    <w:panose1 w:val="020B0604020202020204"/>
    <w:charset w:val="00"/>
    <w:family w:val="auto"/>
    <w:pitch w:val="default"/>
    <w:sig w:usb0="E1002AFF" w:usb1="C0000002" w:usb2="00000008" w:usb3="00000000" w:csb0="200101FF" w:csb1="20280000"/>
  </w:font>
  <w:font w:name="Vrinda">
    <w:panose1 w:val="020B0502040204020203"/>
    <w:charset w:val="00"/>
    <w:family w:val="auto"/>
    <w:pitch w:val="default"/>
    <w:sig w:usb0="00010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- 9 -</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4">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5">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6">
    <w:nsid w:val="5971E2D2"/>
    <w:multiLevelType w:val="singleLevel"/>
    <w:tmpl w:val="5971E2D2"/>
    <w:lvl w:ilvl="0" w:tentative="0">
      <w:start w:val="1"/>
      <w:numFmt w:val="decimal"/>
      <w:suff w:val="nothing"/>
      <w:lvlText w:val="%1．"/>
      <w:lvlJc w:val="left"/>
      <w:pPr>
        <w:ind w:firstLine="400"/>
      </w:pPr>
      <w:rPr>
        <w:rFonts w:hint="default" w:cs="Times New Roman"/>
      </w:rPr>
    </w:lvl>
  </w:abstractNum>
  <w:abstractNum w:abstractNumId="7">
    <w:nsid w:val="5971E776"/>
    <w:multiLevelType w:val="singleLevel"/>
    <w:tmpl w:val="5971E776"/>
    <w:lvl w:ilvl="0" w:tentative="0">
      <w:start w:val="1"/>
      <w:numFmt w:val="chineseCounting"/>
      <w:suff w:val="nothing"/>
      <w:lvlText w:val="（%1）"/>
      <w:lvlJc w:val="left"/>
      <w:pPr>
        <w:ind w:firstLine="420"/>
      </w:pPr>
      <w:rPr>
        <w:rFonts w:hint="eastAsia" w:cs="Times New Roman"/>
      </w:rPr>
    </w:lvl>
  </w:abstractNum>
  <w:abstractNum w:abstractNumId="8">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abstractNum w:abstractNumId="9">
    <w:nsid w:val="5A0276F0"/>
    <w:multiLevelType w:val="singleLevel"/>
    <w:tmpl w:val="5A0276F0"/>
    <w:lvl w:ilvl="0" w:tentative="0">
      <w:start w:val="1"/>
      <w:numFmt w:val="decimal"/>
      <w:lvlText w:val="%1."/>
      <w:lvlJc w:val="left"/>
      <w:pPr>
        <w:tabs>
          <w:tab w:val="left" w:pos="312"/>
        </w:tabs>
      </w:pPr>
    </w:lvl>
  </w:abstractNum>
  <w:abstractNum w:abstractNumId="10">
    <w:nsid w:val="5A03C882"/>
    <w:multiLevelType w:val="singleLevel"/>
    <w:tmpl w:val="5A03C882"/>
    <w:lvl w:ilvl="0" w:tentative="0">
      <w:start w:val="1"/>
      <w:numFmt w:val="chineseCounting"/>
      <w:suff w:val="nothing"/>
      <w:lvlText w:val="第%1部"/>
      <w:lvlJc w:val="left"/>
    </w:lvl>
  </w:abstractNum>
  <w:abstractNum w:abstractNumId="11">
    <w:nsid w:val="5A03C977"/>
    <w:multiLevelType w:val="singleLevel"/>
    <w:tmpl w:val="5A03C977"/>
    <w:lvl w:ilvl="0" w:tentative="0">
      <w:start w:val="1"/>
      <w:numFmt w:val="chineseCounting"/>
      <w:suff w:val="nothing"/>
      <w:lvlText w:val="（%1）"/>
      <w:lvlJc w:val="left"/>
    </w:lvl>
  </w:abstractNum>
  <w:num w:numId="1">
    <w:abstractNumId w:val="10"/>
  </w:num>
  <w:num w:numId="2">
    <w:abstractNumId w:val="0"/>
  </w:num>
  <w:num w:numId="3">
    <w:abstractNumId w:val="1"/>
  </w:num>
  <w:num w:numId="4">
    <w:abstractNumId w:val="11"/>
  </w:num>
  <w:num w:numId="5">
    <w:abstractNumId w:val="2"/>
  </w:num>
  <w:num w:numId="6">
    <w:abstractNumId w:val="9"/>
  </w:num>
  <w:num w:numId="7">
    <w:abstractNumId w:val="3"/>
  </w:num>
  <w:num w:numId="8">
    <w:abstractNumId w:val="4"/>
  </w:num>
  <w:num w:numId="9">
    <w:abstractNumId w:val="5"/>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B5A03"/>
    <w:rsid w:val="001150B0"/>
    <w:rsid w:val="00172A27"/>
    <w:rsid w:val="00204C12"/>
    <w:rsid w:val="00207552"/>
    <w:rsid w:val="002929B4"/>
    <w:rsid w:val="00346825"/>
    <w:rsid w:val="003F342A"/>
    <w:rsid w:val="00401FED"/>
    <w:rsid w:val="004A1E84"/>
    <w:rsid w:val="007E1147"/>
    <w:rsid w:val="009108DE"/>
    <w:rsid w:val="00A57363"/>
    <w:rsid w:val="00AA7ED8"/>
    <w:rsid w:val="00AE3FDA"/>
    <w:rsid w:val="00B458CF"/>
    <w:rsid w:val="00BA5F68"/>
    <w:rsid w:val="00CB3BAC"/>
    <w:rsid w:val="00CD71F9"/>
    <w:rsid w:val="02A848A2"/>
    <w:rsid w:val="02E81BB8"/>
    <w:rsid w:val="04453648"/>
    <w:rsid w:val="0517611B"/>
    <w:rsid w:val="05DB00B9"/>
    <w:rsid w:val="09BB2134"/>
    <w:rsid w:val="0C8C27F0"/>
    <w:rsid w:val="0CA434B9"/>
    <w:rsid w:val="0D5315D0"/>
    <w:rsid w:val="0E4C156E"/>
    <w:rsid w:val="0F723127"/>
    <w:rsid w:val="0FBA53DF"/>
    <w:rsid w:val="10BD4691"/>
    <w:rsid w:val="11585E8B"/>
    <w:rsid w:val="13D54C25"/>
    <w:rsid w:val="15037E07"/>
    <w:rsid w:val="15492582"/>
    <w:rsid w:val="15896924"/>
    <w:rsid w:val="165F502B"/>
    <w:rsid w:val="18AB52F8"/>
    <w:rsid w:val="18F44D57"/>
    <w:rsid w:val="1A325408"/>
    <w:rsid w:val="1AB02A82"/>
    <w:rsid w:val="1D415527"/>
    <w:rsid w:val="1E7D3B34"/>
    <w:rsid w:val="20261BAA"/>
    <w:rsid w:val="212A3A55"/>
    <w:rsid w:val="22A51050"/>
    <w:rsid w:val="25E60825"/>
    <w:rsid w:val="27A14472"/>
    <w:rsid w:val="27AD3A2B"/>
    <w:rsid w:val="27BB0543"/>
    <w:rsid w:val="283D43BA"/>
    <w:rsid w:val="29B70F08"/>
    <w:rsid w:val="2AEA0D63"/>
    <w:rsid w:val="2BA4769A"/>
    <w:rsid w:val="2CD06EF4"/>
    <w:rsid w:val="2D240227"/>
    <w:rsid w:val="2F335194"/>
    <w:rsid w:val="30963758"/>
    <w:rsid w:val="32EF40CE"/>
    <w:rsid w:val="34920D5F"/>
    <w:rsid w:val="35AB7798"/>
    <w:rsid w:val="361658E5"/>
    <w:rsid w:val="372974AC"/>
    <w:rsid w:val="37515EC2"/>
    <w:rsid w:val="37CA19B3"/>
    <w:rsid w:val="37DA64CA"/>
    <w:rsid w:val="3949702E"/>
    <w:rsid w:val="3BE408BA"/>
    <w:rsid w:val="3C7F703B"/>
    <w:rsid w:val="3D70189E"/>
    <w:rsid w:val="3F0F6E67"/>
    <w:rsid w:val="3FD844EF"/>
    <w:rsid w:val="4067722C"/>
    <w:rsid w:val="4164432B"/>
    <w:rsid w:val="42271DDB"/>
    <w:rsid w:val="428422CE"/>
    <w:rsid w:val="43910C0D"/>
    <w:rsid w:val="46E9725B"/>
    <w:rsid w:val="48157D84"/>
    <w:rsid w:val="48B52937"/>
    <w:rsid w:val="48EE3EF3"/>
    <w:rsid w:val="4B7674B6"/>
    <w:rsid w:val="4C1E2F28"/>
    <w:rsid w:val="4C9619E3"/>
    <w:rsid w:val="4CFC29CC"/>
    <w:rsid w:val="4D6E1856"/>
    <w:rsid w:val="502C04C1"/>
    <w:rsid w:val="51DE24AB"/>
    <w:rsid w:val="52A574CA"/>
    <w:rsid w:val="534C281C"/>
    <w:rsid w:val="5651051D"/>
    <w:rsid w:val="56EC004A"/>
    <w:rsid w:val="57DC433E"/>
    <w:rsid w:val="57E961A8"/>
    <w:rsid w:val="58196F1D"/>
    <w:rsid w:val="581E77CF"/>
    <w:rsid w:val="585365EC"/>
    <w:rsid w:val="58B06254"/>
    <w:rsid w:val="59E923CE"/>
    <w:rsid w:val="5A443B72"/>
    <w:rsid w:val="5AF25131"/>
    <w:rsid w:val="5C0623EA"/>
    <w:rsid w:val="5C2110FE"/>
    <w:rsid w:val="5E8827C9"/>
    <w:rsid w:val="5E8B310E"/>
    <w:rsid w:val="5F7D70C2"/>
    <w:rsid w:val="600176AC"/>
    <w:rsid w:val="60E76BB6"/>
    <w:rsid w:val="62342645"/>
    <w:rsid w:val="6239194C"/>
    <w:rsid w:val="625759F8"/>
    <w:rsid w:val="62604403"/>
    <w:rsid w:val="64642512"/>
    <w:rsid w:val="65327EE6"/>
    <w:rsid w:val="65332BB8"/>
    <w:rsid w:val="664A46E0"/>
    <w:rsid w:val="66755D81"/>
    <w:rsid w:val="68A121F7"/>
    <w:rsid w:val="68A9241E"/>
    <w:rsid w:val="6AD672A9"/>
    <w:rsid w:val="6B322030"/>
    <w:rsid w:val="6B6D695A"/>
    <w:rsid w:val="6FD41D7F"/>
    <w:rsid w:val="71416189"/>
    <w:rsid w:val="7149116E"/>
    <w:rsid w:val="72416639"/>
    <w:rsid w:val="738C1FE2"/>
    <w:rsid w:val="73F72984"/>
    <w:rsid w:val="74FF387E"/>
    <w:rsid w:val="75531EF6"/>
    <w:rsid w:val="75750089"/>
    <w:rsid w:val="75D0003D"/>
    <w:rsid w:val="764F106A"/>
    <w:rsid w:val="764F7877"/>
    <w:rsid w:val="78785B76"/>
    <w:rsid w:val="7AA141FF"/>
    <w:rsid w:val="7B100F92"/>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locked/>
    <w:uiPriority w:val="99"/>
    <w:rPr>
      <w:rFonts w:ascii="Calibri" w:hAnsi="Calibri" w:cs="Times New Roman"/>
      <w:sz w:val="18"/>
      <w:szCs w:val="18"/>
    </w:rPr>
  </w:style>
  <w:style w:type="character" w:customStyle="1" w:styleId="7">
    <w:name w:val="Header Char"/>
    <w:basedOn w:val="4"/>
    <w:link w:val="3"/>
    <w:semiHidden/>
    <w:locked/>
    <w:uiPriority w:val="99"/>
    <w:rPr>
      <w:rFonts w:ascii="Calibri" w:hAnsi="Calibri" w:cs="Times New Roman"/>
      <w:sz w:val="18"/>
      <w:szCs w:val="18"/>
    </w:rPr>
  </w:style>
  <w:style w:type="character" w:customStyle="1" w:styleId="8">
    <w:name w:val="font31"/>
    <w:basedOn w:val="4"/>
    <w:uiPriority w:val="99"/>
    <w:rPr>
      <w:rFonts w:ascii="Arial" w:hAnsi="Arial" w:cs="Arial"/>
      <w:color w:val="000000"/>
      <w:sz w:val="16"/>
      <w:szCs w:val="16"/>
      <w:u w:val="none"/>
    </w:rPr>
  </w:style>
  <w:style w:type="character" w:customStyle="1" w:styleId="9">
    <w:name w:val="font01"/>
    <w:basedOn w:val="4"/>
    <w:uiPriority w:val="99"/>
    <w:rPr>
      <w:rFonts w:ascii="Arial" w:hAnsi="Arial" w:cs="Arial"/>
      <w:color w:val="000000"/>
      <w:sz w:val="16"/>
      <w:szCs w:val="16"/>
      <w:u w:val="none"/>
    </w:rPr>
  </w:style>
  <w:style w:type="character" w:customStyle="1" w:styleId="10">
    <w:name w:val="font41"/>
    <w:basedOn w:val="4"/>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1198</Words>
  <Characters>6835</Characters>
  <Lines>0</Lines>
  <Paragraphs>0</Paragraphs>
  <TotalTime>0</TotalTime>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2017-09-06T02:11:00Z</cp:lastPrinted>
  <dcterms:modified xsi:type="dcterms:W3CDTF">2017-11-09T03:17:00Z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