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ind w:firstLine="2600" w:firstLineChars="500"/>
        <w:rPr>
          <w:rFonts w:ascii="黑体" w:hAnsi="黑体" w:eastAsia="黑体" w:cs="黑体"/>
          <w:sz w:val="52"/>
          <w:szCs w:val="52"/>
        </w:rPr>
      </w:pPr>
      <w:r>
        <w:rPr>
          <w:rFonts w:hint="eastAsia" w:ascii="方正小标宋简体" w:hAnsi="方正小标宋简体" w:eastAsia="方正小标宋简体" w:cs="方正小标宋简体"/>
          <w:sz w:val="52"/>
          <w:szCs w:val="52"/>
        </w:rPr>
        <w:t>卧龙区</w:t>
      </w:r>
      <w:r>
        <w:rPr>
          <w:rFonts w:hint="eastAsia" w:ascii="隶书" w:hAnsi="隶书" w:eastAsia="隶书" w:cs="隶书"/>
          <w:sz w:val="52"/>
          <w:szCs w:val="52"/>
        </w:rPr>
        <w:t>农业局</w:t>
      </w:r>
    </w:p>
    <w:p>
      <w:pPr>
        <w:jc w:val="center"/>
        <w:rPr>
          <w:rFonts w:ascii="隶书" w:hAnsi="隶书" w:eastAsia="隶书" w:cs="隶书"/>
          <w:sz w:val="52"/>
          <w:szCs w:val="52"/>
        </w:rPr>
        <w:sectPr>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52"/>
          <w:szCs w:val="52"/>
        </w:rPr>
        <w:t>2016年度部门决算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卧龙区农业局概况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主要职责</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卧龙区农业局2016年度部门决算表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卧龙区农业局2016年度部门决算情况说明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0" w:num="1"/>
          <w:docGrid w:type="lines" w:linePitch="317"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48"/>
          <w:szCs w:val="48"/>
        </w:rPr>
        <w:t>第一部分　卧龙区农业局概况</w:t>
      </w:r>
    </w:p>
    <w:p>
      <w:pPr>
        <w:numPr>
          <w:ilvl w:val="0"/>
          <w:numId w:val="2"/>
        </w:numPr>
        <w:spacing w:line="360" w:lineRule="auto"/>
        <w:ind w:firstLine="643" w:firstLineChars="200"/>
        <w:jc w:val="left"/>
        <w:outlineLvl w:val="1"/>
        <w:rPr>
          <w:rFonts w:hint="eastAsia" w:cs="黑体" w:asciiTheme="majorEastAsia" w:hAnsiTheme="majorEastAsia" w:eastAsiaTheme="majorEastAsia"/>
          <w:b/>
          <w:sz w:val="32"/>
          <w:szCs w:val="32"/>
        </w:rPr>
      </w:pPr>
      <w:r>
        <w:rPr>
          <w:rFonts w:hint="eastAsia" w:cs="黑体" w:asciiTheme="majorEastAsia" w:hAnsiTheme="majorEastAsia" w:eastAsiaTheme="majorEastAsia"/>
          <w:b/>
          <w:sz w:val="32"/>
          <w:szCs w:val="32"/>
        </w:rPr>
        <w:t>主要职责</w:t>
      </w:r>
    </w:p>
    <w:p>
      <w:pPr>
        <w:pStyle w:val="4"/>
        <w:widowControl w:val="0"/>
        <w:spacing w:before="0" w:beforeAutospacing="0" w:after="0" w:afterAutospacing="0" w:line="580" w:lineRule="exact"/>
        <w:ind w:firstLine="640" w:firstLineChars="2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一）贯彻落实国家、省、市有关农业、畜牧业经济发展战略、方针、政策、法规和中长期发展规划。拟订全区农业、畜牧业、农村经济发展和农业经济结构调整的措施、战略、规划并组织实施。推进农业畜牧依法行政。</w:t>
      </w:r>
    </w:p>
    <w:p>
      <w:pPr>
        <w:pStyle w:val="4"/>
        <w:widowControl w:val="0"/>
        <w:spacing w:before="0" w:beforeAutospacing="0" w:after="0" w:afterAutospacing="0" w:line="580" w:lineRule="exact"/>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 xml:space="preserve">    （二）承担完善全区农村经营管理体制责任。提出稳定和完善农村基本经营制度的措施建议，指导农村土地承包、耕地使用权流转和承包纠纷仲裁管理。研究提出有关减轻农民负担的措施建议；指导、监督减轻农民负担和村民筹资筹劳管理工作，监督惠农政策落实。指导农村集体资产和财务管理。指导、扶持农业社会化服务体系、农村合作经济组织、新型农业经营主体建设与发展。</w:t>
      </w:r>
    </w:p>
    <w:p>
      <w:pPr>
        <w:pStyle w:val="4"/>
        <w:widowControl w:val="0"/>
        <w:spacing w:before="0" w:beforeAutospacing="0" w:after="0" w:afterAutospacing="0" w:line="580" w:lineRule="exact"/>
        <w:ind w:firstLine="640" w:firstLineChars="2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三）指导全区粮食等主要农产品生产。组织落实促进粮食等主要农产品生产发展的相关措施，引导农业产业结构调整和产品品质改善；会同有关部门指导农业标准化、规模化生产。负责提出全区农业固定资产投资规模、方向和财政性资金安排意见，按区政府规定权限审批、核准区规划内和年度计划规模内固定资产投资项目。编报部门预算并组织执行，提出扶持农业农村发展的财政措施和项目建议，与区财政部门协商并共同组织实施。拟订农业开发规划并监督实施。配合区财政部门组织实施农业综合开发有关项目。负责全区棉、菜、油、瓜、麻等经济作物的发展规划、生产布局等有关工作。</w:t>
      </w:r>
    </w:p>
    <w:p>
      <w:pPr>
        <w:pStyle w:val="4"/>
        <w:widowControl w:val="0"/>
        <w:spacing w:before="0" w:beforeAutospacing="0" w:after="0" w:afterAutospacing="0" w:line="580" w:lineRule="exact"/>
        <w:ind w:firstLine="640" w:firstLineChars="2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四）承担农业防灾减灾责任。监测、发布灾情，提出生产救灾资金安排建议，指导紧急救灾和灾后生产恢复。负责全区农作物重大病虫害防治。指导植物防疫和检疫体系建设。组织、监督对国内植物的防疫检疫工作，发布疫情并组织扑灭。组织植物检疫性有害生物普查。</w:t>
      </w:r>
    </w:p>
    <w:p>
      <w:pPr>
        <w:pStyle w:val="4"/>
        <w:widowControl w:val="0"/>
        <w:spacing w:before="0" w:beforeAutospacing="0" w:after="0" w:afterAutospacing="0" w:line="580" w:lineRule="exact"/>
        <w:rPr>
          <w:rFonts w:hint="eastAsia" w:cs="仿宋_GB2312" w:asciiTheme="majorEastAsia" w:hAnsiTheme="majorEastAsia" w:eastAsiaTheme="majorEastAsia"/>
          <w:color w:val="FF0000"/>
          <w:sz w:val="32"/>
          <w:szCs w:val="32"/>
        </w:rPr>
      </w:pPr>
      <w:r>
        <w:rPr>
          <w:rFonts w:hint="eastAsia" w:cs="仿宋_GB2312" w:asciiTheme="majorEastAsia" w:hAnsiTheme="majorEastAsia" w:eastAsiaTheme="majorEastAsia"/>
          <w:sz w:val="32"/>
          <w:szCs w:val="32"/>
        </w:rPr>
        <w:t xml:space="preserve">    （五）促进农业产前、产中、产后一体化发展。拟订农业产业化经营和农产品加工业发展规划与措施并组织实施。提出农业产业保护和农产品流通措施建议。指导农产品加工业结构调整、技术创新和服务体系建设。组织拟订农产品市场体系建设与发展规划。</w:t>
      </w:r>
    </w:p>
    <w:p>
      <w:pPr>
        <w:pStyle w:val="4"/>
        <w:widowControl w:val="0"/>
        <w:spacing w:before="0" w:beforeAutospacing="0" w:after="0" w:afterAutospacing="0" w:line="580" w:lineRule="exact"/>
        <w:ind w:firstLine="640" w:firstLineChars="2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六）承担提升全区农产品、畜产品质量安全水平责任。负责农畜产品质量安全监测，依法开展农畜产品质量安全风险评估，发布有关农畜产品质量安全状况信息。依法实施符合安全标准的农产品畜产品认证申报和监督管理。依法实施对农作物种子（种苗）、农药的许可及监督管理。监督实施有关农业生产资料地方标准。负责对有关肥料的监督管理。负责制定农产品畜产品质量安全监测计划并组织实施。负责农畜产品质量安全事件应急管理工作。</w:t>
      </w:r>
    </w:p>
    <w:p>
      <w:pPr>
        <w:pStyle w:val="4"/>
        <w:widowControl w:val="0"/>
        <w:spacing w:before="0" w:beforeAutospacing="0" w:after="0" w:afterAutospacing="0" w:line="580" w:lineRule="exact"/>
        <w:ind w:firstLine="640" w:firstLineChars="2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七）负责指导全区农业信息化体系建设。牵头拟订农业信息化发展规划、制度、规范。开展相关农业综合统计工作，发布农业和农村经济信息，指导农业信息服务工作；监测分析农业和农村经济运行情况，提出农产品市场调控的措施建议。开展培育农产品品牌工作。</w:t>
      </w:r>
    </w:p>
    <w:p>
      <w:pPr>
        <w:pStyle w:val="4"/>
        <w:widowControl w:val="0"/>
        <w:spacing w:before="0" w:beforeAutospacing="0" w:after="0" w:afterAutospacing="0" w:line="580" w:lineRule="exact"/>
        <w:ind w:firstLine="640" w:firstLineChars="2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八）拟订全区农业畜牧业科技、教育、技术推广规划、计划和有关措施并组织实施。会同有关部门组织全区农业畜牧业科技创新体系和现代农业产业技术体系建设，实施科教兴农战略，组织开展农业畜牧业领域的高新技术和应用技术研究、农业畜牧业科技成果转化和技术推广。负责农技、畜牧兽医科技推广体系和科技推广队伍建设。负责农业转基因生物安全监督管理。</w:t>
      </w:r>
    </w:p>
    <w:p>
      <w:pPr>
        <w:pStyle w:val="4"/>
        <w:widowControl w:val="0"/>
        <w:spacing w:before="0" w:beforeAutospacing="0" w:after="0" w:afterAutospacing="0" w:line="580" w:lineRule="exact"/>
        <w:ind w:firstLine="640" w:firstLineChars="2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九）会同有关部门拟订全区农业农村人才、畜牧业人才队伍建设规划并组织实施，指导农业教育和农业职业技能开发工作，参与实施农村实用人才培训工程。会同有关部门依法实施农业农村人才专业技术资格和从业资格管理。</w:t>
      </w:r>
    </w:p>
    <w:p>
      <w:pPr>
        <w:pStyle w:val="4"/>
        <w:widowControl w:val="0"/>
        <w:spacing w:before="0" w:beforeAutospacing="0" w:after="0" w:afterAutospacing="0" w:line="580" w:lineRule="exact"/>
        <w:ind w:firstLine="640" w:firstLineChars="2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十）制定并实施全区农业生态建设规划，指导农村可再生能源综合开发与利用，指导农业生物质产业发展和农业农村节能减排，指导开展畜牧业环保工作，承担并指导农业面源污染治理。划定农产品禁止生产区域，指导生态农业、都市农业、循环农业等发展。组织协调“菜篮子”工程建设。负责农业植物新品种和农业野生植物保护，牵头管理外来物种。</w:t>
      </w:r>
    </w:p>
    <w:p>
      <w:pPr>
        <w:pStyle w:val="4"/>
        <w:widowControl w:val="0"/>
        <w:spacing w:before="0" w:beforeAutospacing="0" w:after="0" w:afterAutospacing="0" w:line="580" w:lineRule="exact"/>
        <w:ind w:firstLine="640" w:firstLineChars="2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十一）指导现代农业示范区建设。承担指导农用地、宜农滩涂、宜农湿地以及农业生物物种资源的保护和管理。拟订耕地及基本农田质量保护与改良措施并指导实施，依法管理耕地质量。运用工程设施、农艺、农机、生物等措施发展节水农业。</w:t>
      </w:r>
    </w:p>
    <w:p>
      <w:pPr>
        <w:pStyle w:val="4"/>
        <w:widowControl w:val="0"/>
        <w:spacing w:before="0" w:beforeAutospacing="0" w:after="0" w:afterAutospacing="0" w:line="580" w:lineRule="exact"/>
        <w:ind w:firstLine="640" w:firstLineChars="2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十二）承担政府间农业涉外事务。参与农业贸易谈判工作，组织开展全区农业贸易促进和农业对外经济、技术交流合作。提出主要农产品的进出口建议，负责农产品出口基地建设并配合有关部门做好农产品出口工作。</w:t>
      </w:r>
    </w:p>
    <w:p>
      <w:pPr>
        <w:pStyle w:val="4"/>
        <w:widowControl w:val="0"/>
        <w:spacing w:before="0" w:beforeAutospacing="0" w:after="0" w:afterAutospacing="0" w:line="580" w:lineRule="exact"/>
        <w:ind w:firstLine="640" w:firstLineChars="200"/>
        <w:rPr>
          <w:rFonts w:hint="eastAsia" w:cs="仿宋_GB2312" w:asciiTheme="majorEastAsia" w:hAnsiTheme="majorEastAsia" w:eastAsiaTheme="majorEastAsia"/>
          <w:color w:val="FF0000"/>
          <w:sz w:val="32"/>
          <w:szCs w:val="32"/>
        </w:rPr>
      </w:pPr>
      <w:r>
        <w:rPr>
          <w:rFonts w:hint="eastAsia" w:cs="仿宋_GB2312" w:asciiTheme="majorEastAsia" w:hAnsiTheme="majorEastAsia" w:eastAsiaTheme="majorEastAsia"/>
          <w:sz w:val="32"/>
          <w:szCs w:val="32"/>
        </w:rPr>
        <w:t>（十三）指导全区畜牧业生产。引导畜牧业结构调整、区域布局和优质畜产品生产基地建设，指导畜牧业规模化、标准化、生态化、产业化发展和信息化建设。负责畜牧业统计分析、监测预警与信息发布工作。</w:t>
      </w:r>
    </w:p>
    <w:p>
      <w:pPr>
        <w:pStyle w:val="4"/>
        <w:widowControl w:val="0"/>
        <w:spacing w:before="0" w:beforeAutospacing="0" w:after="0" w:afterAutospacing="0" w:line="580" w:lineRule="exact"/>
        <w:rPr>
          <w:rFonts w:hint="eastAsia" w:cs="仿宋_GB2312" w:asciiTheme="majorEastAsia" w:hAnsiTheme="majorEastAsia" w:eastAsiaTheme="majorEastAsia"/>
          <w:color w:val="FF0000"/>
          <w:sz w:val="32"/>
          <w:szCs w:val="32"/>
        </w:rPr>
      </w:pPr>
      <w:r>
        <w:rPr>
          <w:rFonts w:hint="eastAsia" w:cs="仿宋_GB2312" w:asciiTheme="majorEastAsia" w:hAnsiTheme="majorEastAsia" w:eastAsiaTheme="majorEastAsia"/>
          <w:sz w:val="32"/>
          <w:szCs w:val="32"/>
        </w:rPr>
        <w:t xml:space="preserve">    （十四）负责地方畜禽遗传资源保护和开发利用，培育和推广畜禽新品种。</w:t>
      </w:r>
    </w:p>
    <w:p>
      <w:pPr>
        <w:pStyle w:val="4"/>
        <w:widowControl w:val="0"/>
        <w:numPr>
          <w:ilvl w:val="0"/>
          <w:numId w:val="3"/>
        </w:numPr>
        <w:spacing w:before="0" w:beforeAutospacing="0" w:after="0" w:afterAutospacing="0" w:line="580" w:lineRule="exact"/>
        <w:ind w:firstLine="640" w:firstLineChars="2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负责全区重大动物疫病防控和突发重大动物疫情安全事件应急管理工作。组织制定并实施全区动物疫病防治规划和动物防疫检疫基础设施建设规划；组织、指导全区畜禽防疫、动物及其产品检疫检验；负责全区畜禽屠宰监督管理工作。</w:t>
      </w:r>
    </w:p>
    <w:p>
      <w:pPr>
        <w:pStyle w:val="4"/>
        <w:widowControl w:val="0"/>
        <w:numPr>
          <w:ilvl w:val="0"/>
          <w:numId w:val="3"/>
        </w:numPr>
        <w:spacing w:before="0" w:beforeAutospacing="0" w:after="0" w:afterAutospacing="0" w:line="580" w:lineRule="exact"/>
        <w:ind w:firstLine="640" w:firstLineChars="2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负责畜禽养殖、种畜禽、兽药、饲料监督管理工作，实施相关行政许可。负责饲草饲料资源开发利用保护和监督管理。负责兽医医政、兽药药政药检、兽医卫生监督管理工作，负责官方兽医、执业兽医管理工作。</w:t>
      </w:r>
    </w:p>
    <w:p>
      <w:pPr>
        <w:pStyle w:val="4"/>
        <w:widowControl w:val="0"/>
        <w:numPr>
          <w:ilvl w:val="0"/>
          <w:numId w:val="3"/>
        </w:numPr>
        <w:spacing w:before="0" w:beforeAutospacing="0" w:after="0" w:afterAutospacing="0" w:line="580" w:lineRule="exact"/>
        <w:ind w:firstLine="640" w:firstLineChars="2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承担生鲜乳生产环节、收购环节的食品安全责任。指导生鲜乳收购站布局规划和建设，负责生鲜乳收购站监督管理工作。负责奶畜饲养以及生鲜乳生产环节、收购环节监督管理工作。制定生鲜乳质量安全监测计划并组织实施。</w:t>
      </w:r>
    </w:p>
    <w:p>
      <w:pPr>
        <w:pStyle w:val="4"/>
        <w:widowControl w:val="0"/>
        <w:numPr>
          <w:ilvl w:val="0"/>
          <w:numId w:val="3"/>
        </w:numPr>
        <w:spacing w:before="0" w:beforeAutospacing="0" w:after="0" w:afterAutospacing="0" w:line="580" w:lineRule="exact"/>
        <w:ind w:firstLine="640" w:firstLineChars="200"/>
        <w:rPr>
          <w:rFonts w:hint="eastAsia"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 xml:space="preserve">指导全区畜牧业技术服务、监测检验、监督执法等体系建设。 </w:t>
      </w:r>
    </w:p>
    <w:p>
      <w:pPr>
        <w:widowControl/>
        <w:ind w:firstLine="640"/>
        <w:jc w:val="left"/>
        <w:rPr>
          <w:rFonts w:hint="eastAsia" w:cs="仿宋_GB2312" w:asciiTheme="majorEastAsia" w:hAnsiTheme="majorEastAsia" w:eastAsiaTheme="majorEastAsia"/>
          <w:color w:val="4A4B4B"/>
          <w:sz w:val="32"/>
          <w:szCs w:val="32"/>
        </w:rPr>
      </w:pPr>
      <w:r>
        <w:rPr>
          <w:rFonts w:hint="eastAsia" w:cs="仿宋_GB2312" w:asciiTheme="majorEastAsia" w:hAnsiTheme="majorEastAsia" w:eastAsiaTheme="majorEastAsia"/>
          <w:sz w:val="32"/>
          <w:szCs w:val="32"/>
        </w:rPr>
        <w:t>（十九）承办区政府交办的其他事项。</w:t>
      </w:r>
      <w:r>
        <w:rPr>
          <w:rFonts w:hint="eastAsia" w:cs="仿宋_GB2312" w:asciiTheme="majorEastAsia" w:hAnsiTheme="majorEastAsia" w:eastAsiaTheme="majorEastAsia"/>
          <w:sz w:val="32"/>
          <w:szCs w:val="32"/>
        </w:rPr>
        <w:br w:type="textWrapping"/>
      </w:r>
    </w:p>
    <w:p>
      <w:pPr>
        <w:spacing w:line="360" w:lineRule="auto"/>
        <w:ind w:left="640"/>
        <w:jc w:val="left"/>
        <w:outlineLvl w:val="1"/>
        <w:rPr>
          <w:rFonts w:cs="黑体" w:asciiTheme="majorEastAsia" w:hAnsiTheme="majorEastAsia" w:eastAsiaTheme="majorEastAsia"/>
          <w:sz w:val="32"/>
          <w:szCs w:val="32"/>
        </w:rPr>
      </w:pPr>
    </w:p>
    <w:p>
      <w:pPr>
        <w:numPr>
          <w:ilvl w:val="0"/>
          <w:numId w:val="4"/>
        </w:numPr>
        <w:spacing w:line="360" w:lineRule="auto"/>
        <w:ind w:firstLine="643" w:firstLineChars="200"/>
        <w:jc w:val="left"/>
        <w:outlineLvl w:val="1"/>
        <w:rPr>
          <w:rFonts w:cs="黑体" w:asciiTheme="majorEastAsia" w:hAnsiTheme="majorEastAsia" w:eastAsiaTheme="majorEastAsia"/>
          <w:b/>
          <w:sz w:val="32"/>
          <w:szCs w:val="32"/>
        </w:rPr>
      </w:pPr>
      <w:r>
        <w:rPr>
          <w:rFonts w:hint="eastAsia" w:cs="黑体" w:asciiTheme="majorEastAsia" w:hAnsiTheme="majorEastAsia" w:eastAsiaTheme="majorEastAsia"/>
          <w:b/>
          <w:sz w:val="32"/>
          <w:szCs w:val="32"/>
        </w:rPr>
        <w:t>部门决算单位构成</w:t>
      </w:r>
    </w:p>
    <w:p>
      <w:pPr>
        <w:spacing w:line="360" w:lineRule="auto"/>
        <w:ind w:left="525" w:leftChars="250"/>
        <w:jc w:val="left"/>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纳入卧龙区农业局2016年度部门决算编制范围的单位包括：卧龙区农业局本级</w:t>
      </w:r>
    </w:p>
    <w:p>
      <w:pPr>
        <w:jc w:val="left"/>
        <w:rPr>
          <w:rFonts w:cs="黑体" w:asciiTheme="majorEastAsia" w:hAnsiTheme="majorEastAsia" w:eastAsiaTheme="majorEastAsia"/>
          <w:sz w:val="32"/>
          <w:szCs w:val="32"/>
        </w:rPr>
      </w:pPr>
    </w:p>
    <w:p>
      <w:pPr>
        <w:jc w:val="left"/>
        <w:rPr>
          <w:rFonts w:cs="黑体" w:asciiTheme="majorEastAsia" w:hAnsiTheme="majorEastAsia" w:eastAsiaTheme="majorEastAsia"/>
          <w:sz w:val="32"/>
          <w:szCs w:val="32"/>
        </w:rPr>
      </w:pPr>
    </w:p>
    <w:p>
      <w:pPr>
        <w:jc w:val="left"/>
        <w:rPr>
          <w:rFonts w:cs="黑体" w:asciiTheme="majorEastAsia" w:hAnsiTheme="majorEastAsia" w:eastAsiaTheme="majorEastAsia"/>
          <w:sz w:val="32"/>
          <w:szCs w:val="32"/>
        </w:rPr>
      </w:pPr>
    </w:p>
    <w:p>
      <w:pPr>
        <w:jc w:val="left"/>
        <w:rPr>
          <w:rFonts w:cs="黑体" w:asciiTheme="majorEastAsia" w:hAnsiTheme="majorEastAsia" w:eastAsiaTheme="majorEastAsia"/>
          <w:sz w:val="32"/>
          <w:szCs w:val="32"/>
        </w:rPr>
      </w:pPr>
    </w:p>
    <w:p>
      <w:pPr>
        <w:jc w:val="left"/>
        <w:rPr>
          <w:rFonts w:cs="黑体" w:asciiTheme="majorEastAsia" w:hAnsiTheme="majorEastAsia" w:eastAsiaTheme="majorEastAsia"/>
          <w:sz w:val="32"/>
          <w:szCs w:val="32"/>
        </w:rPr>
      </w:pPr>
    </w:p>
    <w:p>
      <w:pPr>
        <w:jc w:val="left"/>
        <w:rPr>
          <w:rFonts w:cs="黑体" w:asciiTheme="majorEastAsia" w:hAnsiTheme="majorEastAsia" w:eastAsiaTheme="majorEastAsia"/>
          <w:sz w:val="32"/>
          <w:szCs w:val="32"/>
        </w:rPr>
      </w:pPr>
    </w:p>
    <w:p>
      <w:pPr>
        <w:jc w:val="left"/>
        <w:rPr>
          <w:rFonts w:cs="黑体" w:asciiTheme="majorEastAsia" w:hAnsiTheme="majorEastAsia" w:eastAsiaTheme="majorEastAsia"/>
          <w:sz w:val="32"/>
          <w:szCs w:val="32"/>
        </w:rPr>
      </w:pPr>
    </w:p>
    <w:p>
      <w:pPr>
        <w:jc w:val="center"/>
        <w:outlineLvl w:val="0"/>
        <w:rPr>
          <w:rFonts w:cs="隶书" w:asciiTheme="majorEastAsia" w:hAnsiTheme="majorEastAsia" w:eastAsiaTheme="majorEastAsia"/>
          <w:sz w:val="48"/>
          <w:szCs w:val="48"/>
        </w:rPr>
      </w:pPr>
      <w:r>
        <w:rPr>
          <w:rFonts w:hint="eastAsia" w:cs="隶书" w:asciiTheme="majorEastAsia" w:hAnsiTheme="majorEastAsia" w:eastAsiaTheme="majorEastAsia"/>
          <w:sz w:val="48"/>
          <w:szCs w:val="48"/>
        </w:rPr>
        <w:t>第二部分</w:t>
      </w:r>
    </w:p>
    <w:p>
      <w:pPr>
        <w:jc w:val="center"/>
        <w:rPr>
          <w:rFonts w:cs="隶书" w:asciiTheme="majorEastAsia" w:hAnsiTheme="majorEastAsia" w:eastAsiaTheme="majorEastAsia"/>
          <w:sz w:val="48"/>
          <w:szCs w:val="48"/>
        </w:rPr>
        <w:sectPr>
          <w:pgSz w:w="11906" w:h="16838"/>
          <w:pgMar w:top="1440" w:right="1531" w:bottom="1440" w:left="1587" w:header="850" w:footer="992" w:gutter="0"/>
          <w:pgNumType w:fmt="numberInDash"/>
          <w:cols w:space="0" w:num="1"/>
          <w:docGrid w:type="lines" w:linePitch="317" w:charSpace="0"/>
        </w:sectPr>
      </w:pPr>
      <w:r>
        <w:rPr>
          <w:rFonts w:hint="eastAsia" w:cs="隶书" w:asciiTheme="majorEastAsia" w:hAnsiTheme="majorEastAsia" w:eastAsiaTheme="majorEastAsia"/>
          <w:sz w:val="48"/>
          <w:szCs w:val="48"/>
        </w:rPr>
        <w:t>卧龙区农业局2016年度部门决算表</w:t>
      </w:r>
    </w:p>
    <w:tbl>
      <w:tblPr>
        <w:tblStyle w:val="6"/>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350" w:type="dxa"/>
            <w:gridSpan w:val="10"/>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82"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72" w:type="dxa"/>
            <w:shd w:val="clear" w:color="auto" w:fill="auto"/>
            <w:vAlign w:val="center"/>
          </w:tcPr>
          <w:p>
            <w:pPr>
              <w:rPr>
                <w:rFonts w:hint="eastAsia" w:ascii="宋体" w:hAnsi="宋体" w:eastAsia="宋体" w:cs="宋体"/>
                <w:i w:val="0"/>
                <w:color w:val="000000"/>
                <w:sz w:val="16"/>
                <w:szCs w:val="16"/>
                <w:u w:val="none"/>
              </w:rPr>
            </w:pPr>
          </w:p>
        </w:tc>
        <w:tc>
          <w:tcPr>
            <w:tcW w:w="1316" w:type="dxa"/>
            <w:shd w:val="clear" w:color="auto" w:fill="auto"/>
            <w:vAlign w:val="center"/>
          </w:tcPr>
          <w:p>
            <w:pPr>
              <w:rPr>
                <w:rFonts w:hint="eastAsia" w:ascii="宋体" w:hAnsi="宋体" w:eastAsia="宋体" w:cs="宋体"/>
                <w:i w:val="0"/>
                <w:color w:val="000000"/>
                <w:sz w:val="16"/>
                <w:szCs w:val="16"/>
                <w:u w:val="none"/>
              </w:rPr>
            </w:pPr>
          </w:p>
        </w:tc>
        <w:tc>
          <w:tcPr>
            <w:tcW w:w="3144" w:type="dxa"/>
            <w:gridSpan w:val="3"/>
            <w:shd w:val="clear" w:color="auto" w:fill="auto"/>
            <w:vAlign w:val="center"/>
          </w:tcPr>
          <w:p>
            <w:pPr>
              <w:rPr>
                <w:rFonts w:hint="eastAsia" w:ascii="宋体" w:hAnsi="宋体" w:eastAsia="宋体" w:cs="宋体"/>
                <w:i w:val="0"/>
                <w:color w:val="000000"/>
                <w:sz w:val="16"/>
                <w:szCs w:val="16"/>
                <w:u w:val="none"/>
              </w:rPr>
            </w:pPr>
          </w:p>
        </w:tc>
        <w:tc>
          <w:tcPr>
            <w:tcW w:w="527" w:type="dxa"/>
            <w:shd w:val="clear" w:color="auto" w:fill="auto"/>
            <w:vAlign w:val="center"/>
          </w:tcPr>
          <w:p>
            <w:pPr>
              <w:rPr>
                <w:rFonts w:hint="eastAsia" w:ascii="宋体" w:hAnsi="宋体" w:eastAsia="宋体" w:cs="宋体"/>
                <w:i w:val="0"/>
                <w:color w:val="000000"/>
                <w:sz w:val="16"/>
                <w:szCs w:val="16"/>
                <w:u w:val="none"/>
              </w:rPr>
            </w:pPr>
          </w:p>
        </w:tc>
        <w:tc>
          <w:tcPr>
            <w:tcW w:w="16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82" w:type="dxa"/>
            <w:gridSpan w:val="3"/>
            <w:shd w:val="clear" w:color="auto" w:fill="auto"/>
            <w:vAlign w:val="center"/>
          </w:tcPr>
          <w:p>
            <w:pP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21"/>
                <w:szCs w:val="21"/>
                <w:u w:val="none"/>
                <w:lang w:eastAsia="zh-CN"/>
              </w:rPr>
              <w:t>卧龙区农业局</w:t>
            </w:r>
          </w:p>
        </w:tc>
        <w:tc>
          <w:tcPr>
            <w:tcW w:w="472" w:type="dxa"/>
            <w:shd w:val="clear" w:color="auto" w:fill="auto"/>
            <w:vAlign w:val="center"/>
          </w:tcPr>
          <w:p>
            <w:pPr>
              <w:rPr>
                <w:rFonts w:hint="eastAsia" w:ascii="宋体" w:hAnsi="宋体" w:eastAsia="宋体" w:cs="宋体"/>
                <w:i w:val="0"/>
                <w:color w:val="000000"/>
                <w:sz w:val="16"/>
                <w:szCs w:val="16"/>
                <w:u w:val="none"/>
              </w:rPr>
            </w:pPr>
          </w:p>
        </w:tc>
        <w:tc>
          <w:tcPr>
            <w:tcW w:w="1316" w:type="dxa"/>
            <w:shd w:val="clear" w:color="auto" w:fill="auto"/>
            <w:vAlign w:val="center"/>
          </w:tcPr>
          <w:p>
            <w:pPr>
              <w:rPr>
                <w:rFonts w:hint="eastAsia" w:ascii="宋体" w:hAnsi="宋体" w:eastAsia="宋体" w:cs="宋体"/>
                <w:i w:val="0"/>
                <w:color w:val="000000"/>
                <w:sz w:val="16"/>
                <w:szCs w:val="16"/>
                <w:u w:val="none"/>
              </w:rPr>
            </w:pPr>
          </w:p>
        </w:tc>
        <w:tc>
          <w:tcPr>
            <w:tcW w:w="3144" w:type="dxa"/>
            <w:gridSpan w:val="3"/>
            <w:shd w:val="clear" w:color="auto" w:fill="auto"/>
            <w:vAlign w:val="center"/>
          </w:tcPr>
          <w:p>
            <w:pPr>
              <w:rPr>
                <w:rFonts w:hint="eastAsia" w:ascii="宋体" w:hAnsi="宋体" w:eastAsia="宋体" w:cs="宋体"/>
                <w:i w:val="0"/>
                <w:color w:val="000000"/>
                <w:sz w:val="16"/>
                <w:szCs w:val="16"/>
                <w:u w:val="none"/>
              </w:rPr>
            </w:pPr>
          </w:p>
        </w:tc>
        <w:tc>
          <w:tcPr>
            <w:tcW w:w="527" w:type="dxa"/>
            <w:shd w:val="clear" w:color="auto" w:fill="auto"/>
            <w:vAlign w:val="center"/>
          </w:tcPr>
          <w:p>
            <w:pPr>
              <w:rPr>
                <w:rFonts w:hint="eastAsia" w:ascii="宋体" w:hAnsi="宋体" w:eastAsia="宋体" w:cs="宋体"/>
                <w:i w:val="0"/>
                <w:color w:val="000000"/>
                <w:sz w:val="16"/>
                <w:szCs w:val="16"/>
                <w:u w:val="none"/>
              </w:rPr>
            </w:pPr>
          </w:p>
        </w:tc>
        <w:tc>
          <w:tcPr>
            <w:tcW w:w="16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收　　入</w:t>
            </w:r>
          </w:p>
        </w:tc>
        <w:tc>
          <w:tcPr>
            <w:tcW w:w="5280"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行次</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金额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行次</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　　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　　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一、财政拨款收入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1847.6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一、一般公共服务支出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二、上级补助收入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二、外交支出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三、事业收入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四、经营收入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四、公共安全支出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五、附属单位上缴收入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五、教育支出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六、其他收入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六、科学技术支出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七、文化体育与传媒支出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八、社会保障和就业支出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lang w:val="en-US"/>
              </w:rPr>
            </w:pPr>
            <w:r>
              <w:rPr>
                <w:rFonts w:hint="eastAsia" w:ascii="宋体" w:hAnsi="宋体" w:eastAsia="宋体" w:cs="宋体"/>
                <w:i w:val="0"/>
                <w:color w:val="000000"/>
                <w:kern w:val="0"/>
                <w:sz w:val="22"/>
                <w:szCs w:val="22"/>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十、节能环保支出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十一、城乡社区支出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188.7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十二、农林水支出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lang w:val="en-US"/>
              </w:rPr>
            </w:pPr>
            <w:r>
              <w:rPr>
                <w:rFonts w:hint="eastAsia" w:ascii="宋体" w:hAnsi="宋体" w:eastAsia="宋体" w:cs="宋体"/>
                <w:i w:val="0"/>
                <w:color w:val="000000"/>
                <w:kern w:val="0"/>
                <w:sz w:val="22"/>
                <w:szCs w:val="22"/>
                <w:u w:val="none"/>
                <w:lang w:val="en-US" w:eastAsia="zh-CN" w:bidi="ar"/>
              </w:rPr>
              <w:t>1040.1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十三、交通运输支出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十五、商业服务业等支出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十六、金融支出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十七、援助其他地区支出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十九、住房保障支出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二十、粮油物资储备支出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二十一、其他支出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二十二、债务还本支出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二十三、债务付息支出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22"/>
                <w:szCs w:val="22"/>
                <w:u w:val="none"/>
                <w:lang w:val="en-US" w:eastAsia="zh-CN" w:bidi="ar"/>
              </w:rPr>
              <w:t>1847.6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本年支出合计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22"/>
                <w:szCs w:val="22"/>
                <w:u w:val="none"/>
                <w:lang w:val="en-US" w:eastAsia="zh-CN" w:bidi="ar"/>
              </w:rPr>
              <w:t>1275.3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结余分配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年初结转和结余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57.8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年末结转和结余</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lang w:val="en-US"/>
              </w:rPr>
            </w:pPr>
            <w:r>
              <w:rPr>
                <w:rFonts w:hint="eastAsia" w:ascii="宋体" w:hAnsi="宋体" w:eastAsia="宋体" w:cs="宋体"/>
                <w:i w:val="0"/>
                <w:color w:val="000000"/>
                <w:kern w:val="0"/>
                <w:sz w:val="22"/>
                <w:szCs w:val="22"/>
                <w:u w:val="none"/>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64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29</w:t>
            </w:r>
          </w:p>
        </w:tc>
        <w:tc>
          <w:tcPr>
            <w:tcW w:w="243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22"/>
                <w:szCs w:val="22"/>
                <w:u w:val="none"/>
                <w:lang w:val="en-US" w:eastAsia="zh-CN" w:bidi="ar"/>
              </w:rPr>
              <w:t>1905.3</w:t>
            </w:r>
          </w:p>
        </w:tc>
        <w:tc>
          <w:tcPr>
            <w:tcW w:w="232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49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58</w:t>
            </w:r>
          </w:p>
        </w:tc>
        <w:tc>
          <w:tcPr>
            <w:tcW w:w="2460" w:type="dxa"/>
            <w:gridSpan w:val="3"/>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lang w:val="en-US"/>
              </w:rPr>
            </w:pPr>
            <w:r>
              <w:rPr>
                <w:rFonts w:hint="eastAsia" w:ascii="宋体" w:hAnsi="宋体" w:eastAsia="宋体" w:cs="宋体"/>
                <w:i w:val="0"/>
                <w:color w:val="000000"/>
                <w:kern w:val="0"/>
                <w:sz w:val="22"/>
                <w:szCs w:val="22"/>
                <w:u w:val="none"/>
                <w:lang w:val="en-US" w:eastAsia="zh-CN" w:bidi="ar"/>
              </w:rPr>
              <w:t>1905.3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0350"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注：本表反映部门本年度的总收支和年末结转结余情况。</w:t>
            </w:r>
          </w:p>
        </w:tc>
      </w:tr>
    </w:tbl>
    <w:p>
      <w:pPr>
        <w:spacing w:line="360" w:lineRule="auto"/>
        <w:jc w:val="both"/>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962"/>
        <w:gridCol w:w="1036"/>
        <w:gridCol w:w="1515"/>
        <w:gridCol w:w="389"/>
        <w:gridCol w:w="1096"/>
        <w:gridCol w:w="824"/>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337" w:type="dxa"/>
            <w:gridSpan w:val="11"/>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37" w:type="dxa"/>
            <w:gridSpan w:val="2"/>
            <w:shd w:val="clear" w:color="auto" w:fill="auto"/>
            <w:vAlign w:val="center"/>
          </w:tcPr>
          <w:p>
            <w:pPr>
              <w:rPr>
                <w:rFonts w:hint="eastAsia" w:ascii="宋体" w:hAnsi="宋体" w:eastAsia="宋体" w:cs="宋体"/>
                <w:i w:val="0"/>
                <w:color w:val="000000"/>
                <w:sz w:val="16"/>
                <w:szCs w:val="16"/>
                <w:u w:val="none"/>
              </w:rPr>
            </w:pPr>
          </w:p>
        </w:tc>
        <w:tc>
          <w:tcPr>
            <w:tcW w:w="1036" w:type="dxa"/>
            <w:shd w:val="clear" w:color="auto" w:fill="auto"/>
            <w:vAlign w:val="center"/>
          </w:tcPr>
          <w:p>
            <w:pPr>
              <w:rPr>
                <w:rFonts w:hint="eastAsia" w:ascii="宋体" w:hAnsi="宋体" w:eastAsia="宋体" w:cs="宋体"/>
                <w:i w:val="0"/>
                <w:color w:val="000000"/>
                <w:sz w:val="16"/>
                <w:szCs w:val="16"/>
                <w:u w:val="none"/>
              </w:rPr>
            </w:pPr>
          </w:p>
        </w:tc>
        <w:tc>
          <w:tcPr>
            <w:tcW w:w="1904" w:type="dxa"/>
            <w:gridSpan w:val="2"/>
            <w:shd w:val="clear" w:color="auto" w:fill="auto"/>
            <w:vAlign w:val="center"/>
          </w:tcPr>
          <w:p>
            <w:pPr>
              <w:rPr>
                <w:rFonts w:hint="eastAsia" w:ascii="宋体" w:hAnsi="宋体" w:eastAsia="宋体" w:cs="宋体"/>
                <w:i w:val="0"/>
                <w:color w:val="000000"/>
                <w:sz w:val="16"/>
                <w:szCs w:val="16"/>
                <w:u w:val="none"/>
              </w:rPr>
            </w:pPr>
          </w:p>
        </w:tc>
        <w:tc>
          <w:tcPr>
            <w:tcW w:w="1096" w:type="dxa"/>
            <w:shd w:val="clear" w:color="auto" w:fill="auto"/>
            <w:vAlign w:val="center"/>
          </w:tcPr>
          <w:p>
            <w:pPr>
              <w:rPr>
                <w:rFonts w:hint="eastAsia" w:ascii="宋体" w:hAnsi="宋体" w:eastAsia="宋体" w:cs="宋体"/>
                <w:i w:val="0"/>
                <w:color w:val="000000"/>
                <w:sz w:val="16"/>
                <w:szCs w:val="16"/>
                <w:u w:val="none"/>
              </w:rPr>
            </w:pPr>
          </w:p>
        </w:tc>
        <w:tc>
          <w:tcPr>
            <w:tcW w:w="824" w:type="dxa"/>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637" w:type="dxa"/>
            <w:gridSpan w:val="2"/>
            <w:shd w:val="clear" w:color="auto" w:fill="auto"/>
            <w:vAlign w:val="center"/>
          </w:tcPr>
          <w:p>
            <w:pPr>
              <w:rPr>
                <w:rFonts w:hint="eastAsia" w:ascii="宋体" w:hAnsi="宋体" w:eastAsia="宋体" w:cs="宋体"/>
                <w:i w:val="0"/>
                <w:color w:val="000000"/>
                <w:sz w:val="16"/>
                <w:szCs w:val="16"/>
                <w:u w:val="none"/>
              </w:rPr>
            </w:pPr>
            <w:r>
              <w:rPr>
                <w:rFonts w:hint="eastAsia" w:ascii="宋体" w:hAnsi="宋体" w:eastAsia="宋体" w:cs="宋体"/>
                <w:i w:val="0"/>
                <w:color w:val="000000"/>
                <w:sz w:val="21"/>
                <w:szCs w:val="21"/>
                <w:u w:val="none"/>
                <w:lang w:eastAsia="zh-CN"/>
              </w:rPr>
              <w:t>卧龙区农业局</w:t>
            </w:r>
          </w:p>
        </w:tc>
        <w:tc>
          <w:tcPr>
            <w:tcW w:w="1036" w:type="dxa"/>
            <w:shd w:val="clear" w:color="auto" w:fill="auto"/>
            <w:vAlign w:val="center"/>
          </w:tcPr>
          <w:p>
            <w:pPr>
              <w:rPr>
                <w:rFonts w:hint="eastAsia" w:ascii="宋体" w:hAnsi="宋体" w:eastAsia="宋体" w:cs="宋体"/>
                <w:i w:val="0"/>
                <w:color w:val="000000"/>
                <w:sz w:val="16"/>
                <w:szCs w:val="16"/>
                <w:u w:val="none"/>
              </w:rPr>
            </w:pPr>
          </w:p>
        </w:tc>
        <w:tc>
          <w:tcPr>
            <w:tcW w:w="1904" w:type="dxa"/>
            <w:gridSpan w:val="2"/>
            <w:shd w:val="clear" w:color="auto" w:fill="auto"/>
            <w:vAlign w:val="center"/>
          </w:tcPr>
          <w:p>
            <w:pPr>
              <w:rPr>
                <w:rFonts w:hint="eastAsia" w:ascii="宋体" w:hAnsi="宋体" w:eastAsia="宋体" w:cs="宋体"/>
                <w:i w:val="0"/>
                <w:color w:val="000000"/>
                <w:sz w:val="16"/>
                <w:szCs w:val="16"/>
                <w:u w:val="none"/>
              </w:rPr>
            </w:pPr>
          </w:p>
        </w:tc>
        <w:tc>
          <w:tcPr>
            <w:tcW w:w="1096" w:type="dxa"/>
            <w:shd w:val="clear" w:color="auto" w:fill="auto"/>
            <w:vAlign w:val="center"/>
          </w:tcPr>
          <w:p>
            <w:pPr>
              <w:rPr>
                <w:rFonts w:hint="eastAsia" w:ascii="宋体" w:hAnsi="宋体" w:eastAsia="宋体" w:cs="宋体"/>
                <w:i w:val="0"/>
                <w:color w:val="000000"/>
                <w:sz w:val="16"/>
                <w:szCs w:val="16"/>
                <w:u w:val="none"/>
              </w:rPr>
            </w:pPr>
          </w:p>
        </w:tc>
        <w:tc>
          <w:tcPr>
            <w:tcW w:w="824" w:type="dxa"/>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1515"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148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财政拨款收入</w:t>
            </w:r>
          </w:p>
        </w:tc>
        <w:tc>
          <w:tcPr>
            <w:tcW w:w="82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上级补助收入</w:t>
            </w:r>
          </w:p>
        </w:tc>
        <w:tc>
          <w:tcPr>
            <w:tcW w:w="960"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事业收入</w:t>
            </w:r>
          </w:p>
        </w:tc>
        <w:tc>
          <w:tcPr>
            <w:tcW w:w="960"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经营收入</w:t>
            </w:r>
          </w:p>
        </w:tc>
        <w:tc>
          <w:tcPr>
            <w:tcW w:w="960"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附属单位</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上缴收入</w:t>
            </w:r>
          </w:p>
        </w:tc>
        <w:tc>
          <w:tcPr>
            <w:tcW w:w="960"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功能分类</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科目编码</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科目名称</w:t>
            </w:r>
          </w:p>
        </w:tc>
        <w:tc>
          <w:tcPr>
            <w:tcW w:w="151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48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82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6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6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6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60"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w:t>
            </w:r>
          </w:p>
        </w:tc>
        <w:tc>
          <w:tcPr>
            <w:tcW w:w="96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22"/>
                <w:szCs w:val="22"/>
                <w:u w:val="none"/>
                <w:lang w:val="en-US" w:eastAsia="zh-CN" w:bidi="ar"/>
              </w:rPr>
              <w:t>1847.6</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22"/>
                <w:szCs w:val="22"/>
                <w:u w:val="none"/>
                <w:lang w:val="en-US" w:eastAsia="zh-CN" w:bidi="ar"/>
              </w:rPr>
              <w:t>1847.6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r>
              <w:rPr>
                <w:rFonts w:hint="eastAsia" w:ascii="宋体" w:hAnsi="宋体" w:eastAsia="宋体" w:cs="宋体"/>
                <w:b w:val="0"/>
                <w:i w:val="0"/>
                <w:caps w:val="0"/>
                <w:color w:val="000000"/>
                <w:spacing w:val="0"/>
                <w:sz w:val="22"/>
                <w:szCs w:val="22"/>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r>
              <w:rPr>
                <w:rFonts w:hint="eastAsia" w:ascii="宋体" w:hAnsi="宋体" w:eastAsia="宋体" w:cs="宋体"/>
                <w:b w:val="0"/>
                <w:i w:val="0"/>
                <w:caps w:val="0"/>
                <w:color w:val="000000"/>
                <w:spacing w:val="0"/>
                <w:sz w:val="22"/>
                <w:szCs w:val="22"/>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r>
              <w:rPr>
                <w:rFonts w:hint="eastAsia" w:ascii="宋体" w:hAnsi="宋体" w:eastAsia="宋体" w:cs="宋体"/>
                <w:b w:val="0"/>
                <w:i w:val="0"/>
                <w:caps w:val="0"/>
                <w:color w:val="000000"/>
                <w:spacing w:val="0"/>
                <w:sz w:val="22"/>
                <w:szCs w:val="22"/>
              </w:rPr>
              <w:t>0.00</w:t>
            </w:r>
          </w:p>
        </w:tc>
        <w:tc>
          <w:tcPr>
            <w:tcW w:w="96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b/>
                <w:i w:val="0"/>
                <w:color w:val="000000"/>
                <w:sz w:val="16"/>
                <w:szCs w:val="16"/>
                <w:u w:val="none"/>
              </w:rPr>
            </w:pPr>
            <w:r>
              <w:rPr>
                <w:rFonts w:hint="eastAsia" w:ascii="宋体" w:hAnsi="宋体" w:eastAsia="宋体" w:cs="宋体"/>
                <w:b w:val="0"/>
                <w:i w:val="0"/>
                <w:caps w:val="0"/>
                <w:color w:val="000000"/>
                <w:spacing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一般公共服务支出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20101</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人大事务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2010101</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2010102</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187.1</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187.1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b w:val="0"/>
                <w:i w:val="0"/>
                <w:caps w:val="0"/>
                <w:color w:val="000000"/>
                <w:spacing w:val="0"/>
                <w:sz w:val="22"/>
                <w:szCs w:val="22"/>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b w:val="0"/>
                <w:i w:val="0"/>
                <w:caps w:val="0"/>
                <w:color w:val="000000"/>
                <w:spacing w:val="0"/>
                <w:sz w:val="22"/>
                <w:szCs w:val="22"/>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b w:val="0"/>
                <w:i w:val="0"/>
                <w:caps w:val="0"/>
                <w:color w:val="000000"/>
                <w:spacing w:val="0"/>
                <w:sz w:val="22"/>
                <w:szCs w:val="22"/>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b w:val="0"/>
                <w:i w:val="0"/>
                <w:caps w:val="0"/>
                <w:color w:val="000000"/>
                <w:spacing w:val="0"/>
                <w:sz w:val="22"/>
                <w:szCs w:val="22"/>
              </w:rPr>
              <w:t>0.00</w:t>
            </w:r>
          </w:p>
        </w:tc>
        <w:tc>
          <w:tcPr>
            <w:tcW w:w="96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b w:val="0"/>
                <w:i w:val="0"/>
                <w:caps w:val="0"/>
                <w:color w:val="000000"/>
                <w:spacing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2010103</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机关服务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2010104</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人大会议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2320303</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地方政府向国际组织借款付息支出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48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24"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337" w:type="dxa"/>
            <w:gridSpan w:val="1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注：本表反映部门本年度取得的各项收入情况。</w:t>
            </w:r>
          </w:p>
        </w:tc>
      </w:tr>
    </w:tbl>
    <w:p>
      <w:pPr>
        <w:spacing w:line="360" w:lineRule="auto"/>
        <w:jc w:val="center"/>
        <w:rPr>
          <w:rFonts w:ascii="隶书" w:hAnsi="隶书" w:eastAsia="隶书" w:cs="隶书"/>
          <w:sz w:val="52"/>
          <w:szCs w:val="52"/>
        </w:rPr>
        <w:sectPr>
          <w:pgSz w:w="11906" w:h="16838"/>
          <w:pgMar w:top="2098" w:right="1531" w:bottom="1984" w:left="1587" w:header="850" w:footer="992" w:gutter="0"/>
          <w:pgNumType w:fmt="numberInDash"/>
          <w:cols w:space="0" w:num="1"/>
          <w:rtlGutter w:val="0"/>
          <w:docGrid w:type="lines" w:linePitch="317" w:charSpace="0"/>
        </w:sectPr>
      </w:pPr>
    </w:p>
    <w:tbl>
      <w:tblPr>
        <w:tblStyle w:val="6"/>
        <w:tblW w:w="10350" w:type="dxa"/>
        <w:tblInd w:w="-821" w:type="dxa"/>
        <w:tblLayout w:type="fixed"/>
        <w:tblCellMar>
          <w:top w:w="15" w:type="dxa"/>
          <w:left w:w="15" w:type="dxa"/>
          <w:bottom w:w="15" w:type="dxa"/>
          <w:right w:w="15" w:type="dxa"/>
        </w:tblCellMar>
      </w:tblPr>
      <w:tblGrid>
        <w:gridCol w:w="735"/>
        <w:gridCol w:w="747"/>
        <w:gridCol w:w="1638"/>
        <w:gridCol w:w="1042"/>
        <w:gridCol w:w="530"/>
        <w:gridCol w:w="469"/>
        <w:gridCol w:w="999"/>
        <w:gridCol w:w="1637"/>
        <w:gridCol w:w="361"/>
        <w:gridCol w:w="554"/>
        <w:gridCol w:w="645"/>
        <w:gridCol w:w="993"/>
      </w:tblGrid>
      <w:tr>
        <w:tblPrEx>
          <w:tblLayout w:type="fixed"/>
          <w:tblCellMar>
            <w:top w:w="15" w:type="dxa"/>
            <w:left w:w="15" w:type="dxa"/>
            <w:bottom w:w="15" w:type="dxa"/>
            <w:right w:w="15" w:type="dxa"/>
          </w:tblCellMar>
        </w:tblPrEx>
        <w:trPr>
          <w:trHeight w:val="375" w:hRule="atLeast"/>
        </w:trPr>
        <w:tc>
          <w:tcPr>
            <w:tcW w:w="10350" w:type="dxa"/>
            <w:gridSpan w:val="12"/>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482" w:type="dxa"/>
            <w:gridSpan w:val="2"/>
            <w:shd w:val="clear" w:color="auto" w:fill="auto"/>
            <w:vAlign w:val="center"/>
          </w:tcPr>
          <w:p>
            <w:pPr>
              <w:rPr>
                <w:rFonts w:ascii="宋体" w:hAnsi="宋体" w:eastAsia="宋体" w:cs="宋体"/>
                <w:color w:val="000000"/>
                <w:sz w:val="16"/>
                <w:szCs w:val="16"/>
              </w:rPr>
            </w:pPr>
          </w:p>
        </w:tc>
        <w:tc>
          <w:tcPr>
            <w:tcW w:w="1638" w:type="dxa"/>
            <w:shd w:val="clear" w:color="auto" w:fill="auto"/>
            <w:vAlign w:val="center"/>
          </w:tcPr>
          <w:p>
            <w:pPr>
              <w:rPr>
                <w:rFonts w:ascii="宋体" w:hAnsi="宋体" w:eastAsia="宋体" w:cs="宋体"/>
                <w:color w:val="000000"/>
                <w:sz w:val="16"/>
                <w:szCs w:val="16"/>
              </w:rPr>
            </w:pPr>
          </w:p>
        </w:tc>
        <w:tc>
          <w:tcPr>
            <w:tcW w:w="1042"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shd w:val="clear" w:color="auto" w:fill="auto"/>
            <w:vAlign w:val="center"/>
          </w:tcPr>
          <w:p>
            <w:pPr>
              <w:rPr>
                <w:rFonts w:ascii="宋体" w:hAnsi="宋体" w:eastAsia="宋体" w:cs="宋体"/>
                <w:color w:val="000000"/>
                <w:sz w:val="16"/>
                <w:szCs w:val="16"/>
              </w:rPr>
            </w:pPr>
          </w:p>
        </w:tc>
        <w:tc>
          <w:tcPr>
            <w:tcW w:w="1637" w:type="dxa"/>
            <w:shd w:val="clear" w:color="auto" w:fill="auto"/>
            <w:vAlign w:val="center"/>
          </w:tcPr>
          <w:p>
            <w:pPr>
              <w:rPr>
                <w:rFonts w:ascii="宋体" w:hAnsi="宋体" w:eastAsia="宋体" w:cs="宋体"/>
                <w:color w:val="000000"/>
                <w:sz w:val="16"/>
                <w:szCs w:val="16"/>
              </w:rPr>
            </w:pPr>
          </w:p>
        </w:tc>
        <w:tc>
          <w:tcPr>
            <w:tcW w:w="361" w:type="dxa"/>
            <w:shd w:val="clear" w:color="auto" w:fill="auto"/>
            <w:vAlign w:val="center"/>
          </w:tcPr>
          <w:p>
            <w:pPr>
              <w:rPr>
                <w:rFonts w:ascii="宋体" w:hAnsi="宋体" w:eastAsia="宋体" w:cs="宋体"/>
                <w:color w:val="000000"/>
                <w:sz w:val="16"/>
                <w:szCs w:val="16"/>
              </w:rPr>
            </w:pPr>
          </w:p>
        </w:tc>
        <w:tc>
          <w:tcPr>
            <w:tcW w:w="2192"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blPrEx>
          <w:tblLayout w:type="fixed"/>
          <w:tblCellMar>
            <w:top w:w="15" w:type="dxa"/>
            <w:left w:w="15" w:type="dxa"/>
            <w:bottom w:w="15" w:type="dxa"/>
            <w:right w:w="15" w:type="dxa"/>
          </w:tblCellMar>
        </w:tblPrEx>
        <w:trPr>
          <w:trHeight w:val="315" w:hRule="atLeast"/>
        </w:trPr>
        <w:tc>
          <w:tcPr>
            <w:tcW w:w="1482" w:type="dxa"/>
            <w:gridSpan w:val="2"/>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sz w:val="21"/>
                <w:szCs w:val="21"/>
                <w:u w:val="none"/>
                <w:lang w:eastAsia="zh-CN"/>
              </w:rPr>
              <w:t>卧龙区农业局</w:t>
            </w:r>
          </w:p>
        </w:tc>
        <w:tc>
          <w:tcPr>
            <w:tcW w:w="1638" w:type="dxa"/>
            <w:shd w:val="clear" w:color="auto" w:fill="auto"/>
            <w:vAlign w:val="center"/>
          </w:tcPr>
          <w:p>
            <w:pPr>
              <w:rPr>
                <w:rFonts w:ascii="宋体" w:hAnsi="宋体" w:eastAsia="宋体" w:cs="宋体"/>
                <w:color w:val="000000"/>
                <w:sz w:val="16"/>
                <w:szCs w:val="16"/>
              </w:rPr>
            </w:pPr>
          </w:p>
        </w:tc>
        <w:tc>
          <w:tcPr>
            <w:tcW w:w="1042"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shd w:val="clear" w:color="auto" w:fill="auto"/>
            <w:vAlign w:val="center"/>
          </w:tcPr>
          <w:p>
            <w:pPr>
              <w:rPr>
                <w:rFonts w:ascii="宋体" w:hAnsi="宋体" w:eastAsia="宋体" w:cs="宋体"/>
                <w:color w:val="000000"/>
                <w:sz w:val="16"/>
                <w:szCs w:val="16"/>
              </w:rPr>
            </w:pPr>
          </w:p>
        </w:tc>
        <w:tc>
          <w:tcPr>
            <w:tcW w:w="1637" w:type="dxa"/>
            <w:shd w:val="clear" w:color="auto" w:fill="auto"/>
            <w:vAlign w:val="center"/>
          </w:tcPr>
          <w:p>
            <w:pPr>
              <w:rPr>
                <w:rFonts w:ascii="宋体" w:hAnsi="宋体" w:eastAsia="宋体" w:cs="宋体"/>
                <w:color w:val="000000"/>
                <w:sz w:val="16"/>
                <w:szCs w:val="16"/>
              </w:rPr>
            </w:pPr>
          </w:p>
        </w:tc>
        <w:tc>
          <w:tcPr>
            <w:tcW w:w="361" w:type="dxa"/>
            <w:shd w:val="clear" w:color="auto" w:fill="auto"/>
            <w:vAlign w:val="center"/>
          </w:tcPr>
          <w:p>
            <w:pPr>
              <w:rPr>
                <w:rFonts w:ascii="宋体" w:hAnsi="宋体" w:eastAsia="宋体" w:cs="宋体"/>
                <w:color w:val="000000"/>
                <w:sz w:val="16"/>
                <w:szCs w:val="16"/>
              </w:rPr>
            </w:pPr>
          </w:p>
        </w:tc>
        <w:tc>
          <w:tcPr>
            <w:tcW w:w="2192"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572"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468"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637"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91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645"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993"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572"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468"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637"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91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64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993"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9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1275.3</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232.8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1042.5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99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46.5</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46.5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99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人大事务</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9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2010101</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行政运行</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9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2010102</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一般行政管理事务</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1040.1</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186.3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853.8</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99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2010103</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机关服务</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9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2010104</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人大会议</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9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2010105</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人大立法</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9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2010106</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人大监督</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9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2010107</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人大代表履职能力提升</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9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2320411</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国有土地使用权出让金债务付息支出</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9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9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9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9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57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468"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637"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91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993"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50" w:type="dxa"/>
            <w:gridSpan w:val="12"/>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rPr>
          <w:rFonts w:ascii="隶书" w:hAnsi="隶书" w:eastAsia="隶书" w:cs="隶书"/>
          <w:sz w:val="52"/>
          <w:szCs w:val="52"/>
        </w:rPr>
        <w:sectPr>
          <w:pgSz w:w="11906" w:h="16838"/>
          <w:pgMar w:top="2098" w:right="1474" w:bottom="1984" w:left="1587" w:header="850" w:footer="992" w:gutter="0"/>
          <w:pgNumType w:fmt="numberInDash"/>
          <w:cols w:space="0" w:num="1"/>
          <w:rtlGutter w:val="0"/>
          <w:docGrid w:type="lines" w:linePitch="318" w:charSpace="0"/>
        </w:sectPr>
      </w:pPr>
    </w:p>
    <w:tbl>
      <w:tblPr>
        <w:tblStyle w:val="6"/>
        <w:tblW w:w="10425" w:type="dxa"/>
        <w:tblInd w:w="-887"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247"/>
        <w:gridCol w:w="1380"/>
        <w:gridCol w:w="1032"/>
      </w:tblGrid>
      <w:tr>
        <w:tblPrEx>
          <w:tblLayout w:type="fixed"/>
          <w:tblCellMar>
            <w:top w:w="15" w:type="dxa"/>
            <w:left w:w="15" w:type="dxa"/>
            <w:bottom w:w="15" w:type="dxa"/>
            <w:right w:w="15" w:type="dxa"/>
          </w:tblCellMar>
        </w:tblPrEx>
        <w:trPr>
          <w:trHeight w:val="169" w:hRule="atLeast"/>
        </w:trPr>
        <w:tc>
          <w:tcPr>
            <w:tcW w:w="10425" w:type="dxa"/>
            <w:gridSpan w:val="14"/>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107" w:hRule="atLeast"/>
        </w:trPr>
        <w:tc>
          <w:tcPr>
            <w:tcW w:w="2289" w:type="dxa"/>
            <w:gridSpan w:val="2"/>
            <w:shd w:val="clear" w:color="auto" w:fill="auto"/>
            <w:vAlign w:val="center"/>
          </w:tcPr>
          <w:p>
            <w:pPr>
              <w:rPr>
                <w:rFonts w:ascii="宋体" w:hAnsi="宋体" w:eastAsia="宋体" w:cs="宋体"/>
                <w:color w:val="000000"/>
                <w:sz w:val="16"/>
                <w:szCs w:val="16"/>
              </w:rPr>
            </w:pPr>
          </w:p>
        </w:tc>
        <w:tc>
          <w:tcPr>
            <w:tcW w:w="315" w:type="dxa"/>
            <w:gridSpan w:val="2"/>
            <w:shd w:val="clear" w:color="auto" w:fill="auto"/>
            <w:vAlign w:val="center"/>
          </w:tcPr>
          <w:p>
            <w:pPr>
              <w:rPr>
                <w:rFonts w:ascii="宋体" w:hAnsi="宋体" w:eastAsia="宋体" w:cs="宋体"/>
                <w:color w:val="000000"/>
                <w:sz w:val="16"/>
                <w:szCs w:val="16"/>
              </w:rPr>
            </w:pP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blPrEx>
          <w:tblLayout w:type="fixed"/>
          <w:tblCellMar>
            <w:top w:w="15" w:type="dxa"/>
            <w:left w:w="15" w:type="dxa"/>
            <w:bottom w:w="15" w:type="dxa"/>
            <w:right w:w="15" w:type="dxa"/>
          </w:tblCellMar>
        </w:tblPrEx>
        <w:trPr>
          <w:trHeight w:val="90" w:hRule="atLeast"/>
        </w:trPr>
        <w:tc>
          <w:tcPr>
            <w:tcW w:w="2289" w:type="dxa"/>
            <w:gridSpan w:val="2"/>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sz w:val="21"/>
                <w:szCs w:val="21"/>
                <w:u w:val="none"/>
                <w:lang w:eastAsia="zh-CN"/>
              </w:rPr>
              <w:t>卧龙区农业局</w:t>
            </w:r>
          </w:p>
        </w:tc>
        <w:tc>
          <w:tcPr>
            <w:tcW w:w="315" w:type="dxa"/>
            <w:gridSpan w:val="2"/>
            <w:shd w:val="clear" w:color="auto" w:fill="auto"/>
            <w:vAlign w:val="center"/>
          </w:tcPr>
          <w:p>
            <w:pPr>
              <w:rPr>
                <w:rFonts w:ascii="宋体" w:hAnsi="宋体" w:eastAsia="宋体" w:cs="宋体"/>
                <w:color w:val="000000"/>
                <w:sz w:val="16"/>
                <w:szCs w:val="16"/>
              </w:rPr>
            </w:pP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22"/>
                <w:szCs w:val="22"/>
                <w:lang w:val="en-US" w:eastAsia="zh-CN"/>
              </w:rPr>
              <w:t>1546.8</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300.8</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46.5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46.5</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1041.1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lang w:val="en-US"/>
              </w:rPr>
            </w:pPr>
            <w:r>
              <w:rPr>
                <w:rFonts w:hint="eastAsia" w:ascii="宋体" w:hAnsi="宋体" w:eastAsia="宋体" w:cs="宋体"/>
                <w:i w:val="0"/>
                <w:color w:val="000000"/>
                <w:kern w:val="0"/>
                <w:sz w:val="22"/>
                <w:szCs w:val="22"/>
                <w:u w:val="none"/>
                <w:lang w:val="en-US" w:eastAsia="zh-CN" w:bidi="ar"/>
              </w:rPr>
              <w:t>1041.1</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1847.6</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1275.3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1086.6</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188.7</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57.8</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517.9</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112.1</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57.8</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3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95" w:hRule="atLeast"/>
        </w:trPr>
        <w:tc>
          <w:tcPr>
            <w:tcW w:w="10425" w:type="dxa"/>
            <w:gridSpan w:val="14"/>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Style w:val="6"/>
        <w:tblW w:w="10440" w:type="dxa"/>
        <w:tblInd w:w="-902" w:type="dxa"/>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blPrEx>
          <w:tblLayout w:type="fixed"/>
          <w:tblCellMar>
            <w:top w:w="15" w:type="dxa"/>
            <w:left w:w="15" w:type="dxa"/>
            <w:bottom w:w="15" w:type="dxa"/>
            <w:right w:w="15" w:type="dxa"/>
          </w:tblCellMar>
        </w:tblPrEx>
        <w:trPr>
          <w:trHeight w:val="375" w:hRule="atLeast"/>
        </w:trPr>
        <w:tc>
          <w:tcPr>
            <w:tcW w:w="10440" w:type="dxa"/>
            <w:gridSpan w:val="8"/>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1891" w:type="dxa"/>
            <w:gridSpan w:val="2"/>
            <w:shd w:val="clear" w:color="auto" w:fill="auto"/>
            <w:vAlign w:val="center"/>
          </w:tcPr>
          <w:p>
            <w:pPr>
              <w:rPr>
                <w:rFonts w:ascii="宋体" w:hAnsi="宋体" w:eastAsia="宋体" w:cs="宋体"/>
                <w:color w:val="000000"/>
                <w:sz w:val="16"/>
                <w:szCs w:val="16"/>
              </w:rPr>
            </w:pPr>
          </w:p>
        </w:tc>
        <w:tc>
          <w:tcPr>
            <w:tcW w:w="1800" w:type="dxa"/>
            <w:shd w:val="clear" w:color="auto" w:fill="auto"/>
            <w:vAlign w:val="center"/>
          </w:tcPr>
          <w:p>
            <w:pPr>
              <w:rPr>
                <w:rFonts w:ascii="宋体" w:hAnsi="宋体" w:eastAsia="宋体" w:cs="宋体"/>
                <w:color w:val="000000"/>
                <w:sz w:val="16"/>
                <w:szCs w:val="16"/>
              </w:rPr>
            </w:pPr>
          </w:p>
        </w:tc>
        <w:tc>
          <w:tcPr>
            <w:tcW w:w="2325"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blPrEx>
          <w:tblLayout w:type="fixed"/>
          <w:tblCellMar>
            <w:top w:w="15" w:type="dxa"/>
            <w:left w:w="15" w:type="dxa"/>
            <w:bottom w:w="15" w:type="dxa"/>
            <w:right w:w="15" w:type="dxa"/>
          </w:tblCellMar>
        </w:tblPrEx>
        <w:trPr>
          <w:trHeight w:val="270" w:hRule="atLeast"/>
        </w:trPr>
        <w:tc>
          <w:tcPr>
            <w:tcW w:w="1891" w:type="dxa"/>
            <w:gridSpan w:val="2"/>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sz w:val="21"/>
                <w:szCs w:val="21"/>
                <w:u w:val="none"/>
                <w:lang w:eastAsia="zh-CN"/>
              </w:rPr>
              <w:t>卧龙区农业局</w:t>
            </w:r>
          </w:p>
        </w:tc>
        <w:tc>
          <w:tcPr>
            <w:tcW w:w="1800" w:type="dxa"/>
            <w:shd w:val="clear" w:color="auto" w:fill="auto"/>
            <w:vAlign w:val="center"/>
          </w:tcPr>
          <w:p>
            <w:pPr>
              <w:rPr>
                <w:rFonts w:ascii="宋体" w:hAnsi="宋体" w:eastAsia="宋体" w:cs="宋体"/>
                <w:color w:val="000000"/>
                <w:sz w:val="16"/>
                <w:szCs w:val="16"/>
              </w:rPr>
            </w:pPr>
          </w:p>
        </w:tc>
        <w:tc>
          <w:tcPr>
            <w:tcW w:w="2325"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232.8</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46.5</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人大事务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2010101</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行政运行</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2010102</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一般行政管理事务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2010103</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机关服务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2010104</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人大会议</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2010105</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人大立法</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2010106</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人大监督</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2010107</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人大代表履职能力提升</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2010108</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代表工作</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2010109</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人大信访工作</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2010150</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事业运行</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440" w:type="dxa"/>
            <w:gridSpan w:val="8"/>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tbl>
      <w:tblPr>
        <w:tblStyle w:val="6"/>
        <w:tblW w:w="10485" w:type="dxa"/>
        <w:tblInd w:w="-896" w:type="dxa"/>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Layout w:type="fixed"/>
          <w:tblCellMar>
            <w:top w:w="15" w:type="dxa"/>
            <w:left w:w="15" w:type="dxa"/>
            <w:bottom w:w="15" w:type="dxa"/>
            <w:right w:w="15" w:type="dxa"/>
          </w:tblCellMar>
        </w:tblPrEx>
        <w:trPr>
          <w:trHeight w:val="375" w:hRule="atLeast"/>
        </w:trPr>
        <w:tc>
          <w:tcPr>
            <w:tcW w:w="10485" w:type="dxa"/>
            <w:gridSpan w:val="9"/>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650" w:type="dxa"/>
            <w:gridSpan w:val="2"/>
            <w:shd w:val="clear" w:color="auto" w:fill="auto"/>
            <w:vAlign w:val="center"/>
          </w:tcPr>
          <w:p>
            <w:pPr>
              <w:rPr>
                <w:rFonts w:ascii="宋体" w:hAnsi="宋体" w:eastAsia="宋体" w:cs="宋体"/>
                <w:color w:val="000000"/>
                <w:sz w:val="16"/>
                <w:szCs w:val="16"/>
              </w:rPr>
            </w:pPr>
          </w:p>
        </w:tc>
        <w:tc>
          <w:tcPr>
            <w:tcW w:w="1794" w:type="dxa"/>
            <w:shd w:val="clear" w:color="auto" w:fill="auto"/>
            <w:vAlign w:val="center"/>
          </w:tcPr>
          <w:p>
            <w:pPr>
              <w:rPr>
                <w:rFonts w:ascii="宋体" w:hAnsi="宋体" w:eastAsia="宋体" w:cs="宋体"/>
                <w:color w:val="000000"/>
                <w:sz w:val="16"/>
                <w:szCs w:val="16"/>
              </w:rPr>
            </w:pP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blPrEx>
          <w:tblLayout w:type="fixed"/>
          <w:tblCellMar>
            <w:top w:w="15" w:type="dxa"/>
            <w:left w:w="15" w:type="dxa"/>
            <w:bottom w:w="15" w:type="dxa"/>
            <w:right w:w="15" w:type="dxa"/>
          </w:tblCellMar>
        </w:tblPrEx>
        <w:trPr>
          <w:trHeight w:val="270" w:hRule="atLeast"/>
        </w:trPr>
        <w:tc>
          <w:tcPr>
            <w:tcW w:w="1650" w:type="dxa"/>
            <w:gridSpan w:val="2"/>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sz w:val="21"/>
                <w:szCs w:val="21"/>
                <w:u w:val="none"/>
                <w:lang w:eastAsia="zh-CN"/>
              </w:rPr>
              <w:t>卧龙区农业局</w:t>
            </w:r>
          </w:p>
        </w:tc>
        <w:tc>
          <w:tcPr>
            <w:tcW w:w="1794" w:type="dxa"/>
            <w:shd w:val="clear" w:color="auto" w:fill="auto"/>
            <w:vAlign w:val="center"/>
          </w:tcPr>
          <w:p>
            <w:pPr>
              <w:rPr>
                <w:rFonts w:ascii="宋体" w:hAnsi="宋体" w:eastAsia="宋体" w:cs="宋体"/>
                <w:color w:val="000000"/>
                <w:sz w:val="16"/>
                <w:szCs w:val="16"/>
              </w:rPr>
            </w:pP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120.1</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lang w:val="en-US"/>
              </w:rPr>
            </w:pPr>
            <w:r>
              <w:rPr>
                <w:rFonts w:hint="eastAsia" w:ascii="宋体" w:hAnsi="宋体" w:eastAsia="宋体" w:cs="宋体"/>
                <w:i w:val="0"/>
                <w:color w:val="000000"/>
                <w:kern w:val="0"/>
                <w:sz w:val="22"/>
                <w:szCs w:val="22"/>
                <w:u w:val="none"/>
                <w:lang w:val="en-US" w:eastAsia="zh-CN" w:bidi="ar"/>
              </w:rPr>
              <w:t>43.7</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49.3</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3.4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60.3</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4.4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4.1</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7</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0.031</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1.8</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0.79</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0.34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68.4</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5.5</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6.8</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39.7</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2.9</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3.9</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15.6</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0.44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lang w:val="en-US"/>
              </w:rPr>
            </w:pPr>
            <w:r>
              <w:rPr>
                <w:rFonts w:hint="eastAsia" w:ascii="宋体" w:hAnsi="宋体" w:eastAsia="宋体" w:cs="宋体"/>
                <w:i w:val="0"/>
                <w:color w:val="000000"/>
                <w:kern w:val="0"/>
                <w:sz w:val="22"/>
                <w:szCs w:val="22"/>
                <w:u w:val="none"/>
                <w:lang w:val="en-US" w:eastAsia="zh-CN" w:bidi="ar"/>
              </w:rPr>
              <w:t>2.0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0.2</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0.72</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1.9</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6.3</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16.3</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477" w:hRule="atLeast"/>
        </w:trPr>
        <w:tc>
          <w:tcPr>
            <w:tcW w:w="10485" w:type="dxa"/>
            <w:gridSpan w:val="9"/>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tbl>
      <w:tblPr>
        <w:tblStyle w:val="6"/>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485" w:type="dxa"/>
            <w:gridSpan w:val="22"/>
            <w:shd w:val="clear" w:color="auto" w:fill="auto"/>
            <w:vAlign w:val="bottom"/>
          </w:tcPr>
          <w:p>
            <w:pPr>
              <w:keepNext w:val="0"/>
              <w:keepLines w:val="0"/>
              <w:widowControl/>
              <w:suppressLineNumbers w:val="0"/>
              <w:jc w:val="center"/>
              <w:textAlignment w:val="bottom"/>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783" w:type="dxa"/>
            <w:gridSpan w:val="2"/>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shd w:val="clear" w:color="auto" w:fill="auto"/>
            <w:vAlign w:val="center"/>
          </w:tcPr>
          <w:p>
            <w:pPr>
              <w:rPr>
                <w:rFonts w:hint="eastAsia" w:ascii="宋体" w:hAnsi="宋体" w:eastAsia="宋体" w:cs="宋体"/>
                <w:i w:val="0"/>
                <w:color w:val="000000"/>
                <w:sz w:val="16"/>
                <w:szCs w:val="16"/>
                <w:u w:val="none"/>
              </w:rPr>
            </w:pPr>
          </w:p>
        </w:tc>
        <w:tc>
          <w:tcPr>
            <w:tcW w:w="992" w:type="dxa"/>
            <w:gridSpan w:val="2"/>
            <w:shd w:val="clear" w:color="auto" w:fill="auto"/>
            <w:vAlign w:val="center"/>
          </w:tcPr>
          <w:p>
            <w:pPr>
              <w:rPr>
                <w:rFonts w:hint="eastAsia" w:ascii="宋体" w:hAnsi="宋体" w:eastAsia="宋体" w:cs="宋体"/>
                <w:i w:val="0"/>
                <w:color w:val="000000"/>
                <w:sz w:val="16"/>
                <w:szCs w:val="16"/>
                <w:u w:val="none"/>
              </w:rPr>
            </w:pPr>
          </w:p>
        </w:tc>
        <w:tc>
          <w:tcPr>
            <w:tcW w:w="509" w:type="dxa"/>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2129"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783" w:type="dxa"/>
            <w:gridSpan w:val="2"/>
            <w:shd w:val="clear" w:color="auto" w:fill="auto"/>
            <w:vAlign w:val="center"/>
          </w:tcPr>
          <w:p>
            <w:pPr>
              <w:rPr>
                <w:rFonts w:hint="eastAsia" w:ascii="宋体" w:hAnsi="宋体" w:eastAsia="宋体" w:cs="宋体"/>
                <w:i w:val="0"/>
                <w:color w:val="000000"/>
                <w:sz w:val="16"/>
                <w:szCs w:val="16"/>
                <w:u w:val="none"/>
              </w:rPr>
            </w:pPr>
            <w:r>
              <w:rPr>
                <w:rFonts w:hint="eastAsia" w:ascii="宋体" w:hAnsi="宋体" w:eastAsia="宋体" w:cs="宋体"/>
                <w:i w:val="0"/>
                <w:color w:val="000000"/>
                <w:sz w:val="21"/>
                <w:szCs w:val="21"/>
                <w:u w:val="none"/>
                <w:lang w:eastAsia="zh-CN"/>
              </w:rPr>
              <w:t>卧龙区农业局</w:t>
            </w: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shd w:val="clear" w:color="auto" w:fill="auto"/>
            <w:vAlign w:val="center"/>
          </w:tcPr>
          <w:p>
            <w:pPr>
              <w:rPr>
                <w:rFonts w:hint="eastAsia" w:ascii="宋体" w:hAnsi="宋体" w:eastAsia="宋体" w:cs="宋体"/>
                <w:i w:val="0"/>
                <w:color w:val="000000"/>
                <w:sz w:val="16"/>
                <w:szCs w:val="16"/>
                <w:u w:val="none"/>
              </w:rPr>
            </w:pPr>
          </w:p>
        </w:tc>
        <w:tc>
          <w:tcPr>
            <w:tcW w:w="992" w:type="dxa"/>
            <w:gridSpan w:val="2"/>
            <w:shd w:val="clear" w:color="auto" w:fill="auto"/>
            <w:vAlign w:val="center"/>
          </w:tcPr>
          <w:p>
            <w:pPr>
              <w:rPr>
                <w:rFonts w:hint="eastAsia" w:ascii="宋体" w:hAnsi="宋体" w:eastAsia="宋体" w:cs="宋体"/>
                <w:i w:val="0"/>
                <w:color w:val="000000"/>
                <w:sz w:val="16"/>
                <w:szCs w:val="16"/>
                <w:u w:val="none"/>
              </w:rPr>
            </w:pPr>
          </w:p>
        </w:tc>
        <w:tc>
          <w:tcPr>
            <w:tcW w:w="509" w:type="dxa"/>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2129"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2016年度决算数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购置费</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运行费</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购置费</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运行费</w:t>
            </w:r>
          </w:p>
        </w:tc>
        <w:tc>
          <w:tcPr>
            <w:tcW w:w="870"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87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92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70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0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15"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2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923"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70"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485" w:type="dxa"/>
            <w:gridSpan w:val="2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tbl>
      <w:tblPr>
        <w:tblStyle w:val="6"/>
        <w:tblW w:w="10500" w:type="dxa"/>
        <w:tblInd w:w="-902" w:type="dxa"/>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blPrEx>
          <w:tblLayout w:type="fixed"/>
          <w:tblCellMar>
            <w:top w:w="15" w:type="dxa"/>
            <w:left w:w="15" w:type="dxa"/>
            <w:bottom w:w="15" w:type="dxa"/>
            <w:right w:w="15" w:type="dxa"/>
          </w:tblCellMar>
        </w:tblPrEx>
        <w:trPr>
          <w:trHeight w:val="375" w:hRule="atLeast"/>
        </w:trPr>
        <w:tc>
          <w:tcPr>
            <w:tcW w:w="10500" w:type="dxa"/>
            <w:gridSpan w:val="12"/>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591" w:type="dxa"/>
            <w:gridSpan w:val="2"/>
            <w:shd w:val="clear" w:color="auto" w:fill="auto"/>
            <w:vAlign w:val="center"/>
          </w:tcPr>
          <w:p>
            <w:pPr>
              <w:rPr>
                <w:rFonts w:ascii="宋体" w:hAnsi="宋体" w:eastAsia="宋体" w:cs="宋体"/>
                <w:color w:val="000000"/>
                <w:sz w:val="16"/>
                <w:szCs w:val="16"/>
              </w:rPr>
            </w:pPr>
          </w:p>
        </w:tc>
        <w:tc>
          <w:tcPr>
            <w:tcW w:w="1436" w:type="dxa"/>
            <w:shd w:val="clear" w:color="auto" w:fill="auto"/>
            <w:vAlign w:val="center"/>
          </w:tcPr>
          <w:p>
            <w:pPr>
              <w:rPr>
                <w:rFonts w:ascii="宋体" w:hAnsi="宋体" w:eastAsia="宋体" w:cs="宋体"/>
                <w:color w:val="000000"/>
                <w:sz w:val="16"/>
                <w:szCs w:val="16"/>
              </w:rPr>
            </w:pPr>
          </w:p>
        </w:tc>
        <w:tc>
          <w:tcPr>
            <w:tcW w:w="1166" w:type="dxa"/>
            <w:shd w:val="clear" w:color="auto" w:fill="auto"/>
            <w:vAlign w:val="center"/>
          </w:tcPr>
          <w:p>
            <w:pPr>
              <w:rPr>
                <w:rFonts w:ascii="宋体" w:hAnsi="宋体" w:eastAsia="宋体" w:cs="宋体"/>
                <w:color w:val="000000"/>
                <w:sz w:val="16"/>
                <w:szCs w:val="16"/>
              </w:rPr>
            </w:pPr>
          </w:p>
        </w:tc>
        <w:tc>
          <w:tcPr>
            <w:tcW w:w="1297" w:type="dxa"/>
            <w:gridSpan w:val="2"/>
            <w:shd w:val="clear" w:color="auto" w:fill="auto"/>
            <w:vAlign w:val="center"/>
          </w:tcPr>
          <w:p>
            <w:pPr>
              <w:rPr>
                <w:rFonts w:ascii="宋体" w:hAnsi="宋体" w:eastAsia="宋体" w:cs="宋体"/>
                <w:color w:val="000000"/>
                <w:sz w:val="16"/>
                <w:szCs w:val="16"/>
              </w:rPr>
            </w:pPr>
          </w:p>
        </w:tc>
        <w:tc>
          <w:tcPr>
            <w:tcW w:w="751"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000" w:type="dxa"/>
            <w:gridSpan w:val="2"/>
            <w:shd w:val="clear" w:color="auto" w:fill="auto"/>
            <w:vAlign w:val="center"/>
          </w:tcPr>
          <w:p>
            <w:pPr>
              <w:rPr>
                <w:rFonts w:ascii="宋体" w:hAnsi="宋体" w:eastAsia="宋体" w:cs="宋体"/>
                <w:color w:val="000000"/>
                <w:sz w:val="16"/>
                <w:szCs w:val="16"/>
              </w:rPr>
            </w:pPr>
          </w:p>
        </w:tc>
        <w:tc>
          <w:tcPr>
            <w:tcW w:w="12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blPrEx>
          <w:tblLayout w:type="fixed"/>
          <w:tblCellMar>
            <w:top w:w="15" w:type="dxa"/>
            <w:left w:w="15" w:type="dxa"/>
            <w:bottom w:w="15" w:type="dxa"/>
            <w:right w:w="15" w:type="dxa"/>
          </w:tblCellMar>
        </w:tblPrEx>
        <w:trPr>
          <w:trHeight w:val="270" w:hRule="atLeast"/>
        </w:trPr>
        <w:tc>
          <w:tcPr>
            <w:tcW w:w="1591" w:type="dxa"/>
            <w:gridSpan w:val="2"/>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sz w:val="21"/>
                <w:szCs w:val="21"/>
                <w:u w:val="none"/>
                <w:lang w:eastAsia="zh-CN"/>
              </w:rPr>
              <w:t>卧龙区农业局</w:t>
            </w:r>
          </w:p>
        </w:tc>
        <w:tc>
          <w:tcPr>
            <w:tcW w:w="1436" w:type="dxa"/>
            <w:shd w:val="clear" w:color="auto" w:fill="auto"/>
            <w:vAlign w:val="center"/>
          </w:tcPr>
          <w:p>
            <w:pPr>
              <w:rPr>
                <w:rFonts w:ascii="宋体" w:hAnsi="宋体" w:eastAsia="宋体" w:cs="宋体"/>
                <w:color w:val="000000"/>
                <w:sz w:val="16"/>
                <w:szCs w:val="16"/>
              </w:rPr>
            </w:pPr>
          </w:p>
        </w:tc>
        <w:tc>
          <w:tcPr>
            <w:tcW w:w="1166" w:type="dxa"/>
            <w:shd w:val="clear" w:color="auto" w:fill="auto"/>
            <w:vAlign w:val="center"/>
          </w:tcPr>
          <w:p>
            <w:pPr>
              <w:rPr>
                <w:rFonts w:ascii="宋体" w:hAnsi="宋体" w:eastAsia="宋体" w:cs="宋体"/>
                <w:color w:val="000000"/>
                <w:sz w:val="16"/>
                <w:szCs w:val="16"/>
              </w:rPr>
            </w:pPr>
          </w:p>
        </w:tc>
        <w:tc>
          <w:tcPr>
            <w:tcW w:w="1297" w:type="dxa"/>
            <w:gridSpan w:val="2"/>
            <w:shd w:val="clear" w:color="auto" w:fill="auto"/>
            <w:vAlign w:val="center"/>
          </w:tcPr>
          <w:p>
            <w:pPr>
              <w:rPr>
                <w:rFonts w:ascii="宋体" w:hAnsi="宋体" w:eastAsia="宋体" w:cs="宋体"/>
                <w:color w:val="000000"/>
                <w:sz w:val="16"/>
                <w:szCs w:val="16"/>
              </w:rPr>
            </w:pPr>
          </w:p>
        </w:tc>
        <w:tc>
          <w:tcPr>
            <w:tcW w:w="751"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000" w:type="dxa"/>
            <w:gridSpan w:val="2"/>
            <w:shd w:val="clear" w:color="auto" w:fill="auto"/>
            <w:vAlign w:val="center"/>
          </w:tcPr>
          <w:p>
            <w:pPr>
              <w:rPr>
                <w:rFonts w:ascii="宋体" w:hAnsi="宋体" w:eastAsia="宋体" w:cs="宋体"/>
                <w:color w:val="000000"/>
                <w:sz w:val="16"/>
                <w:szCs w:val="16"/>
              </w:rPr>
            </w:pPr>
          </w:p>
        </w:tc>
        <w:tc>
          <w:tcPr>
            <w:tcW w:w="12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500" w:type="dxa"/>
            <w:gridSpan w:val="12"/>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500" w:type="dxa"/>
            <w:gridSpan w:val="12"/>
            <w:shd w:val="clear" w:color="auto" w:fill="auto"/>
            <w:vAlign w:val="center"/>
          </w:tcPr>
          <w:p>
            <w:pPr>
              <w:widowControl/>
              <w:jc w:val="left"/>
              <w:textAlignment w:val="center"/>
              <w:rPr>
                <w:rFonts w:ascii="宋体" w:hAnsi="宋体" w:eastAsia="宋体" w:cs="宋体"/>
                <w:b/>
                <w:color w:val="FF0000"/>
                <w:sz w:val="20"/>
                <w:szCs w:val="20"/>
              </w:rPr>
            </w:pPr>
            <w:r>
              <w:rPr>
                <w:rFonts w:hint="eastAsia" w:ascii="宋体" w:hAnsi="宋体" w:eastAsia="宋体" w:cs="宋体"/>
                <w:b/>
                <w:bCs/>
                <w:i w:val="0"/>
                <w:color w:val="auto"/>
                <w:sz w:val="21"/>
                <w:szCs w:val="21"/>
                <w:u w:val="none"/>
                <w:lang w:eastAsia="zh-CN"/>
              </w:rPr>
              <w:t>卧龙区农业局</w:t>
            </w:r>
            <w:r>
              <w:rPr>
                <w:rFonts w:hint="eastAsia" w:ascii="宋体" w:hAnsi="宋体" w:eastAsia="宋体" w:cs="宋体"/>
                <w:b/>
                <w:bCs/>
                <w:color w:val="auto"/>
                <w:kern w:val="0"/>
                <w:sz w:val="20"/>
                <w:szCs w:val="20"/>
              </w:rPr>
              <w:t>没有政府性基金收入，也没有使用政府性基金安排的支出，故本表无数据。</w:t>
            </w:r>
          </w:p>
        </w:tc>
      </w:tr>
    </w:tbl>
    <w:p>
      <w:pPr>
        <w:spacing w:line="360" w:lineRule="auto"/>
        <w:jc w:val="center"/>
        <w:rPr>
          <w:rFonts w:cs="隶书" w:asciiTheme="majorEastAsia" w:hAnsiTheme="majorEastAsia" w:eastAsiaTheme="majorEastAsia"/>
          <w:sz w:val="52"/>
          <w:szCs w:val="52"/>
        </w:rPr>
        <w:sectPr>
          <w:pgSz w:w="11906" w:h="16838"/>
          <w:pgMar w:top="1440" w:right="1531" w:bottom="1440" w:left="1587" w:header="850" w:footer="992" w:gutter="0"/>
          <w:pgNumType w:fmt="numberInDash"/>
          <w:cols w:space="0" w:num="1"/>
          <w:docGrid w:type="lines" w:linePitch="317" w:charSpace="0"/>
        </w:sectPr>
      </w:pPr>
    </w:p>
    <w:p>
      <w:pPr>
        <w:jc w:val="left"/>
        <w:rPr>
          <w:rFonts w:cs="黑体" w:asciiTheme="majorEastAsia" w:hAnsiTheme="majorEastAsia" w:eastAsiaTheme="majorEastAsia"/>
          <w:sz w:val="32"/>
          <w:szCs w:val="32"/>
        </w:rPr>
      </w:pPr>
    </w:p>
    <w:p>
      <w:pPr>
        <w:jc w:val="left"/>
        <w:rPr>
          <w:rFonts w:cs="黑体" w:asciiTheme="majorEastAsia" w:hAnsiTheme="majorEastAsia" w:eastAsiaTheme="majorEastAsia"/>
          <w:sz w:val="32"/>
          <w:szCs w:val="32"/>
        </w:rPr>
      </w:pPr>
    </w:p>
    <w:p>
      <w:pPr>
        <w:jc w:val="left"/>
        <w:rPr>
          <w:rFonts w:cs="黑体" w:asciiTheme="majorEastAsia" w:hAnsiTheme="majorEastAsia" w:eastAsiaTheme="majorEastAsia"/>
          <w:sz w:val="32"/>
          <w:szCs w:val="32"/>
        </w:rPr>
      </w:pPr>
    </w:p>
    <w:p>
      <w:pPr>
        <w:jc w:val="left"/>
        <w:rPr>
          <w:rFonts w:cs="黑体" w:asciiTheme="majorEastAsia" w:hAnsiTheme="majorEastAsia" w:eastAsiaTheme="majorEastAsia"/>
          <w:sz w:val="32"/>
          <w:szCs w:val="32"/>
        </w:rPr>
      </w:pPr>
    </w:p>
    <w:p>
      <w:pPr>
        <w:jc w:val="left"/>
        <w:rPr>
          <w:rFonts w:cs="黑体" w:asciiTheme="majorEastAsia" w:hAnsiTheme="majorEastAsia" w:eastAsiaTheme="majorEastAsia"/>
          <w:sz w:val="32"/>
          <w:szCs w:val="32"/>
        </w:rPr>
      </w:pPr>
    </w:p>
    <w:p>
      <w:pPr>
        <w:jc w:val="left"/>
        <w:rPr>
          <w:rFonts w:cs="黑体" w:asciiTheme="majorEastAsia" w:hAnsiTheme="majorEastAsia" w:eastAsiaTheme="majorEastAsia"/>
          <w:sz w:val="32"/>
          <w:szCs w:val="32"/>
        </w:rPr>
      </w:pPr>
    </w:p>
    <w:p>
      <w:pPr>
        <w:jc w:val="left"/>
        <w:rPr>
          <w:rFonts w:cs="黑体" w:asciiTheme="majorEastAsia" w:hAnsiTheme="majorEastAsia" w:eastAsiaTheme="majorEastAsia"/>
          <w:sz w:val="32"/>
          <w:szCs w:val="32"/>
        </w:rPr>
      </w:pPr>
    </w:p>
    <w:p>
      <w:pPr>
        <w:jc w:val="center"/>
        <w:outlineLvl w:val="0"/>
        <w:rPr>
          <w:rFonts w:cs="隶书" w:asciiTheme="majorEastAsia" w:hAnsiTheme="majorEastAsia" w:eastAsiaTheme="majorEastAsia"/>
          <w:sz w:val="48"/>
          <w:szCs w:val="48"/>
        </w:rPr>
      </w:pPr>
      <w:r>
        <w:rPr>
          <w:rFonts w:hint="eastAsia" w:cs="隶书" w:asciiTheme="majorEastAsia" w:hAnsiTheme="majorEastAsia" w:eastAsiaTheme="majorEastAsia"/>
          <w:sz w:val="48"/>
          <w:szCs w:val="48"/>
        </w:rPr>
        <w:t>第三部分</w:t>
      </w:r>
    </w:p>
    <w:p>
      <w:pPr>
        <w:jc w:val="center"/>
        <w:rPr>
          <w:rFonts w:cs="隶书" w:asciiTheme="majorEastAsia" w:hAnsiTheme="majorEastAsia" w:eastAsiaTheme="majorEastAsia"/>
          <w:sz w:val="48"/>
          <w:szCs w:val="48"/>
        </w:rPr>
      </w:pPr>
      <w:r>
        <w:rPr>
          <w:rFonts w:hint="eastAsia" w:cs="隶书" w:asciiTheme="majorEastAsia" w:hAnsiTheme="majorEastAsia" w:eastAsiaTheme="majorEastAsia"/>
          <w:sz w:val="48"/>
          <w:szCs w:val="48"/>
        </w:rPr>
        <w:t>卧龙区农业局</w:t>
      </w:r>
    </w:p>
    <w:p>
      <w:pPr>
        <w:jc w:val="center"/>
        <w:rPr>
          <w:rFonts w:cs="隶书" w:asciiTheme="majorEastAsia" w:hAnsiTheme="majorEastAsia" w:eastAsiaTheme="majorEastAsia"/>
          <w:sz w:val="48"/>
          <w:szCs w:val="48"/>
        </w:rPr>
        <w:sectPr>
          <w:pgSz w:w="11906" w:h="16838"/>
          <w:pgMar w:top="1440" w:right="1531" w:bottom="1440" w:left="1587" w:header="850" w:footer="992" w:gutter="0"/>
          <w:pgNumType w:fmt="numberInDash"/>
          <w:cols w:space="0" w:num="1"/>
          <w:docGrid w:type="lines" w:linePitch="317" w:charSpace="0"/>
        </w:sectPr>
      </w:pPr>
      <w:r>
        <w:rPr>
          <w:rFonts w:hint="eastAsia" w:cs="隶书" w:asciiTheme="majorEastAsia" w:hAnsiTheme="majorEastAsia" w:eastAsiaTheme="majorEastAsia"/>
          <w:sz w:val="48"/>
          <w:szCs w:val="48"/>
        </w:rPr>
        <w:t>2016年度部门决算情况说明</w:t>
      </w:r>
    </w:p>
    <w:p>
      <w:pPr>
        <w:numPr>
          <w:ilvl w:val="0"/>
          <w:numId w:val="5"/>
        </w:numPr>
        <w:adjustRightInd w:val="0"/>
        <w:snapToGrid w:val="0"/>
        <w:spacing w:line="360" w:lineRule="auto"/>
        <w:ind w:firstLine="640" w:firstLineChars="200"/>
        <w:outlineLvl w:val="1"/>
        <w:rPr>
          <w:rFonts w:asciiTheme="majorEastAsia" w:hAnsiTheme="majorEastAsia" w:eastAsiaTheme="majorEastAsia"/>
          <w:sz w:val="32"/>
          <w:szCs w:val="32"/>
        </w:rPr>
      </w:pPr>
      <w:r>
        <w:rPr>
          <w:rFonts w:hint="eastAsia" w:asciiTheme="majorEastAsia" w:hAnsiTheme="majorEastAsia" w:eastAsiaTheme="majorEastAsia"/>
          <w:sz w:val="32"/>
          <w:szCs w:val="32"/>
        </w:rPr>
        <w:t>关于收入支出决算总体情况说明</w:t>
      </w:r>
    </w:p>
    <w:p>
      <w:pPr>
        <w:adjustRightInd w:val="0"/>
        <w:snapToGrid w:val="0"/>
        <w:spacing w:line="360" w:lineRule="auto"/>
        <w:ind w:firstLine="640" w:firstLineChars="200"/>
        <w:rPr>
          <w:rFonts w:cs="Courier New" w:asciiTheme="majorEastAsia" w:hAnsiTheme="majorEastAsia" w:eastAsiaTheme="majorEastAsia"/>
          <w:sz w:val="32"/>
          <w:szCs w:val="32"/>
        </w:rPr>
      </w:pPr>
      <w:r>
        <w:rPr>
          <w:rFonts w:hint="eastAsia" w:cs="Courier New" w:asciiTheme="majorEastAsia" w:hAnsiTheme="majorEastAsia" w:eastAsiaTheme="majorEastAsia"/>
          <w:sz w:val="32"/>
          <w:szCs w:val="32"/>
        </w:rPr>
        <w:t>2016年度收入总计1847.6万元，支出总计1275.3万元。</w:t>
      </w:r>
    </w:p>
    <w:p>
      <w:pPr>
        <w:pStyle w:val="10"/>
        <w:numPr>
          <w:ilvl w:val="0"/>
          <w:numId w:val="6"/>
        </w:numPr>
        <w:adjustRightInd w:val="0"/>
        <w:snapToGrid w:val="0"/>
        <w:spacing w:line="360" w:lineRule="auto"/>
        <w:ind w:firstLineChars="0"/>
        <w:outlineLvl w:val="1"/>
        <w:rPr>
          <w:rFonts w:asciiTheme="majorEastAsia" w:hAnsiTheme="majorEastAsia" w:eastAsiaTheme="majorEastAsia"/>
          <w:sz w:val="32"/>
          <w:szCs w:val="32"/>
        </w:rPr>
      </w:pPr>
      <w:r>
        <w:rPr>
          <w:rFonts w:hint="eastAsia" w:asciiTheme="majorEastAsia" w:hAnsiTheme="majorEastAsia" w:eastAsiaTheme="majorEastAsia"/>
          <w:sz w:val="32"/>
          <w:szCs w:val="32"/>
        </w:rPr>
        <w:t>关于收入决算情况说明</w:t>
      </w:r>
    </w:p>
    <w:p>
      <w:pPr>
        <w:adjustRightInd w:val="0"/>
        <w:snapToGrid w:val="0"/>
        <w:spacing w:line="360" w:lineRule="auto"/>
        <w:ind w:firstLine="640" w:firstLineChars="200"/>
        <w:rPr>
          <w:rFonts w:asciiTheme="majorEastAsia" w:hAnsiTheme="majorEastAsia" w:eastAsiaTheme="majorEastAsia"/>
          <w:sz w:val="32"/>
          <w:szCs w:val="32"/>
        </w:rPr>
      </w:pPr>
      <w:r>
        <w:rPr>
          <w:rFonts w:hint="eastAsia" w:cs="Courier New" w:asciiTheme="majorEastAsia" w:hAnsiTheme="majorEastAsia" w:eastAsiaTheme="majorEastAsia"/>
          <w:sz w:val="32"/>
          <w:szCs w:val="32"/>
        </w:rPr>
        <w:t>2016年度</w:t>
      </w:r>
      <w:r>
        <w:rPr>
          <w:rFonts w:hint="eastAsia" w:asciiTheme="majorEastAsia" w:hAnsiTheme="majorEastAsia" w:eastAsiaTheme="majorEastAsia"/>
          <w:sz w:val="32"/>
          <w:szCs w:val="32"/>
        </w:rPr>
        <w:t>收入合计1847.6万元，其中：财政拨款收入1847.6万元，占100</w:t>
      </w:r>
      <w:r>
        <w:rPr>
          <w:rFonts w:asciiTheme="majorEastAsia" w:hAnsiTheme="majorEastAsia" w:eastAsiaTheme="majorEastAsia"/>
          <w:sz w:val="32"/>
          <w:szCs w:val="32"/>
        </w:rPr>
        <w:t>%</w:t>
      </w:r>
      <w:r>
        <w:rPr>
          <w:rFonts w:hint="eastAsia" w:asciiTheme="majorEastAsia" w:hAnsiTheme="majorEastAsia" w:eastAsiaTheme="majorEastAsia"/>
          <w:sz w:val="32"/>
          <w:szCs w:val="32"/>
        </w:rPr>
        <w:t>。</w:t>
      </w:r>
    </w:p>
    <w:p>
      <w:pPr>
        <w:pStyle w:val="10"/>
        <w:numPr>
          <w:ilvl w:val="0"/>
          <w:numId w:val="6"/>
        </w:numPr>
        <w:adjustRightInd w:val="0"/>
        <w:snapToGrid w:val="0"/>
        <w:spacing w:line="360" w:lineRule="auto"/>
        <w:ind w:firstLineChars="0"/>
        <w:outlineLvl w:val="1"/>
        <w:rPr>
          <w:rFonts w:asciiTheme="majorEastAsia" w:hAnsiTheme="majorEastAsia" w:eastAsiaTheme="majorEastAsia"/>
          <w:sz w:val="32"/>
          <w:szCs w:val="32"/>
        </w:rPr>
      </w:pPr>
      <w:r>
        <w:rPr>
          <w:rFonts w:hint="eastAsia" w:asciiTheme="majorEastAsia" w:hAnsiTheme="majorEastAsia" w:eastAsiaTheme="majorEastAsia"/>
          <w:sz w:val="32"/>
          <w:szCs w:val="32"/>
        </w:rPr>
        <w:t>关于支出决算情况说明</w:t>
      </w:r>
    </w:p>
    <w:p>
      <w:pPr>
        <w:adjustRightInd w:val="0"/>
        <w:snapToGrid w:val="0"/>
        <w:spacing w:line="360" w:lineRule="auto"/>
        <w:ind w:firstLine="640" w:firstLineChars="200"/>
        <w:rPr>
          <w:rFonts w:cs="Courier New" w:asciiTheme="majorEastAsia" w:hAnsiTheme="majorEastAsia" w:eastAsiaTheme="majorEastAsia"/>
          <w:sz w:val="32"/>
          <w:szCs w:val="32"/>
        </w:rPr>
      </w:pPr>
      <w:r>
        <w:rPr>
          <w:rFonts w:hint="eastAsia" w:cs="Courier New" w:asciiTheme="majorEastAsia" w:hAnsiTheme="majorEastAsia" w:eastAsiaTheme="majorEastAsia"/>
          <w:sz w:val="32"/>
          <w:szCs w:val="32"/>
        </w:rPr>
        <w:t>2016年度支出合计1275.3万元，其中：基本支出232.8万元，占18.3</w:t>
      </w:r>
      <w:r>
        <w:rPr>
          <w:rFonts w:cs="Courier New" w:asciiTheme="majorEastAsia" w:hAnsiTheme="majorEastAsia" w:eastAsiaTheme="majorEastAsia"/>
          <w:sz w:val="32"/>
          <w:szCs w:val="32"/>
        </w:rPr>
        <w:t>%</w:t>
      </w:r>
      <w:r>
        <w:rPr>
          <w:rFonts w:hint="eastAsia" w:cs="Courier New" w:asciiTheme="majorEastAsia" w:hAnsiTheme="majorEastAsia" w:eastAsiaTheme="majorEastAsia"/>
          <w:sz w:val="32"/>
          <w:szCs w:val="32"/>
        </w:rPr>
        <w:t>；项目支出1042.5万元，占81.7%。</w:t>
      </w:r>
    </w:p>
    <w:p>
      <w:pPr>
        <w:pStyle w:val="10"/>
        <w:numPr>
          <w:ilvl w:val="0"/>
          <w:numId w:val="6"/>
        </w:numPr>
        <w:adjustRightInd w:val="0"/>
        <w:snapToGrid w:val="0"/>
        <w:spacing w:line="360" w:lineRule="auto"/>
        <w:ind w:firstLineChars="0"/>
        <w:outlineLvl w:val="1"/>
        <w:rPr>
          <w:rFonts w:asciiTheme="majorEastAsia" w:hAnsiTheme="majorEastAsia" w:eastAsiaTheme="majorEastAsia"/>
          <w:sz w:val="32"/>
          <w:szCs w:val="32"/>
        </w:rPr>
      </w:pPr>
      <w:r>
        <w:rPr>
          <w:rFonts w:hint="eastAsia" w:asciiTheme="majorEastAsia" w:hAnsiTheme="majorEastAsia" w:eastAsiaTheme="majorEastAsia"/>
          <w:sz w:val="32"/>
          <w:szCs w:val="32"/>
        </w:rPr>
        <w:t>关于财政拨款收入支出决算总体情况说明</w:t>
      </w:r>
    </w:p>
    <w:p>
      <w:pPr>
        <w:adjustRightInd w:val="0"/>
        <w:snapToGrid w:val="0"/>
        <w:spacing w:line="360" w:lineRule="auto"/>
        <w:ind w:firstLine="640" w:firstLineChars="200"/>
        <w:rPr>
          <w:rFonts w:cs="宋体" w:asciiTheme="majorEastAsia" w:hAnsiTheme="majorEastAsia" w:eastAsiaTheme="majorEastAsia"/>
          <w:sz w:val="24"/>
        </w:rPr>
      </w:pPr>
      <w:r>
        <w:rPr>
          <w:rFonts w:hint="eastAsia" w:cs="Courier New" w:asciiTheme="majorEastAsia" w:hAnsiTheme="majorEastAsia" w:eastAsiaTheme="majorEastAsia"/>
          <w:sz w:val="32"/>
          <w:szCs w:val="32"/>
        </w:rPr>
        <w:t>2016年财政拨款收支总决算1847.6万元。</w:t>
      </w:r>
    </w:p>
    <w:p>
      <w:pPr>
        <w:pStyle w:val="10"/>
        <w:numPr>
          <w:ilvl w:val="0"/>
          <w:numId w:val="6"/>
        </w:numPr>
        <w:adjustRightInd w:val="0"/>
        <w:snapToGrid w:val="0"/>
        <w:spacing w:line="360" w:lineRule="auto"/>
        <w:ind w:firstLineChars="0"/>
        <w:outlineLvl w:val="1"/>
        <w:rPr>
          <w:rFonts w:asciiTheme="majorEastAsia" w:hAnsiTheme="majorEastAsia" w:eastAsiaTheme="majorEastAsia"/>
          <w:sz w:val="32"/>
          <w:szCs w:val="32"/>
        </w:rPr>
      </w:pPr>
      <w:r>
        <w:rPr>
          <w:rFonts w:hint="eastAsia" w:asciiTheme="majorEastAsia" w:hAnsiTheme="majorEastAsia" w:eastAsiaTheme="majorEastAsia"/>
          <w:sz w:val="32"/>
          <w:szCs w:val="32"/>
        </w:rPr>
        <w:t>关于一般公共预算财政拨款支出决算情况说明</w:t>
      </w:r>
    </w:p>
    <w:p>
      <w:pPr>
        <w:numPr>
          <w:ilvl w:val="0"/>
          <w:numId w:val="7"/>
        </w:numPr>
        <w:adjustRightInd w:val="0"/>
        <w:snapToGrid w:val="0"/>
        <w:spacing w:line="360" w:lineRule="auto"/>
        <w:ind w:firstLine="640" w:firstLineChars="200"/>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财政拨款支出决算总体情况。</w:t>
      </w:r>
    </w:p>
    <w:p>
      <w:pPr>
        <w:adjustRightInd w:val="0"/>
        <w:snapToGrid w:val="0"/>
        <w:spacing w:line="360" w:lineRule="auto"/>
        <w:ind w:firstLine="640" w:firstLineChars="200"/>
        <w:rPr>
          <w:rFonts w:cs="宋体" w:asciiTheme="majorEastAsia" w:hAnsiTheme="majorEastAsia" w:eastAsiaTheme="majorEastAsia"/>
          <w:sz w:val="24"/>
        </w:rPr>
      </w:pPr>
      <w:r>
        <w:rPr>
          <w:rFonts w:hint="eastAsia" w:cs="Courier New" w:asciiTheme="majorEastAsia" w:hAnsiTheme="majorEastAsia" w:eastAsiaTheme="majorEastAsia"/>
          <w:sz w:val="32"/>
          <w:szCs w:val="32"/>
        </w:rPr>
        <w:t>2016年一般公共预算财政拨款支出1546.8万元，占支出合计的83.7%。</w:t>
      </w:r>
    </w:p>
    <w:p>
      <w:pPr>
        <w:adjustRightInd w:val="0"/>
        <w:snapToGrid w:val="0"/>
        <w:spacing w:line="360" w:lineRule="auto"/>
        <w:ind w:firstLine="640" w:firstLineChars="200"/>
        <w:rPr>
          <w:rFonts w:cs="Courier New" w:asciiTheme="majorEastAsia" w:hAnsiTheme="majorEastAsia" w:eastAsiaTheme="majorEastAsia"/>
          <w:sz w:val="32"/>
          <w:szCs w:val="32"/>
        </w:rPr>
      </w:pPr>
    </w:p>
    <w:p>
      <w:pPr>
        <w:adjustRightInd w:val="0"/>
        <w:snapToGrid w:val="0"/>
        <w:spacing w:line="360" w:lineRule="auto"/>
        <w:ind w:firstLine="640" w:firstLineChars="200"/>
        <w:rPr>
          <w:rFonts w:cs="Courier New" w:asciiTheme="majorEastAsia" w:hAnsiTheme="majorEastAsia" w:eastAsiaTheme="majorEastAsia"/>
          <w:sz w:val="32"/>
          <w:szCs w:val="32"/>
        </w:rPr>
      </w:pPr>
    </w:p>
    <w:p>
      <w:pPr>
        <w:adjustRightInd w:val="0"/>
        <w:snapToGrid w:val="0"/>
        <w:spacing w:line="360" w:lineRule="auto"/>
        <w:ind w:firstLine="640" w:firstLineChars="200"/>
        <w:rPr>
          <w:rFonts w:cs="Courier New" w:asciiTheme="majorEastAsia" w:hAnsiTheme="majorEastAsia" w:eastAsiaTheme="majorEastAsia"/>
          <w:sz w:val="32"/>
          <w:szCs w:val="32"/>
        </w:rPr>
      </w:pPr>
    </w:p>
    <w:p>
      <w:pPr>
        <w:adjustRightInd w:val="0"/>
        <w:snapToGrid w:val="0"/>
        <w:spacing w:line="360" w:lineRule="auto"/>
        <w:ind w:firstLine="640" w:firstLineChars="200"/>
        <w:rPr>
          <w:rFonts w:cs="Courier New" w:asciiTheme="majorEastAsia" w:hAnsiTheme="majorEastAsia" w:eastAsiaTheme="majorEastAsia"/>
          <w:sz w:val="32"/>
          <w:szCs w:val="32"/>
        </w:rPr>
      </w:pPr>
    </w:p>
    <w:p>
      <w:pPr>
        <w:adjustRightInd w:val="0"/>
        <w:snapToGrid w:val="0"/>
        <w:spacing w:line="360" w:lineRule="auto"/>
        <w:ind w:firstLine="640" w:firstLineChars="200"/>
        <w:rPr>
          <w:rFonts w:cs="Courier New" w:asciiTheme="majorEastAsia" w:hAnsiTheme="majorEastAsia" w:eastAsiaTheme="majorEastAsia"/>
          <w:sz w:val="32"/>
          <w:szCs w:val="32"/>
        </w:rPr>
      </w:pPr>
    </w:p>
    <w:p>
      <w:pPr>
        <w:kinsoku w:val="0"/>
        <w:overflowPunct w:val="0"/>
        <w:autoSpaceDE w:val="0"/>
        <w:autoSpaceDN w:val="0"/>
        <w:adjustRightInd w:val="0"/>
        <w:snapToGrid w:val="0"/>
        <w:spacing w:line="360" w:lineRule="auto"/>
        <w:ind w:firstLine="1200" w:firstLineChars="250"/>
        <w:rPr>
          <w:rFonts w:cs="Courier New" w:asciiTheme="majorEastAsia" w:hAnsiTheme="majorEastAsia" w:eastAsiaTheme="majorEastAsia"/>
          <w:sz w:val="48"/>
          <w:szCs w:val="48"/>
        </w:rPr>
        <w:sectPr>
          <w:pgSz w:w="11906" w:h="16838"/>
          <w:pgMar w:top="1440" w:right="1531" w:bottom="1440" w:left="1587" w:header="850" w:footer="992" w:gutter="0"/>
          <w:pgNumType w:fmt="numberInDash"/>
          <w:cols w:space="0" w:num="1"/>
          <w:docGrid w:type="lines" w:linePitch="317" w:charSpace="0"/>
        </w:sectPr>
      </w:pPr>
      <w:r>
        <w:rPr>
          <w:rFonts w:hint="eastAsia" w:cs="Courier New" w:asciiTheme="majorEastAsia" w:hAnsiTheme="majorEastAsia" w:eastAsiaTheme="majorEastAsia"/>
          <w:sz w:val="48"/>
          <w:szCs w:val="48"/>
        </w:rPr>
        <w:t>第四部分   名词解释</w:t>
      </w:r>
    </w:p>
    <w:p>
      <w:pPr>
        <w:kinsoku w:val="0"/>
        <w:overflowPunct w:val="0"/>
        <w:autoSpaceDE w:val="0"/>
        <w:autoSpaceDN w:val="0"/>
        <w:adjustRightInd w:val="0"/>
        <w:snapToGrid w:val="0"/>
        <w:spacing w:line="360" w:lineRule="auto"/>
        <w:ind w:firstLine="482" w:firstLineChars="150"/>
        <w:rPr>
          <w:rFonts w:cs="Courier New" w:asciiTheme="majorEastAsia" w:hAnsiTheme="majorEastAsia" w:eastAsiaTheme="majorEastAsia"/>
          <w:sz w:val="32"/>
          <w:szCs w:val="32"/>
        </w:rPr>
      </w:pPr>
      <w:r>
        <w:rPr>
          <w:rFonts w:hint="eastAsia" w:cs="Courier New" w:asciiTheme="majorEastAsia" w:hAnsiTheme="majorEastAsia" w:eastAsiaTheme="majorEastAsia"/>
          <w:b/>
          <w:bCs/>
          <w:sz w:val="32"/>
          <w:szCs w:val="32"/>
        </w:rPr>
        <w:t>一、财政拨款收入：</w:t>
      </w:r>
      <w:r>
        <w:rPr>
          <w:rFonts w:hint="eastAsia" w:cs="Courier New" w:asciiTheme="majorEastAsia" w:hAnsiTheme="majorEastAsia" w:eastAsiaTheme="majorEastAsia"/>
          <w:sz w:val="32"/>
          <w:szCs w:val="32"/>
        </w:rPr>
        <w:t>指省级财政当年拨付的资金。</w:t>
      </w:r>
    </w:p>
    <w:p>
      <w:pPr>
        <w:kinsoku w:val="0"/>
        <w:overflowPunct w:val="0"/>
        <w:autoSpaceDE w:val="0"/>
        <w:autoSpaceDN w:val="0"/>
        <w:adjustRightInd w:val="0"/>
        <w:snapToGrid w:val="0"/>
        <w:spacing w:line="360" w:lineRule="auto"/>
        <w:ind w:firstLine="643" w:firstLineChars="200"/>
        <w:rPr>
          <w:rFonts w:cs="Courier New" w:asciiTheme="majorEastAsia" w:hAnsiTheme="majorEastAsia" w:eastAsiaTheme="majorEastAsia"/>
          <w:sz w:val="32"/>
          <w:szCs w:val="32"/>
        </w:rPr>
      </w:pPr>
      <w:r>
        <w:rPr>
          <w:rFonts w:hint="eastAsia" w:cs="Courier New" w:asciiTheme="majorEastAsia" w:hAnsiTheme="majorEastAsia" w:eastAsiaTheme="majorEastAsia"/>
          <w:b/>
          <w:bCs/>
          <w:sz w:val="32"/>
          <w:szCs w:val="32"/>
        </w:rPr>
        <w:t>二、事业收入：</w:t>
      </w:r>
      <w:r>
        <w:rPr>
          <w:rFonts w:hint="eastAsia" w:cs="Courier New" w:asciiTheme="majorEastAsia" w:hAnsiTheme="majorEastAsia" w:eastAsiaTheme="majorEastAsia"/>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3" w:firstLineChars="200"/>
        <w:rPr>
          <w:rFonts w:cs="Courier New" w:asciiTheme="majorEastAsia" w:hAnsiTheme="majorEastAsia" w:eastAsiaTheme="majorEastAsia"/>
          <w:sz w:val="32"/>
          <w:szCs w:val="32"/>
        </w:rPr>
      </w:pPr>
      <w:r>
        <w:rPr>
          <w:rFonts w:hint="eastAsia" w:cs="Courier New" w:asciiTheme="majorEastAsia" w:hAnsiTheme="majorEastAsia" w:eastAsiaTheme="majorEastAsia"/>
          <w:b/>
          <w:bCs/>
          <w:sz w:val="32"/>
          <w:szCs w:val="32"/>
        </w:rPr>
        <w:t>三、其他收入：</w:t>
      </w:r>
      <w:r>
        <w:rPr>
          <w:rFonts w:hint="eastAsia" w:cs="Courier New" w:asciiTheme="majorEastAsia" w:hAnsiTheme="majorEastAsia" w:eastAsiaTheme="majorEastAsia"/>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3" w:firstLineChars="200"/>
        <w:jc w:val="left"/>
        <w:rPr>
          <w:rFonts w:cs="Courier New" w:asciiTheme="majorEastAsia" w:hAnsiTheme="majorEastAsia" w:eastAsiaTheme="majorEastAsia"/>
          <w:sz w:val="32"/>
          <w:szCs w:val="32"/>
        </w:rPr>
      </w:pPr>
      <w:r>
        <w:rPr>
          <w:rFonts w:hint="eastAsia" w:cs="Courier New" w:asciiTheme="majorEastAsia" w:hAnsiTheme="majorEastAsia" w:eastAsiaTheme="majorEastAsia"/>
          <w:b/>
          <w:bCs/>
          <w:sz w:val="32"/>
          <w:szCs w:val="32"/>
        </w:rPr>
        <w:t>四、用事业基金弥补收支差额：</w:t>
      </w:r>
      <w:bookmarkStart w:id="0" w:name="_GoBack"/>
      <w:r>
        <w:rPr>
          <w:rFonts w:hint="eastAsia" w:cs="Courier New" w:asciiTheme="majorEastAsia" w:hAnsiTheme="majorEastAsia" w:eastAsiaTheme="majorEastAsia"/>
          <w:sz w:val="32"/>
          <w:szCs w:val="32"/>
          <w:highlight w:val="none"/>
        </w:rPr>
        <w:t>指事业单位在当年的“财政拨款收入”、“事业收入”和“其他收入”不足</w:t>
      </w:r>
      <w:bookmarkEnd w:id="0"/>
      <w:r>
        <w:rPr>
          <w:rFonts w:hint="eastAsia" w:cs="Courier New" w:asciiTheme="majorEastAsia" w:hAnsiTheme="majorEastAsia" w:eastAsiaTheme="majorEastAsia"/>
          <w:sz w:val="32"/>
          <w:szCs w:val="32"/>
        </w:rPr>
        <w:t>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3" w:firstLineChars="200"/>
        <w:rPr>
          <w:rFonts w:cs="Courier New" w:asciiTheme="majorEastAsia" w:hAnsiTheme="majorEastAsia" w:eastAsiaTheme="majorEastAsia"/>
          <w:sz w:val="32"/>
          <w:szCs w:val="32"/>
        </w:rPr>
      </w:pPr>
      <w:r>
        <w:rPr>
          <w:rFonts w:hint="eastAsia" w:cs="Courier New" w:asciiTheme="majorEastAsia" w:hAnsiTheme="majorEastAsia" w:eastAsiaTheme="majorEastAsia"/>
          <w:b/>
          <w:bCs/>
          <w:sz w:val="32"/>
          <w:szCs w:val="32"/>
        </w:rPr>
        <w:t>五、年末结转和结余：</w:t>
      </w:r>
      <w:r>
        <w:rPr>
          <w:rFonts w:hint="eastAsia" w:cs="Courier New" w:asciiTheme="majorEastAsia" w:hAnsiTheme="majorEastAsia" w:eastAsiaTheme="majorEastAsia"/>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3" w:firstLineChars="200"/>
        <w:rPr>
          <w:rFonts w:cs="Courier New" w:asciiTheme="majorEastAsia" w:hAnsiTheme="majorEastAsia" w:eastAsiaTheme="majorEastAsia"/>
          <w:sz w:val="32"/>
          <w:szCs w:val="32"/>
        </w:rPr>
      </w:pPr>
      <w:r>
        <w:rPr>
          <w:rFonts w:hint="eastAsia" w:cs="Courier New" w:asciiTheme="majorEastAsia" w:hAnsiTheme="majorEastAsia" w:eastAsiaTheme="majorEastAsia"/>
          <w:b/>
          <w:bCs/>
          <w:sz w:val="32"/>
          <w:szCs w:val="32"/>
        </w:rPr>
        <w:t>六、基本支出：</w:t>
      </w:r>
      <w:r>
        <w:rPr>
          <w:rFonts w:hint="eastAsia" w:cs="Courier New" w:asciiTheme="majorEastAsia" w:hAnsiTheme="majorEastAsia" w:eastAsiaTheme="majorEastAsia"/>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cs="Courier New" w:asciiTheme="majorEastAsia" w:hAnsiTheme="majorEastAsia" w:eastAsiaTheme="majorEastAsia"/>
          <w:sz w:val="32"/>
          <w:szCs w:val="32"/>
        </w:rPr>
      </w:pPr>
      <w:r>
        <w:rPr>
          <w:rFonts w:hint="eastAsia" w:cs="Courier New" w:asciiTheme="majorEastAsia" w:hAnsiTheme="majorEastAsia" w:eastAsiaTheme="majorEastAsia"/>
          <w:b/>
          <w:bCs/>
          <w:sz w:val="32"/>
          <w:szCs w:val="32"/>
        </w:rPr>
        <w:t>七、项目支出：</w:t>
      </w:r>
      <w:r>
        <w:rPr>
          <w:rFonts w:hint="eastAsia" w:cs="Courier New" w:asciiTheme="majorEastAsia" w:hAnsiTheme="majorEastAsia" w:eastAsiaTheme="majorEastAsia"/>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rPr>
          <w:rFonts w:ascii="仿宋_GB2312" w:hAnsi="宋体" w:eastAsia="仿宋_GB2312" w:cs="Courier New"/>
          <w:sz w:val="52"/>
          <w:szCs w:val="52"/>
          <w:highlight w:val="yellow"/>
        </w:rPr>
      </w:pPr>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script"/>
    <w:pitch w:val="default"/>
    <w:sig w:usb0="00000000" w:usb1="00000000" w:usb2="00000000" w:usb3="00000000" w:csb0="00040000" w:csb1="00000000"/>
  </w:font>
  <w:font w:name="隶书">
    <w:altName w:val="宋体"/>
    <w:panose1 w:val="00000000000000000000"/>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 w:name="仿宋">
    <w:altName w:val="宋体"/>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文星中等线">
    <w:altName w:val="宋体"/>
    <w:panose1 w:val="02010604000101010101"/>
    <w:charset w:val="86"/>
    <w:family w:val="auto"/>
    <w:pitch w:val="default"/>
    <w:sig w:usb0="00000000" w:usb1="00000000" w:usb2="00000000" w:usb3="00000000" w:csb0="00040001" w:csb1="00000000"/>
  </w:font>
  <w:font w:name="文星中文符号库一">
    <w:altName w:val="Lucida Console"/>
    <w:panose1 w:val="02010609000101010101"/>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宋体"/>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文星简超黑">
    <w:altName w:val="黑体"/>
    <w:panose1 w:val="02010609000101010101"/>
    <w:charset w:val="00"/>
    <w:family w:val="auto"/>
    <w:pitch w:val="default"/>
    <w:sig w:usb0="00000000" w:usb1="00000000" w:usb2="00000000" w:usb3="00000000" w:csb0="00000000" w:csb1="00000000"/>
  </w:font>
  <w:font w:name="文星简行草">
    <w:altName w:val="Lucida Console"/>
    <w:panose1 w:val="02010609000101010101"/>
    <w:charset w:val="00"/>
    <w:family w:val="auto"/>
    <w:pitch w:val="default"/>
    <w:sig w:usb0="00000000" w:usb1="00000000" w:usb2="00000000" w:usb3="00000000" w:csb0="00000000" w:csb1="00000000"/>
  </w:font>
  <w:font w:name="文星细圆">
    <w:altName w:val="宋体"/>
    <w:panose1 w:val="02010604000101010101"/>
    <w:charset w:val="86"/>
    <w:family w:val="auto"/>
    <w:pitch w:val="default"/>
    <w:sig w:usb0="00000000" w:usb1="00000000" w:usb2="00000000" w:usb3="00000000" w:csb0="00040001" w:csb1="00000000"/>
  </w:font>
  <w:font w:name="文星细黑一">
    <w:altName w:val="黑体"/>
    <w:panose1 w:val="02010604000101010101"/>
    <w:charset w:val="86"/>
    <w:family w:val="auto"/>
    <w:pitch w:val="default"/>
    <w:sig w:usb0="00000000" w:usb1="00000000" w:usb2="00000000" w:usb3="00000000" w:csb0="00040001" w:csb1="00000000"/>
  </w:font>
  <w:font w:name="文星隶变">
    <w:altName w:val="宋体"/>
    <w:panose1 w:val="02010604000101010101"/>
    <w:charset w:val="86"/>
    <w:family w:val="auto"/>
    <w:pitch w:val="default"/>
    <w:sig w:usb0="00000000" w:usb1="00000000" w:usb2="00000000" w:usb3="00000000" w:csb0="00040001" w:csb1="00000000"/>
  </w:font>
  <w:font w:name="新宋体">
    <w:panose1 w:val="02010609030101010101"/>
    <w:charset w:val="86"/>
    <w:family w:val="auto"/>
    <w:pitch w:val="default"/>
    <w:sig w:usb0="00000003" w:usb1="080E0000" w:usb2="00000000"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文星简隶书">
    <w:altName w:val="宋体"/>
    <w:panose1 w:val="02010609000101010101"/>
    <w:charset w:val="00"/>
    <w:family w:val="auto"/>
    <w:pitch w:val="default"/>
    <w:sig w:usb0="00000000" w:usb1="00000000" w:usb2="00000000" w:usb3="00000000" w:csb0="00000000" w:csb1="00000000"/>
  </w:font>
  <w:font w:name="文星简魏体">
    <w:altName w:val="Lucida Console"/>
    <w:panose1 w:val="02010609000101010101"/>
    <w:charset w:val="00"/>
    <w:family w:val="auto"/>
    <w:pitch w:val="default"/>
    <w:sig w:usb0="00000000" w:usb1="00000000" w:usb2="00000000" w:usb3="00000000" w:csb0="00000000" w:csb1="00000000"/>
  </w:font>
  <w:font w:name="文星简黑变">
    <w:altName w:val="黑体"/>
    <w:panose1 w:val="02010609000101010101"/>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Batang">
    <w:altName w:val="GulimChe"/>
    <w:panose1 w:val="02030600000101010101"/>
    <w:charset w:val="81"/>
    <w:family w:val="auto"/>
    <w:pitch w:val="default"/>
    <w:sig w:usb0="00000000" w:usb1="00000000" w:usb2="00000030" w:usb3="00000000" w:csb0="4008009F" w:csb1="DFD70000"/>
  </w:font>
  <w:font w:name="BatangChe">
    <w:altName w:val="GulimChe"/>
    <w:panose1 w:val="02030609000101010101"/>
    <w:charset w:val="81"/>
    <w:family w:val="auto"/>
    <w:pitch w:val="default"/>
    <w:sig w:usb0="00000000" w:usb1="00000000" w:usb2="00000030" w:usb3="00000000" w:csb0="4008009F" w:csb1="DFD70000"/>
  </w:font>
  <w:font w:name="DFKai-SB">
    <w:altName w:val="MingLiU"/>
    <w:panose1 w:val="03000509000000000000"/>
    <w:charset w:val="88"/>
    <w:family w:val="auto"/>
    <w:pitch w:val="default"/>
    <w:sig w:usb0="00000000" w:usb1="0000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0" w:usb1="00000000" w:usb2="00000000" w:usb3="00000000" w:csb0="00040001" w:csb1="00000000"/>
  </w:font>
  <w:font w:name="Malgun Gothic">
    <w:altName w:val="Gulim"/>
    <w:panose1 w:val="020B0503020000020004"/>
    <w:charset w:val="81"/>
    <w:family w:val="auto"/>
    <w:pitch w:val="default"/>
    <w:sig w:usb0="00000000" w:usb1="00000000" w:usb2="00000012" w:usb3="00000000" w:csb0="00080001" w:csb1="00000000"/>
  </w:font>
  <w:font w:name="GungsuhChe">
    <w:altName w:val="GulimChe"/>
    <w:panose1 w:val="02030609000101010101"/>
    <w:charset w:val="81"/>
    <w:family w:val="auto"/>
    <w:pitch w:val="default"/>
    <w:sig w:usb0="00000000" w:usb1="00000000" w:usb2="00000030" w:usb3="00000000" w:csb0="4008009F" w:csb1="DFD70000"/>
  </w:font>
  <w:font w:name="Gungsuh">
    <w:altName w:val="GulimChe"/>
    <w:panose1 w:val="02030600000101010101"/>
    <w:charset w:val="81"/>
    <w:family w:val="auto"/>
    <w:pitch w:val="default"/>
    <w:sig w:usb0="00000000" w:usb1="00000000"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altName w:val="MS UI Gothic"/>
    <w:panose1 w:val="020B0604030504040204"/>
    <w:charset w:val="80"/>
    <w:family w:val="auto"/>
    <w:pitch w:val="default"/>
    <w:sig w:usb0="00000000" w:usb1="00000000" w:usb2="00010012" w:usb3="00000000" w:csb0="6002009F" w:csb1="DFD70000"/>
  </w:font>
  <w:font w:name="Meiryo UI">
    <w:altName w:val="MS UI Gothic"/>
    <w:panose1 w:val="020B0604030504040204"/>
    <w:charset w:val="80"/>
    <w:family w:val="auto"/>
    <w:pitch w:val="default"/>
    <w:sig w:usb0="00000000" w:usb1="00000000" w:usb2="00010012" w:usb3="00000000" w:csb0="6002009F" w:csb1="DFD70000"/>
  </w:font>
  <w:font w:name="Microsoft JhengHei">
    <w:altName w:val="PMingLiU"/>
    <w:panose1 w:val="020B0604030504040204"/>
    <w:charset w:val="88"/>
    <w:family w:val="auto"/>
    <w:pitch w:val="default"/>
    <w:sig w:usb0="00000000" w:usb1="00000000" w:usb2="00000016" w:usb3="00000000" w:csb0="00100009" w:csb1="00000000"/>
  </w:font>
  <w:font w:name="MingLiU">
    <w:panose1 w:val="02020309000000000000"/>
    <w:charset w:val="88"/>
    <w:family w:val="auto"/>
    <w:pitch w:val="default"/>
    <w:sig w:usb0="00000003" w:usb1="082E0000" w:usb2="00000016" w:usb3="00000000" w:csb0="00100001" w:csb1="00000000"/>
  </w:font>
  <w:font w:name="MingLiU-ExtB">
    <w:altName w:val="PMingLiU"/>
    <w:panose1 w:val="02020500000000000000"/>
    <w:charset w:val="88"/>
    <w:family w:val="auto"/>
    <w:pitch w:val="default"/>
    <w:sig w:usb0="00000000" w:usb1="00000000" w:usb2="00000000" w:usb3="00000000" w:csb0="00100001" w:csb1="00000000"/>
  </w:font>
  <w:font w:name="MingLiU_HKSCS">
    <w:altName w:val="PMingLiU"/>
    <w:panose1 w:val="02020500000000000000"/>
    <w:charset w:val="88"/>
    <w:family w:val="auto"/>
    <w:pitch w:val="default"/>
    <w:sig w:usb0="00000000" w:usb1="00000000" w:usb2="00000016" w:usb3="00000000" w:csb0="00100001" w:csb1="00000000"/>
  </w:font>
  <w:font w:name="MS Gothic">
    <w:panose1 w:val="020B0609070205080204"/>
    <w:charset w:val="80"/>
    <w:family w:val="auto"/>
    <w:pitch w:val="default"/>
    <w:sig w:usb0="A00002BF" w:usb1="68C7FCFB" w:usb2="00000010" w:usb3="00000000" w:csb0="4002009F" w:csb1="DFD70000"/>
  </w:font>
  <w:font w:name="MS Mincho">
    <w:altName w:val="MS UI Gothic"/>
    <w:panose1 w:val="02020609040205080304"/>
    <w:charset w:val="80"/>
    <w:family w:val="auto"/>
    <w:pitch w:val="default"/>
    <w:sig w:usb0="00000000" w:usb1="00000000" w:usb2="00000010" w:usb3="00000000" w:csb0="4002009F" w:csb1="DFD70000"/>
  </w:font>
  <w:font w:name="AngsanaUPC">
    <w:altName w:val="Times New Roman"/>
    <w:panose1 w:val="02020603050405020304"/>
    <w:charset w:val="00"/>
    <w:family w:val="auto"/>
    <w:pitch w:val="default"/>
    <w:sig w:usb0="00000000" w:usb1="00000000" w:usb2="00000000" w:usb3="00000000" w:csb0="00010001" w:csb1="00000000"/>
  </w:font>
  <w:font w:name="Angsana New">
    <w:altName w:val="Times New Roman"/>
    <w:panose1 w:val="02020603050405020304"/>
    <w:charset w:val="00"/>
    <w:family w:val="auto"/>
    <w:pitch w:val="default"/>
    <w:sig w:usb0="00000000" w:usb1="00000000" w:usb2="00000000" w:usb3="00000000" w:csb0="00010001" w:csb1="00000000"/>
  </w:font>
  <w:font w:name="Andalus">
    <w:altName w:val="Times New Roman"/>
    <w:panose1 w:val="02020603050405020304"/>
    <w:charset w:val="00"/>
    <w:family w:val="auto"/>
    <w:pitch w:val="default"/>
    <w:sig w:usb0="00000000" w:usb1="00000000" w:usb2="00000008" w:usb3="00000000" w:csb0="00000041" w:csb1="20080000"/>
  </w:font>
  <w:font w:name="Algerian">
    <w:altName w:val="Courier New"/>
    <w:panose1 w:val="04020705040A02060702"/>
    <w:charset w:val="00"/>
    <w:family w:val="auto"/>
    <w:pitch w:val="default"/>
    <w:sig w:usb0="00000000" w:usb1="00000000" w:usb2="00000000" w:usb3="00000000" w:csb0="20000001" w:csb1="00000000"/>
  </w:font>
  <w:font w:name="Aharoni">
    <w:altName w:val="Tahoma"/>
    <w:panose1 w:val="02010803020104030203"/>
    <w:charset w:val="00"/>
    <w:family w:val="auto"/>
    <w:pitch w:val="default"/>
    <w:sig w:usb0="00000000" w:usb1="00000000" w:usb2="00000000" w:usb3="00000000" w:csb0="00000020" w:csb1="00200000"/>
  </w:font>
  <w:font w:name="Agency FB">
    <w:altName w:val="Trebuchet MS"/>
    <w:panose1 w:val="020B0503020202020204"/>
    <w:charset w:val="00"/>
    <w:family w:val="auto"/>
    <w:pitch w:val="default"/>
    <w:sig w:usb0="00000000" w:usb1="00000000" w:usb2="00000000" w:usb3="00000000" w:csb0="20000001" w:csb1="00000000"/>
  </w:font>
  <w:font w:name="SimSun-ExtB">
    <w:altName w:val="宋体"/>
    <w:panose1 w:val="02010609060101010101"/>
    <w:charset w:val="86"/>
    <w:family w:val="auto"/>
    <w:pitch w:val="default"/>
    <w:sig w:usb0="00000000" w:usb1="00000000" w:usb2="00000000" w:usb3="00000000" w:csb0="00040001" w:csb1="00000000"/>
  </w:font>
  <w:font w:name="PMingLiU-ExtB">
    <w:altName w:val="PMingLiU"/>
    <w:panose1 w:val="02020500000000000000"/>
    <w:charset w:val="88"/>
    <w:family w:val="auto"/>
    <w:pitch w:val="default"/>
    <w:sig w:usb0="00000000" w:usb1="00000000" w:usb2="00000000" w:usb3="00000000" w:csb0="00100001" w:csb1="00000000"/>
  </w:font>
  <w:font w:name="PMingLiU">
    <w:panose1 w:val="02020300000000000000"/>
    <w:charset w:val="88"/>
    <w:family w:val="auto"/>
    <w:pitch w:val="default"/>
    <w:sig w:usb0="00000003" w:usb1="082E0000" w:usb2="00000016" w:usb3="00000000" w:csb0="00100001" w:csb1="00000000"/>
  </w:font>
  <w:font w:name="MS UI Gothic">
    <w:panose1 w:val="020B0600070205080204"/>
    <w:charset w:val="80"/>
    <w:family w:val="auto"/>
    <w:pitch w:val="default"/>
    <w:sig w:usb0="A00002BF" w:usb1="68C7FCFB" w:usb2="00000010" w:usb3="00000000" w:csb0="4002009F" w:csb1="DFD70000"/>
  </w:font>
  <w:font w:name="MS PMincho">
    <w:altName w:val="MS UI Gothic"/>
    <w:panose1 w:val="02020600040205080304"/>
    <w:charset w:val="80"/>
    <w:family w:val="auto"/>
    <w:pitch w:val="default"/>
    <w:sig w:usb0="00000000" w:usb1="00000000" w:usb2="00000010" w:usb3="00000000" w:csb0="4002009F" w:csb1="DFD70000"/>
  </w:font>
  <w:font w:name="MS Outlook">
    <w:panose1 w:val="05010100010000000000"/>
    <w:charset w:val="00"/>
    <w:family w:val="auto"/>
    <w:pitch w:val="default"/>
    <w:sig w:usb0="00000000" w:usb1="00000000" w:usb2="00000000" w:usb3="00000000" w:csb0="80000000" w:csb1="00000000"/>
  </w:font>
  <w:font w:name="Modern No. 20">
    <w:altName w:val="Bookman Old Style"/>
    <w:panose1 w:val="02070704070505020303"/>
    <w:charset w:val="00"/>
    <w:family w:val="auto"/>
    <w:pitch w:val="default"/>
    <w:sig w:usb0="00000000" w:usb1="00000000" w:usb2="00000000" w:usb3="00000000" w:csb0="20000001" w:csb1="00000000"/>
  </w:font>
  <w:font w:name="Miriam">
    <w:altName w:val="Gulim"/>
    <w:panose1 w:val="020B0502050101010101"/>
    <w:charset w:val="00"/>
    <w:family w:val="auto"/>
    <w:pitch w:val="default"/>
    <w:sig w:usb0="00000000" w:usb1="00000000" w:usb2="00000000" w:usb3="00000000" w:csb0="00000020" w:csb1="00200000"/>
  </w:font>
  <w:font w:name="Microsoft Uighur">
    <w:altName w:val="Verdana"/>
    <w:panose1 w:val="02000000000000000000"/>
    <w:charset w:val="00"/>
    <w:family w:val="auto"/>
    <w:pitch w:val="default"/>
    <w:sig w:usb0="00000000" w:usb1="00000000" w:usb2="00000008" w:usb3="00000000" w:csb0="00000041" w:csb1="00000000"/>
  </w:font>
  <w:font w:name="Microsoft PhagsPa">
    <w:altName w:val="Lucida Sans Unicode"/>
    <w:panose1 w:val="020B0502040204020203"/>
    <w:charset w:val="00"/>
    <w:family w:val="auto"/>
    <w:pitch w:val="default"/>
    <w:sig w:usb0="00000000" w:usb1="00000000" w:usb2="08000000" w:usb3="00000000" w:csb0="00000001" w:csb1="00000000"/>
  </w:font>
  <w:font w:name="Microsoft Himalaya">
    <w:altName w:val="Courier New"/>
    <w:panose1 w:val="01010100010101010101"/>
    <w:charset w:val="00"/>
    <w:family w:val="auto"/>
    <w:pitch w:val="default"/>
    <w:sig w:usb0="00000000" w:usb1="00000000" w:usb2="00000040" w:usb3="00000000" w:csb0="00000001" w:csb1="00000000"/>
  </w:font>
  <w:font w:name="Matura MT Script Capitals">
    <w:altName w:val="Monotype Corsiva"/>
    <w:panose1 w:val="03020802060602070202"/>
    <w:charset w:val="00"/>
    <w:family w:val="auto"/>
    <w:pitch w:val="default"/>
    <w:sig w:usb0="00000000" w:usb1="00000000" w:usb2="00000000" w:usb3="00000000" w:csb0="20000001" w:csb1="00000000"/>
  </w:font>
  <w:font w:name="文星简大黑">
    <w:altName w:val="黑体"/>
    <w:panose1 w:val="02010609000101010101"/>
    <w:charset w:val="00"/>
    <w:family w:val="auto"/>
    <w:pitch w:val="default"/>
    <w:sig w:usb0="00000000" w:usb1="00000000" w:usb2="00000000" w:usb3="00000000" w:csb0="00000000" w:csb1="00000000"/>
  </w:font>
  <w:font w:name="文星简中圆">
    <w:altName w:val="Lucida Console"/>
    <w:panose1 w:val="02010609000101010101"/>
    <w:charset w:val="00"/>
    <w:family w:val="auto"/>
    <w:pitch w:val="default"/>
    <w:sig w:usb0="00000000" w:usb1="00000000" w:usb2="00000000" w:usb3="00000000" w:csb0="00000000" w:csb1="00000000"/>
  </w:font>
  <w:font w:name="文星楷宋">
    <w:altName w:val="宋体"/>
    <w:panose1 w:val="02010604000101010101"/>
    <w:charset w:val="86"/>
    <w:family w:val="auto"/>
    <w:pitch w:val="default"/>
    <w:sig w:usb0="00000000" w:usb1="00000000" w:usb2="00000000" w:usb3="00000000" w:csb0="00040001" w:csb1="00000000"/>
  </w:font>
  <w:font w:name="文星排版符号库１">
    <w:altName w:val="Lucida Console"/>
    <w:panose1 w:val="02010609000101010101"/>
    <w:charset w:val="00"/>
    <w:family w:val="auto"/>
    <w:pitch w:val="default"/>
    <w:sig w:usb0="00000000" w:usb1="00000000" w:usb2="00000000" w:usb3="00000000" w:csb0="00000000" w:csb1="00000000"/>
  </w:font>
  <w:font w:name="文星报宋">
    <w:altName w:val="宋体"/>
    <w:panose1 w:val="02010609000101010101"/>
    <w:charset w:val="86"/>
    <w:family w:val="auto"/>
    <w:pitch w:val="default"/>
    <w:sig w:usb0="00000000" w:usb1="00000000" w:usb2="00000000" w:usb3="00000000" w:csb0="00040000" w:csb1="00000000"/>
  </w:font>
  <w:font w:name="文星准圆">
    <w:altName w:val="宋体"/>
    <w:panose1 w:val="02010604000101010101"/>
    <w:charset w:val="86"/>
    <w:family w:val="auto"/>
    <w:pitch w:val="default"/>
    <w:sig w:usb0="00000000" w:usb1="00000000" w:usb2="00000000" w:usb3="00000000" w:csb0="00040001" w:csb1="00000000"/>
  </w:font>
  <w:font w:name="文星仿宋">
    <w:altName w:val="仿宋_GB2312"/>
    <w:panose1 w:val="02010604000101010101"/>
    <w:charset w:val="86"/>
    <w:family w:val="auto"/>
    <w:pitch w:val="default"/>
    <w:sig w:usb0="00000000" w:usb1="00000000" w:usb2="00000000"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文星简舒同">
    <w:altName w:val="Lucida Console"/>
    <w:panose1 w:val="02010609000101010101"/>
    <w:charset w:val="00"/>
    <w:family w:val="auto"/>
    <w:pitch w:val="default"/>
    <w:sig w:usb0="00000000" w:usb1="00000000" w:usb2="00000000" w:usb3="00000000" w:csb0="00000000" w:csb1="00000000"/>
  </w:font>
  <w:font w:name="文星简粗黑">
    <w:altName w:val="黑体"/>
    <w:panose1 w:val="02010609000101010101"/>
    <w:charset w:val="00"/>
    <w:family w:val="auto"/>
    <w:pitch w:val="default"/>
    <w:sig w:usb0="00000000" w:usb1="00000000" w:usb2="00000000" w:usb3="00000000" w:csb0="00000000" w:csb1="00000000"/>
  </w:font>
  <w:font w:name="文星简彩云">
    <w:altName w:val="Lucida Console"/>
    <w:panose1 w:val="02010609000101010101"/>
    <w:charset w:val="00"/>
    <w:family w:val="auto"/>
    <w:pitch w:val="default"/>
    <w:sig w:usb0="00000000" w:usb1="00000000" w:usb2="00000000" w:usb3="00000000" w:csb0="00000000" w:csb1="00000000"/>
  </w:font>
  <w:font w:name="文星简大标宋">
    <w:altName w:val="宋体"/>
    <w:panose1 w:val="02010609000101010101"/>
    <w:charset w:val="00"/>
    <w:family w:val="auto"/>
    <w:pitch w:val="default"/>
    <w:sig w:usb0="00000000" w:usb1="00000000" w:usb2="00000000" w:usb3="00000000" w:csb0="00000000" w:csb1="00000000"/>
  </w:font>
  <w:font w:name="文星简行楷">
    <w:altName w:val="楷体_GB2312"/>
    <w:panose1 w:val="02010609000101010101"/>
    <w:charset w:val="00"/>
    <w:family w:val="auto"/>
    <w:pitch w:val="default"/>
    <w:sig w:usb0="00000000" w:usb1="00000000" w:usb2="00000000" w:usb3="00000000" w:csb0="00000000" w:csb1="00000000"/>
  </w:font>
  <w:font w:name="文星简综艺">
    <w:altName w:val="Lucida Console"/>
    <w:panose1 w:val="02010609000101010101"/>
    <w:charset w:val="00"/>
    <w:family w:val="auto"/>
    <w:pitch w:val="default"/>
    <w:sig w:usb0="00000000" w:usb1="00000000" w:usb2="00000000" w:usb3="00000000" w:csb0="00000000" w:csb1="00000000"/>
  </w:font>
  <w:font w:name="文星简美黑">
    <w:altName w:val="黑体"/>
    <w:panose1 w:val="02010609000101010101"/>
    <w:charset w:val="00"/>
    <w:family w:val="auto"/>
    <w:pitch w:val="default"/>
    <w:sig w:usb0="00000000" w:usb1="00000000" w:usb2="00000000" w:usb3="00000000" w:csb0="00000000" w:csb1="00000000"/>
  </w:font>
  <w:font w:name="文星简胖头鱼">
    <w:altName w:val="Lucida Console"/>
    <w:panose1 w:val="02010609000101010101"/>
    <w:charset w:val="00"/>
    <w:family w:val="auto"/>
    <w:pitch w:val="default"/>
    <w:sig w:usb0="00000000" w:usb1="00000000" w:usb2="00000000" w:usb3="00000000" w:csb0="00000000" w:csb1="00000000"/>
  </w:font>
  <w:font w:name="文星简楷宋">
    <w:altName w:val="宋体"/>
    <w:panose1 w:val="02010609000101010101"/>
    <w:charset w:val="00"/>
    <w:family w:val="auto"/>
    <w:pitch w:val="default"/>
    <w:sig w:usb0="00000000" w:usb1="00000000" w:usb2="00000000" w:usb3="00000000" w:csb0="00000000" w:csb1="00000000"/>
  </w:font>
  <w:font w:name="幼圆">
    <w:altName w:val="宋体"/>
    <w:panose1 w:val="02010509060101010101"/>
    <w:charset w:val="86"/>
    <w:family w:val="auto"/>
    <w:pitch w:val="default"/>
    <w:sig w:usb0="00000000" w:usb1="0000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Trebuchet MS">
    <w:panose1 w:val="020B0603020202020204"/>
    <w:charset w:val="00"/>
    <w:family w:val="auto"/>
    <w:pitch w:val="default"/>
    <w:sig w:usb0="000002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 w:name="Verdana">
    <w:panose1 w:val="020B0604030504040204"/>
    <w:charset w:val="00"/>
    <w:family w:val="auto"/>
    <w:pitch w:val="default"/>
    <w:sig w:usb0="00000287" w:usb1="00000000"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Sylfaen">
    <w:altName w:val="Courier New"/>
    <w:panose1 w:val="010A0502050306030303"/>
    <w:charset w:val="00"/>
    <w:family w:val="auto"/>
    <w:pitch w:val="default"/>
    <w:sig w:usb0="00000000" w:usb1="00000000" w:usb2="00000000" w:usb3="00000000" w:csb0="2000009F" w:csb1="00000000"/>
  </w:font>
  <w:font w:name="Monotype Corsiva">
    <w:panose1 w:val="03010101010201010101"/>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- 20 -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946DA"/>
    <w:multiLevelType w:val="multilevel"/>
    <w:tmpl w:val="3E9946DA"/>
    <w:lvl w:ilvl="0" w:tentative="0">
      <w:start w:val="2"/>
      <w:numFmt w:val="japaneseCounting"/>
      <w:lvlText w:val="%1、"/>
      <w:lvlJc w:val="left"/>
      <w:pPr>
        <w:ind w:left="1360" w:hanging="720"/>
      </w:pPr>
      <w:rPr>
        <w:rFonts w:hint="default" w:ascii="仿宋_GB2312" w:hAnsi="宋体" w:eastAsia="仿宋_GB2312" w:cs="Courier New"/>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62D8834"/>
    <w:multiLevelType w:val="singleLevel"/>
    <w:tmpl w:val="562D8834"/>
    <w:lvl w:ilvl="0" w:tentative="0">
      <w:start w:val="15"/>
      <w:numFmt w:val="chineseCounting"/>
      <w:suff w:val="nothing"/>
      <w:lvlText w:val="（%1）"/>
      <w:lvlJc w:val="left"/>
    </w:lvl>
  </w:abstractNum>
  <w:abstractNum w:abstractNumId="2">
    <w:nsid w:val="5971BE17"/>
    <w:multiLevelType w:val="singleLevel"/>
    <w:tmpl w:val="5971BE17"/>
    <w:lvl w:ilvl="0" w:tentative="0">
      <w:start w:val="1"/>
      <w:numFmt w:val="chineseCounting"/>
      <w:suff w:val="nothing"/>
      <w:lvlText w:val="%1、"/>
      <w:lvlJc w:val="left"/>
    </w:lvl>
  </w:abstractNum>
  <w:abstractNum w:abstractNumId="3">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4">
    <w:nsid w:val="5971C193"/>
    <w:multiLevelType w:val="singleLevel"/>
    <w:tmpl w:val="5971C193"/>
    <w:lvl w:ilvl="0" w:tentative="0">
      <w:start w:val="2"/>
      <w:numFmt w:val="chineseCounting"/>
      <w:suff w:val="nothing"/>
      <w:lvlText w:val="%1、"/>
      <w:lvlJc w:val="left"/>
    </w:lvl>
  </w:abstractNum>
  <w:abstractNum w:abstractNumId="5">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6">
    <w:nsid w:val="5971DBDD"/>
    <w:multiLevelType w:val="singleLevel"/>
    <w:tmpl w:val="5971DBDD"/>
    <w:lvl w:ilvl="0" w:tentative="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B5A03"/>
    <w:rsid w:val="000B7567"/>
    <w:rsid w:val="001150B0"/>
    <w:rsid w:val="00172A27"/>
    <w:rsid w:val="002929B4"/>
    <w:rsid w:val="002E66C2"/>
    <w:rsid w:val="003F2527"/>
    <w:rsid w:val="004C1B0B"/>
    <w:rsid w:val="005D2F7F"/>
    <w:rsid w:val="006419E6"/>
    <w:rsid w:val="007C489E"/>
    <w:rsid w:val="009108DE"/>
    <w:rsid w:val="00B458CF"/>
    <w:rsid w:val="00C165DE"/>
    <w:rsid w:val="00CD71F9"/>
    <w:rsid w:val="00E51D95"/>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5E6F73F9"/>
    <w:rsid w:val="5F6857E8"/>
    <w:rsid w:val="600176AC"/>
    <w:rsid w:val="65332BB8"/>
    <w:rsid w:val="664A46E0"/>
    <w:rsid w:val="66755D81"/>
    <w:rsid w:val="68A121F7"/>
    <w:rsid w:val="68A9241E"/>
    <w:rsid w:val="6B6D695A"/>
    <w:rsid w:val="6FD41D7F"/>
    <w:rsid w:val="71AD0252"/>
    <w:rsid w:val="72416639"/>
    <w:rsid w:val="738C1FE2"/>
    <w:rsid w:val="75531EF6"/>
    <w:rsid w:val="755C6E39"/>
    <w:rsid w:val="75D0003D"/>
    <w:rsid w:val="764F7877"/>
    <w:rsid w:val="7AA141FF"/>
    <w:rsid w:val="7C445B57"/>
    <w:rsid w:val="7D71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rPr>
  </w:style>
  <w:style w:type="character" w:customStyle="1" w:styleId="7">
    <w:name w:val="font31"/>
    <w:basedOn w:val="5"/>
    <w:qFormat/>
    <w:uiPriority w:val="0"/>
    <w:rPr>
      <w:rFonts w:ascii="Arial" w:hAnsi="Arial" w:cs="Arial"/>
      <w:color w:val="000000"/>
      <w:sz w:val="16"/>
      <w:szCs w:val="16"/>
      <w:u w:val="none"/>
    </w:rPr>
  </w:style>
  <w:style w:type="character" w:customStyle="1" w:styleId="8">
    <w:name w:val="font01"/>
    <w:basedOn w:val="5"/>
    <w:qFormat/>
    <w:uiPriority w:val="0"/>
    <w:rPr>
      <w:rFonts w:hint="default" w:ascii="Arial" w:hAnsi="Arial" w:cs="Arial"/>
      <w:color w:val="000000"/>
      <w:sz w:val="16"/>
      <w:szCs w:val="16"/>
      <w:u w:val="none"/>
    </w:rPr>
  </w:style>
  <w:style w:type="character" w:customStyle="1" w:styleId="9">
    <w:name w:val="font41"/>
    <w:basedOn w:val="5"/>
    <w:qFormat/>
    <w:uiPriority w:val="0"/>
    <w:rPr>
      <w:rFonts w:hint="eastAsia" w:ascii="宋体" w:hAnsi="宋体" w:eastAsia="宋体" w:cs="宋体"/>
      <w:color w:val="000000"/>
      <w:sz w:val="16"/>
      <w:szCs w:val="16"/>
      <w:u w:val="none"/>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5702</Words>
  <Characters>7361</Characters>
  <Lines>62</Lines>
  <Paragraphs>17</Paragraphs>
  <ScaleCrop>false</ScaleCrop>
  <LinksUpToDate>false</LinksUpToDate>
  <CharactersWithSpaces>7893</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2017-11-03T00:11:39Z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