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卧龙区种子技术服务站</w:t>
      </w: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rtlGutter w:val="0"/>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卧龙区种子技术服务站</w:t>
      </w:r>
      <w:r>
        <w:rPr>
          <w:rFonts w:hint="eastAsia" w:ascii="黑体" w:hAnsi="黑体" w:eastAsia="黑体" w:cs="黑体"/>
          <w:sz w:val="32"/>
          <w:szCs w:val="32"/>
        </w:rPr>
        <w:t>概况</w:t>
      </w:r>
    </w:p>
    <w:p>
      <w:pPr>
        <w:tabs>
          <w:tab w:val="left" w:pos="675"/>
        </w:tabs>
        <w:ind w:firstLine="640" w:firstLineChars="200"/>
        <w:rPr>
          <w:rFonts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主要</w:t>
      </w:r>
      <w:r>
        <w:rPr>
          <w:rFonts w:hint="eastAsia" w:ascii="宋体" w:hAnsi="宋体" w:eastAsia="宋体" w:cs="宋体"/>
          <w:sz w:val="32"/>
          <w:szCs w:val="32"/>
          <w:lang w:eastAsia="zh-CN"/>
        </w:rPr>
        <w:t>职责</w:t>
      </w:r>
      <w:r>
        <w:rPr>
          <w:rFonts w:hint="eastAsia" w:ascii="宋体" w:hAnsi="宋体" w:eastAsia="宋体" w:cs="宋体"/>
          <w:sz w:val="32"/>
          <w:szCs w:val="32"/>
          <w:lang w:val="en-US" w:eastAsia="zh-CN"/>
        </w:rPr>
        <w:t xml:space="preserve">   </w:t>
      </w:r>
      <w:r>
        <w:rPr>
          <w:rFonts w:hint="eastAsia" w:ascii="仿宋" w:hAnsi="仿宋" w:eastAsia="仿宋"/>
          <w:sz w:val="28"/>
          <w:szCs w:val="28"/>
        </w:rPr>
        <w:t>卧龙区种子技术服务站负责全区农作物种子生产、加工技术的研究、推广和技术培训；承担国家、省农作物（新品系）区域（生产）试验；负责全区农作物新品种的生产示范及配套栽培技术研究与推广；负责全区农作物种子资源的收集、整理、建档、保存；负责全区农作物种子信息的收集、整理、发布。</w:t>
      </w:r>
    </w:p>
    <w:p>
      <w:pPr>
        <w:spacing w:line="360" w:lineRule="auto"/>
        <w:ind w:firstLine="640" w:firstLineChars="200"/>
        <w:jc w:val="left"/>
        <w:rPr>
          <w:rFonts w:ascii="仿宋_GB2312" w:hAnsi="仿宋_GB2312" w:eastAsia="仿宋_GB2312" w:cs="仿宋_GB2312"/>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部门决算单位构成</w:t>
      </w:r>
      <w:r>
        <w:rPr>
          <w:rFonts w:hint="eastAsia" w:ascii="仿宋_GB2312" w:hAnsi="仿宋_GB2312" w:eastAsia="仿宋_GB2312" w:cs="仿宋_GB2312"/>
          <w:sz w:val="32"/>
          <w:szCs w:val="32"/>
        </w:rPr>
        <w:t>纳入卧龙区农业（局）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tabs>
          <w:tab w:val="left" w:pos="675"/>
        </w:tabs>
        <w:ind w:firstLine="560" w:firstLineChars="200"/>
        <w:rPr>
          <w:rFonts w:ascii="仿宋" w:hAnsi="仿宋" w:eastAsia="仿宋"/>
          <w:sz w:val="28"/>
          <w:szCs w:val="28"/>
        </w:rPr>
      </w:pPr>
      <w:r>
        <w:rPr>
          <w:rFonts w:hint="eastAsia" w:ascii="仿宋" w:hAnsi="仿宋" w:eastAsia="仿宋"/>
          <w:sz w:val="28"/>
          <w:szCs w:val="28"/>
        </w:rPr>
        <w:t>区种子技术服务站下设</w:t>
      </w:r>
      <w:r>
        <w:rPr>
          <w:rFonts w:ascii="仿宋" w:hAnsi="仿宋" w:eastAsia="仿宋"/>
          <w:sz w:val="28"/>
          <w:szCs w:val="28"/>
        </w:rPr>
        <w:t>5</w:t>
      </w:r>
      <w:r>
        <w:rPr>
          <w:rFonts w:hint="eastAsia" w:ascii="仿宋" w:hAnsi="仿宋" w:eastAsia="仿宋"/>
          <w:sz w:val="28"/>
          <w:szCs w:val="28"/>
        </w:rPr>
        <w:t>个种子技术服务站，分别为：潦河种子技术服务站，辖潦河镇、青华镇区域；蒲山种子技术服务分站，辖蒲山镇、石桥镇、七里园乡区域；陆营种子技术服务站分站，辖陆营镇、英庄镇区域；安皋种子技术服务站，辖安皋镇、王村乡、龙兴乡区域；谢庄种子技术服务站，辖谢庄乡、龙王沟风景区办事处区域。各种子技术服务站的职责是：承担辖区内的种子技术服务工作。</w:t>
      </w:r>
    </w:p>
    <w:p>
      <w:pPr>
        <w:spacing w:line="360" w:lineRule="auto"/>
        <w:jc w:val="left"/>
        <w:rPr>
          <w:rFonts w:ascii="楷体_GB2312" w:hAnsi="楷体_GB2312" w:eastAsia="楷体_GB2312" w:cs="楷体_GB2312"/>
          <w:sz w:val="32"/>
          <w:szCs w:val="32"/>
        </w:rPr>
        <w:sectPr>
          <w:pgSz w:w="11906" w:h="16838"/>
          <w:pgMar w:top="1440" w:right="1531" w:bottom="1440" w:left="1587" w:header="850" w:footer="992" w:gutter="0"/>
          <w:pgNumType w:fmt="numberInDash"/>
          <w:cols w:space="0" w:num="1"/>
          <w:docGrid w:type="lines" w:linePitch="317" w:charSpace="0"/>
        </w:sectPr>
      </w:pPr>
    </w:p>
    <w:p>
      <w:pPr>
        <w:numPr>
          <w:ilvl w:val="0"/>
          <w:numId w:val="1"/>
        </w:numPr>
        <w:jc w:val="left"/>
        <w:rPr>
          <w:rFonts w:ascii="宋体" w:hAnsi="宋体" w:eastAsia="宋体" w:cs="宋体"/>
          <w:sz w:val="32"/>
          <w:szCs w:val="32"/>
        </w:rPr>
      </w:pP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卧龙区种子技术服务站</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卧龙区种子技术服务站</w:t>
      </w:r>
      <w:r>
        <w:rPr>
          <w:rFonts w:hint="eastAsia" w:ascii="黑体" w:hAnsi="黑体" w:eastAsia="黑体" w:cs="黑体"/>
          <w:sz w:val="32"/>
          <w:szCs w:val="32"/>
        </w:rPr>
        <w:t>2016年度部门决算情况说明</w:t>
      </w:r>
    </w:p>
    <w:p>
      <w:pPr>
        <w:jc w:val="left"/>
        <w:rPr>
          <w:rFonts w:ascii="黑体" w:hAnsi="黑体" w:eastAsia="黑体" w:cs="黑体"/>
          <w:sz w:val="32"/>
          <w:szCs w:val="32"/>
        </w:rPr>
        <w:sectPr>
          <w:pgSz w:w="11906" w:h="16838"/>
          <w:pgMar w:top="1440" w:right="1531" w:bottom="1440" w:left="1587" w:header="850" w:footer="992" w:gutter="0"/>
          <w:pgNumType w:fmt="numberInDash"/>
          <w:cols w:space="0" w:num="1"/>
          <w:rtlGutter w:val="0"/>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3" w:type="default"/>
          <w:pgSz w:w="11906" w:h="16838"/>
          <w:pgMar w:top="1440" w:right="1531" w:bottom="1440" w:left="1587" w:header="850" w:footer="992" w:gutter="0"/>
          <w:pgNumType w:fmt="numberInDash" w:start="1"/>
          <w:cols w:space="0" w:num="1"/>
          <w:rtlGutter w:val="0"/>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卧龙区种子技术服务站</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拟定</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起草</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黑体" w:hAnsi="黑体" w:eastAsia="黑体" w:cs="黑体"/>
          <w:sz w:val="32"/>
          <w:szCs w:val="32"/>
          <w:lang w:eastAsia="zh-CN"/>
        </w:rPr>
        <w:t>卧龙区种子技术服务站</w:t>
      </w:r>
      <w:r>
        <w:rPr>
          <w:rFonts w:hint="eastAsia" w:ascii="仿宋_GB2312" w:hAnsi="仿宋_GB2312" w:eastAsia="仿宋_GB2312" w:cs="仿宋_GB2312"/>
          <w:sz w:val="32"/>
          <w:szCs w:val="32"/>
        </w:rPr>
        <w:t>2016年度部门决算编制范围的单位包括：</w:t>
      </w:r>
    </w:p>
    <w:p>
      <w:pPr>
        <w:numPr>
          <w:ilvl w:val="0"/>
          <w:numId w:val="0"/>
        </w:numPr>
        <w:spacing w:line="360" w:lineRule="auto"/>
        <w:ind w:firstLine="960" w:firstLineChars="300"/>
        <w:jc w:val="left"/>
        <w:rPr>
          <w:rFonts w:ascii="仿宋_GB2312" w:hAnsi="仿宋_GB2312" w:eastAsia="仿宋_GB2312" w:cs="仿宋_GB2312"/>
          <w:sz w:val="32"/>
          <w:szCs w:val="32"/>
        </w:rPr>
      </w:pPr>
      <w:r>
        <w:rPr>
          <w:rFonts w:hint="eastAsia" w:ascii="黑体" w:hAnsi="黑体" w:eastAsia="黑体" w:cs="黑体"/>
          <w:sz w:val="32"/>
          <w:szCs w:val="32"/>
          <w:lang w:eastAsia="zh-CN"/>
        </w:rPr>
        <w:t>卧龙区种子技术服务站</w:t>
      </w:r>
      <w:r>
        <w:rPr>
          <w:rFonts w:hint="eastAsia" w:ascii="仿宋_GB2312" w:hAnsi="仿宋_GB2312" w:eastAsia="仿宋_GB2312" w:cs="仿宋_GB2312"/>
          <w:sz w:val="32"/>
          <w:szCs w:val="32"/>
        </w:rPr>
        <w:t>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　</w:t>
      </w:r>
      <w:r>
        <w:rPr>
          <w:rFonts w:hint="eastAsia" w:ascii="隶书" w:hAnsi="隶书" w:eastAsia="隶书" w:cs="隶书"/>
          <w:sz w:val="48"/>
          <w:szCs w:val="48"/>
          <w:lang w:eastAsia="zh-CN"/>
        </w:rPr>
        <w:t>卧龙区种子技术服务站</w:t>
      </w:r>
      <w:r>
        <w:rPr>
          <w:rFonts w:hint="eastAsia" w:ascii="隶书" w:hAnsi="隶书" w:eastAsia="隶书" w:cs="隶书"/>
          <w:sz w:val="48"/>
          <w:szCs w:val="48"/>
        </w:rPr>
        <w:t>2016年度部门决算表</w:t>
      </w:r>
    </w:p>
    <w:tbl>
      <w:tblPr>
        <w:tblStyle w:val="5"/>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21"/>
                <w:szCs w:val="21"/>
                <w:u w:val="none"/>
                <w:lang w:eastAsia="zh-CN"/>
              </w:rPr>
              <w:t>种子技术服务站</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426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470</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55" w:hRule="atLeast"/>
        </w:trPr>
        <w:tc>
          <w:tcPr>
            <w:tcW w:w="1035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注：本表反映部门本年度的总收支和年末结转结余情况。</w:t>
            </w:r>
          </w:p>
        </w:tc>
      </w:tr>
    </w:tbl>
    <w:p>
      <w:pPr>
        <w:spacing w:line="360" w:lineRule="auto"/>
        <w:jc w:val="both"/>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79" w:type="dxa"/>
        <w:tblInd w:w="-8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
        <w:gridCol w:w="962"/>
        <w:gridCol w:w="1036"/>
        <w:gridCol w:w="1094"/>
        <w:gridCol w:w="810"/>
        <w:gridCol w:w="284"/>
        <w:gridCol w:w="676"/>
        <w:gridCol w:w="418"/>
        <w:gridCol w:w="542"/>
        <w:gridCol w:w="552"/>
        <w:gridCol w:w="408"/>
        <w:gridCol w:w="686"/>
        <w:gridCol w:w="274"/>
        <w:gridCol w:w="820"/>
        <w:gridCol w:w="1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79" w:type="dxa"/>
            <w:gridSpan w:val="16"/>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79" w:type="dxa"/>
            <w:gridSpan w:val="2"/>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79"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种子技术服务站</w:t>
            </w: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5"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09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科目编码</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5"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5"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426</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426</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20199</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02019999</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社会保障和就业支出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148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148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行政事业单位离退休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2080502</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17" w:type="dxa"/>
            <w:tcBorders>
              <w:top w:val="single" w:color="000000"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199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机关事业单位养老保险费支出</w:t>
            </w:r>
          </w:p>
        </w:tc>
        <w:tc>
          <w:tcPr>
            <w:tcW w:w="109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auto"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color w:val="000000"/>
                <w:kern w:val="0"/>
                <w:sz w:val="16"/>
                <w:szCs w:val="16"/>
                <w:lang w:val="en-US" w:eastAsia="zh-CN"/>
              </w:rPr>
              <w:t>20808</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抚恤</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color w:val="000000"/>
                <w:kern w:val="0"/>
                <w:sz w:val="16"/>
                <w:szCs w:val="16"/>
                <w:lang w:val="en-US" w:eastAsia="zh-CN"/>
              </w:rPr>
              <w:t>2080801</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死亡抚恤</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color w:val="000000"/>
                <w:kern w:val="0"/>
                <w:sz w:val="16"/>
                <w:szCs w:val="16"/>
                <w:lang w:val="en-US" w:eastAsia="zh-CN"/>
              </w:rPr>
              <w:t>210</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医疗卫生与计划剩余支出</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lang w:val="en-US" w:eastAsia="zh-CN"/>
              </w:rPr>
              <w:t>21005</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医疗保障</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213</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农林水支出</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21301</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农业</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2130101</w:t>
            </w:r>
          </w:p>
        </w:tc>
        <w:tc>
          <w:tcPr>
            <w:tcW w:w="1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行政运行</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226</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16"/>
                <w:szCs w:val="16"/>
                <w:u w:val="none"/>
              </w:rPr>
            </w:pPr>
          </w:p>
        </w:tc>
      </w:tr>
    </w:tbl>
    <w:p>
      <w:pPr>
        <w:pBdr>
          <w:top w:val="single" w:color="auto" w:sz="4" w:space="0"/>
          <w:left w:val="single" w:color="auto" w:sz="4" w:space="0"/>
          <w:bottom w:val="single" w:color="auto" w:sz="4" w:space="0"/>
          <w:right w:val="single" w:color="auto" w:sz="4" w:space="0"/>
          <w:between w:val="single" w:color="auto" w:sz="4" w:space="0"/>
        </w:pBdr>
        <w:spacing w:line="360" w:lineRule="auto"/>
        <w:jc w:val="both"/>
        <w:rPr>
          <w:rFonts w:ascii="隶书" w:hAnsi="隶书" w:eastAsia="隶书" w:cs="隶书"/>
          <w:sz w:val="52"/>
          <w:szCs w:val="52"/>
        </w:rPr>
        <w:sectPr>
          <w:pgSz w:w="11906" w:h="16838"/>
          <w:pgMar w:top="2098" w:right="1531" w:bottom="1984" w:left="1587" w:header="850" w:footer="992" w:gutter="0"/>
          <w:pgNumType w:fmt="numberInDash"/>
          <w:cols w:space="0" w:num="1"/>
          <w:rtlGutter w:val="0"/>
          <w:docGrid w:type="lines" w:linePitch="317" w:charSpace="0"/>
        </w:sectPr>
      </w:pPr>
      <w:r>
        <w:rPr>
          <w:rFonts w:hint="eastAsia" w:ascii="宋体" w:hAnsi="宋体" w:eastAsia="宋体" w:cs="宋体"/>
          <w:i w:val="0"/>
          <w:color w:val="000000"/>
          <w:kern w:val="0"/>
          <w:sz w:val="16"/>
          <w:szCs w:val="16"/>
          <w:u w:val="none"/>
          <w:lang w:val="en-US" w:eastAsia="zh-CN" w:bidi="ar"/>
        </w:rPr>
        <w:t>注：本表反映部门本年度取得的各项收入情况</w:t>
      </w:r>
    </w:p>
    <w:tbl>
      <w:tblPr>
        <w:tblStyle w:val="5"/>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种子技术服务站</w:t>
            </w: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434</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417</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20199</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eastAsia="zh-CN"/>
              </w:rPr>
              <w:t>其他一般公共服务支出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2019999</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其他一般公共服务支出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6"/>
                <w:szCs w:val="16"/>
                <w:lang w:eastAsia="zh-CN"/>
              </w:rPr>
            </w:pPr>
            <w:r>
              <w:rPr>
                <w:rFonts w:hint="eastAsia" w:ascii="宋体" w:hAnsi="宋体" w:eastAsia="宋体" w:cs="宋体"/>
                <w:i w:val="0"/>
                <w:color w:val="000000"/>
                <w:kern w:val="0"/>
                <w:sz w:val="16"/>
                <w:szCs w:val="16"/>
                <w:u w:val="none"/>
                <w:lang w:val="en-US" w:eastAsia="zh-CN" w:bidi="ar"/>
              </w:rPr>
              <w:t>208</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148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148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20805</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132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132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2080502</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128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128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2080505</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机关事业单位养老保险费支出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20808</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抚恤</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2080801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死亡抚恤</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210</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医疗卫生与计划剩余支出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21005</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sz w:val="16"/>
                <w:szCs w:val="16"/>
                <w:u w:val="none"/>
                <w:lang w:eastAsia="zh-CN"/>
              </w:rPr>
              <w:t>医疗保障</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16"/>
                <w:szCs w:val="16"/>
              </w:rPr>
            </w:pPr>
            <w:r>
              <w:rPr>
                <w:rFonts w:hint="eastAsia" w:ascii="宋体" w:hAnsi="宋体" w:eastAsia="宋体" w:cs="宋体"/>
                <w:i w:val="0"/>
                <w:color w:val="000000"/>
                <w:sz w:val="16"/>
                <w:szCs w:val="16"/>
                <w:u w:val="none"/>
                <w:lang w:val="en-US" w:eastAsia="zh-CN"/>
              </w:rPr>
              <w:t>22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16"/>
                <w:szCs w:val="16"/>
              </w:rPr>
            </w:pPr>
            <w:r>
              <w:rPr>
                <w:rFonts w:hint="eastAsia" w:ascii="宋体" w:hAnsi="宋体" w:eastAsia="宋体" w:cs="宋体"/>
                <w:i w:val="0"/>
                <w:color w:val="000000"/>
                <w:sz w:val="16"/>
                <w:szCs w:val="16"/>
                <w:u w:val="none"/>
                <w:lang w:val="en-US" w:eastAsia="zh-CN"/>
              </w:rPr>
              <w:t>22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213</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sz w:val="16"/>
                <w:szCs w:val="16"/>
                <w:u w:val="none"/>
                <w:lang w:eastAsia="zh-CN"/>
              </w:rPr>
              <w:t>农林水支出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16"/>
                <w:szCs w:val="16"/>
              </w:rPr>
            </w:pPr>
            <w:r>
              <w:rPr>
                <w:rFonts w:hint="eastAsia" w:ascii="宋体" w:hAnsi="宋体" w:eastAsia="宋体" w:cs="宋体"/>
                <w:i w:val="0"/>
                <w:color w:val="000000"/>
                <w:sz w:val="16"/>
                <w:szCs w:val="16"/>
                <w:u w:val="none"/>
                <w:lang w:val="en-US" w:eastAsia="zh-CN"/>
              </w:rPr>
              <w:t>260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240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21301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sz w:val="16"/>
                <w:szCs w:val="16"/>
                <w:u w:val="none"/>
                <w:lang w:eastAsia="zh-CN"/>
              </w:rPr>
              <w:t>农业</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16"/>
                <w:szCs w:val="16"/>
                <w:lang w:val="en-US"/>
              </w:rPr>
            </w:pPr>
            <w:r>
              <w:rPr>
                <w:rFonts w:hint="eastAsia" w:ascii="宋体" w:hAnsi="宋体" w:eastAsia="宋体" w:cs="宋体"/>
                <w:i w:val="0"/>
                <w:color w:val="000000"/>
                <w:sz w:val="16"/>
                <w:szCs w:val="16"/>
                <w:u w:val="none"/>
                <w:lang w:val="en-US" w:eastAsia="zh-CN"/>
              </w:rPr>
              <w:t>260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240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18</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2130101</w:t>
            </w: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行政运行</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240</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240</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2130106</w:t>
            </w: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科技转化与推广服务</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rtlGutter w:val="0"/>
          <w:docGrid w:type="lines" w:linePitch="318" w:charSpace="0"/>
        </w:sectPr>
      </w:pPr>
    </w:p>
    <w:tbl>
      <w:tblPr>
        <w:tblStyle w:val="5"/>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种子技术服务站</w:t>
            </w: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426</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260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426</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434</w:t>
            </w:r>
            <w:r>
              <w:rPr>
                <w:rFonts w:hint="eastAsia" w:ascii="宋体" w:hAnsi="宋体" w:eastAsia="宋体" w:cs="宋体"/>
                <w:b/>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44</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35</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470</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470</w:t>
            </w:r>
            <w:r>
              <w:rPr>
                <w:rFonts w:hint="eastAsia" w:ascii="宋体" w:hAnsi="宋体" w:eastAsia="宋体" w:cs="宋体"/>
                <w:b/>
                <w:color w:val="000000"/>
                <w:kern w:val="0"/>
                <w:sz w:val="16"/>
                <w:szCs w:val="16"/>
              </w:rPr>
              <w:t xml:space="preserve">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5"/>
        <w:tblW w:w="18270" w:type="dxa"/>
        <w:tblInd w:w="-902" w:type="dxa"/>
        <w:tblLayout w:type="fixed"/>
        <w:tblCellMar>
          <w:top w:w="15" w:type="dxa"/>
          <w:left w:w="15" w:type="dxa"/>
          <w:bottom w:w="15" w:type="dxa"/>
          <w:right w:w="15" w:type="dxa"/>
        </w:tblCellMar>
      </w:tblPr>
      <w:tblGrid>
        <w:gridCol w:w="869"/>
        <w:gridCol w:w="347"/>
        <w:gridCol w:w="675"/>
        <w:gridCol w:w="1800"/>
        <w:gridCol w:w="2249"/>
        <w:gridCol w:w="76"/>
        <w:gridCol w:w="1575"/>
        <w:gridCol w:w="598"/>
        <w:gridCol w:w="2251"/>
        <w:gridCol w:w="2610"/>
        <w:gridCol w:w="2610"/>
        <w:gridCol w:w="2610"/>
      </w:tblGrid>
      <w:tr>
        <w:tblPrEx>
          <w:tblLayout w:type="fixed"/>
          <w:tblCellMar>
            <w:top w:w="15" w:type="dxa"/>
            <w:left w:w="15" w:type="dxa"/>
            <w:bottom w:w="15" w:type="dxa"/>
            <w:right w:w="15" w:type="dxa"/>
          </w:tblCellMar>
        </w:tblPrEx>
        <w:trPr>
          <w:gridAfter w:val="3"/>
          <w:wAfter w:w="7830" w:type="dxa"/>
          <w:trHeight w:val="375" w:hRule="atLeast"/>
        </w:trPr>
        <w:tc>
          <w:tcPr>
            <w:tcW w:w="10440"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gridAfter w:val="3"/>
          <w:wAfter w:w="7830" w:type="dxa"/>
          <w:trHeight w:val="285" w:hRule="atLeast"/>
        </w:trPr>
        <w:tc>
          <w:tcPr>
            <w:tcW w:w="1891" w:type="dxa"/>
            <w:gridSpan w:val="3"/>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gridAfter w:val="3"/>
          <w:wAfter w:w="7830" w:type="dxa"/>
          <w:trHeight w:val="270" w:hRule="atLeast"/>
        </w:trPr>
        <w:tc>
          <w:tcPr>
            <w:tcW w:w="1891" w:type="dxa"/>
            <w:gridSpan w:val="3"/>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种子技术服务站</w:t>
            </w: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gridAfter w:val="3"/>
          <w:wAfter w:w="7830" w:type="dxa"/>
          <w:trHeight w:val="300" w:hRule="atLeast"/>
        </w:trPr>
        <w:tc>
          <w:tcPr>
            <w:tcW w:w="3691"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gridAfter w:val="3"/>
          <w:wAfter w:w="7830" w:type="dxa"/>
          <w:trHeight w:val="600" w:hRule="atLeast"/>
        </w:trPr>
        <w:tc>
          <w:tcPr>
            <w:tcW w:w="121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2610" w:type="dxa"/>
            <w:shd w:val="clear" w:color="auto" w:fill="auto"/>
            <w:vAlign w:val="center"/>
          </w:tcPr>
          <w:p>
            <w:pPr>
              <w:widowControl/>
              <w:jc w:val="center"/>
              <w:textAlignment w:val="center"/>
            </w:pPr>
            <w:r>
              <w:rPr>
                <w:rFonts w:hint="eastAsia" w:ascii="宋体" w:hAnsi="宋体" w:eastAsia="宋体" w:cs="宋体"/>
                <w:b/>
                <w:color w:val="000000"/>
                <w:kern w:val="0"/>
                <w:sz w:val="16"/>
                <w:szCs w:val="16"/>
              </w:rPr>
              <w:t>4</w:t>
            </w:r>
          </w:p>
        </w:tc>
        <w:tc>
          <w:tcPr>
            <w:tcW w:w="2610" w:type="dxa"/>
            <w:shd w:val="clear" w:color="auto" w:fill="auto"/>
            <w:vAlign w:val="center"/>
          </w:tcPr>
          <w:p>
            <w:pPr>
              <w:widowControl/>
              <w:jc w:val="center"/>
              <w:textAlignment w:val="center"/>
            </w:pPr>
            <w:r>
              <w:rPr>
                <w:rFonts w:hint="eastAsia" w:ascii="宋体" w:hAnsi="宋体" w:eastAsia="宋体" w:cs="宋体"/>
                <w:b/>
                <w:color w:val="000000"/>
                <w:kern w:val="0"/>
                <w:sz w:val="16"/>
                <w:szCs w:val="16"/>
              </w:rPr>
              <w:t>5</w:t>
            </w:r>
          </w:p>
        </w:tc>
        <w:tc>
          <w:tcPr>
            <w:tcW w:w="2610" w:type="dxa"/>
            <w:shd w:val="clear" w:color="auto" w:fill="auto"/>
            <w:vAlign w:val="center"/>
          </w:tcPr>
          <w:p>
            <w:pPr>
              <w:widowControl/>
              <w:jc w:val="center"/>
              <w:textAlignment w:val="cente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434</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417</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18</w:t>
            </w:r>
            <w:r>
              <w:rPr>
                <w:rFonts w:hint="eastAsia" w:ascii="宋体" w:hAnsi="宋体" w:eastAsia="宋体" w:cs="宋体"/>
                <w:b/>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b/>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b/>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18</w:t>
            </w:r>
            <w:r>
              <w:rPr>
                <w:rFonts w:hint="eastAsia" w:ascii="宋体" w:hAnsi="宋体" w:eastAsia="宋体" w:cs="宋体"/>
                <w:b/>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b/>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b/>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20199</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其他一般公共服务支出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2019999</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其他一般公共服务支出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社会保障和就业支出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148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148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20805</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行政事业单位离退休</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132</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132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2080502</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128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128</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2080505</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 xml:space="preserve"> 机关事业单位养老保险费支出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4</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20808</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抚恤</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2080801</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死亡抚恤</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16</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210</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医疗卫生与计划剩余支出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22</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0</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c>
          <w:tcPr>
            <w:tcW w:w="2610" w:type="dxa"/>
            <w:shd w:val="clear" w:color="auto" w:fill="auto"/>
            <w:vAlign w:val="center"/>
          </w:tcPr>
          <w:p>
            <w:pPr>
              <w:widowControl/>
              <w:jc w:val="right"/>
              <w:textAlignment w:val="cente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21005</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医疗保障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22</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213</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农林水支出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260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240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18</w:t>
            </w: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21301</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农业</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260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240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18</w:t>
            </w: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2130101</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eastAsia="zh-CN"/>
              </w:rPr>
              <w:t>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240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240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2130106</w:t>
            </w:r>
          </w:p>
        </w:tc>
        <w:tc>
          <w:tcPr>
            <w:tcW w:w="2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eastAsia="zh-CN"/>
              </w:rPr>
              <w:t>科技转化与推广服务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18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18</w:t>
            </w: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869"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822"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c>
          <w:tcPr>
            <w:tcW w:w="2610" w:type="dxa"/>
            <w:shd w:val="clear" w:color="auto" w:fill="auto"/>
            <w:vAlign w:val="center"/>
          </w:tcPr>
          <w:p>
            <w:pPr>
              <w:widowControl/>
              <w:jc w:val="right"/>
              <w:textAlignment w:val="center"/>
            </w:pPr>
          </w:p>
        </w:tc>
      </w:tr>
      <w:tr>
        <w:tblPrEx>
          <w:tblLayout w:type="fixed"/>
          <w:tblCellMar>
            <w:top w:w="15" w:type="dxa"/>
            <w:left w:w="15" w:type="dxa"/>
            <w:bottom w:w="15" w:type="dxa"/>
            <w:right w:w="15" w:type="dxa"/>
          </w:tblCellMar>
        </w:tblPrEx>
        <w:trPr>
          <w:gridAfter w:val="3"/>
          <w:wAfter w:w="7830" w:type="dxa"/>
          <w:trHeight w:val="600" w:hRule="atLeast"/>
        </w:trPr>
        <w:tc>
          <w:tcPr>
            <w:tcW w:w="10440"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5"/>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种子技术服务站</w:t>
            </w: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253</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16</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152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0.4</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25</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0.1</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0.4</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0.4</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144</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0.3</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128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0.05</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0.9</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人员经费合计</w:t>
            </w: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397</w:t>
            </w: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公用经费合计</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w:t>
            </w: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5"/>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keepNext w:val="0"/>
              <w:keepLines w:val="0"/>
              <w:widowControl/>
              <w:suppressLineNumbers w:val="0"/>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sz w:val="21"/>
                <w:szCs w:val="21"/>
                <w:u w:val="none"/>
                <w:lang w:eastAsia="zh-CN"/>
              </w:rPr>
              <w:t>种子技术服务站</w:t>
            </w: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rPr>
            </w:pP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5"/>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sz w:val="21"/>
                <w:szCs w:val="21"/>
                <w:u w:val="none"/>
                <w:lang w:eastAsia="zh-CN"/>
              </w:rPr>
              <w:t>种子技术服务站</w:t>
            </w: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kern w:val="0"/>
                <w:sz w:val="20"/>
                <w:szCs w:val="20"/>
                <w:lang w:eastAsia="zh-CN"/>
                <w14:textFill>
                  <w14:solidFill>
                    <w14:schemeClr w14:val="tx1"/>
                  </w14:solidFill>
                </w14:textFill>
              </w:rPr>
              <w:t>本单位</w:t>
            </w:r>
            <w:r>
              <w:rPr>
                <w:rFonts w:hint="eastAsia" w:ascii="宋体" w:hAnsi="宋体" w:eastAsia="宋体" w:cs="宋体"/>
                <w:b/>
                <w:color w:val="000000" w:themeColor="text1"/>
                <w:kern w:val="0"/>
                <w:sz w:val="20"/>
                <w:szCs w:val="20"/>
                <w14:textFill>
                  <w14:solidFill>
                    <w14:schemeClr w14:val="tx1"/>
                  </w14:solidFill>
                </w14:textFill>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lang w:eastAsia="zh-CN"/>
        </w:rPr>
        <w:t>卧龙区种子技术服务站</w:t>
      </w:r>
      <w:r>
        <w:rPr>
          <w:rFonts w:hint="eastAsia" w:ascii="隶书" w:hAnsi="隶书" w:eastAsia="隶书" w:cs="隶书"/>
          <w:sz w:val="48"/>
          <w:szCs w:val="48"/>
        </w:rPr>
        <w:t>（局）</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2016年度部门决算情况说明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426</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435</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val="en-US" w:eastAsia="zh-CN"/>
        </w:rPr>
        <w:t>70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17万。</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426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426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435</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417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96</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426</w:t>
      </w:r>
      <w:r>
        <w:rPr>
          <w:rFonts w:hint="eastAsia" w:ascii="仿宋_GB2312" w:hAnsi="宋体" w:eastAsia="仿宋_GB2312" w:cs="Courier New"/>
          <w:sz w:val="32"/>
          <w:szCs w:val="32"/>
        </w:rPr>
        <w:t>万元。与2015年相比，财政拨款收、支总计各（减少）</w:t>
      </w:r>
      <w:r>
        <w:rPr>
          <w:rFonts w:hint="eastAsia" w:ascii="仿宋_GB2312" w:hAnsi="宋体" w:eastAsia="仿宋_GB2312" w:cs="Courier New"/>
          <w:sz w:val="32"/>
          <w:szCs w:val="32"/>
          <w:lang w:val="en-US" w:eastAsia="zh-CN"/>
        </w:rPr>
        <w:t>70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17万。</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435</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%。与2015年相比，一般公共预算财政拨款支出减少）</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w:t>
      </w:r>
    </w:p>
    <w:p>
      <w:pPr>
        <w:numPr>
          <w:ilvl w:val="0"/>
          <w:numId w:val="0"/>
        </w:numPr>
        <w:tabs>
          <w:tab w:val="left" w:pos="624"/>
        </w:tabs>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435</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0"/>
        </w:numPr>
        <w:tabs>
          <w:tab w:val="left" w:pos="1254"/>
        </w:tabs>
        <w:adjustRightInd w:val="0"/>
        <w:snapToGrid w:val="0"/>
        <w:spacing w:line="360" w:lineRule="auto"/>
        <w:ind w:left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387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417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leftChars="200"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417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397</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宋体" w:eastAsia="仿宋_GB2312" w:cs="Courier New"/>
          <w:sz w:val="32"/>
          <w:szCs w:val="32"/>
          <w:lang w:eastAsia="zh-CN"/>
        </w:rPr>
        <w:t>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20</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、印刷费、水电费等。</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numPr>
          <w:ilvl w:val="0"/>
          <w:numId w:val="8"/>
        </w:num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bookmarkEnd w:id="0"/>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万元。主要用于。</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万元。主要用于。</w:t>
      </w:r>
    </w:p>
    <w:p>
      <w:pPr>
        <w:numPr>
          <w:ilvl w:val="0"/>
          <w:numId w:val="8"/>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0</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主要用于。2016年度共接待国内来访团组</w:t>
      </w:r>
      <w:r>
        <w:rPr>
          <w:rFonts w:hint="eastAsia" w:ascii="仿宋_GB2312" w:hAnsi="宋体" w:eastAsia="仿宋_GB2312" w:cs="Courier New"/>
          <w:b w:val="0"/>
          <w:bCs w:val="0"/>
          <w:sz w:val="32"/>
          <w:szCs w:val="32"/>
          <w:lang w:val="en-US" w:eastAsia="zh-CN"/>
        </w:rPr>
        <w:t>0</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0</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根据财政预算管理要求对2016年度一般公共预算项目支出全面开展绩效自评。其中，一级项目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在2016年度部门决算中增加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”项目绩效评价结果。</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万元，比2015年增加（减少）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辆，其他用车主要是</w:t>
      </w:r>
      <w:r>
        <w:rPr>
          <w:rFonts w:hint="eastAsia" w:ascii="仿宋_GB2312" w:hAnsi="宋体" w:eastAsia="仿宋_GB2312" w:cs="Courier New"/>
          <w:sz w:val="32"/>
          <w:szCs w:val="32"/>
          <w:lang w:eastAsia="zh-CN"/>
        </w:rPr>
        <w:t>用于农业技术服务</w:t>
      </w:r>
      <w:r>
        <w:rPr>
          <w:rFonts w:hint="eastAsia" w:ascii="仿宋_GB2312" w:hAnsi="宋体" w:eastAsia="仿宋_GB2312" w:cs="Courier New"/>
          <w:sz w:val="32"/>
          <w:szCs w:val="32"/>
        </w:rPr>
        <w:t>；单价50万元以上通用设备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rPr>
          <w:sz w:val="72"/>
          <w:szCs w:val="72"/>
        </w:rPr>
        <w:sectPr>
          <w:pgSz w:w="11906" w:h="16838"/>
          <w:pgMar w:top="1440" w:right="1531" w:bottom="1440" w:left="1587" w:header="850" w:footer="992" w:gutter="0"/>
          <w:pgNumType w:fmt="numberInDash"/>
          <w:cols w:space="0" w:num="1"/>
          <w:rtlGutter w:val="0"/>
          <w:docGrid w:type="lines" w:linePitch="317" w:charSpace="0"/>
        </w:sectPr>
      </w:pPr>
      <w:r>
        <w:rPr>
          <w:rFonts w:hint="eastAsia"/>
          <w:sz w:val="72"/>
          <w:szCs w:val="72"/>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none"/>
        </w:rPr>
        <w:t>指事业单位在当年的“财政拨款收入”、“事业收入”和“其他收入”不足以安排当年</w:t>
      </w:r>
      <w:r>
        <w:rPr>
          <w:rFonts w:hint="eastAsia" w:ascii="仿宋_GB2312" w:hAnsi="宋体" w:eastAsia="仿宋_GB2312" w:cs="Courier New"/>
          <w:sz w:val="32"/>
          <w:szCs w:val="32"/>
        </w:rPr>
        <w:t>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七</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纳入省级财政预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八</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p>
    <w:sectPr>
      <w:pgSz w:w="11906" w:h="16838"/>
      <w:pgMar w:top="1440" w:right="1531" w:bottom="1440" w:left="1587" w:header="850"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2010601030101010101"/>
    <w:charset w:val="86"/>
    <w:family w:val="script"/>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roman"/>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Lucida Console"/>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文星简隶书">
    <w:altName w:val="宋体"/>
    <w:panose1 w:val="02010609000101010101"/>
    <w:charset w:val="00"/>
    <w:family w:val="auto"/>
    <w:pitch w:val="default"/>
    <w:sig w:usb0="00000000" w:usb1="00000000" w:usb2="00000000" w:usb3="00000000" w:csb0="00000000" w:csb1="00000000"/>
  </w:font>
  <w:font w:name="文星简魏体">
    <w:altName w:val="Lucida Console"/>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altName w:val="GulimChe"/>
    <w:panose1 w:val="02030600000101010101"/>
    <w:charset w:val="81"/>
    <w:family w:val="auto"/>
    <w:pitch w:val="default"/>
    <w:sig w:usb0="00000000" w:usb1="00000000" w:usb2="00000030" w:usb3="00000000" w:csb0="4008009F" w:csb1="DFD70000"/>
  </w:font>
  <w:font w:name="BatangChe">
    <w:altName w:val="GulimChe"/>
    <w:panose1 w:val="02030609000101010101"/>
    <w:charset w:val="81"/>
    <w:family w:val="auto"/>
    <w:pitch w:val="default"/>
    <w:sig w:usb0="00000000" w:usb1="00000000"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altName w:val="Gulim"/>
    <w:panose1 w:val="020B0503020000020004"/>
    <w:charset w:val="81"/>
    <w:family w:val="auto"/>
    <w:pitch w:val="default"/>
    <w:sig w:usb0="00000000" w:usb1="00000000" w:usb2="00000012" w:usb3="00000000" w:csb0="00080001" w:csb1="00000000"/>
  </w:font>
  <w:font w:name="GungsuhChe">
    <w:altName w:val="GulimChe"/>
    <w:panose1 w:val="02030609000101010101"/>
    <w:charset w:val="81"/>
    <w:family w:val="auto"/>
    <w:pitch w:val="default"/>
    <w:sig w:usb0="00000000" w:usb1="00000000"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altName w:val="MS UI Gothic"/>
    <w:panose1 w:val="020B0604030504040204"/>
    <w:charset w:val="80"/>
    <w:family w:val="auto"/>
    <w:pitch w:val="default"/>
    <w:sig w:usb0="00000000" w:usb1="00000000" w:usb2="00010012" w:usb3="00000000" w:csb0="6002009F" w:csb1="DFD70000"/>
  </w:font>
  <w:font w:name="Meiryo UI">
    <w:altName w:val="MS UI Gothic"/>
    <w:panose1 w:val="020B0604030504040204"/>
    <w:charset w:val="80"/>
    <w:family w:val="auto"/>
    <w:pitch w:val="default"/>
    <w:sig w:usb0="00000000" w:usb1="00000000" w:usb2="0001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ingLiU">
    <w:panose1 w:val="02020309000000000000"/>
    <w:charset w:val="88"/>
    <w:family w:val="auto"/>
    <w:pitch w:val="default"/>
    <w:sig w:usb0="00000003" w:usb1="082E0000" w:usb2="00000016" w:usb3="00000000" w:csb0="00100001" w:csb1="00000000"/>
  </w:font>
  <w:font w:name="MingLiU-ExtB">
    <w:altName w:val="PMingLiU"/>
    <w:panose1 w:val="02020500000000000000"/>
    <w:charset w:val="88"/>
    <w:family w:val="auto"/>
    <w:pitch w:val="default"/>
    <w:sig w:usb0="00000000" w:usb1="00000000" w:usb2="00000000" w:usb3="00000000" w:csb0="00100001" w:csb1="00000000"/>
  </w:font>
  <w:font w:name="MingLiU_HKSCS">
    <w:altName w:val="PMingLiU"/>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A00002BF" w:usb1="68C7FCFB" w:usb2="00000010" w:usb3="00000000" w:csb0="4002009F" w:csb1="DFD70000"/>
  </w:font>
  <w:font w:name="MS Mincho">
    <w:altName w:val="MS UI Gothic"/>
    <w:panose1 w:val="02020609040205080304"/>
    <w:charset w:val="80"/>
    <w:family w:val="auto"/>
    <w:pitch w:val="default"/>
    <w:sig w:usb0="00000000" w:usb1="00000000" w:usb2="00000012" w:usb3="00000000" w:csb0="4002009F" w:csb1="DFD70000"/>
  </w:font>
  <w:font w:name="AngsanaUPC">
    <w:altName w:val="Times New Roman"/>
    <w:panose1 w:val="02020603050405020304"/>
    <w:charset w:val="00"/>
    <w:family w:val="auto"/>
    <w:pitch w:val="default"/>
    <w:sig w:usb0="00000000" w:usb1="00000000" w:usb2="00000000" w:usb3="00000000" w:csb0="00010001"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altName w:val="Tahoma"/>
    <w:panose1 w:val="02010803020104030203"/>
    <w:charset w:val="00"/>
    <w:family w:val="auto"/>
    <w:pitch w:val="default"/>
    <w:sig w:usb0="00000000" w:usb1="00000000" w:usb2="00000000" w:usb3="00000000" w:csb0="00000020" w:csb1="00200000"/>
  </w:font>
  <w:font w:name="Agency FB">
    <w:altName w:val="Trebuchet MS"/>
    <w:panose1 w:val="020B0503020202020204"/>
    <w:charset w:val="00"/>
    <w:family w:val="auto"/>
    <w:pitch w:val="default"/>
    <w:sig w:usb0="00000000" w:usb1="00000000" w:usb2="00000000" w:usb3="00000000" w:csb0="20000001" w:csb1="00000000"/>
  </w:font>
  <w:font w:name="SimSun-ExtB">
    <w:altName w:val="宋体"/>
    <w:panose1 w:val="02010609060101010101"/>
    <w:charset w:val="86"/>
    <w:family w:val="auto"/>
    <w:pitch w:val="default"/>
    <w:sig w:usb0="00000000" w:usb1="00000000" w:usb2="00000000" w:usb3="00000000" w:csb0="00040001" w:csb1="00000000"/>
  </w:font>
  <w:font w:name="PMingLiU-ExtB">
    <w:altName w:val="PMingLiU"/>
    <w:panose1 w:val="02020500000000000000"/>
    <w:charset w:val="88"/>
    <w:family w:val="auto"/>
    <w:pitch w:val="default"/>
    <w:sig w:usb0="00000000" w:usb1="00000000" w:usb2="00000000" w:usb3="00000000" w:csb0="00100001" w:csb1="00000000"/>
  </w:font>
  <w:font w:name="PMingLiU">
    <w:panose1 w:val="02020300000000000000"/>
    <w:charset w:val="88"/>
    <w:family w:val="auto"/>
    <w:pitch w:val="default"/>
    <w:sig w:usb0="00000003" w:usb1="082E0000" w:usb2="00000016" w:usb3="00000000" w:csb0="00100001" w:csb1="00000000"/>
  </w:font>
  <w:font w:name="MS UI Gothic">
    <w:panose1 w:val="020B0600070205080204"/>
    <w:charset w:val="80"/>
    <w:family w:val="auto"/>
    <w:pitch w:val="default"/>
    <w:sig w:usb0="A00002BF" w:usb1="68C7FCFB" w:usb2="00000010" w:usb3="00000000" w:csb0="4002009F" w:csb1="DFD70000"/>
  </w:font>
  <w:font w:name="MS PMincho">
    <w:altName w:val="MS UI Gothic"/>
    <w:panose1 w:val="02020600040205080304"/>
    <w:charset w:val="80"/>
    <w:family w:val="auto"/>
    <w:pitch w:val="default"/>
    <w:sig w:usb0="00000000" w:usb1="00000000" w:usb2="00000012" w:usb3="00000000" w:csb0="4002009F" w:csb1="DFD70000"/>
  </w:font>
  <w:font w:name="MS Outlook">
    <w:panose1 w:val="05010100010000000000"/>
    <w:charset w:val="00"/>
    <w:family w:val="auto"/>
    <w:pitch w:val="default"/>
    <w:sig w:usb0="00000000" w:usb1="00000000" w:usb2="00000000" w:usb3="00000000" w:csb0="80000000" w:csb1="00000000"/>
  </w:font>
  <w:font w:name="Modern No. 20">
    <w:altName w:val="Bookman Old Style"/>
    <w:panose1 w:val="02070704070505020303"/>
    <w:charset w:val="00"/>
    <w:family w:val="auto"/>
    <w:pitch w:val="default"/>
    <w:sig w:usb0="00000000" w:usb1="00000000" w:usb2="00000000" w:usb3="00000000" w:csb0="20000001" w:csb1="00000000"/>
  </w:font>
  <w:font w:name="Miriam">
    <w:altName w:val="Gulim"/>
    <w:panose1 w:val="020B0502050101010101"/>
    <w:charset w:val="00"/>
    <w:family w:val="auto"/>
    <w:pitch w:val="default"/>
    <w:sig w:usb0="00000000" w:usb1="00000000" w:usb2="00000000" w:usb3="00000000" w:csb0="00000020" w:csb1="00200000"/>
  </w:font>
  <w:font w:name="Microsoft Uighur">
    <w:altName w:val="Verdana"/>
    <w:panose1 w:val="02000000000000000000"/>
    <w:charset w:val="00"/>
    <w:family w:val="auto"/>
    <w:pitch w:val="default"/>
    <w:sig w:usb0="00000000" w:usb1="00000000" w:usb2="00000008" w:usb3="00000000" w:csb0="00000041" w:csb1="00000000"/>
  </w:font>
  <w:font w:name="Microsoft PhagsPa">
    <w:altName w:val="Century Gothic"/>
    <w:panose1 w:val="020B0502040204020203"/>
    <w:charset w:val="00"/>
    <w:family w:val="auto"/>
    <w:pitch w:val="default"/>
    <w:sig w:usb0="00000000" w:usb1="00000000" w:usb2="08000000" w:usb3="00000000" w:csb0="00000001" w:csb1="00000000"/>
  </w:font>
  <w:font w:name="Microsoft Himalaya">
    <w:altName w:val="Courier New"/>
    <w:panose1 w:val="01010100010101010101"/>
    <w:charset w:val="00"/>
    <w:family w:val="auto"/>
    <w:pitch w:val="default"/>
    <w:sig w:usb0="00000000" w:usb1="00000000" w:usb2="00000040" w:usb3="00000000" w:csb0="00000001" w:csb1="00000000"/>
  </w:font>
  <w:font w:name="Matura MT Script Capitals">
    <w:altName w:val="Monotype Corsiva"/>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Lucida Console"/>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_GB2312"/>
    <w:panose1 w:val="02010604000101010101"/>
    <w:charset w:val="86"/>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文星简舒同">
    <w:altName w:val="Lucida Console"/>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Lucida Console"/>
    <w:panose1 w:val="02010609000101010101"/>
    <w:charset w:val="00"/>
    <w:family w:val="auto"/>
    <w:pitch w:val="default"/>
    <w:sig w:usb0="00000000" w:usb1="00000000" w:usb2="00000000" w:usb3="00000000" w:csb0="00000000" w:csb1="00000000"/>
  </w:font>
  <w:font w:name="文星简大标宋">
    <w:altName w:val="宋体"/>
    <w:panose1 w:val="02010609000101010101"/>
    <w:charset w:val="00"/>
    <w:family w:val="auto"/>
    <w:pitch w:val="default"/>
    <w:sig w:usb0="00000000" w:usb1="00000000" w:usb2="00000000" w:usb3="00000000" w:csb0="00000000" w:csb1="00000000"/>
  </w:font>
  <w:font w:name="文星简行楷">
    <w:altName w:val="宋体"/>
    <w:panose1 w:val="02010609000101010101"/>
    <w:charset w:val="00"/>
    <w:family w:val="auto"/>
    <w:pitch w:val="default"/>
    <w:sig w:usb0="00000000" w:usb1="00000000" w:usb2="00000000" w:usb3="00000000" w:csb0="00000000" w:csb1="00000000"/>
  </w:font>
  <w:font w:name="文星简综艺">
    <w:altName w:val="Lucida Console"/>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Lucida Console"/>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Gabriola">
    <w:altName w:val="Courier New"/>
    <w:panose1 w:val="04040605051002020D02"/>
    <w:charset w:val="00"/>
    <w:family w:val="auto"/>
    <w:pitch w:val="default"/>
    <w:sig w:usb0="00000000"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Mongolian Baiti">
    <w:altName w:val="Monotype Corsiva"/>
    <w:panose1 w:val="03000500000000000000"/>
    <w:charset w:val="00"/>
    <w:family w:val="auto"/>
    <w:pitch w:val="default"/>
    <w:sig w:usb0="00000000" w:usb1="00000000" w:usb2="00020000" w:usb3="00000000" w:csb0="00000001"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0" w:usb2="00000000" w:usb3="00000000" w:csb0="2000009F" w:csb1="00000000"/>
  </w:font>
  <w:font w:name="Bookman Old Style">
    <w:panose1 w:val="02050604050505020204"/>
    <w:charset w:val="00"/>
    <w:family w:val="auto"/>
    <w:pitch w:val="default"/>
    <w:sig w:usb0="00000287" w:usb1="00000000" w:usb2="00000000" w:usb3="00000000" w:csb0="2000009F" w:csb1="DFD70000"/>
  </w:font>
  <w:font w:name="Verdana">
    <w:panose1 w:val="020B0604030504040204"/>
    <w:charset w:val="00"/>
    <w:family w:val="auto"/>
    <w:pitch w:val="default"/>
    <w:sig w:usb0="00000287" w:usb1="00000000"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A03"/>
    <w:rsid w:val="001150B0"/>
    <w:rsid w:val="00172A27"/>
    <w:rsid w:val="002929B4"/>
    <w:rsid w:val="009108DE"/>
    <w:rsid w:val="00B458CF"/>
    <w:rsid w:val="00CD71F9"/>
    <w:rsid w:val="04453648"/>
    <w:rsid w:val="05DB00B9"/>
    <w:rsid w:val="09BB2134"/>
    <w:rsid w:val="0CA434B9"/>
    <w:rsid w:val="0D7317B7"/>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57A6E52"/>
    <w:rsid w:val="45D95D71"/>
    <w:rsid w:val="48B52937"/>
    <w:rsid w:val="48EE3EF3"/>
    <w:rsid w:val="4C1E2F28"/>
    <w:rsid w:val="4CFC29CC"/>
    <w:rsid w:val="4D6D77D1"/>
    <w:rsid w:val="4D6E1856"/>
    <w:rsid w:val="502C04C1"/>
    <w:rsid w:val="51DE24AB"/>
    <w:rsid w:val="52DD6398"/>
    <w:rsid w:val="5651051D"/>
    <w:rsid w:val="56EC004A"/>
    <w:rsid w:val="57E961A8"/>
    <w:rsid w:val="581E77CF"/>
    <w:rsid w:val="58B06254"/>
    <w:rsid w:val="5AF25131"/>
    <w:rsid w:val="600176AC"/>
    <w:rsid w:val="65332BB8"/>
    <w:rsid w:val="664A46E0"/>
    <w:rsid w:val="66755D81"/>
    <w:rsid w:val="66E407E9"/>
    <w:rsid w:val="68A121F7"/>
    <w:rsid w:val="68A9241E"/>
    <w:rsid w:val="6B6D695A"/>
    <w:rsid w:val="6EAD6516"/>
    <w:rsid w:val="6FD41D7F"/>
    <w:rsid w:val="72416639"/>
    <w:rsid w:val="738C1FE2"/>
    <w:rsid w:val="75531EF6"/>
    <w:rsid w:val="75D0003D"/>
    <w:rsid w:val="764F7877"/>
    <w:rsid w:val="7AA141FF"/>
    <w:rsid w:val="7ABA5C00"/>
    <w:rsid w:val="7B170518"/>
    <w:rsid w:val="7C445B57"/>
    <w:rsid w:val="7D713C10"/>
    <w:rsid w:val="7D932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15417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2017-11-02T01:47:14Z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