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仿宋_GB2312" w:hAnsi="仿宋_GB2312" w:eastAsia="仿宋_GB2312" w:cs="仿宋_GB2312"/>
          <w:sz w:val="44"/>
          <w:szCs w:val="44"/>
          <w:lang w:eastAsia="zh-CN"/>
        </w:rPr>
      </w:pPr>
      <w:r>
        <w:rPr>
          <w:rFonts w:hint="eastAsia" w:ascii="隶书" w:hAnsi="隶书" w:eastAsia="隶书" w:cs="隶书"/>
          <w:sz w:val="52"/>
          <w:szCs w:val="52"/>
          <w:lang w:eastAsia="zh-CN"/>
        </w:rPr>
        <w:t>南阳市卧龙区李庄电灌站</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南阳市卧龙区李庄电灌站</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南阳市卧龙区李庄电灌站</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南阳市卧龙区李庄电灌站</w:t>
      </w:r>
      <w:r>
        <w:rPr>
          <w:rFonts w:hint="eastAsia" w:ascii="黑体" w:hAnsi="黑体" w:eastAsia="黑体" w:cs="黑体"/>
          <w:sz w:val="32"/>
          <w:szCs w:val="32"/>
        </w:rPr>
        <w:t>2016年度部门决算情况说明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rtlGutter w:val="0"/>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48"/>
          <w:szCs w:val="48"/>
        </w:rPr>
        <w:t>第一部分　</w:t>
      </w:r>
      <w:r>
        <w:rPr>
          <w:rFonts w:hint="eastAsia" w:ascii="隶书" w:hAnsi="隶书" w:eastAsia="隶书" w:cs="隶书"/>
          <w:sz w:val="48"/>
          <w:szCs w:val="48"/>
          <w:lang w:eastAsia="zh-CN"/>
        </w:rPr>
        <w:t>南阳市卧龙区李庄电灌站</w:t>
      </w:r>
      <w:r>
        <w:rPr>
          <w:rFonts w:hint="eastAsia" w:ascii="隶书" w:hAnsi="隶书" w:eastAsia="隶书" w:cs="隶书"/>
          <w:sz w:val="48"/>
          <w:szCs w:val="48"/>
        </w:rPr>
        <w:t>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numPr>
          <w:ilvl w:val="0"/>
          <w:numId w:val="0"/>
        </w:numPr>
        <w:spacing w:line="360" w:lineRule="auto"/>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（1）服务本辖区的提水灌溉工作</w:t>
      </w:r>
    </w:p>
    <w:p>
      <w:pPr>
        <w:numPr>
          <w:ilvl w:val="0"/>
          <w:numId w:val="0"/>
        </w:numPr>
        <w:spacing w:line="360" w:lineRule="auto"/>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（2）维护保养灌区水利工程 </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黑体" w:hAnsi="黑体" w:eastAsia="黑体" w:cs="黑体"/>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南阳市卧龙区李庄电灌站</w:t>
      </w:r>
      <w:r>
        <w:rPr>
          <w:rFonts w:hint="eastAsia" w:ascii="仿宋_GB2312" w:hAnsi="仿宋_GB2312" w:eastAsia="仿宋_GB2312" w:cs="仿宋_GB2312"/>
          <w:sz w:val="32"/>
          <w:szCs w:val="32"/>
        </w:rPr>
        <w:t>2016年度部门决算编制范围的单位包括：</w:t>
      </w:r>
      <w:r>
        <w:rPr>
          <w:rFonts w:hint="eastAsia" w:ascii="仿宋_GB2312" w:hAnsi="仿宋_GB2312" w:eastAsia="仿宋_GB2312" w:cs="仿宋_GB2312"/>
          <w:sz w:val="32"/>
          <w:szCs w:val="32"/>
          <w:lang w:eastAsia="zh-CN"/>
        </w:rPr>
        <w:t>南阳市卧龙区李庄电灌站</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lang w:eastAsia="zh-CN"/>
        </w:rPr>
        <w:t>南阳市卧龙区李庄电灌站</w:t>
      </w:r>
      <w:r>
        <w:rPr>
          <w:rFonts w:hint="eastAsia" w:ascii="隶书" w:hAnsi="隶书" w:eastAsia="隶书" w:cs="隶书"/>
          <w:sz w:val="48"/>
          <w:szCs w:val="48"/>
        </w:rPr>
        <w:t>2016年度部门决算表</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21"/>
                <w:szCs w:val="21"/>
                <w:u w:val="none"/>
                <w:lang w:eastAsia="zh-CN"/>
              </w:rPr>
              <w:t>卧龙区李庄电灌站</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66.86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3.00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69.86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70.26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0.64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70.49 </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70.49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sz w:val="21"/>
                <w:szCs w:val="21"/>
                <w:u w:val="none"/>
                <w:lang w:eastAsia="zh-CN"/>
              </w:rPr>
              <w:t>卧龙区李庄电灌站</w:t>
            </w: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69.86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66.86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3.00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26.78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0.10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0.10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0.10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死亡抚恤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43.08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40.18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2.90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43.08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40.18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2.90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43.08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40.18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2.90 </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rtlGutter w:val="0"/>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卧龙区李庄电灌站</w:t>
            </w: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93"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70.26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70.26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26.78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26.78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15.53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抚恤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2080801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死亡抚恤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43.49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394"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卧龙区李庄电灌站</w:t>
            </w: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66.86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66.86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67.28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67.28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0.64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0.21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0.21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0.64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color w:val="000000"/>
                <w:kern w:val="0"/>
                <w:sz w:val="21"/>
                <w:szCs w:val="21"/>
                <w:u w:val="none"/>
                <w:lang w:val="en-US" w:eastAsia="zh-CN" w:bidi="ar"/>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67.49 </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67.49 </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67.49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卧龙区李庄电灌站</w:t>
            </w: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67.28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67.28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i w:val="0"/>
                <w:color w:val="000000"/>
                <w:kern w:val="0"/>
                <w:sz w:val="22"/>
                <w:szCs w:val="22"/>
                <w:u w:val="none"/>
                <w:lang w:val="en-US" w:eastAsia="zh-CN" w:bidi="ar"/>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i w:val="0"/>
                <w:color w:val="000000"/>
                <w:kern w:val="0"/>
                <w:sz w:val="22"/>
                <w:szCs w:val="22"/>
                <w:u w:val="none"/>
                <w:lang w:val="en-US" w:eastAsia="zh-CN" w:bidi="ar"/>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2080502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15.43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20808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抚恤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2080801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 xml:space="preserve">  死亡抚恤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21303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水利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2130301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22"/>
                <w:szCs w:val="22"/>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40.60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卧龙区李庄电灌站</w:t>
            </w: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39.09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1.20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18.02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0.32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1.04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2.41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17.62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0.02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26.68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13.11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11.25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9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2.33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0.32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0.42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0.02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 xml:space="preserve">0.10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0.3</w:t>
            </w:r>
            <w:r>
              <w:rPr>
                <w:rFonts w:hint="eastAsia" w:asciiTheme="minorEastAsia" w:hAnsiTheme="minorEastAsia" w:cstheme="minorEastAsia"/>
                <w:i w:val="0"/>
                <w:color w:val="000000"/>
                <w:kern w:val="0"/>
                <w:sz w:val="21"/>
                <w:szCs w:val="21"/>
                <w:u w:val="none"/>
                <w:lang w:val="en-US" w:eastAsia="zh-CN" w:bidi="ar"/>
              </w:rPr>
              <w:t>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default" w:asciiTheme="minorEastAsia" w:hAnsiTheme="minorEastAsia" w:eastAsiaTheme="minorEastAsia" w:cstheme="minorEastAsia"/>
                <w:i w:val="0"/>
                <w:color w:val="000000"/>
                <w:kern w:val="0"/>
                <w:sz w:val="21"/>
                <w:szCs w:val="21"/>
                <w:u w:val="none"/>
                <w:lang w:val="en-US" w:eastAsia="zh-CN" w:bidi="ar"/>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0.3</w:t>
            </w:r>
            <w:r>
              <w:rPr>
                <w:rFonts w:hint="eastAsia" w:asciiTheme="minorEastAsia" w:hAnsiTheme="minorEastAsia" w:cstheme="minorEastAsia"/>
                <w:i w:val="0"/>
                <w:color w:val="000000"/>
                <w:kern w:val="0"/>
                <w:sz w:val="21"/>
                <w:szCs w:val="21"/>
                <w:u w:val="none"/>
                <w:lang w:val="en-US" w:eastAsia="zh-CN" w:bidi="ar"/>
              </w:rPr>
              <w:t>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sz w:val="21"/>
                <w:szCs w:val="21"/>
                <w:u w:val="none"/>
                <w:lang w:eastAsia="zh-CN"/>
              </w:rPr>
              <w:t>卧龙区李庄电灌站</w:t>
            </w: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1.5</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1</w:t>
            </w: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1</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0.5</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0.34</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0.02</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0.02</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default" w:asciiTheme="minorEastAsia" w:hAnsiTheme="minorEastAsia" w:eastAsiaTheme="minorEastAsia" w:cstheme="minorEastAsia"/>
                <w:i w:val="0"/>
                <w:color w:val="000000"/>
                <w:kern w:val="0"/>
                <w:sz w:val="21"/>
                <w:szCs w:val="21"/>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卧龙区李庄电灌站</w:t>
            </w: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rPr>
            </w:pPr>
            <w:bookmarkStart w:id="0" w:name="_GoBack"/>
            <w:r>
              <w:rPr>
                <w:rFonts w:hint="eastAsia" w:ascii="宋体" w:hAnsi="宋体" w:eastAsia="宋体" w:cs="宋体"/>
                <w:b/>
                <w:color w:val="auto"/>
                <w:kern w:val="0"/>
                <w:sz w:val="20"/>
                <w:szCs w:val="20"/>
              </w:rPr>
              <w:t>说明：</w:t>
            </w:r>
            <w:r>
              <w:rPr>
                <w:rFonts w:hint="eastAsia" w:ascii="宋体" w:hAnsi="宋体" w:eastAsia="宋体" w:cs="宋体"/>
                <w:b/>
                <w:color w:val="auto"/>
                <w:kern w:val="0"/>
                <w:sz w:val="20"/>
                <w:szCs w:val="20"/>
                <w:lang w:eastAsia="zh-CN"/>
              </w:rPr>
              <w:t>南阳市卧龙区李庄电灌站</w:t>
            </w:r>
            <w:r>
              <w:rPr>
                <w:rFonts w:hint="eastAsia" w:ascii="宋体" w:hAnsi="宋体" w:eastAsia="宋体" w:cs="宋体"/>
                <w:b/>
                <w:color w:val="auto"/>
                <w:kern w:val="0"/>
                <w:sz w:val="20"/>
                <w:szCs w:val="20"/>
              </w:rPr>
              <w:t>没有政府性基金收入，也没有使用政府性基金安排的支出，故本表无数据。</w:t>
            </w:r>
            <w:bookmarkEnd w:id="0"/>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hint="eastAsia" w:ascii="隶书" w:hAnsi="隶书" w:eastAsia="隶书" w:cs="隶书"/>
          <w:sz w:val="48"/>
          <w:szCs w:val="48"/>
          <w:lang w:eastAsia="zh-CN"/>
        </w:rPr>
      </w:pPr>
      <w:r>
        <w:rPr>
          <w:rFonts w:hint="eastAsia" w:ascii="隶书" w:hAnsi="隶书" w:eastAsia="隶书" w:cs="隶书"/>
          <w:sz w:val="48"/>
          <w:szCs w:val="48"/>
          <w:lang w:eastAsia="zh-CN"/>
        </w:rPr>
        <w:t>南阳市卧龙区李庄电灌站</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2016年度部门决算情况说明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69.86</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70.26</w:t>
      </w:r>
      <w:r>
        <w:rPr>
          <w:rFonts w:hint="eastAsia" w:ascii="仿宋_GB2312" w:hAnsi="宋体" w:eastAsia="仿宋_GB2312" w:cs="Courier New"/>
          <w:sz w:val="32"/>
          <w:szCs w:val="32"/>
        </w:rPr>
        <w:t>万元，与2015年相比，收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10.17</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17.33</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支出增加13.64万元，增长22.09 %。</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（单位：万元）</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rPr>
          <w:rFonts w:hint="eastAsia" w:ascii="仿宋_GB2312" w:hAnsi="宋体" w:eastAsia="仿宋_GB2312" w:cs="Courier New"/>
          <w:sz w:val="32"/>
          <w:szCs w:val="32"/>
          <w:lang w:eastAsia="zh-CN"/>
        </w:rPr>
      </w:pPr>
      <w:r>
        <w:rPr>
          <w:rFonts w:hint="eastAsia" w:ascii="仿宋_GB2312" w:hAnsi="宋体" w:eastAsia="仿宋_GB2312" w:cs="Courier New"/>
          <w:sz w:val="32"/>
          <w:szCs w:val="32"/>
          <w:lang w:eastAsia="zh-CN"/>
        </w:rPr>
        <w:object>
          <v:shape id="_x0000_i1025" o:spt="75" type="#_x0000_t75" style="height:673.5pt;width:489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69.86</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66.86</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95.71</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4.29</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p>
      <w:pPr>
        <w:adjustRightInd w:val="0"/>
        <w:snapToGrid w:val="0"/>
        <w:spacing w:line="240" w:lineRule="auto"/>
        <w:ind w:firstLine="0" w:firstLineChars="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object>
          <v:shape id="_x0000_i1026" o:spt="75" type="#_x0000_t75" style="height:253.5pt;width:696pt;" o:ole="t" filled="f" o:preferrelative="t" stroked="f" coordsize="21600,21600">
            <v:path/>
            <v:fill on="f" focussize="0,0"/>
            <v:stroke on="f"/>
            <v:imagedata r:id="rId9" o:title=""/>
            <o:lock v:ext="edit" aspectratio="t"/>
            <w10:wrap type="none"/>
            <w10:anchorlock/>
          </v:shape>
          <o:OLEObject Type="Embed" ProgID="Excel.Sheet.8" ShapeID="_x0000_i1026" DrawAspect="Content" ObjectID="_1468075726" r:id="rId8">
            <o:LockedField>false</o:LockedField>
          </o:OLEObject>
        </w:objec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70.26</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70.26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0" w:firstLineChars="200"/>
        <w:rPr>
          <w:rFonts w:hint="eastAsia" w:ascii="仿宋_GB2312" w:hAnsi="宋体" w:eastAsia="仿宋_GB2312" w:cs="Courier New"/>
          <w:sz w:val="32"/>
          <w:szCs w:val="32"/>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图3：支出决算</w:t>
      </w:r>
    </w:p>
    <w:p>
      <w:pPr>
        <w:adjustRightInd w:val="0"/>
        <w:snapToGri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object>
          <v:shape id="_x0000_i1027" o:spt="75" type="#_x0000_t75" style="height:318.75pt;width:581.25pt;" o:ole="t" filled="f" o:preferrelative="t" stroked="f" coordsize="21600,21600">
            <v:path/>
            <v:fill on="f" focussize="0,0"/>
            <v:stroke on="f"/>
            <v:imagedata r:id="rId11" o:title=""/>
            <o:lock v:ext="edit" aspectratio="t"/>
            <w10:wrap type="none"/>
            <w10:anchorlock/>
          </v:shape>
          <o:OLEObject Type="Embed" ProgID="Excel.Sheet.8" ShapeID="_x0000_i1027" DrawAspect="Content" ObjectID="_1468075727" r:id="rId10">
            <o:LockedField>false</o:LockedField>
          </o:OLEObject>
        </w:objec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2016年财政拨款收总决算</w:t>
      </w:r>
      <w:r>
        <w:rPr>
          <w:rFonts w:hint="eastAsia" w:ascii="仿宋_GB2312" w:hAnsi="宋体" w:eastAsia="仿宋_GB2312" w:cs="Courier New"/>
          <w:sz w:val="32"/>
          <w:szCs w:val="32"/>
          <w:lang w:val="en-US" w:eastAsia="zh-CN"/>
        </w:rPr>
        <w:t>66.86</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，支出总决算</w:t>
      </w:r>
      <w:r>
        <w:rPr>
          <w:rFonts w:hint="eastAsia" w:ascii="仿宋_GB2312" w:hAnsi="宋体" w:eastAsia="仿宋_GB2312" w:cs="Courier New"/>
          <w:sz w:val="32"/>
          <w:szCs w:val="32"/>
          <w:lang w:val="en-US" w:eastAsia="zh-CN"/>
        </w:rPr>
        <w:t>67.28万元</w:t>
      </w:r>
      <w:r>
        <w:rPr>
          <w:rFonts w:hint="eastAsia" w:ascii="仿宋_GB2312" w:hAnsi="宋体" w:eastAsia="仿宋_GB2312" w:cs="Courier New"/>
          <w:sz w:val="32"/>
          <w:szCs w:val="32"/>
        </w:rPr>
        <w:t>。与2015年相比，财政拨款收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、支总计各增加</w:t>
      </w:r>
      <w:r>
        <w:rPr>
          <w:rFonts w:hint="eastAsia" w:ascii="仿宋_GB2312" w:hAnsi="宋体" w:eastAsia="仿宋_GB2312" w:cs="Courier New"/>
          <w:sz w:val="32"/>
          <w:szCs w:val="32"/>
          <w:lang w:val="en-US" w:eastAsia="zh-CN"/>
        </w:rPr>
        <w:t>12.17</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22.25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财政拨款支</w:t>
      </w:r>
      <w:r>
        <w:rPr>
          <w:rFonts w:hint="eastAsia" w:ascii="仿宋_GB2312" w:hAnsi="宋体" w:eastAsia="仿宋_GB2312" w:cs="Courier New"/>
          <w:sz w:val="32"/>
          <w:szCs w:val="32"/>
          <w:lang w:eastAsia="zh-CN"/>
        </w:rPr>
        <w:t>出</w:t>
      </w:r>
      <w:r>
        <w:rPr>
          <w:rFonts w:hint="eastAsia" w:ascii="仿宋_GB2312" w:hAnsi="宋体" w:eastAsia="仿宋_GB2312" w:cs="Courier New"/>
          <w:sz w:val="32"/>
          <w:szCs w:val="32"/>
        </w:rPr>
        <w:t>总计各增加</w:t>
      </w:r>
      <w:r>
        <w:rPr>
          <w:rFonts w:hint="eastAsia" w:ascii="仿宋_GB2312" w:hAnsi="宋体" w:eastAsia="仿宋_GB2312" w:cs="Courier New"/>
          <w:sz w:val="32"/>
          <w:szCs w:val="32"/>
          <w:lang w:val="en-US" w:eastAsia="zh-CN"/>
        </w:rPr>
        <w:t>13.22</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24.45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（单位：万元）</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lang w:eastAsia="zh-CN"/>
        </w:rPr>
        <w:object>
          <v:shape id="_x0000_i1028" o:spt="75" type="#_x0000_t75" style="height:682.5pt;width:444pt;" o:ole="t" filled="f" o:preferrelative="t" stroked="f" coordsize="21600,21600">
            <v:path/>
            <v:fill on="f" focussize="0,0"/>
            <v:stroke on="f"/>
            <v:imagedata r:id="rId13" o:title=""/>
            <o:lock v:ext="edit" aspectratio="t"/>
            <w10:wrap type="none"/>
            <w10:anchorlock/>
          </v:shape>
          <o:OLEObject Type="Embed" ProgID="Excel.Sheet.8" ShapeID="_x0000_i1028" DrawAspect="Content" ObjectID="_1468075728" r:id="rId12">
            <o:LockedField>false</o:LockedField>
          </o:OLEObject>
        </w:objec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95.76</w:t>
      </w:r>
      <w:r>
        <w:rPr>
          <w:rFonts w:hint="eastAsia" w:ascii="仿宋_GB2312" w:hAnsi="宋体" w:eastAsia="仿宋_GB2312" w:cs="Courier New"/>
          <w:sz w:val="32"/>
          <w:szCs w:val="32"/>
        </w:rPr>
        <w:t>%。与2015年相比，一般公共预算财政拨款支出增加（减少）</w:t>
      </w:r>
      <w:r>
        <w:rPr>
          <w:rFonts w:hint="eastAsia" w:ascii="仿宋_GB2312" w:hAnsi="宋体" w:eastAsia="仿宋_GB2312" w:cs="Courier New"/>
          <w:sz w:val="32"/>
          <w:szCs w:val="32"/>
          <w:lang w:val="en-US" w:eastAsia="zh-CN"/>
        </w:rPr>
        <w:t>13.22</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24.45</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（单位：万元）</w:t>
      </w:r>
    </w:p>
    <w:p>
      <w:pPr>
        <w:adjustRightInd w:val="0"/>
        <w:snapToGri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object>
          <v:shape id="_x0000_i1029" o:spt="75" type="#_x0000_t75" style="height:219pt;width:590.25pt;" o:ole="t" filled="f" o:preferrelative="t" stroked="f" coordsize="21600,21600">
            <v:path/>
            <v:fill on="f" focussize="0,0"/>
            <v:stroke on="f"/>
            <v:imagedata r:id="rId15" o:title=""/>
            <o:lock v:ext="edit" aspectratio="t"/>
            <w10:wrap type="none"/>
            <w10:anchorlock/>
          </v:shape>
          <o:OLEObject Type="Embed" ProgID="Excel.Sheet.8" ShapeID="_x0000_i1029" DrawAspect="Content" ObjectID="_1468075729" r:id="rId14">
            <o:LockedField>false</o:LockedField>
          </o:OLEObject>
        </w:objec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图6：财政拨款支出决算结构</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hint="eastAsia" w:ascii="宋体" w:hAnsi="宋体" w:eastAsia="宋体" w:cs="宋体"/>
          <w:sz w:val="24"/>
        </w:rPr>
      </w:pPr>
    </w:p>
    <w:p>
      <w:pPr>
        <w:adjustRightInd w:val="0"/>
        <w:snapToGrid w:val="0"/>
        <w:spacing w:line="240" w:lineRule="auto"/>
        <w:ind w:firstLine="0" w:firstLineChars="0"/>
        <w:rPr>
          <w:rFonts w:ascii="仿宋_GB2312" w:hAnsi="宋体" w:eastAsia="仿宋_GB2312" w:cs="Courier New"/>
          <w:sz w:val="32"/>
          <w:szCs w:val="32"/>
        </w:rPr>
      </w:pPr>
      <w:r>
        <w:rPr>
          <w:rFonts w:hint="eastAsia" w:ascii="仿宋_GB2312" w:hAnsi="宋体" w:eastAsia="仿宋_GB2312" w:cs="Courier New"/>
          <w:sz w:val="32"/>
          <w:szCs w:val="32"/>
          <w:lang w:eastAsia="zh-CN"/>
        </w:rPr>
        <w:object>
          <v:shape id="_x0000_i1030" o:spt="75" type="#_x0000_t75" style="height:779.25pt;width:635.25pt;" o:ole="t" filled="f" o:preferrelative="t" stroked="f" coordsize="21600,21600">
            <v:path/>
            <v:fill on="f" focussize="0,0"/>
            <v:stroke on="f"/>
            <v:imagedata r:id="rId17" o:title=""/>
            <o:lock v:ext="edit" aspectratio="t"/>
            <w10:wrap type="none"/>
            <w10:anchorlock/>
          </v:shape>
          <o:OLEObject Type="Embed" ProgID="Excel.Sheet.8" ShapeID="_x0000_i1030" DrawAspect="Content" ObjectID="_1468075730" r:id="rId16">
            <o:LockedField>false</o:LockedField>
          </o:OLEObject>
        </w:objec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54.7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123</w:t>
      </w:r>
      <w:r>
        <w:rPr>
          <w:rFonts w:hint="eastAsia" w:ascii="仿宋_GB2312" w:hAnsi="宋体" w:eastAsia="仿宋_GB2312" w:cs="Courier New"/>
          <w:sz w:val="32"/>
          <w:szCs w:val="32"/>
        </w:rPr>
        <w:t>%。决算数大于预算数的主要原因：一是</w:t>
      </w:r>
      <w:r>
        <w:rPr>
          <w:rFonts w:hint="eastAsia" w:ascii="仿宋_GB2312" w:hAnsi="宋体" w:eastAsia="仿宋_GB2312" w:cs="Courier New"/>
          <w:sz w:val="32"/>
          <w:szCs w:val="32"/>
          <w:lang w:eastAsia="zh-CN"/>
        </w:rPr>
        <w:t>工资增长，二是死亡一人发放抚恤金</w:t>
      </w:r>
      <w:r>
        <w:rPr>
          <w:rFonts w:hint="eastAsia" w:ascii="仿宋_GB2312" w:hAnsi="宋体" w:eastAsia="仿宋_GB2312" w:cs="Courier New"/>
          <w:sz w:val="32"/>
          <w:szCs w:val="32"/>
        </w:rPr>
        <w:t>。其中：</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一般公共服务（类）财政事务（款）行政运行（项）。</w:t>
      </w:r>
    </w:p>
    <w:p>
      <w:pPr>
        <w:numPr>
          <w:ilvl w:val="0"/>
          <w:numId w:val="0"/>
        </w:numPr>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cs="Courier New"/>
          <w:b/>
          <w:bCs/>
          <w:sz w:val="32"/>
          <w:szCs w:val="32"/>
          <w:lang w:val="en-US" w:eastAsia="zh-CN"/>
        </w:rPr>
        <w:t xml:space="preserve">      </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54.7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123</w:t>
      </w:r>
      <w:r>
        <w:rPr>
          <w:rFonts w:hint="eastAsia" w:ascii="仿宋_GB2312" w:hAnsi="宋体" w:eastAsia="仿宋_GB2312" w:cs="Courier New"/>
          <w:sz w:val="32"/>
          <w:szCs w:val="32"/>
        </w:rPr>
        <w:t>%。决算数大于预算数的主要原因是一是</w:t>
      </w:r>
      <w:r>
        <w:rPr>
          <w:rFonts w:hint="eastAsia" w:ascii="仿宋_GB2312" w:hAnsi="宋体" w:eastAsia="仿宋_GB2312" w:cs="Courier New"/>
          <w:sz w:val="32"/>
          <w:szCs w:val="32"/>
          <w:lang w:eastAsia="zh-CN"/>
        </w:rPr>
        <w:t>工资增长，二是死亡一人发放抚恤金</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67.28</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65.77</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w:t>
      </w:r>
      <w:r>
        <w:rPr>
          <w:rFonts w:hint="eastAsia" w:ascii="仿宋_GB2312" w:hAnsi="宋体" w:eastAsia="仿宋_GB2312" w:cs="Courier New"/>
          <w:sz w:val="32"/>
          <w:szCs w:val="32"/>
          <w:lang w:eastAsia="zh-CN"/>
        </w:rPr>
        <w:t>奖金、其他社会保障缴费、</w:t>
      </w:r>
      <w:r>
        <w:rPr>
          <w:rFonts w:hint="eastAsia" w:ascii="仿宋_GB2312" w:hAnsi="宋体" w:eastAsia="仿宋_GB2312" w:cs="Courier New"/>
          <w:sz w:val="32"/>
          <w:szCs w:val="32"/>
        </w:rPr>
        <w:t>绩效工资</w:t>
      </w:r>
      <w:r>
        <w:rPr>
          <w:rFonts w:hint="eastAsia" w:ascii="仿宋_GB2312" w:hAnsi="宋体" w:eastAsia="仿宋_GB2312" w:cs="Courier New"/>
          <w:sz w:val="32"/>
          <w:szCs w:val="32"/>
          <w:lang w:eastAsia="zh-CN"/>
        </w:rPr>
        <w:t>、退休费、抚恤金、生活补助</w:t>
      </w:r>
      <w:r>
        <w:rPr>
          <w:rFonts w:hint="eastAsia" w:ascii="仿宋_GB2312" w:hAnsi="宋体" w:eastAsia="仿宋_GB2312" w:cs="Courier New"/>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1.51</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eastAsia="zh-CN"/>
        </w:rPr>
        <w:t>、邮电费、公务接待费、劳务费、其他商品和服务支出、办公设备购置</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jc w:val="both"/>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1.5</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0.34</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22.67</w:t>
      </w:r>
      <w:r>
        <w:rPr>
          <w:rFonts w:hint="eastAsia" w:ascii="仿宋_GB2312" w:hAnsi="宋体" w:eastAsia="仿宋_GB2312" w:cs="Courier New"/>
          <w:sz w:val="32"/>
          <w:szCs w:val="32"/>
        </w:rPr>
        <w:t>%，其中：公务用车购置及运行费支出决算为</w:t>
      </w:r>
      <w:r>
        <w:rPr>
          <w:rFonts w:hint="eastAsia" w:ascii="仿宋_GB2312" w:hAnsi="宋体" w:eastAsia="仿宋_GB2312" w:cs="Courier New"/>
          <w:sz w:val="32"/>
          <w:szCs w:val="32"/>
          <w:lang w:val="en-US" w:eastAsia="zh-CN"/>
        </w:rPr>
        <w:t>0.02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0.32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64</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。2016年度“三公”经费支出决算数小于预算数的主要原因是</w:t>
      </w:r>
      <w:r>
        <w:rPr>
          <w:rFonts w:hint="eastAsia" w:ascii="仿宋_GB2312" w:hAnsi="宋体" w:eastAsia="仿宋_GB2312" w:cs="Courier New"/>
          <w:sz w:val="32"/>
          <w:szCs w:val="32"/>
          <w:lang w:eastAsia="zh-CN"/>
        </w:rPr>
        <w:t>车辆使用年限已到，车辆报废</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2016年度“三公”经费财政拨款支出决算数比2015年减少</w:t>
      </w:r>
      <w:r>
        <w:rPr>
          <w:rFonts w:hint="eastAsia" w:ascii="仿宋_GB2312" w:hAnsi="宋体" w:eastAsia="仿宋_GB2312" w:cs="Courier New"/>
          <w:sz w:val="32"/>
          <w:szCs w:val="32"/>
          <w:lang w:val="en-US" w:eastAsia="zh-CN"/>
        </w:rPr>
        <w:t>0.31</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47.69</w:t>
      </w:r>
      <w:r>
        <w:rPr>
          <w:rFonts w:hint="eastAsia" w:ascii="仿宋_GB2312" w:hAnsi="宋体" w:eastAsia="仿宋_GB2312" w:cs="Courier New"/>
          <w:sz w:val="32"/>
          <w:szCs w:val="32"/>
        </w:rPr>
        <w:t>%，其中：公务用车购置及运行费支出决算减少</w:t>
      </w:r>
      <w:r>
        <w:rPr>
          <w:rFonts w:hint="eastAsia" w:ascii="仿宋_GB2312" w:hAnsi="宋体" w:eastAsia="仿宋_GB2312" w:cs="Courier New"/>
          <w:sz w:val="32"/>
          <w:szCs w:val="32"/>
          <w:lang w:val="en-US" w:eastAsia="zh-CN"/>
        </w:rPr>
        <w:t>0.55</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96.49</w:t>
      </w:r>
      <w:r>
        <w:rPr>
          <w:rFonts w:hint="eastAsia" w:ascii="仿宋_GB2312" w:hAnsi="宋体" w:eastAsia="仿宋_GB2312" w:cs="Courier New"/>
          <w:sz w:val="32"/>
          <w:szCs w:val="32"/>
        </w:rPr>
        <w:t>%；公务接待费支出决算增加</w:t>
      </w:r>
      <w:r>
        <w:rPr>
          <w:rFonts w:hint="eastAsia" w:ascii="仿宋_GB2312" w:hAnsi="宋体" w:eastAsia="仿宋_GB2312" w:cs="Courier New"/>
          <w:sz w:val="32"/>
          <w:szCs w:val="32"/>
          <w:lang w:val="en-US" w:eastAsia="zh-CN"/>
        </w:rPr>
        <w:t>0.24</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300</w:t>
      </w:r>
      <w:r>
        <w:rPr>
          <w:rFonts w:hint="eastAsia" w:ascii="仿宋_GB2312" w:hAnsi="宋体" w:eastAsia="仿宋_GB2312" w:cs="Courier New"/>
          <w:sz w:val="32"/>
          <w:szCs w:val="32"/>
        </w:rPr>
        <w:t>%。公务用车购置及运行费支出减少的主要原因是</w:t>
      </w:r>
      <w:r>
        <w:rPr>
          <w:rFonts w:hint="eastAsia" w:ascii="仿宋_GB2312" w:hAnsi="宋体" w:eastAsia="仿宋_GB2312" w:cs="Courier New"/>
          <w:sz w:val="32"/>
          <w:szCs w:val="32"/>
          <w:lang w:eastAsia="zh-CN"/>
        </w:rPr>
        <w:t>车辆使用年限已到，车辆报废</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2016年度“三公”经费财政拨款支出决算中，公务用车购置及运行费支出决算</w:t>
      </w:r>
      <w:r>
        <w:rPr>
          <w:rFonts w:hint="eastAsia" w:ascii="仿宋_GB2312" w:hAnsi="宋体" w:eastAsia="仿宋_GB2312" w:cs="Courier New"/>
          <w:sz w:val="32"/>
          <w:szCs w:val="32"/>
          <w:lang w:val="en-US" w:eastAsia="zh-CN"/>
        </w:rPr>
        <w:t>0.02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5.88</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0.32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94.11</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图7：“三公”经费财政拨款支出结构</w:t>
      </w: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lang w:eastAsia="zh-CN"/>
        </w:rPr>
      </w:pPr>
      <w:r>
        <w:rPr>
          <w:rFonts w:hint="eastAsia" w:ascii="仿宋_GB2312" w:hAnsi="宋体" w:eastAsia="仿宋_GB2312" w:cs="Courier New"/>
          <w:sz w:val="32"/>
          <w:szCs w:val="32"/>
          <w:lang w:eastAsia="zh-CN"/>
        </w:rPr>
        <w:object>
          <v:shape id="_x0000_i1031" o:spt="75" type="#_x0000_t75" style="height:166.5pt;width:467.25pt;" o:ole="t" filled="f" o:preferrelative="t" stroked="f" coordsize="21600,21600">
            <v:path/>
            <v:fill on="f" focussize="0,0"/>
            <v:stroke on="f"/>
            <v:imagedata r:id="rId19" o:title=""/>
            <o:lock v:ext="edit" aspectratio="t"/>
            <w10:wrap type="none"/>
            <w10:anchorlock/>
          </v:shape>
          <o:OLEObject Type="Embed" ProgID="Excel.Sheet.8" ShapeID="_x0000_i1031" DrawAspect="Content" ObjectID="_1468075731" r:id="rId18">
            <o:LockedField>false</o:LockedField>
          </o:OLEObject>
        </w:objec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lang w:val="en-US"/>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0.02</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0.02</w:t>
      </w:r>
      <w:r>
        <w:rPr>
          <w:rFonts w:hint="eastAsia" w:ascii="仿宋_GB2312" w:hAnsi="宋体" w:eastAsia="仿宋_GB2312" w:cs="Courier New"/>
          <w:sz w:val="32"/>
          <w:szCs w:val="32"/>
        </w:rPr>
        <w:t>万元。主要用于</w:t>
      </w:r>
      <w:r>
        <w:rPr>
          <w:rFonts w:hint="eastAsia" w:ascii="仿宋_GB2312" w:hAnsi="宋体" w:eastAsia="仿宋_GB2312" w:cs="Courier New"/>
          <w:sz w:val="32"/>
          <w:szCs w:val="32"/>
          <w:lang w:eastAsia="zh-CN"/>
        </w:rPr>
        <w:t>加油费</w:t>
      </w: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南阳市卧龙区李庄电灌站</w:t>
      </w:r>
      <w:r>
        <w:rPr>
          <w:rFonts w:hint="eastAsia" w:ascii="仿宋_GB2312" w:hAnsi="宋体" w:eastAsia="仿宋_GB2312" w:cs="Courier New"/>
          <w:sz w:val="32"/>
          <w:szCs w:val="32"/>
        </w:rPr>
        <w:t>机关开支财政拨款的公务用车保有量为</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lang w:eastAsia="zh-CN"/>
        </w:rPr>
        <w:t>辆</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0.32</w:t>
      </w:r>
      <w:r>
        <w:rPr>
          <w:rFonts w:hint="eastAsia" w:ascii="仿宋_GB2312" w:hAnsi="宋体" w:eastAsia="仿宋_GB2312" w:cs="Courier New"/>
          <w:b/>
          <w:bCs/>
          <w:sz w:val="32"/>
          <w:szCs w:val="32"/>
        </w:rPr>
        <w:t>万元。</w:t>
      </w:r>
      <w:r>
        <w:rPr>
          <w:rFonts w:hint="eastAsia" w:ascii="仿宋_GB2312" w:hAnsi="宋体" w:eastAsia="仿宋_GB2312" w:cs="Courier New"/>
          <w:b w:val="0"/>
          <w:bCs w:val="0"/>
          <w:sz w:val="32"/>
          <w:szCs w:val="32"/>
        </w:rPr>
        <w:t>主要用于</w:t>
      </w:r>
      <w:r>
        <w:rPr>
          <w:rFonts w:hint="eastAsia" w:ascii="仿宋_GB2312" w:hAnsi="宋体" w:eastAsia="仿宋_GB2312" w:cs="Courier New"/>
          <w:b w:val="0"/>
          <w:bCs w:val="0"/>
          <w:sz w:val="32"/>
          <w:szCs w:val="32"/>
          <w:lang w:eastAsia="zh-CN"/>
        </w:rPr>
        <w:t>公务接待</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南阳市卧龙区李庄电灌站</w:t>
      </w:r>
      <w:r>
        <w:rPr>
          <w:rFonts w:hint="eastAsia" w:ascii="仿宋_GB2312" w:hAnsi="宋体" w:eastAsia="仿宋_GB2312" w:cs="Courier New"/>
          <w:b w:val="0"/>
          <w:bCs w:val="0"/>
          <w:sz w:val="32"/>
          <w:szCs w:val="32"/>
        </w:rPr>
        <w:t>2016年度共接待国内来访团组</w:t>
      </w:r>
      <w:r>
        <w:rPr>
          <w:rFonts w:hint="eastAsia" w:ascii="仿宋_GB2312" w:hAnsi="宋体" w:eastAsia="仿宋_GB2312" w:cs="Courier New"/>
          <w:b w:val="0"/>
          <w:bCs w:val="0"/>
          <w:sz w:val="32"/>
          <w:szCs w:val="32"/>
          <w:lang w:val="en-US" w:eastAsia="zh-CN"/>
        </w:rPr>
        <w:t>6</w:t>
      </w:r>
      <w:r>
        <w:rPr>
          <w:rFonts w:hint="eastAsia" w:ascii="仿宋_GB2312" w:hAnsi="宋体" w:eastAsia="仿宋_GB2312" w:cs="Courier New"/>
          <w:b w:val="0"/>
          <w:bCs w:val="0"/>
          <w:sz w:val="32"/>
          <w:szCs w:val="32"/>
        </w:rPr>
        <w:t>个、来访</w:t>
      </w:r>
      <w:r>
        <w:rPr>
          <w:rFonts w:hint="eastAsia" w:ascii="仿宋_GB2312" w:hAnsi="宋体" w:eastAsia="仿宋_GB2312" w:cs="Courier New"/>
          <w:b w:val="0"/>
          <w:bCs w:val="0"/>
          <w:sz w:val="32"/>
          <w:szCs w:val="32"/>
          <w:lang w:eastAsia="zh-CN"/>
        </w:rPr>
        <w:t>人员</w:t>
      </w:r>
      <w:r>
        <w:rPr>
          <w:rFonts w:hint="eastAsia" w:ascii="仿宋_GB2312" w:hAnsi="宋体" w:eastAsia="仿宋_GB2312" w:cs="Courier New"/>
          <w:b w:val="0"/>
          <w:bCs w:val="0"/>
          <w:sz w:val="32"/>
          <w:szCs w:val="32"/>
          <w:lang w:val="en-US" w:eastAsia="zh-CN"/>
        </w:rPr>
        <w:t>30</w:t>
      </w:r>
      <w:r>
        <w:rPr>
          <w:rFonts w:hint="eastAsia" w:ascii="仿宋_GB2312" w:hAnsi="宋体" w:eastAsia="仿宋_GB2312" w:cs="Courier New"/>
          <w:b w:val="0"/>
          <w:bCs w:val="0"/>
          <w:sz w:val="32"/>
          <w:szCs w:val="32"/>
        </w:rPr>
        <w:t>人次（不包括陪同人员）</w:t>
      </w:r>
      <w:r>
        <w:rPr>
          <w:rFonts w:hint="eastAsia" w:ascii="仿宋_GB2312" w:hAnsi="宋体" w:eastAsia="仿宋_GB2312" w:cs="Courier New"/>
          <w:b w:val="0"/>
          <w:bCs w:val="0"/>
          <w:sz w:val="32"/>
          <w:szCs w:val="32"/>
          <w:lang w:eastAsia="zh-CN"/>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w:t>
      </w:r>
      <w:r>
        <w:rPr>
          <w:rFonts w:hint="eastAsia" w:ascii="仿宋_GB2312" w:hAnsi="宋体" w:eastAsia="仿宋_GB2312" w:cs="Courier New"/>
          <w:sz w:val="32"/>
          <w:szCs w:val="32"/>
          <w:lang w:eastAsia="zh-CN"/>
        </w:rPr>
        <w:t>南阳市卧龙区李庄电灌站</w:t>
      </w:r>
      <w:r>
        <w:rPr>
          <w:rFonts w:hint="eastAsia" w:ascii="仿宋_GB2312" w:hAnsi="宋体" w:eastAsia="仿宋_GB2312" w:cs="Courier New"/>
          <w:sz w:val="32"/>
          <w:szCs w:val="32"/>
        </w:rPr>
        <w:t>对2016年度一般公共预算项目支出全面开展绩效自评</w:t>
      </w:r>
      <w:r>
        <w:rPr>
          <w:rFonts w:hint="eastAsia" w:ascii="仿宋_GB2312" w:hAnsi="宋体" w:eastAsia="仿宋_GB2312" w:cs="Courier New"/>
          <w:sz w:val="32"/>
          <w:szCs w:val="32"/>
          <w:lang w:eastAsia="zh-CN"/>
        </w:rPr>
        <w:t>。李庄电灌站</w:t>
      </w:r>
      <w:r>
        <w:rPr>
          <w:rFonts w:hint="eastAsia" w:ascii="仿宋_GB2312" w:hAnsi="宋体" w:eastAsia="仿宋_GB2312" w:cs="Courier New"/>
          <w:sz w:val="32"/>
          <w:szCs w:val="32"/>
          <w:lang w:val="en-US" w:eastAsia="zh-CN"/>
        </w:rPr>
        <w:t>0项目。</w:t>
      </w:r>
    </w:p>
    <w:p>
      <w:pPr>
        <w:numPr>
          <w:ilvl w:val="0"/>
          <w:numId w:val="4"/>
        </w:numPr>
        <w:adjustRightInd w:val="0"/>
        <w:snapToGrid w:val="0"/>
        <w:spacing w:line="360" w:lineRule="auto"/>
        <w:ind w:firstLine="640" w:firstLineChars="200"/>
        <w:outlineLvl w:val="1"/>
        <w:rPr>
          <w:rFonts w:ascii="黑体" w:hAnsi="黑体" w:eastAsia="黑体"/>
          <w:color w:val="auto"/>
          <w:sz w:val="32"/>
          <w:szCs w:val="32"/>
        </w:rPr>
      </w:pPr>
      <w:r>
        <w:rPr>
          <w:rFonts w:hint="eastAsia" w:ascii="黑体" w:hAnsi="黑体" w:eastAsia="黑体"/>
          <w:color w:val="auto"/>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color w:val="auto"/>
          <w:sz w:val="32"/>
          <w:szCs w:val="32"/>
        </w:rPr>
      </w:pPr>
      <w:r>
        <w:rPr>
          <w:rFonts w:hint="eastAsia" w:ascii="仿宋_GB2312" w:hAnsi="宋体" w:eastAsia="仿宋_GB2312" w:cs="Courier New"/>
          <w:color w:val="auto"/>
          <w:sz w:val="32"/>
          <w:szCs w:val="32"/>
        </w:rPr>
        <w:t>2016年度政府性基金预算财政拨款支出年初预算为</w:t>
      </w:r>
      <w:r>
        <w:rPr>
          <w:rFonts w:hint="eastAsia" w:ascii="仿宋_GB2312" w:hAnsi="宋体" w:eastAsia="仿宋_GB2312" w:cs="Courier New"/>
          <w:color w:val="auto"/>
          <w:sz w:val="32"/>
          <w:szCs w:val="32"/>
          <w:lang w:val="en-US" w:eastAsia="zh-CN"/>
        </w:rPr>
        <w:t>0</w:t>
      </w:r>
      <w:r>
        <w:rPr>
          <w:rFonts w:hint="eastAsia" w:ascii="仿宋_GB2312" w:hAnsi="宋体" w:eastAsia="仿宋_GB2312" w:cs="Courier New"/>
          <w:color w:val="auto"/>
          <w:sz w:val="32"/>
          <w:szCs w:val="32"/>
        </w:rPr>
        <w:t>万元，支出决算为</w:t>
      </w:r>
      <w:r>
        <w:rPr>
          <w:rFonts w:hint="eastAsia" w:ascii="仿宋_GB2312" w:hAnsi="宋体" w:eastAsia="仿宋_GB2312" w:cs="Courier New"/>
          <w:color w:val="auto"/>
          <w:sz w:val="32"/>
          <w:szCs w:val="32"/>
          <w:lang w:val="en-US" w:eastAsia="zh-CN"/>
        </w:rPr>
        <w:t>0</w:t>
      </w:r>
      <w:r>
        <w:rPr>
          <w:rFonts w:hint="eastAsia" w:ascii="仿宋_GB2312" w:hAnsi="宋体" w:eastAsia="仿宋_GB2312" w:cs="Courier New"/>
          <w:color w:val="auto"/>
          <w:sz w:val="32"/>
          <w:szCs w:val="32"/>
        </w:rPr>
        <w:t>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2016年度机关运行经费支出</w:t>
      </w:r>
      <w:r>
        <w:rPr>
          <w:rFonts w:hint="eastAsia" w:ascii="仿宋_GB2312" w:hAnsi="宋体" w:eastAsia="仿宋_GB2312" w:cs="Courier New"/>
          <w:sz w:val="32"/>
          <w:szCs w:val="32"/>
          <w:lang w:val="en-US" w:eastAsia="zh-CN"/>
        </w:rPr>
        <w:t>4.34</w:t>
      </w:r>
      <w:r>
        <w:rPr>
          <w:rFonts w:hint="eastAsia" w:ascii="仿宋_GB2312" w:hAnsi="宋体" w:eastAsia="仿宋_GB2312" w:cs="Courier New"/>
          <w:sz w:val="32"/>
          <w:szCs w:val="32"/>
        </w:rPr>
        <w:t>万元，比2015年增加</w:t>
      </w:r>
      <w:r>
        <w:rPr>
          <w:rFonts w:hint="eastAsia" w:ascii="仿宋_GB2312" w:hAnsi="宋体" w:eastAsia="仿宋_GB2312" w:cs="Courier New"/>
          <w:sz w:val="32"/>
          <w:szCs w:val="32"/>
          <w:lang w:val="en-US" w:eastAsia="zh-CN"/>
        </w:rPr>
        <w:t>1.39</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47.12</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2016年度政府采购支出总额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南阳市卧龙区李庄电灌站</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辆，其中：一般公务用车</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辆；单价50万元以上通用设备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台（套），单位价值100万元以上专用设备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417" w:bottom="1440" w:left="1417" w:header="850" w:footer="992" w:gutter="0"/>
          <w:pgNumType w:fmt="numberInDash"/>
          <w:cols w:space="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第四部分　　名词解释</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textAlignment w:val="auto"/>
        <w:outlineLvl w:val="9"/>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textAlignment w:val="auto"/>
        <w:outlineLvl w:val="9"/>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textAlignment w:val="auto"/>
        <w:outlineLvl w:val="9"/>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lang w:eastAsia="zh-CN"/>
        </w:rPr>
        <w:t>三</w:t>
      </w:r>
      <w:r>
        <w:rPr>
          <w:rFonts w:hint="eastAsia" w:ascii="仿宋_GB2312" w:hAnsi="宋体" w:eastAsia="仿宋_GB2312" w:cs="Courier New"/>
          <w:b/>
          <w:bCs/>
          <w:sz w:val="32"/>
          <w:szCs w:val="32"/>
          <w:highlight w:val="none"/>
        </w:rPr>
        <w:t>、年末结转和结余：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textAlignment w:val="auto"/>
        <w:outlineLvl w:val="9"/>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四</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jc w:val="left"/>
        <w:textAlignment w:val="auto"/>
        <w:outlineLvl w:val="9"/>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五</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43" w:firstLineChars="200"/>
        <w:textAlignment w:val="auto"/>
        <w:outlineLvl w:val="9"/>
        <w:rPr>
          <w:rFonts w:hint="eastAsia" w:ascii="仿宋_GB2312" w:hAnsi="宋体" w:eastAsia="仿宋_GB2312" w:cs="Courier New"/>
          <w:sz w:val="32"/>
          <w:szCs w:val="32"/>
          <w:lang w:val="en-US" w:eastAsia="zh-CN"/>
        </w:rPr>
      </w:pPr>
      <w:r>
        <w:rPr>
          <w:rFonts w:hint="eastAsia" w:ascii="仿宋_GB2312" w:hAnsi="宋体" w:eastAsia="仿宋_GB2312" w:cs="Courier New"/>
          <w:b/>
          <w:bCs/>
          <w:sz w:val="32"/>
          <w:szCs w:val="32"/>
          <w:lang w:eastAsia="zh-CN"/>
        </w:rPr>
        <w:t>六</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531"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roman"/>
    <w:pitch w:val="default"/>
    <w:sig w:usb0="00000000"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Lucida Console"/>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Lucida Console"/>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GulimChe"/>
    <w:panose1 w:val="02030600000101010101"/>
    <w:charset w:val="81"/>
    <w:family w:val="auto"/>
    <w:pitch w:val="default"/>
    <w:sig w:usb0="00000000" w:usb1="00000000" w:usb2="00000030" w:usb3="00000000" w:csb0="4008009F" w:csb1="DFD70000"/>
  </w:font>
  <w:font w:name="BatangChe">
    <w:altName w:val="GulimChe"/>
    <w:panose1 w:val="02030609000101010101"/>
    <w:charset w:val="81"/>
    <w:family w:val="auto"/>
    <w:pitch w:val="default"/>
    <w:sig w:usb0="00000000" w:usb1="00000000"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ngsuhChe">
    <w:altName w:val="GulimChe"/>
    <w:panose1 w:val="02030609000101010101"/>
    <w:charset w:val="81"/>
    <w:family w:val="auto"/>
    <w:pitch w:val="default"/>
    <w:sig w:usb0="00000000" w:usb1="00000000" w:usb2="00000030" w:usb3="00000000" w:csb0="4008009F" w:csb1="DFD70000"/>
  </w:font>
  <w:font w:name="Gungsuh">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altName w:val="MS UI Gothic"/>
    <w:panose1 w:val="02020609040205080304"/>
    <w:charset w:val="80"/>
    <w:family w:val="auto"/>
    <w:pitch w:val="default"/>
    <w:sig w:usb0="00000000" w:usb1="00000000" w:usb2="00000012" w:usb3="00000000" w:csb0="4002009F" w:csb1="DFD7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Agency FB">
    <w:altName w:val="Trebuchet MS"/>
    <w:panose1 w:val="020B0503020202020204"/>
    <w:charset w:val="00"/>
    <w:family w:val="auto"/>
    <w:pitch w:val="default"/>
    <w:sig w:usb0="00000000" w:usb1="00000000" w:usb2="00000000" w:usb3="00000000" w:csb0="20000001" w:csb1="00000000"/>
  </w:font>
  <w:font w:name="SimSun-ExtB">
    <w:altName w:val="宋体"/>
    <w:panose1 w:val="02010609060101010101"/>
    <w:charset w:val="86"/>
    <w:family w:val="auto"/>
    <w:pitch w:val="default"/>
    <w:sig w:usb0="00000000" w:usb1="00000000" w:usb2="00000000"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PMingLiU">
    <w:panose1 w:val="02020300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MS PMincho">
    <w:altName w:val="MS UI Gothic"/>
    <w:panose1 w:val="02020600040205080304"/>
    <w:charset w:val="80"/>
    <w:family w:val="auto"/>
    <w:pitch w:val="default"/>
    <w:sig w:usb0="00000000" w:usb1="00000000" w:usb2="00000012" w:usb3="00000000" w:csb0="4002009F" w:csb1="DFD70000"/>
  </w:font>
  <w:font w:name="MS Outlook">
    <w:panose1 w:val="05010100010000000000"/>
    <w:charset w:val="00"/>
    <w:family w:val="auto"/>
    <w:pitch w:val="default"/>
    <w:sig w:usb0="00000000" w:usb1="00000000" w:usb2="00000000" w:usb3="00000000" w:csb0="80000000" w:csb1="00000000"/>
  </w:font>
  <w:font w:name="Modern No. 20">
    <w:altName w:val="Bookman Old Style"/>
    <w:panose1 w:val="02070704070505020303"/>
    <w:charset w:val="00"/>
    <w:family w:val="auto"/>
    <w:pitch w:val="default"/>
    <w:sig w:usb0="00000000" w:usb1="00000000" w:usb2="00000000" w:usb3="00000000" w:csb0="20000001" w:csb1="00000000"/>
  </w:font>
  <w:font w:name="Miriam">
    <w:altName w:val="Gulim"/>
    <w:panose1 w:val="020B0502050101010101"/>
    <w:charset w:val="00"/>
    <w:family w:val="auto"/>
    <w:pitch w:val="default"/>
    <w:sig w:usb0="00000000" w:usb1="00000000" w:usb2="00000000" w:usb3="00000000" w:csb0="00000020" w:csb1="00200000"/>
  </w:font>
  <w:font w:name="Microsoft Uighur">
    <w:altName w:val="Trebuchet MS"/>
    <w:panose1 w:val="02000000000000000000"/>
    <w:charset w:val="00"/>
    <w:family w:val="auto"/>
    <w:pitch w:val="default"/>
    <w:sig w:usb0="00000000" w:usb1="00000000" w:usb2="00000008" w:usb3="00000000" w:csb0="00000041" w:csb1="00000000"/>
  </w:font>
  <w:font w:name="Microsoft PhagsPa">
    <w:altName w:val="Century Gothic"/>
    <w:panose1 w:val="020B0502040204020203"/>
    <w:charset w:val="00"/>
    <w:family w:val="auto"/>
    <w:pitch w:val="default"/>
    <w:sig w:usb0="00000000" w:usb1="00000000" w:usb2="08000000" w:usb3="00000000" w:csb0="00000001" w:csb1="00000000"/>
  </w:font>
  <w:font w:name="Microsoft Himalaya">
    <w:altName w:val="Courier New"/>
    <w:panose1 w:val="01010100010101010101"/>
    <w:charset w:val="00"/>
    <w:family w:val="auto"/>
    <w:pitch w:val="default"/>
    <w:sig w:usb0="00000000" w:usb1="00000000" w:usb2="00000040" w:usb3="00000000" w:csb0="00000001" w:csb1="00000000"/>
  </w:font>
  <w:font w:name="Matura MT Script Capitals">
    <w:altName w:val="Monotype Corsiva"/>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Lucida Console"/>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文星简舒同">
    <w:altName w:val="Lucida Console"/>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Lucida Console"/>
    <w:panose1 w:val="02010609000101010101"/>
    <w:charset w:val="00"/>
    <w:family w:val="auto"/>
    <w:pitch w:val="default"/>
    <w:sig w:usb0="00000000" w:usb1="00000000" w:usb2="00000000" w:usb3="00000000" w:csb0="00000000" w:csb1="00000000"/>
  </w:font>
  <w:font w:name="文星简大标宋">
    <w:altName w:val="宋体"/>
    <w:panose1 w:val="02010609000101010101"/>
    <w:charset w:val="00"/>
    <w:family w:val="auto"/>
    <w:pitch w:val="default"/>
    <w:sig w:usb0="00000000" w:usb1="00000000" w:usb2="00000000" w:usb3="00000000" w:csb0="00000000" w:csb1="00000000"/>
  </w:font>
  <w:font w:name="文星简行楷">
    <w:altName w:val="宋体"/>
    <w:panose1 w:val="02010609000101010101"/>
    <w:charset w:val="00"/>
    <w:family w:val="auto"/>
    <w:pitch w:val="default"/>
    <w:sig w:usb0="00000000" w:usb1="00000000" w:usb2="00000000" w:usb3="00000000" w:csb0="00000000" w:csb1="00000000"/>
  </w:font>
  <w:font w:name="文星简综艺">
    <w:altName w:val="Lucida Console"/>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Lucida Console"/>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Segoe Print">
    <w:altName w:val="Verdana"/>
    <w:panose1 w:val="02000600000000000000"/>
    <w:charset w:val="00"/>
    <w:family w:val="auto"/>
    <w:pitch w:val="default"/>
    <w:sig w:usb0="00000000" w:usb1="00000000" w:usb2="00000000" w:usb3="00000000" w:csb0="2000009F" w:csb1="47010000"/>
  </w:font>
  <w:font w:name="Microsoft JhengHei Light">
    <w:altName w:val="PMingLiU"/>
    <w:panose1 w:val="020B0304030504040204"/>
    <w:charset w:val="88"/>
    <w:family w:val="auto"/>
    <w:pitch w:val="default"/>
    <w:sig w:usb0="00000000" w:usb1="00000000" w:usb2="00000016" w:usb3="00000000" w:csb0="00100009" w:csb1="00000000"/>
  </w:font>
  <w:font w:name="Yu Gothic UI">
    <w:altName w:val="MS UI Gothic"/>
    <w:panose1 w:val="020B0500000000000000"/>
    <w:charset w:val="80"/>
    <w:family w:val="auto"/>
    <w:pitch w:val="default"/>
    <w:sig w:usb0="00000000" w:usb1="00000000" w:usb2="00000016" w:usb3="00000000" w:csb0="2002009F" w:csb1="00000000"/>
  </w:font>
  <w:font w:name="Gabriola">
    <w:altName w:val="Courier New"/>
    <w:panose1 w:val="04040605051002020D02"/>
    <w:charset w:val="00"/>
    <w:family w:val="auto"/>
    <w:pitch w:val="default"/>
    <w:sig w:usb0="00000000" w:usb1="00000000" w:usb2="00000000" w:usb3="00000000" w:csb0="2000009F" w:csb1="00000000"/>
  </w:font>
  <w:font w:name="Yu Gothic UI Semibold">
    <w:altName w:val="MS UI Gothic"/>
    <w:panose1 w:val="020B0700000000000000"/>
    <w:charset w:val="80"/>
    <w:family w:val="auto"/>
    <w:pitch w:val="default"/>
    <w:sig w:usb0="00000000" w:usb1="00000000" w:usb2="00000016" w:usb3="00000000" w:csb0="2002009F"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Mongolian Baiti">
    <w:altName w:val="Monotype Corsiva"/>
    <w:panose1 w:val="03000500000000000000"/>
    <w:charset w:val="00"/>
    <w:family w:val="auto"/>
    <w:pitch w:val="default"/>
    <w:sig w:usb0="00000000" w:usb1="00000000" w:usb2="00020000" w:usb3="00000000" w:csb0="00000001" w:csb1="00000000"/>
  </w:font>
  <w:font w:name="Lucida Console">
    <w:panose1 w:val="020B0609040504020204"/>
    <w:charset w:val="00"/>
    <w:family w:val="auto"/>
    <w:pitch w:val="default"/>
    <w:sig w:usb0="8000028F" w:usb1="00001800" w:usb2="00000000" w:usb3="00000000" w:csb0="0000001F" w:csb1="D7D70000"/>
  </w:font>
  <w:font w:name="Bookman Old Style">
    <w:panose1 w:val="0205060405050502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Monotype Corsiva">
    <w:panose1 w:val="03010101010201010101"/>
    <w:charset w:val="00"/>
    <w:family w:val="auto"/>
    <w:pitch w:val="default"/>
    <w:sig w:usb0="00000287" w:usb1="00000000" w:usb2="00000000" w:usb3="00000000" w:csb0="2000009F" w:csb1="DFD7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5">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8">
    <w:nsid w:val="5971E776"/>
    <w:multiLevelType w:val="singleLevel"/>
    <w:tmpl w:val="5971E776"/>
    <w:lvl w:ilvl="0" w:tentative="0">
      <w:start w:val="1"/>
      <w:numFmt w:val="chineseCounting"/>
      <w:suff w:val="nothing"/>
      <w:lvlText w:val="（%1）"/>
      <w:lvlJc w:val="left"/>
      <w:pPr>
        <w:ind w:left="0" w:firstLine="420"/>
      </w:pPr>
      <w:rPr>
        <w:rFonts w:hint="eastAsia"/>
      </w:rPr>
    </w:lvl>
  </w:abstractNum>
  <w:abstractNum w:abstractNumId="9">
    <w:nsid w:val="5971EDEF"/>
    <w:multiLevelType w:val="singleLevel"/>
    <w:tmpl w:val="5971EDE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1150B0"/>
    <w:rsid w:val="00172A27"/>
    <w:rsid w:val="002929B4"/>
    <w:rsid w:val="009108DE"/>
    <w:rsid w:val="00B458CF"/>
    <w:rsid w:val="00CD71F9"/>
    <w:rsid w:val="00EF70C3"/>
    <w:rsid w:val="02C20056"/>
    <w:rsid w:val="02C3109F"/>
    <w:rsid w:val="043F605E"/>
    <w:rsid w:val="04453648"/>
    <w:rsid w:val="048C00C1"/>
    <w:rsid w:val="05135512"/>
    <w:rsid w:val="05DB00B9"/>
    <w:rsid w:val="09BB2134"/>
    <w:rsid w:val="0BEA4B24"/>
    <w:rsid w:val="0CA434B9"/>
    <w:rsid w:val="0E4C156E"/>
    <w:rsid w:val="10BD4691"/>
    <w:rsid w:val="11585E8B"/>
    <w:rsid w:val="14B00266"/>
    <w:rsid w:val="15492582"/>
    <w:rsid w:val="164B1CD9"/>
    <w:rsid w:val="1692357E"/>
    <w:rsid w:val="18856564"/>
    <w:rsid w:val="18F44D57"/>
    <w:rsid w:val="19722C30"/>
    <w:rsid w:val="1CFE51B6"/>
    <w:rsid w:val="1D0F35EA"/>
    <w:rsid w:val="1D415527"/>
    <w:rsid w:val="1D6C3068"/>
    <w:rsid w:val="1E7D3B34"/>
    <w:rsid w:val="1F090287"/>
    <w:rsid w:val="1FAF24E2"/>
    <w:rsid w:val="1FD45A1C"/>
    <w:rsid w:val="22A51050"/>
    <w:rsid w:val="23836BB6"/>
    <w:rsid w:val="24806D4C"/>
    <w:rsid w:val="26276167"/>
    <w:rsid w:val="283D43BA"/>
    <w:rsid w:val="28AB0155"/>
    <w:rsid w:val="29B70F08"/>
    <w:rsid w:val="2BA4769A"/>
    <w:rsid w:val="2CD06EF4"/>
    <w:rsid w:val="2D3A2E0F"/>
    <w:rsid w:val="2DAC648F"/>
    <w:rsid w:val="2E48719D"/>
    <w:rsid w:val="2F335194"/>
    <w:rsid w:val="30963758"/>
    <w:rsid w:val="32EF40CE"/>
    <w:rsid w:val="33AE4599"/>
    <w:rsid w:val="34920D5F"/>
    <w:rsid w:val="3542506F"/>
    <w:rsid w:val="35AB7798"/>
    <w:rsid w:val="372974AC"/>
    <w:rsid w:val="37515EC2"/>
    <w:rsid w:val="3949702E"/>
    <w:rsid w:val="3AE32EE1"/>
    <w:rsid w:val="3BE408BA"/>
    <w:rsid w:val="3C7F703B"/>
    <w:rsid w:val="3D70189E"/>
    <w:rsid w:val="3E784D24"/>
    <w:rsid w:val="42271DDB"/>
    <w:rsid w:val="435C269A"/>
    <w:rsid w:val="43910C0D"/>
    <w:rsid w:val="4696792F"/>
    <w:rsid w:val="48B52937"/>
    <w:rsid w:val="48BD3249"/>
    <w:rsid w:val="48DC394C"/>
    <w:rsid w:val="48EE3EF3"/>
    <w:rsid w:val="49E44149"/>
    <w:rsid w:val="4B0B1487"/>
    <w:rsid w:val="4B470739"/>
    <w:rsid w:val="4C1E2F28"/>
    <w:rsid w:val="4CFC29CC"/>
    <w:rsid w:val="4D6E1856"/>
    <w:rsid w:val="4D721B5C"/>
    <w:rsid w:val="4E585BD9"/>
    <w:rsid w:val="502C04C1"/>
    <w:rsid w:val="51DE24AB"/>
    <w:rsid w:val="5610584C"/>
    <w:rsid w:val="5651051D"/>
    <w:rsid w:val="56EC004A"/>
    <w:rsid w:val="57E961A8"/>
    <w:rsid w:val="581E77CF"/>
    <w:rsid w:val="58B06254"/>
    <w:rsid w:val="594B7298"/>
    <w:rsid w:val="5AE51658"/>
    <w:rsid w:val="5AF25131"/>
    <w:rsid w:val="5B543A69"/>
    <w:rsid w:val="5EBD4EFC"/>
    <w:rsid w:val="600176AC"/>
    <w:rsid w:val="606B0CCA"/>
    <w:rsid w:val="60A65856"/>
    <w:rsid w:val="62186164"/>
    <w:rsid w:val="62734410"/>
    <w:rsid w:val="65332BB8"/>
    <w:rsid w:val="66104E19"/>
    <w:rsid w:val="664A46E0"/>
    <w:rsid w:val="66755D81"/>
    <w:rsid w:val="68A121F7"/>
    <w:rsid w:val="68A9241E"/>
    <w:rsid w:val="6B6D695A"/>
    <w:rsid w:val="6D9328D8"/>
    <w:rsid w:val="6FD41D7F"/>
    <w:rsid w:val="72416639"/>
    <w:rsid w:val="72A12B67"/>
    <w:rsid w:val="72FA36E9"/>
    <w:rsid w:val="738C1FE2"/>
    <w:rsid w:val="75531EF6"/>
    <w:rsid w:val="75D0003D"/>
    <w:rsid w:val="764F7877"/>
    <w:rsid w:val="78171E02"/>
    <w:rsid w:val="799655C5"/>
    <w:rsid w:val="7AA141FF"/>
    <w:rsid w:val="7C445B57"/>
    <w:rsid w:val="7D713C10"/>
    <w:rsid w:val="7DCA3F00"/>
    <w:rsid w:val="7F586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15417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2017-09-11T02:04:00Z</cp:lastPrinted>
  <dcterms:modified xsi:type="dcterms:W3CDTF">2017-11-02T01:59:08Z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