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彭李坑水库</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rtlGutter w:val="0"/>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彭李坑水库</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彭李坑水库</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彭李坑水库</w:t>
      </w:r>
      <w:r>
        <w:rPr>
          <w:rFonts w:hint="eastAsia" w:ascii="黑体" w:hAnsi="黑体" w:eastAsia="黑体" w:cs="黑体"/>
          <w:sz w:val="32"/>
          <w:szCs w:val="32"/>
        </w:rPr>
        <w:t>2016年度部门决算情况说明</w:t>
      </w:r>
    </w:p>
    <w:p>
      <w:pPr>
        <w:jc w:val="left"/>
        <w:rPr>
          <w:rFonts w:ascii="黑体" w:hAnsi="黑体" w:eastAsia="黑体" w:cs="黑体"/>
          <w:sz w:val="32"/>
          <w:szCs w:val="32"/>
        </w:rPr>
      </w:pP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rtlGutter w:val="0"/>
          <w:docGrid w:type="lines" w:linePitch="317" w:charSpace="0"/>
        </w:sectPr>
      </w:pPr>
      <w:r>
        <w:rPr>
          <w:rFonts w:hint="eastAsia" w:ascii="黑体" w:hAnsi="黑体" w:eastAsia="黑体" w:cs="黑体"/>
          <w:kern w:val="2"/>
          <w:sz w:val="32"/>
          <w:szCs w:val="32"/>
          <w:lang w:val="en-US" w:eastAsia="zh-CN" w:bidi="ar-SA"/>
        </w:rPr>
        <w:t>第四部分</w:t>
      </w:r>
      <w:r>
        <w:rPr>
          <w:rFonts w:hint="eastAsia" w:ascii="黑体" w:hAnsi="黑体" w:eastAsia="黑体" w:cs="黑体"/>
          <w:sz w:val="32"/>
          <w:szCs w:val="32"/>
        </w:rPr>
        <w:t>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rtlGutter w:val="0"/>
          <w:docGrid w:type="lines" w:linePitch="317" w:charSpace="0"/>
        </w:sectPr>
      </w:pPr>
      <w:r>
        <w:rPr>
          <w:rFonts w:hint="eastAsia" w:ascii="隶书" w:hAnsi="隶书" w:eastAsia="隶书" w:cs="隶书"/>
          <w:sz w:val="48"/>
          <w:szCs w:val="48"/>
        </w:rPr>
        <w:t>第一部分　</w:t>
      </w:r>
      <w:r>
        <w:rPr>
          <w:rFonts w:hint="eastAsia" w:ascii="隶书" w:hAnsi="隶书" w:eastAsia="隶书" w:cs="隶书"/>
          <w:sz w:val="48"/>
          <w:szCs w:val="48"/>
          <w:lang w:eastAsia="zh-CN"/>
        </w:rPr>
        <w:t>彭李坑水库</w:t>
      </w:r>
      <w:r>
        <w:rPr>
          <w:rFonts w:hint="eastAsia" w:ascii="隶书" w:hAnsi="隶书" w:eastAsia="隶书" w:cs="隶书"/>
          <w:sz w:val="48"/>
          <w:szCs w:val="48"/>
        </w:rPr>
        <w:t>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tabs>
          <w:tab w:val="left" w:pos="1317"/>
        </w:tabs>
        <w:adjustRightInd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宋体" w:cs="Courier New"/>
          <w:szCs w:val="32"/>
          <w:lang w:val="en-US" w:eastAsia="zh-CN"/>
        </w:rPr>
        <w:t xml:space="preserve">   </w:t>
      </w:r>
      <w:r>
        <w:rPr>
          <w:rFonts w:hint="eastAsia" w:ascii="仿宋_GB2312" w:hAnsi="宋体" w:cs="Courier New"/>
          <w:szCs w:val="32"/>
          <w:lang w:val="en-US" w:eastAsia="zh-CN"/>
        </w:rPr>
        <w:tab/>
      </w:r>
      <w:r>
        <w:rPr>
          <w:rFonts w:hint="eastAsia" w:ascii="仿宋_GB2312" w:hAnsi="宋体" w:cs="Courier New"/>
          <w:szCs w:val="32"/>
          <w:lang w:val="en-US" w:eastAsia="zh-CN"/>
        </w:rPr>
        <w:t xml:space="preserve">          </w:t>
      </w: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已建水利工程正常运行提供管理保障</w:t>
      </w:r>
    </w:p>
    <w:p>
      <w:pPr>
        <w:adjustRightInd w:val="0"/>
        <w:snapToGrid w:val="0"/>
        <w:spacing w:line="360" w:lineRule="auto"/>
        <w:ind w:firstLine="2400" w:firstLineChars="75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已建水利工程日常维护和机械运行管理、运行安全监测。</w:t>
      </w:r>
    </w:p>
    <w:p>
      <w:pPr>
        <w:spacing w:line="360" w:lineRule="auto"/>
        <w:ind w:firstLine="2240" w:firstLineChars="700"/>
        <w:jc w:val="left"/>
        <w:rPr>
          <w:rFonts w:ascii="楷体_GB2312" w:hAnsi="楷体_GB2312" w:eastAsia="楷体_GB2312" w:cs="楷体_GB2312"/>
          <w:sz w:val="32"/>
          <w:szCs w:val="32"/>
        </w:rPr>
      </w:pPr>
      <w:r>
        <w:rPr>
          <w:rFonts w:hint="eastAsia" w:ascii="黑体" w:hAnsi="黑体" w:eastAsia="黑体" w:cs="黑体"/>
          <w:sz w:val="32"/>
          <w:szCs w:val="32"/>
          <w:lang w:val="en-US" w:eastAsia="zh-CN"/>
        </w:rPr>
        <w:t xml:space="preserve"> </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tabs>
          <w:tab w:val="left" w:pos="2232"/>
        </w:tabs>
        <w:jc w:val="left"/>
        <w:rPr>
          <w:rFonts w:ascii="楷体_GB2312" w:hAnsi="楷体_GB2312" w:eastAsia="楷体_GB2312" w:cs="楷体_GB2312"/>
          <w:kern w:val="2"/>
          <w:sz w:val="32"/>
          <w:szCs w:val="32"/>
          <w:lang w:val="en-US" w:eastAsia="zh-CN" w:bidi="ar-SA"/>
        </w:rPr>
        <w:sectPr>
          <w:pgSz w:w="11906" w:h="16838"/>
          <w:pgMar w:top="1440" w:right="1531" w:bottom="1440" w:left="1587" w:header="850" w:footer="992" w:gutter="0"/>
          <w:pgNumType w:fmt="numberInDash"/>
          <w:cols w:space="0" w:num="1"/>
          <w:rtlGutter w:val="0"/>
          <w:docGrid w:type="lines" w:linePitch="317" w:charSpace="0"/>
        </w:sectPr>
      </w:pPr>
      <w:r>
        <w:rPr>
          <w:rFonts w:hint="eastAsia" w:ascii="黑体" w:hAnsi="黑体" w:eastAsia="黑体"/>
          <w:lang w:val="en-US" w:eastAsia="zh-CN"/>
        </w:rPr>
        <w:t xml:space="preserve"> </w:t>
      </w:r>
      <w:r>
        <w:rPr>
          <w:rFonts w:hint="eastAsia" w:ascii="楷体_GB2312" w:hAnsi="楷体_GB2312" w:eastAsia="楷体_GB2312" w:cs="楷体_GB2312"/>
          <w:kern w:val="2"/>
          <w:sz w:val="32"/>
          <w:szCs w:val="32"/>
          <w:lang w:val="en-US" w:eastAsia="zh-CN" w:bidi="ar-SA"/>
        </w:rPr>
        <w:tab/>
      </w:r>
      <w:r>
        <w:rPr>
          <w:rFonts w:hint="eastAsia" w:ascii="楷体_GB2312" w:hAnsi="楷体_GB2312" w:eastAsia="楷体_GB2312" w:cs="楷体_GB2312"/>
          <w:kern w:val="2"/>
          <w:sz w:val="32"/>
          <w:szCs w:val="32"/>
          <w:lang w:val="en-US" w:eastAsia="zh-CN" w:bidi="ar-SA"/>
        </w:rPr>
        <w:t>彭李坑水库部门决算为本单位决算</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lang w:eastAsia="zh-CN"/>
        </w:rPr>
        <w:t>彭李坑水库</w:t>
      </w:r>
      <w:r>
        <w:rPr>
          <w:rFonts w:hint="eastAsia" w:ascii="隶书" w:hAnsi="隶书" w:eastAsia="隶书" w:cs="隶书"/>
          <w:sz w:val="48"/>
          <w:szCs w:val="48"/>
        </w:rPr>
        <w:t>2016年度部门决算表</w:t>
      </w: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21"/>
                <w:szCs w:val="21"/>
                <w:u w:val="none"/>
                <w:lang w:eastAsia="zh-CN"/>
              </w:rPr>
              <w:t>卧龙区彭李坑水库</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195.46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201.46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191.17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44.57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246.03</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37" w:type="dxa"/>
            <w:gridSpan w:val="2"/>
            <w:shd w:val="clear" w:color="auto" w:fill="auto"/>
            <w:vAlign w:val="center"/>
          </w:tcPr>
          <w:p>
            <w:pPr>
              <w:rPr>
                <w:rFonts w:hint="eastAsia" w:ascii="宋体" w:hAnsi="宋体" w:eastAsia="宋体" w:cs="宋体"/>
                <w:i w:val="0"/>
                <w:color w:val="000000"/>
                <w:sz w:val="16"/>
                <w:szCs w:val="16"/>
                <w:u w:val="none"/>
              </w:rPr>
            </w:pPr>
          </w:p>
        </w:tc>
        <w:tc>
          <w:tcPr>
            <w:tcW w:w="1036"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37" w:type="dxa"/>
            <w:gridSpan w:val="2"/>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sz w:val="21"/>
                <w:szCs w:val="21"/>
                <w:u w:val="none"/>
                <w:lang w:eastAsia="zh-CN"/>
              </w:rPr>
              <w:t>卧龙区彭李坑水库</w:t>
            </w:r>
          </w:p>
        </w:tc>
        <w:tc>
          <w:tcPr>
            <w:tcW w:w="1036"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201.46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195.46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208</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20805</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行政事业单位离退休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2080502</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 xml:space="preserve">  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169.10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163.10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21303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水利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169.10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163.10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2130301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129.60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123.60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2130306</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 xml:space="preserve">  水利工程运行与维护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39.50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39.50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rtlGutter w:val="0"/>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卧龙区彭李坑水库</w:t>
            </w: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191.17</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156.67</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34.50</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158.81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158.81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34.50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rtlGutter w:val="0"/>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1359"/>
        <w:gridCol w:w="1300"/>
      </w:tblGrid>
      <w:tr>
        <w:tblPrEx>
          <w:tblLayout w:type="fixed"/>
          <w:tblCellMar>
            <w:top w:w="15" w:type="dxa"/>
            <w:left w:w="15" w:type="dxa"/>
            <w:bottom w:w="15" w:type="dxa"/>
            <w:right w:w="15" w:type="dxa"/>
          </w:tblCellMar>
        </w:tblPrEx>
        <w:trPr>
          <w:trHeight w:val="169" w:hRule="atLeast"/>
        </w:trPr>
        <w:tc>
          <w:tcPr>
            <w:tcW w:w="10425" w:type="dxa"/>
            <w:gridSpan w:val="13"/>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卧龙区彭李坑水库</w:t>
            </w: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8"/>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195.46</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155.00</w:t>
            </w: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195.46</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187.36</w:t>
            </w:r>
            <w:r>
              <w:rPr>
                <w:rFonts w:hint="eastAsia" w:ascii="宋体" w:hAnsi="宋体" w:eastAsia="宋体" w:cs="宋体"/>
                <w:b/>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right" w:pos="1329"/>
              </w:tabs>
              <w:jc w:val="both"/>
              <w:textAlignment w:val="center"/>
              <w:rPr>
                <w:rFonts w:hint="eastAsia" w:ascii="宋体" w:hAnsi="宋体" w:eastAsia="宋体" w:cs="宋体"/>
                <w:b/>
                <w:color w:val="000000"/>
                <w:sz w:val="16"/>
                <w:szCs w:val="16"/>
                <w:lang w:val="en-US" w:eastAsia="zh-CN"/>
              </w:rPr>
            </w:pPr>
            <w:r>
              <w:rPr>
                <w:rFonts w:hint="eastAsia" w:ascii="宋体" w:hAnsi="宋体" w:eastAsia="宋体" w:cs="宋体"/>
                <w:b/>
                <w:color w:val="000000"/>
                <w:sz w:val="16"/>
                <w:szCs w:val="16"/>
                <w:lang w:val="en-US" w:eastAsia="zh-CN"/>
              </w:rPr>
              <w:t xml:space="preserve"> </w:t>
            </w:r>
            <w:r>
              <w:rPr>
                <w:rFonts w:hint="eastAsia" w:ascii="宋体" w:hAnsi="宋体" w:eastAsia="宋体" w:cs="宋体"/>
                <w:b/>
                <w:color w:val="000000"/>
                <w:sz w:val="16"/>
                <w:szCs w:val="16"/>
                <w:lang w:val="en-US" w:eastAsia="zh-CN"/>
              </w:rPr>
              <w:tab/>
            </w:r>
            <w:r>
              <w:rPr>
                <w:rFonts w:hint="eastAsia" w:ascii="宋体" w:hAnsi="宋体" w:eastAsia="宋体" w:cs="宋体"/>
                <w:b/>
                <w:color w:val="000000"/>
                <w:sz w:val="16"/>
                <w:szCs w:val="16"/>
                <w:lang w:val="en-US" w:eastAsia="zh-CN"/>
              </w:rPr>
              <w:t>187.36</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44.57</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52.67</w:t>
            </w: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52.67</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240.03</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24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240.03</w:t>
            </w:r>
            <w:r>
              <w:rPr>
                <w:rFonts w:hint="eastAsia" w:ascii="宋体" w:hAnsi="宋体" w:eastAsia="宋体" w:cs="宋体"/>
                <w:b/>
                <w:color w:val="000000"/>
                <w:kern w:val="0"/>
                <w:sz w:val="16"/>
                <w:szCs w:val="16"/>
              </w:rPr>
              <w:t xml:space="preserve"> </w:t>
            </w:r>
          </w:p>
        </w:tc>
        <w:tc>
          <w:tcPr>
            <w:tcW w:w="135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240.03</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3"/>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卧龙区彭李坑水库</w:t>
            </w: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187.36</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152.86</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34.50</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eastAsia="zh-CN"/>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155.00</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120.50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水利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155.00</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120.50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120.50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120.50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2130306</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水利工程运行与维护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34.50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34.50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卧龙区彭李坑水库</w:t>
            </w: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115.21</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5.29</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59.85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0.86</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3.35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5.75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46.26</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2.07</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0.17</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0.12</w:t>
            </w: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16.10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0.05</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0.08</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0.12</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1.68</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0.04</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11.16</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0.60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0.50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0.68</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keepNext w:val="0"/>
              <w:keepLines w:val="0"/>
              <w:widowControl/>
              <w:suppressLineNumbers w:val="0"/>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sz w:val="21"/>
                <w:szCs w:val="21"/>
                <w:u w:val="none"/>
                <w:lang w:eastAsia="zh-CN"/>
              </w:rPr>
              <w:t>卧龙区彭李坑水库</w:t>
            </w: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1.50</w:t>
            </w: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1.50</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0.12</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591"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sz w:val="21"/>
                <w:szCs w:val="21"/>
                <w:u w:val="none"/>
                <w:lang w:eastAsia="zh-CN"/>
              </w:rPr>
              <w:t>卧龙区彭李坑水库</w:t>
            </w: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208</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eastAsia="zh-CN"/>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行政事业单位离退休</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2080502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事业单位离退休</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农林水支出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水利</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i w:val="0"/>
                <w:color w:val="000000"/>
                <w:sz w:val="16"/>
                <w:szCs w:val="16"/>
                <w:u w:val="none"/>
                <w:lang w:val="en-US" w:eastAsia="zh-CN"/>
              </w:rPr>
              <w:t>2130306</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i w:val="0"/>
                <w:color w:val="000000"/>
                <w:sz w:val="16"/>
                <w:szCs w:val="16"/>
                <w:u w:val="none"/>
                <w:lang w:val="en-US" w:eastAsia="zh-CN"/>
              </w:rPr>
              <w:t xml:space="preserve">  水利工程运行与维护</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0</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w:t>
            </w:r>
            <w:r>
              <w:rPr>
                <w:rFonts w:hint="eastAsia" w:ascii="宋体" w:hAnsi="宋体" w:eastAsia="宋体" w:cs="宋体"/>
                <w:color w:val="000000"/>
                <w:kern w:val="0"/>
                <w:sz w:val="16"/>
                <w:szCs w:val="16"/>
                <w:lang w:eastAsia="zh-CN"/>
              </w:rPr>
              <w:t>本</w:t>
            </w:r>
            <w:r>
              <w:rPr>
                <w:rFonts w:hint="eastAsia" w:ascii="宋体" w:hAnsi="宋体" w:eastAsia="宋体" w:cs="宋体"/>
                <w:color w:val="000000"/>
                <w:kern w:val="0"/>
                <w:sz w:val="16"/>
                <w:szCs w:val="16"/>
              </w:rPr>
              <w:t>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kern w:val="0"/>
                <w:sz w:val="20"/>
                <w:szCs w:val="20"/>
                <w:lang w:eastAsia="zh-CN"/>
                <w14:textFill>
                  <w14:solidFill>
                    <w14:schemeClr w14:val="tx1"/>
                  </w14:solidFill>
                </w14:textFill>
              </w:rPr>
              <w:t>彭李坑水库</w:t>
            </w:r>
            <w:r>
              <w:rPr>
                <w:rFonts w:hint="eastAsia" w:ascii="宋体" w:hAnsi="宋体" w:eastAsia="宋体" w:cs="宋体"/>
                <w:b/>
                <w:color w:val="000000" w:themeColor="text1"/>
                <w:kern w:val="0"/>
                <w:sz w:val="20"/>
                <w:szCs w:val="20"/>
                <w14:textFill>
                  <w14:solidFill>
                    <w14:schemeClr w14:val="tx1"/>
                  </w14:solidFill>
                </w14:textFill>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lang w:eastAsia="zh-CN"/>
        </w:rPr>
        <w:t>彭李坑水库</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rPr>
        <w:t>2016年度部门决算情况说明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rPr>
          <w:rFonts w:ascii="仿宋_GB2312" w:hAnsi="宋体" w:cs="Courier New"/>
          <w:color w:val="7F7F7F" w:themeColor="background1" w:themeShade="80"/>
          <w:sz w:val="32"/>
          <w:szCs w:val="32"/>
        </w:rPr>
      </w:pP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201.46</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191.17</w:t>
      </w:r>
      <w:r>
        <w:rPr>
          <w:rFonts w:hint="eastAsia" w:ascii="仿宋_GB2312" w:hAnsi="宋体" w:eastAsia="仿宋_GB2312" w:cs="Courier New"/>
          <w:sz w:val="32"/>
          <w:szCs w:val="32"/>
        </w:rPr>
        <w:t>万元，与2015年相比，收</w:t>
      </w:r>
      <w:r>
        <w:rPr>
          <w:rFonts w:hint="eastAsia" w:ascii="仿宋_GB2312" w:hAnsi="宋体" w:eastAsia="仿宋_GB2312" w:cs="Courier New"/>
          <w:sz w:val="32"/>
          <w:szCs w:val="32"/>
          <w:lang w:eastAsia="zh-CN"/>
        </w:rPr>
        <w:t>入增加</w:t>
      </w:r>
      <w:r>
        <w:rPr>
          <w:rFonts w:hint="eastAsia" w:ascii="仿宋_GB2312" w:hAnsi="宋体" w:eastAsia="仿宋_GB2312" w:cs="Courier New"/>
          <w:sz w:val="32"/>
          <w:szCs w:val="32"/>
          <w:lang w:val="en-US" w:eastAsia="zh-CN"/>
        </w:rPr>
        <w:t>4.39</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增长</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仿宋_GB2312" w:eastAsia="仿宋_GB2312" w:cs="仿宋_GB2312"/>
          <w:color w:val="7F7F7F" w:themeColor="background1" w:themeShade="80"/>
          <w:sz w:val="32"/>
          <w:szCs w:val="32"/>
        </w:rPr>
        <w:t xml:space="preserve">支出增加 </w:t>
      </w:r>
      <w:r>
        <w:rPr>
          <w:rFonts w:hint="eastAsia" w:ascii="仿宋_GB2312" w:hAnsi="仿宋_GB2312" w:eastAsia="仿宋_GB2312" w:cs="仿宋_GB2312"/>
          <w:color w:val="7F7F7F" w:themeColor="background1" w:themeShade="80"/>
          <w:sz w:val="32"/>
          <w:szCs w:val="32"/>
          <w:lang w:val="en-US" w:eastAsia="zh-CN"/>
        </w:rPr>
        <w:t>42.81</w:t>
      </w:r>
      <w:r>
        <w:rPr>
          <w:rFonts w:hint="eastAsia" w:ascii="仿宋_GB2312" w:hAnsi="仿宋_GB2312" w:eastAsia="仿宋_GB2312" w:cs="仿宋_GB2312"/>
          <w:color w:val="7F7F7F" w:themeColor="background1" w:themeShade="80"/>
          <w:sz w:val="32"/>
          <w:szCs w:val="32"/>
        </w:rPr>
        <w:t>万元，增长 22 %。主要原因：项目支出比201</w:t>
      </w:r>
      <w:r>
        <w:rPr>
          <w:rFonts w:hint="eastAsia" w:ascii="仿宋_GB2312" w:hAnsi="仿宋_GB2312" w:eastAsia="仿宋_GB2312" w:cs="仿宋_GB2312"/>
          <w:color w:val="7F7F7F" w:themeColor="background1" w:themeShade="80"/>
          <w:sz w:val="32"/>
          <w:szCs w:val="32"/>
          <w:lang w:val="en-US" w:eastAsia="zh-CN"/>
        </w:rPr>
        <w:t>5</w:t>
      </w:r>
      <w:r>
        <w:rPr>
          <w:rFonts w:hint="eastAsia" w:ascii="仿宋_GB2312" w:hAnsi="仿宋_GB2312" w:eastAsia="仿宋_GB2312" w:cs="仿宋_GB2312"/>
          <w:color w:val="7F7F7F" w:themeColor="background1" w:themeShade="80"/>
          <w:sz w:val="32"/>
          <w:szCs w:val="32"/>
        </w:rPr>
        <w:t>年增加。</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hint="eastAsia" w:ascii="宋体" w:hAnsi="宋体" w:eastAsia="宋体" w:cs="宋体"/>
                <w:i w:val="0"/>
                <w:color w:val="000000"/>
                <w:sz w:val="16"/>
                <w:szCs w:val="16"/>
                <w:u w:val="none"/>
              </w:rPr>
            </w:pP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195.46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201.46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191.17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44.57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246.03</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5" w:hRule="atLeast"/>
        </w:trPr>
        <w:tc>
          <w:tcPr>
            <w:tcW w:w="1035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201.46</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195.46</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97</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6.00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3</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图2：收入决算</w:t>
      </w: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37" w:type="dxa"/>
            <w:gridSpan w:val="2"/>
            <w:shd w:val="clear" w:color="auto" w:fill="auto"/>
            <w:vAlign w:val="center"/>
          </w:tcPr>
          <w:p>
            <w:pPr>
              <w:rPr>
                <w:rFonts w:hint="eastAsia" w:ascii="宋体" w:hAnsi="宋体" w:eastAsia="宋体" w:cs="宋体"/>
                <w:i w:val="0"/>
                <w:color w:val="000000"/>
                <w:sz w:val="16"/>
                <w:szCs w:val="16"/>
                <w:u w:val="none"/>
              </w:rPr>
            </w:pPr>
          </w:p>
        </w:tc>
        <w:tc>
          <w:tcPr>
            <w:tcW w:w="1036"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37" w:type="dxa"/>
            <w:gridSpan w:val="2"/>
            <w:shd w:val="clear" w:color="auto" w:fill="auto"/>
            <w:vAlign w:val="center"/>
          </w:tcPr>
          <w:p>
            <w:pPr>
              <w:rPr>
                <w:rFonts w:hint="eastAsia" w:ascii="宋体" w:hAnsi="宋体" w:eastAsia="宋体" w:cs="宋体"/>
                <w:i w:val="0"/>
                <w:color w:val="000000"/>
                <w:sz w:val="16"/>
                <w:szCs w:val="16"/>
                <w:u w:val="none"/>
              </w:rPr>
            </w:pPr>
          </w:p>
        </w:tc>
        <w:tc>
          <w:tcPr>
            <w:tcW w:w="1036"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201.46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195.46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208</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20805</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行政事业单位离退休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2080502</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 xml:space="preserve">  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32.36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169.10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163.10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21303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水利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169.10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163.10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2130301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129.60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123.60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2130306</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 xml:space="preserve">  水利工程运行与维护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39.50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39.50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w:t>
      </w:r>
      <w:r>
        <w:rPr>
          <w:rFonts w:hint="eastAsia" w:ascii="仿宋_GB2312" w:hAnsi="宋体" w:eastAsia="仿宋_GB2312" w:cs="Courier New"/>
          <w:sz w:val="32"/>
          <w:szCs w:val="32"/>
          <w:lang w:val="en-US" w:eastAsia="zh-CN"/>
        </w:rPr>
        <w:t>191.17</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156.67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82</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34.50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18</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图3：支出决算</w:t>
      </w: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191.17</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156.67</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34.50</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158.81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158.81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124.31</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34.50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rtlGutter w:val="0"/>
          <w:docGrid w:type="lines" w:linePitch="318" w:charSpace="0"/>
        </w:sect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宋体" w:eastAsia="仿宋_GB2312" w:cs="Courier New"/>
          <w:sz w:val="32"/>
          <w:szCs w:val="32"/>
        </w:rPr>
        <w:t>2016年财政拨款收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总决算</w:t>
      </w:r>
      <w:r>
        <w:rPr>
          <w:rFonts w:hint="eastAsia" w:ascii="仿宋_GB2312" w:hAnsi="宋体" w:eastAsia="仿宋_GB2312" w:cs="Courier New"/>
          <w:sz w:val="32"/>
          <w:szCs w:val="32"/>
          <w:lang w:val="en-US" w:eastAsia="zh-CN"/>
        </w:rPr>
        <w:t>195.46</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财政拨款</w:t>
      </w:r>
      <w:r>
        <w:rPr>
          <w:rFonts w:hint="eastAsia" w:ascii="仿宋_GB2312" w:hAnsi="宋体" w:eastAsia="仿宋_GB2312" w:cs="Courier New"/>
          <w:sz w:val="32"/>
          <w:szCs w:val="32"/>
          <w:lang w:eastAsia="zh-CN"/>
        </w:rPr>
        <w:t>支出总决算为</w:t>
      </w:r>
      <w:r>
        <w:rPr>
          <w:rFonts w:hint="eastAsia" w:ascii="仿宋_GB2312" w:hAnsi="宋体" w:eastAsia="仿宋_GB2312" w:cs="Courier New"/>
          <w:sz w:val="32"/>
          <w:szCs w:val="32"/>
          <w:lang w:val="en-US" w:eastAsia="zh-CN"/>
        </w:rPr>
        <w:t>187.35万元</w:t>
      </w:r>
      <w:r>
        <w:rPr>
          <w:rFonts w:hint="eastAsia" w:ascii="仿宋_GB2312" w:hAnsi="宋体" w:eastAsia="仿宋_GB2312" w:cs="Courier New"/>
          <w:sz w:val="32"/>
          <w:szCs w:val="32"/>
        </w:rPr>
        <w:t>。与2015年相比，财政拨款收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支</w:t>
      </w:r>
      <w:r>
        <w:rPr>
          <w:rFonts w:hint="eastAsia" w:ascii="仿宋_GB2312" w:hAnsi="宋体" w:eastAsia="仿宋_GB2312" w:cs="Courier New"/>
          <w:sz w:val="32"/>
          <w:szCs w:val="32"/>
          <w:lang w:eastAsia="zh-CN"/>
        </w:rPr>
        <w:t>出</w:t>
      </w:r>
      <w:r>
        <w:rPr>
          <w:rFonts w:hint="eastAsia" w:ascii="仿宋_GB2312" w:hAnsi="宋体" w:eastAsia="仿宋_GB2312" w:cs="Courier New"/>
          <w:sz w:val="32"/>
          <w:szCs w:val="32"/>
        </w:rPr>
        <w:t>总计各增加</w:t>
      </w:r>
      <w:r>
        <w:rPr>
          <w:rFonts w:hint="eastAsia" w:ascii="仿宋_GB2312" w:hAnsi="宋体" w:eastAsia="仿宋_GB2312" w:cs="Courier New"/>
          <w:sz w:val="32"/>
          <w:szCs w:val="32"/>
          <w:lang w:val="en-US" w:eastAsia="zh-CN"/>
        </w:rPr>
        <w:t>9.39</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和</w:t>
      </w:r>
      <w:r>
        <w:rPr>
          <w:rFonts w:hint="eastAsia" w:ascii="仿宋_GB2312" w:hAnsi="宋体" w:eastAsia="仿宋_GB2312" w:cs="Courier New"/>
          <w:sz w:val="32"/>
          <w:szCs w:val="32"/>
          <w:lang w:val="en-US" w:eastAsia="zh-CN"/>
        </w:rPr>
        <w:t>45.85万元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分别</w:t>
      </w:r>
      <w:r>
        <w:rPr>
          <w:rFonts w:hint="eastAsia" w:ascii="仿宋_GB2312" w:hAnsi="宋体" w:eastAsia="仿宋_GB2312" w:cs="Courier New"/>
          <w:sz w:val="32"/>
          <w:szCs w:val="32"/>
        </w:rPr>
        <w:t>增长</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和</w:t>
      </w:r>
      <w:r>
        <w:rPr>
          <w:rFonts w:hint="eastAsia" w:ascii="仿宋_GB2312" w:hAnsi="宋体" w:eastAsia="仿宋_GB2312" w:cs="Courier New"/>
          <w:sz w:val="32"/>
          <w:szCs w:val="32"/>
          <w:lang w:val="en-US" w:eastAsia="zh-CN"/>
        </w:rPr>
        <w:t>24</w:t>
      </w:r>
      <w:r>
        <w:rPr>
          <w:rFonts w:hint="eastAsia" w:ascii="仿宋_GB2312" w:hAnsi="宋体" w:eastAsia="仿宋_GB2312" w:cs="Courier New"/>
          <w:sz w:val="32"/>
          <w:szCs w:val="32"/>
        </w:rPr>
        <w:t>%。</w:t>
      </w:r>
      <w:r>
        <w:rPr>
          <w:rFonts w:hint="eastAsia" w:ascii="仿宋_GB2312" w:hAnsi="仿宋_GB2312" w:eastAsia="仿宋_GB2312" w:cs="仿宋_GB2312"/>
          <w:sz w:val="32"/>
          <w:szCs w:val="32"/>
        </w:rPr>
        <w:t>主要原因：20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年度工资及水库维修养护等项目收入及支出同时增加。</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1359"/>
        <w:gridCol w:w="1300"/>
      </w:tblGrid>
      <w:tr>
        <w:tblPrEx>
          <w:tblLayout w:type="fixed"/>
          <w:tblCellMar>
            <w:top w:w="15" w:type="dxa"/>
            <w:left w:w="15" w:type="dxa"/>
            <w:bottom w:w="15" w:type="dxa"/>
            <w:right w:w="15" w:type="dxa"/>
          </w:tblCellMar>
        </w:tblPrEx>
        <w:trPr>
          <w:trHeight w:val="169" w:hRule="atLeast"/>
        </w:trPr>
        <w:tc>
          <w:tcPr>
            <w:tcW w:w="10425" w:type="dxa"/>
            <w:gridSpan w:val="13"/>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8"/>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195.46</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155.00</w:t>
            </w: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195.46</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187.36</w:t>
            </w:r>
            <w:r>
              <w:rPr>
                <w:rFonts w:hint="eastAsia" w:ascii="宋体" w:hAnsi="宋体" w:eastAsia="宋体" w:cs="宋体"/>
                <w:b/>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right" w:pos="1329"/>
              </w:tabs>
              <w:jc w:val="both"/>
              <w:textAlignment w:val="center"/>
              <w:rPr>
                <w:rFonts w:hint="eastAsia" w:ascii="宋体" w:hAnsi="宋体" w:eastAsia="宋体" w:cs="宋体"/>
                <w:b/>
                <w:color w:val="000000"/>
                <w:sz w:val="16"/>
                <w:szCs w:val="16"/>
                <w:lang w:val="en-US" w:eastAsia="zh-CN"/>
              </w:rPr>
            </w:pPr>
            <w:r>
              <w:rPr>
                <w:rFonts w:hint="eastAsia" w:ascii="宋体" w:hAnsi="宋体" w:eastAsia="宋体" w:cs="宋体"/>
                <w:b/>
                <w:color w:val="000000"/>
                <w:sz w:val="16"/>
                <w:szCs w:val="16"/>
                <w:lang w:val="en-US" w:eastAsia="zh-CN"/>
              </w:rPr>
              <w:t xml:space="preserve"> </w:t>
            </w:r>
            <w:r>
              <w:rPr>
                <w:rFonts w:hint="eastAsia" w:ascii="宋体" w:hAnsi="宋体" w:eastAsia="宋体" w:cs="宋体"/>
                <w:b/>
                <w:color w:val="000000"/>
                <w:sz w:val="16"/>
                <w:szCs w:val="16"/>
                <w:lang w:val="en-US" w:eastAsia="zh-CN"/>
              </w:rPr>
              <w:tab/>
            </w:r>
            <w:r>
              <w:rPr>
                <w:rFonts w:hint="eastAsia" w:ascii="宋体" w:hAnsi="宋体" w:eastAsia="宋体" w:cs="宋体"/>
                <w:b/>
                <w:color w:val="000000"/>
                <w:sz w:val="16"/>
                <w:szCs w:val="16"/>
                <w:lang w:val="en-US" w:eastAsia="zh-CN"/>
              </w:rPr>
              <w:t>187.36</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44.57</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52.67</w:t>
            </w: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52.67</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240.03</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24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240.03</w:t>
            </w:r>
            <w:r>
              <w:rPr>
                <w:rFonts w:hint="eastAsia" w:ascii="宋体" w:hAnsi="宋体" w:eastAsia="宋体" w:cs="宋体"/>
                <w:b/>
                <w:color w:val="000000"/>
                <w:kern w:val="0"/>
                <w:sz w:val="16"/>
                <w:szCs w:val="16"/>
              </w:rPr>
              <w:t xml:space="preserve"> </w:t>
            </w:r>
          </w:p>
        </w:tc>
        <w:tc>
          <w:tcPr>
            <w:tcW w:w="135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240.03</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3"/>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187.35</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98</w:t>
      </w:r>
      <w:r>
        <w:rPr>
          <w:rFonts w:hint="eastAsia" w:ascii="仿宋_GB2312" w:hAnsi="宋体" w:eastAsia="仿宋_GB2312" w:cs="Courier New"/>
          <w:sz w:val="32"/>
          <w:szCs w:val="32"/>
        </w:rPr>
        <w:t>%。与2015年相比，一般公共预算财政拨款支出增加</w:t>
      </w:r>
      <w:r>
        <w:rPr>
          <w:rFonts w:hint="eastAsia" w:ascii="仿宋_GB2312" w:hAnsi="宋体" w:eastAsia="仿宋_GB2312" w:cs="Courier New"/>
          <w:sz w:val="32"/>
          <w:szCs w:val="32"/>
          <w:lang w:val="en-US" w:eastAsia="zh-CN"/>
        </w:rPr>
        <w:t>45.85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24</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187.36</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152.86</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34.50</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val="en-US" w:eastAsia="zh-CN"/>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6"/>
                <w:szCs w:val="16"/>
                <w:u w:val="none"/>
                <w:lang w:eastAsia="zh-CN"/>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2080502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32.36</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155.00</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120.50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eastAsia="zh-CN"/>
              </w:rPr>
              <w:t>水利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155.00</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120.50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120.50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120.50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2130306</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sz w:val="16"/>
                <w:szCs w:val="16"/>
                <w:u w:val="none"/>
                <w:lang w:val="en-US" w:eastAsia="zh-CN"/>
              </w:rPr>
              <w:t xml:space="preserve">  水利工程运行与维护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34.50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34.50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187.36</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152.86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82</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图6：财政拨款支出决算结构</w:t>
      </w:r>
    </w:p>
    <w:p>
      <w:pPr>
        <w:adjustRightInd w:val="0"/>
        <w:snapToGrid w:val="0"/>
        <w:spacing w:line="360" w:lineRule="auto"/>
        <w:ind w:firstLine="640" w:firstLineChars="200"/>
        <w:rPr>
          <w:rFonts w:ascii="仿宋_GB2312" w:hAnsi="宋体" w:eastAsia="仿宋_GB2312" w:cs="Courier New"/>
          <w:sz w:val="32"/>
          <w:szCs w:val="32"/>
        </w:r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115.21</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5.29</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59.85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0.86</w:t>
            </w: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3.35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5.75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46.26</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2.07</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0.17</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32.36</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0.12</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16.10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0.05</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3.42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0.08</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0.12</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1.68</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0.04</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11.16</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0.60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0.50</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0.68</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139.70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187.36</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134</w:t>
      </w:r>
      <w:r>
        <w:rPr>
          <w:rFonts w:hint="eastAsia" w:ascii="仿宋_GB2312" w:hAnsi="宋体" w:eastAsia="仿宋_GB2312" w:cs="Courier New"/>
          <w:sz w:val="32"/>
          <w:szCs w:val="32"/>
        </w:rPr>
        <w:t>%。决算数大于预算数的原因</w:t>
      </w:r>
      <w:r>
        <w:rPr>
          <w:rFonts w:hint="eastAsia" w:ascii="仿宋_GB2312" w:hAnsi="宋体" w:eastAsia="仿宋_GB2312" w:cs="Courier New"/>
          <w:sz w:val="32"/>
          <w:szCs w:val="32"/>
          <w:lang w:eastAsia="zh-CN"/>
        </w:rPr>
        <w:t>是</w:t>
      </w:r>
      <w:r>
        <w:rPr>
          <w:rFonts w:hint="eastAsia" w:ascii="仿宋_GB2312" w:hAnsi="宋体" w:eastAsia="仿宋_GB2312" w:cs="Courier New"/>
          <w:sz w:val="32"/>
          <w:szCs w:val="32"/>
        </w:rPr>
        <w:t>：</w:t>
      </w:r>
    </w:p>
    <w:p>
      <w:pPr>
        <w:numPr>
          <w:ilvl w:val="0"/>
          <w:numId w:val="6"/>
        </w:num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139.70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 xml:space="preserve"> 152.86</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109</w:t>
      </w:r>
      <w:r>
        <w:rPr>
          <w:rFonts w:hint="eastAsia" w:ascii="仿宋_GB2312" w:hAnsi="宋体" w:eastAsia="仿宋_GB2312" w:cs="Courier New"/>
          <w:sz w:val="32"/>
          <w:szCs w:val="32"/>
        </w:rPr>
        <w:t>%。决算数大于预算数的原因是</w:t>
      </w:r>
      <w:r>
        <w:rPr>
          <w:rFonts w:hint="eastAsia" w:ascii="仿宋_GB2312" w:hAnsi="宋体" w:eastAsia="仿宋_GB2312" w:cs="Courier New"/>
          <w:sz w:val="32"/>
          <w:szCs w:val="32"/>
          <w:lang w:eastAsia="zh-CN"/>
        </w:rPr>
        <w:t>工资增加</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w:t>
      </w:r>
      <w:r>
        <w:rPr>
          <w:rFonts w:hint="eastAsia" w:ascii="仿宋_GB2312" w:hAnsi="宋体" w:eastAsia="仿宋_GB2312" w:cs="Courier New"/>
          <w:sz w:val="32"/>
          <w:szCs w:val="32"/>
          <w:lang w:val="en-US" w:eastAsia="zh-CN"/>
        </w:rPr>
        <w:t>152.86</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147.57</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w:t>
      </w:r>
      <w:r>
        <w:rPr>
          <w:rFonts w:hint="eastAsia" w:ascii="仿宋_GB2312" w:hAnsi="宋体" w:eastAsia="仿宋_GB2312" w:cs="Courier New"/>
          <w:sz w:val="32"/>
          <w:szCs w:val="32"/>
          <w:lang w:eastAsia="zh-CN"/>
        </w:rPr>
        <w:t>奖金</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其他社会保障费</w:t>
      </w:r>
      <w:r>
        <w:rPr>
          <w:rFonts w:hint="eastAsia" w:ascii="仿宋_GB2312" w:hAnsi="宋体" w:eastAsia="仿宋_GB2312" w:cs="Courier New"/>
          <w:sz w:val="32"/>
          <w:szCs w:val="32"/>
        </w:rPr>
        <w:t>、绩效工资、</w:t>
      </w:r>
      <w:r>
        <w:rPr>
          <w:rFonts w:hint="eastAsia" w:ascii="仿宋_GB2312" w:hAnsi="宋体" w:eastAsia="仿宋_GB2312" w:cs="Courier New"/>
          <w:sz w:val="32"/>
          <w:szCs w:val="32"/>
          <w:lang w:eastAsia="zh-CN"/>
        </w:rPr>
        <w:t>退休费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生活补助费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医疗费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奖励金</w:t>
      </w:r>
      <w:r>
        <w:rPr>
          <w:rFonts w:hint="eastAsia" w:ascii="仿宋_GB2312" w:hAnsi="宋体" w:eastAsia="仿宋_GB2312" w:cs="Courier New"/>
          <w:sz w:val="32"/>
          <w:szCs w:val="32"/>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b/>
          <w:spacing w:val="-1"/>
          <w:kern w:val="0"/>
          <w:sz w:val="32"/>
          <w:szCs w:val="32"/>
          <w:lang w:val="en-US" w:eastAsia="zh-CN"/>
        </w:rPr>
        <w:t>5.29</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r>
        <w:rPr>
          <w:rFonts w:hint="eastAsia" w:ascii="仿宋_GB2312" w:hAnsi="宋体" w:eastAsia="仿宋_GB2312" w:cs="Courier New"/>
          <w:sz w:val="32"/>
          <w:szCs w:val="32"/>
          <w:lang w:eastAsia="zh-CN"/>
        </w:rPr>
        <w:t>电费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邮电费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差旅费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维修（护）费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培训费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公务接待费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专用材料费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劳务费其他交通费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其他商品和服务支出</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1.50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0.12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%，其中：公务接待费支出决算为</w:t>
      </w:r>
      <w:r>
        <w:rPr>
          <w:rFonts w:hint="eastAsia" w:ascii="仿宋_GB2312" w:hAnsi="宋体" w:eastAsia="仿宋_GB2312" w:cs="Courier New"/>
          <w:sz w:val="32"/>
          <w:szCs w:val="32"/>
          <w:lang w:val="en-US" w:eastAsia="zh-CN"/>
        </w:rPr>
        <w:t>0.12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%。2016年度“三公”经费支出决算数小于预算数的原因是</w:t>
      </w:r>
      <w:r>
        <w:rPr>
          <w:rFonts w:hint="eastAsia" w:ascii="仿宋_GB2312" w:hAnsi="宋体" w:eastAsia="仿宋_GB2312" w:cs="Courier New"/>
          <w:sz w:val="32"/>
          <w:szCs w:val="32"/>
          <w:lang w:eastAsia="zh-CN"/>
        </w:rPr>
        <w:t>公务接待减少</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0.09</w:t>
      </w:r>
      <w:r>
        <w:rPr>
          <w:rFonts w:hint="eastAsia" w:ascii="仿宋_GB2312" w:hAnsi="宋体" w:eastAsia="仿宋_GB2312" w:cs="Courier New"/>
          <w:sz w:val="32"/>
          <w:szCs w:val="32"/>
        </w:rPr>
        <w:t>万</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公务接待费支出决算增加</w:t>
      </w:r>
      <w:r>
        <w:rPr>
          <w:rFonts w:hint="eastAsia" w:ascii="仿宋_GB2312" w:hAnsi="宋体" w:eastAsia="仿宋_GB2312" w:cs="Courier New"/>
          <w:sz w:val="32"/>
          <w:szCs w:val="32"/>
          <w:lang w:val="en-US" w:eastAsia="zh-CN"/>
        </w:rPr>
        <w:t>0.09</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75</w:t>
      </w:r>
      <w:r>
        <w:rPr>
          <w:rFonts w:hint="eastAsia" w:ascii="仿宋_GB2312" w:hAnsi="宋体" w:eastAsia="仿宋_GB2312" w:cs="Courier New"/>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2016年度“三公”经费财政拨款支出决算中，因公出国（境）费支出决算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%；公务用车购置及运行费支出决算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0.12</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0.06</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0.12</w:t>
      </w:r>
      <w:r>
        <w:rPr>
          <w:rFonts w:hint="eastAsia" w:ascii="仿宋_GB2312" w:hAnsi="宋体" w:eastAsia="仿宋_GB2312" w:cs="Courier New"/>
          <w:b/>
          <w:bCs/>
          <w:sz w:val="32"/>
          <w:szCs w:val="32"/>
        </w:rPr>
        <w:t>万元。</w:t>
      </w:r>
      <w:r>
        <w:rPr>
          <w:rFonts w:hint="eastAsia" w:ascii="仿宋_GB2312" w:hAnsi="宋体" w:eastAsia="仿宋_GB2312" w:cs="Courier New"/>
          <w:b w:val="0"/>
          <w:bCs w:val="0"/>
          <w:sz w:val="32"/>
          <w:szCs w:val="32"/>
          <w:lang w:eastAsia="zh-CN"/>
        </w:rPr>
        <w:t>用于公务接待</w:t>
      </w:r>
      <w:r>
        <w:rPr>
          <w:rFonts w:hint="eastAsia" w:ascii="仿宋_GB2312" w:hAnsi="宋体" w:eastAsia="仿宋_GB2312" w:cs="Courier New"/>
          <w:b w:val="0"/>
          <w:bCs w:val="0"/>
          <w:sz w:val="32"/>
          <w:szCs w:val="32"/>
          <w:lang w:val="en-US" w:eastAsia="zh-CN"/>
        </w:rPr>
        <w:t>3次，20人次</w:t>
      </w:r>
      <w:r>
        <w:rPr>
          <w:rFonts w:hint="eastAsia" w:ascii="仿宋_GB2312" w:hAnsi="宋体" w:eastAsia="仿宋_GB2312" w:cs="Courier New"/>
          <w:b w:val="0"/>
          <w:bCs w:val="0"/>
          <w:sz w:val="32"/>
          <w:szCs w:val="32"/>
          <w:lang w:eastAsia="zh-CN"/>
        </w:rPr>
        <w:t>。</w:t>
      </w:r>
      <w:r>
        <w:rPr>
          <w:rFonts w:hint="eastAsia" w:ascii="宋体" w:hAnsi="宋体" w:cs="宋体"/>
          <w:sz w:val="24"/>
        </w:rPr>
        <w:t>图</w:t>
      </w:r>
      <w:r>
        <w:rPr>
          <w:rFonts w:ascii="宋体" w:hAnsi="宋体" w:cs="宋体"/>
          <w:sz w:val="24"/>
        </w:rPr>
        <w:t>7</w:t>
      </w:r>
      <w:r>
        <w:rPr>
          <w:rFonts w:hint="eastAsia" w:ascii="宋体" w:hAnsi="宋体" w:cs="宋体"/>
          <w:sz w:val="24"/>
        </w:rPr>
        <w:t>：“三公”经费财政拨款支出结构</w:t>
      </w:r>
    </w:p>
    <w:tbl>
      <w:tblPr>
        <w:tblStyle w:val="5"/>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keepNext w:val="0"/>
              <w:keepLines w:val="0"/>
              <w:widowControl/>
              <w:suppressLineNumbers w:val="0"/>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1.50</w:t>
            </w: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1.50</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0.12</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注：本表反映部门本年度“三公”经费支出预决算情况。其中，2016年度预算数为“三公”经费年初预算数，决算数是包括当年一般公共预算财政拨款和以前年度结转资金安排的实际支出。</w:t>
            </w:r>
          </w:p>
        </w:tc>
      </w:tr>
    </w:tbl>
    <w:p>
      <w:pPr>
        <w:numPr>
          <w:ilvl w:val="0"/>
          <w:numId w:val="0"/>
        </w:numPr>
        <w:kinsoku w:val="0"/>
        <w:overflowPunct w:val="0"/>
        <w:autoSpaceDE w:val="0"/>
        <w:autoSpaceDN w:val="0"/>
        <w:adjustRightInd w:val="0"/>
        <w:snapToGrid w:val="0"/>
        <w:spacing w:line="360" w:lineRule="auto"/>
        <w:ind w:leftChars="200"/>
        <w:rPr>
          <w:rFonts w:hint="eastAsia" w:ascii="仿宋_GB2312" w:hAnsi="宋体" w:eastAsia="仿宋_GB2312" w:cs="Courier New"/>
          <w:b/>
          <w:bCs/>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根据财政预算管理要求，</w:t>
      </w:r>
      <w:r>
        <w:rPr>
          <w:rFonts w:hint="eastAsia" w:ascii="仿宋_GB2312" w:hAnsi="宋体" w:eastAsia="仿宋_GB2312" w:cs="Courier New"/>
          <w:sz w:val="32"/>
          <w:szCs w:val="32"/>
          <w:lang w:eastAsia="zh-CN"/>
        </w:rPr>
        <w:t>彭李坑水库</w:t>
      </w:r>
      <w:r>
        <w:rPr>
          <w:rFonts w:hint="eastAsia" w:ascii="仿宋_GB2312" w:hAnsi="宋体" w:eastAsia="仿宋_GB2312" w:cs="Courier New"/>
          <w:sz w:val="32"/>
          <w:szCs w:val="32"/>
        </w:rPr>
        <w:t>对2016年度一般公共预算项目支出全面开展绩效自评。其中，二级项目</w:t>
      </w:r>
      <w:r>
        <w:rPr>
          <w:rFonts w:hint="eastAsia" w:ascii="仿宋_GB2312" w:hAnsi="宋体" w:eastAsia="仿宋_GB2312" w:cs="Courier New"/>
          <w:sz w:val="32"/>
          <w:szCs w:val="32"/>
          <w:lang w:val="en-US" w:eastAsia="zh-CN"/>
        </w:rPr>
        <w:t>3</w:t>
      </w:r>
      <w:r>
        <w:rPr>
          <w:rFonts w:hint="eastAsia" w:ascii="仿宋_GB2312" w:hAnsi="宋体" w:eastAsia="仿宋_GB2312" w:cs="Courier New"/>
          <w:sz w:val="32"/>
          <w:szCs w:val="32"/>
        </w:rPr>
        <w:t>个，共涉及预算资金</w:t>
      </w:r>
      <w:r>
        <w:rPr>
          <w:rFonts w:hint="eastAsia" w:ascii="仿宋_GB2312" w:hAnsi="宋体" w:eastAsia="仿宋_GB2312" w:cs="Courier New"/>
          <w:sz w:val="32"/>
          <w:szCs w:val="32"/>
          <w:lang w:val="en-US" w:eastAsia="zh-CN"/>
        </w:rPr>
        <w:t>34.50</w:t>
      </w:r>
      <w:r>
        <w:rPr>
          <w:rFonts w:hint="eastAsia" w:ascii="仿宋_GB2312" w:hAnsi="宋体" w:eastAsia="仿宋_GB2312" w:cs="Courier New"/>
          <w:sz w:val="32"/>
          <w:szCs w:val="32"/>
        </w:rPr>
        <w:t>万元，自评覆盖率达到</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彭李坑水库</w:t>
      </w:r>
      <w:r>
        <w:rPr>
          <w:rFonts w:hint="eastAsia" w:ascii="仿宋_GB2312" w:hAnsi="宋体" w:eastAsia="仿宋_GB2312" w:cs="Courier New"/>
          <w:sz w:val="32"/>
          <w:szCs w:val="32"/>
        </w:rPr>
        <w:t>在2016年度部门决算中增加</w:t>
      </w:r>
      <w:r>
        <w:rPr>
          <w:rFonts w:hint="eastAsia" w:ascii="仿宋_GB2312" w:hAnsi="宋体" w:eastAsia="仿宋_GB2312" w:cs="Courier New"/>
          <w:sz w:val="32"/>
          <w:szCs w:val="32"/>
          <w:lang w:eastAsia="zh-CN"/>
        </w:rPr>
        <w:t>维修养护</w:t>
      </w:r>
      <w:r>
        <w:rPr>
          <w:rFonts w:hint="eastAsia" w:ascii="仿宋_GB2312" w:hAnsi="宋体" w:eastAsia="仿宋_GB2312" w:cs="Courier New"/>
          <w:sz w:val="32"/>
          <w:szCs w:val="32"/>
        </w:rPr>
        <w:t>项目绩效评价结果。根据2016年年初设定的绩效目标，</w:t>
      </w:r>
      <w:r>
        <w:rPr>
          <w:rFonts w:hint="eastAsia" w:ascii="仿宋_GB2312" w:hAnsi="宋体" w:eastAsia="仿宋_GB2312" w:cs="Courier New"/>
          <w:sz w:val="32"/>
          <w:szCs w:val="32"/>
          <w:lang w:eastAsia="zh-CN"/>
        </w:rPr>
        <w:t>维修养护</w:t>
      </w:r>
      <w:r>
        <w:rPr>
          <w:rFonts w:hint="eastAsia" w:ascii="仿宋_GB2312" w:hAnsi="宋体" w:eastAsia="仿宋_GB2312" w:cs="Courier New"/>
          <w:sz w:val="32"/>
          <w:szCs w:val="32"/>
        </w:rPr>
        <w:t>项目自评得分为</w:t>
      </w:r>
      <w:r>
        <w:rPr>
          <w:rFonts w:hint="eastAsia" w:ascii="仿宋_GB2312" w:hAnsi="宋体" w:eastAsia="仿宋_GB2312" w:cs="Courier New"/>
          <w:sz w:val="32"/>
          <w:szCs w:val="32"/>
          <w:lang w:val="en-US" w:eastAsia="zh-CN"/>
        </w:rPr>
        <w:t>95</w:t>
      </w:r>
      <w:r>
        <w:rPr>
          <w:rFonts w:hint="eastAsia" w:ascii="仿宋_GB2312" w:hAnsi="宋体" w:eastAsia="仿宋_GB2312" w:cs="Courier New"/>
          <w:sz w:val="32"/>
          <w:szCs w:val="32"/>
        </w:rPr>
        <w:t>分。发现的主要问题：</w:t>
      </w:r>
      <w:r>
        <w:rPr>
          <w:rFonts w:hint="eastAsia" w:ascii="仿宋_GB2312" w:hAnsi="宋体" w:eastAsia="仿宋_GB2312" w:cs="Courier New"/>
          <w:sz w:val="32"/>
          <w:szCs w:val="32"/>
          <w:lang w:eastAsia="zh-CN"/>
        </w:rPr>
        <w:t>绩效评价制度不健全，</w:t>
      </w:r>
      <w:r>
        <w:rPr>
          <w:rFonts w:hint="eastAsia" w:ascii="仿宋_GB2312" w:hAnsi="宋体" w:eastAsia="仿宋_GB2312" w:cs="Courier New"/>
          <w:sz w:val="32"/>
          <w:szCs w:val="32"/>
        </w:rPr>
        <w:t>下一步改进措施：</w:t>
      </w:r>
      <w:r>
        <w:rPr>
          <w:rFonts w:hint="eastAsia" w:ascii="仿宋_GB2312" w:hAnsi="宋体" w:eastAsia="仿宋_GB2312" w:cs="Courier New"/>
          <w:sz w:val="32"/>
          <w:szCs w:val="32"/>
          <w:lang w:eastAsia="zh-CN"/>
        </w:rPr>
        <w:t>建立健全绩效评价制度</w:t>
      </w:r>
      <w:r>
        <w:rPr>
          <w:rFonts w:hint="eastAsia" w:ascii="仿宋_GB2312" w:hAnsi="宋体" w:eastAsia="仿宋_GB2312" w:cs="Courier New"/>
          <w:sz w:val="32"/>
          <w:szCs w:val="32"/>
        </w:rPr>
        <w:t>，提高资金使用效益。</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numPr>
          <w:ilvl w:val="0"/>
          <w:numId w:val="0"/>
        </w:numPr>
        <w:adjustRightInd w:val="0"/>
        <w:snapToGrid w:val="0"/>
        <w:spacing w:line="360" w:lineRule="auto"/>
        <w:outlineLvl w:val="1"/>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年度政府性基金预算财政拨款支出年初预算为</w:t>
      </w:r>
      <w:r>
        <w:rPr>
          <w:rFonts w:ascii="仿宋_GB2312" w:hAnsi="宋体" w:eastAsia="仿宋_GB2312" w:cs="Courier New"/>
          <w:sz w:val="32"/>
          <w:szCs w:val="32"/>
        </w:rPr>
        <w:t>0</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0%</w:t>
      </w:r>
      <w:r>
        <w:rPr>
          <w:rFonts w:hint="eastAsia" w:ascii="仿宋_GB2312" w:hAnsi="宋体" w:eastAsia="仿宋_GB2312" w:cs="Courier New"/>
          <w:sz w:val="32"/>
          <w:szCs w:val="32"/>
        </w:rPr>
        <w:t>。</w:t>
      </w: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highlight w:val="none"/>
          <w:lang w:eastAsia="zh-CN"/>
        </w:rPr>
        <w:t>三</w:t>
      </w:r>
      <w:r>
        <w:rPr>
          <w:rFonts w:hint="eastAsia" w:ascii="仿宋_GB2312" w:hAnsi="宋体" w:eastAsia="仿宋_GB2312" w:cs="Courier New"/>
          <w:b/>
          <w:bCs/>
          <w:sz w:val="32"/>
          <w:szCs w:val="32"/>
        </w:rPr>
        <w:t>、</w:t>
      </w:r>
      <w:r>
        <w:rPr>
          <w:rFonts w:hint="eastAsia" w:ascii="仿宋_GB2312" w:hAnsi="宋体" w:eastAsia="仿宋_GB2312" w:cs="Courier New"/>
          <w:b/>
          <w:bCs/>
          <w:sz w:val="32"/>
          <w:szCs w:val="32"/>
          <w:highlight w:val="none"/>
        </w:rPr>
        <w:t>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w:t>
      </w:r>
      <w:r>
        <w:rPr>
          <w:rFonts w:hint="eastAsia" w:ascii="仿宋_GB2312" w:hAnsi="宋体" w:eastAsia="仿宋_GB2312" w:cs="Courier New"/>
          <w:b w:val="0"/>
          <w:bCs w:val="0"/>
          <w:sz w:val="32"/>
          <w:szCs w:val="32"/>
          <w:highlight w:val="none"/>
          <w:lang w:val="en-US" w:eastAsia="zh-CN"/>
        </w:rPr>
        <w:t xml:space="preserve">                                                     四</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五</w:t>
      </w:r>
      <w:r>
        <w:rPr>
          <w:rFonts w:hint="eastAsia" w:ascii="仿宋_GB2312" w:hAnsi="宋体" w:eastAsia="仿宋_GB2312" w:cs="Courier New"/>
          <w:b/>
          <w:bCs/>
          <w:sz w:val="32"/>
          <w:szCs w:val="32"/>
        </w:rPr>
        <w:t>、项目支出：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highlight w:val="none"/>
          <w:lang w:val="en-US" w:eastAsia="zh-CN"/>
        </w:rPr>
      </w:pPr>
      <w:r>
        <w:rPr>
          <w:rFonts w:hint="eastAsia" w:ascii="仿宋_GB2312" w:hAnsi="宋体" w:eastAsia="仿宋_GB2312" w:cs="Courier New"/>
          <w:b/>
          <w:bCs/>
          <w:sz w:val="32"/>
          <w:szCs w:val="32"/>
          <w:lang w:eastAsia="zh-CN"/>
        </w:rPr>
        <w:t>六</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w:t>
      </w:r>
      <w:r>
        <w:rPr>
          <w:rFonts w:hint="eastAsia" w:ascii="仿宋_GB2312" w:hAnsi="宋体" w:eastAsia="仿宋_GB2312" w:cs="Courier New"/>
          <w:b w:val="0"/>
          <w:bCs w:val="0"/>
          <w:sz w:val="32"/>
          <w:szCs w:val="32"/>
          <w:highlight w:val="none"/>
        </w:rPr>
        <w:t>定继续使用的资金</w:t>
      </w:r>
      <w:r>
        <w:rPr>
          <w:rFonts w:hint="eastAsia" w:ascii="仿宋_GB2312" w:hAnsi="宋体" w:eastAsia="仿宋_GB2312" w:cs="Courier New"/>
          <w:sz w:val="32"/>
          <w:szCs w:val="32"/>
          <w:highlight w:val="none"/>
        </w:rPr>
        <w:t>。</w:t>
      </w:r>
      <w:bookmarkStart w:id="0" w:name="_GoBack"/>
      <w:bookmarkEnd w:id="0"/>
    </w:p>
    <w:sectPr>
      <w:pgSz w:w="11906" w:h="16838"/>
      <w:pgMar w:top="1440" w:right="1531" w:bottom="1440"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2010601030101010101"/>
    <w:charset w:val="86"/>
    <w:family w:val="script"/>
    <w:pitch w:val="default"/>
    <w:sig w:usb0="00000000" w:usb1="0000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文星简超黑">
    <w:altName w:val="黑体"/>
    <w:panose1 w:val="02010609000101010101"/>
    <w:charset w:val="00"/>
    <w:family w:val="auto"/>
    <w:pitch w:val="default"/>
    <w:sig w:usb0="00000000" w:usb1="00000000" w:usb2="00000000" w:usb3="00000000" w:csb0="00000000" w:csb1="00000000"/>
  </w:font>
  <w:font w:name="文星简行草">
    <w:altName w:val="Lucida Console"/>
    <w:panose1 w:val="02010609000101010101"/>
    <w:charset w:val="00"/>
    <w:family w:val="auto"/>
    <w:pitch w:val="default"/>
    <w:sig w:usb0="00000000" w:usb1="00000000" w:usb2="00000000" w:usb3="00000000" w:csb0="00000000"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文星简隶书">
    <w:altName w:val="宋体"/>
    <w:panose1 w:val="02010609000101010101"/>
    <w:charset w:val="00"/>
    <w:family w:val="auto"/>
    <w:pitch w:val="default"/>
    <w:sig w:usb0="00000000" w:usb1="00000000" w:usb2="00000000" w:usb3="00000000" w:csb0="00000000" w:csb1="00000000"/>
  </w:font>
  <w:font w:name="文星简魏体">
    <w:altName w:val="Lucida Console"/>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GulimChe"/>
    <w:panose1 w:val="02030600000101010101"/>
    <w:charset w:val="81"/>
    <w:family w:val="auto"/>
    <w:pitch w:val="default"/>
    <w:sig w:usb0="00000000" w:usb1="00000000" w:usb2="00000030" w:usb3="00000000" w:csb0="4008009F" w:csb1="DFD70000"/>
  </w:font>
  <w:font w:name="BatangChe">
    <w:altName w:val="GulimChe"/>
    <w:panose1 w:val="02030609000101010101"/>
    <w:charset w:val="81"/>
    <w:family w:val="auto"/>
    <w:pitch w:val="default"/>
    <w:sig w:usb0="00000000" w:usb1="00000000"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altName w:val="Gulim"/>
    <w:panose1 w:val="020B0503020000020004"/>
    <w:charset w:val="81"/>
    <w:family w:val="auto"/>
    <w:pitch w:val="default"/>
    <w:sig w:usb0="00000000" w:usb1="00000000" w:usb2="00000012" w:usb3="00000000" w:csb0="00080001" w:csb1="00000000"/>
  </w:font>
  <w:font w:name="GungsuhChe">
    <w:altName w:val="GulimChe"/>
    <w:panose1 w:val="02030609000101010101"/>
    <w:charset w:val="81"/>
    <w:family w:val="auto"/>
    <w:pitch w:val="default"/>
    <w:sig w:usb0="00000000" w:usb1="00000000" w:usb2="00000030" w:usb3="00000000" w:csb0="4008009F" w:csb1="DFD70000"/>
  </w:font>
  <w:font w:name="Gungsuh">
    <w:altName w:val="GulimChe"/>
    <w:panose1 w:val="02030600000101010101"/>
    <w:charset w:val="81"/>
    <w:family w:val="auto"/>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altName w:val="MS UI Gothic"/>
    <w:panose1 w:val="020B0604030504040204"/>
    <w:charset w:val="80"/>
    <w:family w:val="auto"/>
    <w:pitch w:val="default"/>
    <w:sig w:usb0="00000000" w:usb1="00000000" w:usb2="00010012" w:usb3="00000000" w:csb0="6002009F" w:csb1="DFD70000"/>
  </w:font>
  <w:font w:name="Meiryo UI">
    <w:altName w:val="MS UI Gothic"/>
    <w:panose1 w:val="020B0604030504040204"/>
    <w:charset w:val="80"/>
    <w:family w:val="auto"/>
    <w:pitch w:val="default"/>
    <w:sig w:usb0="00000000" w:usb1="00000000" w:usb2="00010012" w:usb3="00000000" w:csb0="6002009F" w:csb1="DFD70000"/>
  </w:font>
  <w:font w:name="Microsoft JhengHei">
    <w:altName w:val="PMingLiU"/>
    <w:panose1 w:val="020B0604030504040204"/>
    <w:charset w:val="88"/>
    <w:family w:val="auto"/>
    <w:pitch w:val="default"/>
    <w:sig w:usb0="00000000" w:usb1="00000000" w:usb2="00000016" w:usb3="00000000" w:csb0="00100009" w:csb1="00000000"/>
  </w:font>
  <w:font w:name="MingLiU">
    <w:panose1 w:val="02020309000000000000"/>
    <w:charset w:val="88"/>
    <w:family w:val="auto"/>
    <w:pitch w:val="default"/>
    <w:sig w:usb0="00000003" w:usb1="082E0000" w:usb2="00000016" w:usb3="00000000" w:csb0="00100001" w:csb1="00000000"/>
  </w:font>
  <w:font w:name="MingLiU-ExtB">
    <w:altName w:val="PMingLiU"/>
    <w:panose1 w:val="02020500000000000000"/>
    <w:charset w:val="88"/>
    <w:family w:val="auto"/>
    <w:pitch w:val="default"/>
    <w:sig w:usb0="00000000" w:usb1="00000000" w:usb2="00000000" w:usb3="00000000" w:csb0="00100001" w:csb1="00000000"/>
  </w:font>
  <w:font w:name="MingLiU_HKSCS">
    <w:altName w:val="PMingLiU"/>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Mincho">
    <w:altName w:val="MS UI Gothic"/>
    <w:panose1 w:val="02020609040205080304"/>
    <w:charset w:val="80"/>
    <w:family w:val="auto"/>
    <w:pitch w:val="default"/>
    <w:sig w:usb0="00000000" w:usb1="00000000" w:usb2="00000010" w:usb3="00000000" w:csb0="4002009F" w:csb1="DFD7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Agency FB">
    <w:altName w:val="Trebuchet MS"/>
    <w:panose1 w:val="020B0503020202020204"/>
    <w:charset w:val="00"/>
    <w:family w:val="auto"/>
    <w:pitch w:val="default"/>
    <w:sig w:usb0="00000000" w:usb1="00000000" w:usb2="00000000" w:usb3="00000000" w:csb0="20000001" w:csb1="00000000"/>
  </w:font>
  <w:font w:name="SimSun-ExtB">
    <w:altName w:val="宋体"/>
    <w:panose1 w:val="02010609060101010101"/>
    <w:charset w:val="86"/>
    <w:family w:val="auto"/>
    <w:pitch w:val="default"/>
    <w:sig w:usb0="00000000" w:usb1="00000000" w:usb2="00000000" w:usb3="00000000" w:csb0="00040001" w:csb1="00000000"/>
  </w:font>
  <w:font w:name="PMingLiU-ExtB">
    <w:altName w:val="PMingLiU"/>
    <w:panose1 w:val="02020500000000000000"/>
    <w:charset w:val="88"/>
    <w:family w:val="auto"/>
    <w:pitch w:val="default"/>
    <w:sig w:usb0="00000000" w:usb1="00000000" w:usb2="00000000" w:usb3="00000000" w:csb0="00100001" w:csb1="00000000"/>
  </w:font>
  <w:font w:name="PMingLiU">
    <w:panose1 w:val="02020300000000000000"/>
    <w:charset w:val="88"/>
    <w:family w:val="auto"/>
    <w:pitch w:val="default"/>
    <w:sig w:usb0="00000003" w:usb1="082E0000" w:usb2="00000016" w:usb3="00000000" w:csb0="00100001" w:csb1="00000000"/>
  </w:font>
  <w:font w:name="MS UI Gothic">
    <w:panose1 w:val="020B0600070205080204"/>
    <w:charset w:val="80"/>
    <w:family w:val="auto"/>
    <w:pitch w:val="default"/>
    <w:sig w:usb0="A00002BF" w:usb1="68C7FCFB" w:usb2="00000010" w:usb3="00000000" w:csb0="4002009F" w:csb1="DFD70000"/>
  </w:font>
  <w:font w:name="MS PMincho">
    <w:altName w:val="MS UI Gothic"/>
    <w:panose1 w:val="02020600040205080304"/>
    <w:charset w:val="80"/>
    <w:family w:val="auto"/>
    <w:pitch w:val="default"/>
    <w:sig w:usb0="00000000" w:usb1="00000000" w:usb2="00000010" w:usb3="00000000" w:csb0="4002009F" w:csb1="DFD70000"/>
  </w:font>
  <w:font w:name="MS Outlook">
    <w:panose1 w:val="05010100010000000000"/>
    <w:charset w:val="00"/>
    <w:family w:val="auto"/>
    <w:pitch w:val="default"/>
    <w:sig w:usb0="00000000" w:usb1="00000000" w:usb2="00000000" w:usb3="00000000" w:csb0="80000000" w:csb1="00000000"/>
  </w:font>
  <w:font w:name="Modern No. 20">
    <w:altName w:val="Bookman Old Style"/>
    <w:panose1 w:val="02070704070505020303"/>
    <w:charset w:val="00"/>
    <w:family w:val="auto"/>
    <w:pitch w:val="default"/>
    <w:sig w:usb0="00000000" w:usb1="00000000" w:usb2="00000000" w:usb3="00000000" w:csb0="20000001" w:csb1="00000000"/>
  </w:font>
  <w:font w:name="Miriam">
    <w:altName w:val="Gulim"/>
    <w:panose1 w:val="020B0502050101010101"/>
    <w:charset w:val="00"/>
    <w:family w:val="auto"/>
    <w:pitch w:val="default"/>
    <w:sig w:usb0="00000000" w:usb1="00000000" w:usb2="00000000" w:usb3="00000000" w:csb0="00000020" w:csb1="00200000"/>
  </w:font>
  <w:font w:name="Microsoft Uighur">
    <w:altName w:val="Trebuchet MS"/>
    <w:panose1 w:val="02000000000000000000"/>
    <w:charset w:val="00"/>
    <w:family w:val="auto"/>
    <w:pitch w:val="default"/>
    <w:sig w:usb0="00000000" w:usb1="00000000" w:usb2="00000008" w:usb3="00000000" w:csb0="00000041" w:csb1="00000000"/>
  </w:font>
  <w:font w:name="Microsoft PhagsPa">
    <w:altName w:val="Lucida Sans Unicode"/>
    <w:panose1 w:val="020B0502040204020203"/>
    <w:charset w:val="00"/>
    <w:family w:val="auto"/>
    <w:pitch w:val="default"/>
    <w:sig w:usb0="00000000" w:usb1="00000000" w:usb2="08000000" w:usb3="00000000" w:csb0="00000001" w:csb1="00000000"/>
  </w:font>
  <w:font w:name="Microsoft Himalaya">
    <w:altName w:val="Courier New"/>
    <w:panose1 w:val="01010100010101010101"/>
    <w:charset w:val="00"/>
    <w:family w:val="auto"/>
    <w:pitch w:val="default"/>
    <w:sig w:usb0="00000000" w:usb1="00000000" w:usb2="00000040" w:usb3="00000000" w:csb0="00000001" w:csb1="00000000"/>
  </w:font>
  <w:font w:name="Matura MT Script Capitals">
    <w:altName w:val="Comic Sans MS"/>
    <w:panose1 w:val="03020802060602070202"/>
    <w:charset w:val="00"/>
    <w:family w:val="auto"/>
    <w:pitch w:val="default"/>
    <w:sig w:usb0="00000000" w:usb1="00000000" w:usb2="00000000" w:usb3="00000000" w:csb0="20000001" w:csb1="00000000"/>
  </w:font>
  <w:font w:name="文星简大黑">
    <w:altName w:val="黑体"/>
    <w:panose1 w:val="02010609000101010101"/>
    <w:charset w:val="00"/>
    <w:family w:val="auto"/>
    <w:pitch w:val="default"/>
    <w:sig w:usb0="00000000" w:usb1="00000000" w:usb2="00000000" w:usb3="00000000" w:csb0="00000000" w:csb1="00000000"/>
  </w:font>
  <w:font w:name="文星简中圆">
    <w:altName w:val="Lucida Console"/>
    <w:panose1 w:val="02010609000101010101"/>
    <w:charset w:val="00"/>
    <w:family w:val="auto"/>
    <w:pitch w:val="default"/>
    <w:sig w:usb0="00000000" w:usb1="00000000" w:usb2="00000000" w:usb3="00000000" w:csb0="00000000"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0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_GB2312"/>
    <w:panose1 w:val="02010604000101010101"/>
    <w:charset w:val="86"/>
    <w:family w:val="auto"/>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文星简舒同">
    <w:altName w:val="Lucida Console"/>
    <w:panose1 w:val="02010609000101010101"/>
    <w:charset w:val="00"/>
    <w:family w:val="auto"/>
    <w:pitch w:val="default"/>
    <w:sig w:usb0="00000000" w:usb1="00000000" w:usb2="00000000" w:usb3="00000000" w:csb0="00000000" w:csb1="00000000"/>
  </w:font>
  <w:font w:name="文星简粗黑">
    <w:altName w:val="黑体"/>
    <w:panose1 w:val="02010609000101010101"/>
    <w:charset w:val="00"/>
    <w:family w:val="auto"/>
    <w:pitch w:val="default"/>
    <w:sig w:usb0="00000000" w:usb1="00000000" w:usb2="00000000" w:usb3="00000000" w:csb0="00000000" w:csb1="00000000"/>
  </w:font>
  <w:font w:name="文星简彩云">
    <w:altName w:val="Lucida Console"/>
    <w:panose1 w:val="02010609000101010101"/>
    <w:charset w:val="00"/>
    <w:family w:val="auto"/>
    <w:pitch w:val="default"/>
    <w:sig w:usb0="00000000" w:usb1="00000000" w:usb2="00000000" w:usb3="00000000" w:csb0="00000000" w:csb1="00000000"/>
  </w:font>
  <w:font w:name="文星简大标宋">
    <w:altName w:val="宋体"/>
    <w:panose1 w:val="02010609000101010101"/>
    <w:charset w:val="00"/>
    <w:family w:val="auto"/>
    <w:pitch w:val="default"/>
    <w:sig w:usb0="00000000" w:usb1="00000000" w:usb2="00000000" w:usb3="00000000" w:csb0="00000000" w:csb1="00000000"/>
  </w:font>
  <w:font w:name="文星简行楷">
    <w:altName w:val="楷体_GB2312"/>
    <w:panose1 w:val="02010609000101010101"/>
    <w:charset w:val="00"/>
    <w:family w:val="auto"/>
    <w:pitch w:val="default"/>
    <w:sig w:usb0="00000000" w:usb1="00000000" w:usb2="00000000" w:usb3="00000000" w:csb0="00000000" w:csb1="00000000"/>
  </w:font>
  <w:font w:name="文星简综艺">
    <w:altName w:val="Lucida Console"/>
    <w:panose1 w:val="02010609000101010101"/>
    <w:charset w:val="00"/>
    <w:family w:val="auto"/>
    <w:pitch w:val="default"/>
    <w:sig w:usb0="00000000" w:usb1="00000000" w:usb2="00000000" w:usb3="00000000" w:csb0="00000000" w:csb1="00000000"/>
  </w:font>
  <w:font w:name="文星简美黑">
    <w:altName w:val="黑体"/>
    <w:panose1 w:val="02010609000101010101"/>
    <w:charset w:val="00"/>
    <w:family w:val="auto"/>
    <w:pitch w:val="default"/>
    <w:sig w:usb0="00000000" w:usb1="00000000" w:usb2="00000000" w:usb3="00000000" w:csb0="00000000" w:csb1="00000000"/>
  </w:font>
  <w:font w:name="文星简胖头鱼">
    <w:altName w:val="Lucida Console"/>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 w:name="Lucida Sans Unicode">
    <w:panose1 w:val="020B0602030504020204"/>
    <w:charset w:val="00"/>
    <w:family w:val="auto"/>
    <w:pitch w:val="default"/>
    <w:sig w:usb0="80001AFF" w:usb1="0000396B" w:usb2="00000000" w:usb3="00000000" w:csb0="0000003F" w:csb1="D7F70000"/>
  </w:font>
  <w:font w:name="Sylfaen">
    <w:altName w:val="Courier New"/>
    <w:panose1 w:val="010A0502050306030303"/>
    <w:charset w:val="00"/>
    <w:family w:val="auto"/>
    <w:pitch w:val="default"/>
    <w:sig w:usb0="00000000" w:usb1="00000000" w:usb2="00000000" w:usb3="00000000" w:csb0="2000009F" w:csb1="00000000"/>
  </w:font>
  <w:font w:name="Comic Sans MS">
    <w:panose1 w:val="030F0702030302020204"/>
    <w:charset w:val="00"/>
    <w:family w:val="auto"/>
    <w:pitch w:val="default"/>
    <w:sig w:usb0="00000287" w:usb1="00000000" w:usb2="00000000" w:usb3="00000000" w:csb0="2000009F" w:csb1="00000000"/>
  </w:font>
  <w:font w:name="方正兰亭超细黑简体">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4">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5">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6">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7">
    <w:nsid w:val="5971E776"/>
    <w:multiLevelType w:val="singleLevel"/>
    <w:tmpl w:val="5971E776"/>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A03"/>
    <w:rsid w:val="001150B0"/>
    <w:rsid w:val="00172A27"/>
    <w:rsid w:val="002929B4"/>
    <w:rsid w:val="009108DE"/>
    <w:rsid w:val="00B458CF"/>
    <w:rsid w:val="00CD71F9"/>
    <w:rsid w:val="017F480D"/>
    <w:rsid w:val="04453648"/>
    <w:rsid w:val="05DB00B9"/>
    <w:rsid w:val="08980E64"/>
    <w:rsid w:val="09BB2134"/>
    <w:rsid w:val="0CA434B9"/>
    <w:rsid w:val="0D2119AD"/>
    <w:rsid w:val="0E4C156E"/>
    <w:rsid w:val="0FD60FA1"/>
    <w:rsid w:val="10BD4691"/>
    <w:rsid w:val="11585E8B"/>
    <w:rsid w:val="124A271F"/>
    <w:rsid w:val="15492582"/>
    <w:rsid w:val="18F44D57"/>
    <w:rsid w:val="1D415527"/>
    <w:rsid w:val="1E7D3B34"/>
    <w:rsid w:val="1EA92454"/>
    <w:rsid w:val="22A51050"/>
    <w:rsid w:val="283D43BA"/>
    <w:rsid w:val="29B70F08"/>
    <w:rsid w:val="2BA4769A"/>
    <w:rsid w:val="2CD06EF4"/>
    <w:rsid w:val="2F335194"/>
    <w:rsid w:val="30963758"/>
    <w:rsid w:val="32EF40CE"/>
    <w:rsid w:val="33F24958"/>
    <w:rsid w:val="34920D5F"/>
    <w:rsid w:val="35AB7798"/>
    <w:rsid w:val="372974AC"/>
    <w:rsid w:val="37515EC2"/>
    <w:rsid w:val="3949702E"/>
    <w:rsid w:val="3BE408BA"/>
    <w:rsid w:val="3BF545A6"/>
    <w:rsid w:val="3C7F703B"/>
    <w:rsid w:val="3D70189E"/>
    <w:rsid w:val="42271DDB"/>
    <w:rsid w:val="42D25542"/>
    <w:rsid w:val="43910C0D"/>
    <w:rsid w:val="48B52937"/>
    <w:rsid w:val="48EE3EF3"/>
    <w:rsid w:val="4C1E2F28"/>
    <w:rsid w:val="4CFC29CC"/>
    <w:rsid w:val="4D6E1856"/>
    <w:rsid w:val="4EDA4F04"/>
    <w:rsid w:val="4EEF5DA3"/>
    <w:rsid w:val="502C04C1"/>
    <w:rsid w:val="51DE24AB"/>
    <w:rsid w:val="55496492"/>
    <w:rsid w:val="55856CA9"/>
    <w:rsid w:val="5651051D"/>
    <w:rsid w:val="56EC004A"/>
    <w:rsid w:val="57E961A8"/>
    <w:rsid w:val="581E77CF"/>
    <w:rsid w:val="58B06254"/>
    <w:rsid w:val="5AF25131"/>
    <w:rsid w:val="5D5A6947"/>
    <w:rsid w:val="5F363372"/>
    <w:rsid w:val="5F821D51"/>
    <w:rsid w:val="600176AC"/>
    <w:rsid w:val="65332BB8"/>
    <w:rsid w:val="664A46E0"/>
    <w:rsid w:val="66755D81"/>
    <w:rsid w:val="68A121F7"/>
    <w:rsid w:val="68A9241E"/>
    <w:rsid w:val="6B6D695A"/>
    <w:rsid w:val="6B927E72"/>
    <w:rsid w:val="6F012467"/>
    <w:rsid w:val="6F4E2929"/>
    <w:rsid w:val="6FD41D7F"/>
    <w:rsid w:val="70F01F03"/>
    <w:rsid w:val="720308A6"/>
    <w:rsid w:val="72416639"/>
    <w:rsid w:val="738C1FE2"/>
    <w:rsid w:val="75531EF6"/>
    <w:rsid w:val="75D0003D"/>
    <w:rsid w:val="764F7877"/>
    <w:rsid w:val="7AA141FF"/>
    <w:rsid w:val="7C445B57"/>
    <w:rsid w:val="7D713C10"/>
    <w:rsid w:val="7E925B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15417</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2017-11-02T01:31:33Z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