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ind w:firstLine="3900" w:firstLineChars="750"/>
        <w:rPr>
          <w:rFonts w:ascii="仿宋_GB2312" w:hAnsi="仿宋_GB2312" w:eastAsia="仿宋_GB2312" w:cs="仿宋_GB2312"/>
          <w:sz w:val="44"/>
          <w:szCs w:val="44"/>
        </w:rPr>
      </w:pPr>
      <w:r>
        <w:rPr>
          <w:rFonts w:hint="eastAsia" w:ascii="隶书" w:hAnsi="隶书" w:eastAsia="隶书" w:cs="隶书"/>
          <w:sz w:val="52"/>
          <w:szCs w:val="52"/>
        </w:rPr>
        <w:t>药监所</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531" w:bottom="1440" w:left="1587" w:header="850" w:footer="992" w:gutter="0"/>
          <w:pgNumType w:fmt="numberInDash" w:start="1"/>
          <w:cols w:space="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药监所概况</w:t>
      </w:r>
    </w:p>
    <w:p>
      <w:pPr>
        <w:numPr>
          <w:ilvl w:val="0"/>
          <w:numId w:val="1"/>
        </w:numPr>
        <w:jc w:val="left"/>
        <w:rPr>
          <w:rFonts w:ascii="宋体" w:cs="宋体"/>
          <w:sz w:val="32"/>
          <w:szCs w:val="32"/>
        </w:rPr>
      </w:pPr>
      <w:r>
        <w:rPr>
          <w:rFonts w:hint="eastAsia" w:ascii="宋体" w:hAnsi="宋体" w:cs="宋体"/>
          <w:sz w:val="32"/>
          <w:szCs w:val="32"/>
        </w:rPr>
        <w:t>主要职责</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药监所</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药监所</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　　药监所概况</w:t>
      </w:r>
    </w:p>
    <w:p>
      <w:pPr>
        <w:spacing w:line="360" w:lineRule="auto"/>
        <w:jc w:val="left"/>
        <w:outlineLvl w:val="1"/>
        <w:rPr>
          <w:rFonts w:ascii="黑体" w:hAnsi="黑体" w:eastAsia="黑体" w:cs="黑体"/>
          <w:sz w:val="32"/>
          <w:szCs w:val="32"/>
        </w:rPr>
      </w:pPr>
    </w:p>
    <w:p>
      <w:pPr>
        <w:shd w:val="clear" w:color="auto" w:fill="FFFFFF"/>
        <w:spacing w:line="400" w:lineRule="atLeast"/>
        <w:jc w:val="center"/>
        <w:rPr>
          <w:rFonts w:ascii="Times New Roman" w:hAnsi="Times New Roman"/>
          <w:color w:val="000000"/>
          <w:kern w:val="0"/>
          <w:szCs w:val="21"/>
        </w:rPr>
      </w:pPr>
      <w:r>
        <w:rPr>
          <w:rFonts w:hint="eastAsia" w:ascii="仿宋_GB2312" w:hAnsi="仿宋_GB2312" w:eastAsia="仿宋_GB2312" w:cs="仿宋_GB2312"/>
          <w:sz w:val="32"/>
          <w:szCs w:val="32"/>
        </w:rPr>
        <w:t>拟定</w:t>
      </w:r>
      <w:r>
        <w:rPr>
          <w:rFonts w:hint="eastAsia" w:ascii="仿宋" w:hAnsi="Times New Roman" w:eastAsia="仿宋"/>
          <w:b/>
          <w:bCs/>
          <w:color w:val="4A4B4B"/>
          <w:kern w:val="0"/>
          <w:sz w:val="32"/>
          <w:szCs w:val="32"/>
        </w:rPr>
        <w:t>兽药饲料监督所概况</w:t>
      </w:r>
    </w:p>
    <w:p>
      <w:pPr>
        <w:widowControl/>
        <w:shd w:val="clear" w:color="auto" w:fill="FFFFFF"/>
        <w:ind w:firstLine="640"/>
        <w:jc w:val="left"/>
        <w:rPr>
          <w:rFonts w:ascii="Times New Roman" w:hAnsi="Times New Roman"/>
          <w:color w:val="000000"/>
          <w:kern w:val="0"/>
          <w:szCs w:val="21"/>
        </w:rPr>
      </w:pPr>
      <w:r>
        <w:rPr>
          <w:rFonts w:hint="eastAsia" w:ascii="仿宋" w:hAnsi="Times New Roman" w:eastAsia="仿宋"/>
          <w:color w:val="4A4B4B"/>
          <w:kern w:val="0"/>
          <w:sz w:val="32"/>
          <w:szCs w:val="32"/>
        </w:rPr>
        <w:t>主要职责</w:t>
      </w:r>
    </w:p>
    <w:p>
      <w:pPr>
        <w:widowControl/>
        <w:shd w:val="clear" w:color="auto" w:fill="FFFFFF"/>
        <w:ind w:firstLine="640"/>
        <w:jc w:val="left"/>
        <w:rPr>
          <w:rFonts w:ascii="Times New Roman" w:hAnsi="Times New Roman"/>
          <w:color w:val="000000"/>
          <w:kern w:val="0"/>
          <w:szCs w:val="21"/>
        </w:rPr>
      </w:pPr>
      <w:r>
        <w:rPr>
          <w:rFonts w:hint="eastAsia" w:ascii="仿宋" w:hAnsi="Times New Roman" w:eastAsia="仿宋"/>
          <w:color w:val="4A4B4B"/>
          <w:kern w:val="0"/>
          <w:sz w:val="32"/>
          <w:szCs w:val="32"/>
        </w:rPr>
        <w:t>卧龙区兽药饲料监督所是畜牧局二级单位，承担着全区兽药饲料抽检、瘦肉精抽检监督工作。</w:t>
      </w:r>
    </w:p>
    <w:p>
      <w:pPr>
        <w:spacing w:line="360" w:lineRule="auto"/>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widowControl/>
        <w:shd w:val="clear" w:color="auto" w:fill="FFFFFF"/>
        <w:ind w:firstLine="640"/>
        <w:jc w:val="left"/>
        <w:rPr>
          <w:rFonts w:ascii="Times New Roman" w:hAnsi="Times New Roman"/>
          <w:color w:val="000000"/>
          <w:kern w:val="0"/>
          <w:szCs w:val="21"/>
        </w:rPr>
        <w:sectPr>
          <w:pgSz w:w="11906" w:h="16838"/>
          <w:pgMar w:top="1440" w:right="1531" w:bottom="1440" w:left="1587" w:header="850" w:footer="992" w:gutter="0"/>
          <w:pgNumType w:fmt="numberInDash"/>
          <w:cols w:space="0" w:num="1"/>
          <w:docGrid w:type="lines" w:linePitch="317" w:charSpace="0"/>
        </w:sectPr>
      </w:pPr>
      <w:r>
        <w:rPr>
          <w:rFonts w:hint="eastAsia" w:ascii="仿宋" w:hAnsi="Times New Roman" w:eastAsia="仿宋"/>
          <w:color w:val="4A4B4B"/>
          <w:kern w:val="0"/>
          <w:sz w:val="32"/>
          <w:szCs w:val="32"/>
        </w:rPr>
        <w:t>兽药饲料监督所内设</w:t>
      </w:r>
      <w:r>
        <w:rPr>
          <w:rFonts w:hint="eastAsia" w:ascii="仿宋" w:eastAsia="仿宋"/>
          <w:color w:val="4A4B4B"/>
          <w:sz w:val="32"/>
          <w:szCs w:val="32"/>
          <w:shd w:val="clear" w:color="auto" w:fill="FFFFFF"/>
        </w:rPr>
        <w:t>办公室、业务科、财务科。</w:t>
      </w:r>
    </w:p>
    <w:p>
      <w:pPr>
        <w:tabs>
          <w:tab w:val="left" w:pos="1575"/>
        </w:tabs>
        <w:jc w:val="left"/>
        <w:rPr>
          <w:rFonts w:ascii="黑体" w:hAnsi="黑体" w:eastAsia="黑体" w:cs="黑体"/>
          <w:sz w:val="32"/>
          <w:szCs w:val="32"/>
        </w:rPr>
      </w:pPr>
    </w:p>
    <w:p>
      <w:pPr>
        <w:ind w:left="31680" w:hanging="2880" w:hangingChars="900"/>
        <w:jc w:val="left"/>
        <w:rPr>
          <w:rFonts w:ascii="黑体" w:hAnsi="黑体" w:eastAsia="黑体" w:cs="黑体"/>
          <w:sz w:val="32"/>
          <w:szCs w:val="32"/>
        </w:rPr>
      </w:pPr>
      <w:r>
        <w:rPr>
          <w:rFonts w:ascii="黑体" w:hAnsi="黑体" w:eastAsia="黑体" w:cs="黑体"/>
          <w:sz w:val="32"/>
          <w:szCs w:val="32"/>
        </w:rPr>
        <w:t xml:space="preserve">                                                     </w:t>
      </w: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药监所</w:t>
      </w:r>
      <w:r>
        <w:rPr>
          <w:rFonts w:ascii="隶书" w:hAnsi="隶书" w:eastAsia="隶书" w:cs="隶书"/>
          <w:sz w:val="48"/>
          <w:szCs w:val="48"/>
        </w:rPr>
        <w:t>2016</w:t>
      </w:r>
      <w:r>
        <w:rPr>
          <w:rFonts w:hint="eastAsia" w:ascii="隶书" w:hAnsi="隶书" w:eastAsia="隶书" w:cs="隶书"/>
          <w:sz w:val="48"/>
          <w:szCs w:val="48"/>
        </w:rPr>
        <w:t>年度部门决算表</w:t>
      </w:r>
    </w:p>
    <w:tbl>
      <w:tblPr>
        <w:tblStyle w:val="5"/>
        <w:tblW w:w="10350" w:type="dxa"/>
        <w:tblInd w:w="-1040" w:type="dxa"/>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Layout w:type="fixed"/>
          <w:tblCellMar>
            <w:top w:w="15" w:type="dxa"/>
            <w:left w:w="15" w:type="dxa"/>
            <w:bottom w:w="15" w:type="dxa"/>
            <w:right w:w="15" w:type="dxa"/>
          </w:tblCellMar>
        </w:tblPrEx>
        <w:trPr>
          <w:trHeight w:val="375" w:hRule="atLeast"/>
        </w:trPr>
        <w:tc>
          <w:tcPr>
            <w:tcW w:w="10350" w:type="dxa"/>
            <w:gridSpan w:val="1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rPr>
                <w:rFonts w:hint="eastAsia" w:ascii="宋体" w:eastAsia="宋体" w:cs="宋体"/>
                <w:color w:val="000000"/>
                <w:sz w:val="16"/>
                <w:szCs w:val="16"/>
                <w:lang w:val="en-US" w:eastAsia="zh-CN"/>
              </w:rPr>
            </w:pPr>
            <w:r>
              <w:rPr>
                <w:rFonts w:hint="eastAsia" w:ascii="宋体" w:cs="宋体"/>
                <w:color w:val="000000"/>
                <w:sz w:val="21"/>
                <w:szCs w:val="21"/>
                <w:lang w:val="en-US" w:eastAsia="zh-CN"/>
              </w:rPr>
              <w:t>兽药监察所</w:t>
            </w: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53.25</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2.45</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11.33</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2.15</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45.69</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55.70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59.16</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1.56</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2.78</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0.88</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60.04</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60.04</w:t>
            </w:r>
          </w:p>
        </w:tc>
      </w:tr>
      <w:tr>
        <w:tblPrEx>
          <w:tblLayout w:type="fixed"/>
          <w:tblCellMar>
            <w:top w:w="15" w:type="dxa"/>
            <w:left w:w="15" w:type="dxa"/>
            <w:bottom w:w="15" w:type="dxa"/>
            <w:right w:w="15" w:type="dxa"/>
          </w:tblCellMar>
        </w:tblPrEx>
        <w:trPr>
          <w:trHeight w:val="555" w:hRule="atLeast"/>
        </w:trPr>
        <w:tc>
          <w:tcPr>
            <w:tcW w:w="10350" w:type="dxa"/>
            <w:gridSpan w:val="10"/>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7" w:type="dxa"/>
        <w:tblInd w:w="-827" w:type="dxa"/>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blPrEx>
          <w:tblLayout w:type="fixed"/>
          <w:tblCellMar>
            <w:top w:w="15" w:type="dxa"/>
            <w:left w:w="15" w:type="dxa"/>
            <w:bottom w:w="15" w:type="dxa"/>
            <w:right w:w="15" w:type="dxa"/>
          </w:tblCellMar>
        </w:tblPrEx>
        <w:trPr>
          <w:trHeight w:val="375" w:hRule="atLeast"/>
        </w:trPr>
        <w:tc>
          <w:tcPr>
            <w:tcW w:w="10337"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37" w:type="dxa"/>
            <w:gridSpan w:val="2"/>
            <w:vAlign w:val="center"/>
          </w:tcPr>
          <w:p>
            <w:pPr>
              <w:rPr>
                <w:rFonts w:ascii="宋体" w:cs="宋体"/>
                <w:color w:val="000000"/>
                <w:sz w:val="16"/>
                <w:szCs w:val="16"/>
              </w:rPr>
            </w:pPr>
            <w:r>
              <w:rPr>
                <w:rFonts w:hint="eastAsia" w:ascii="宋体" w:cs="宋体"/>
                <w:color w:val="000000"/>
                <w:sz w:val="21"/>
                <w:szCs w:val="21"/>
                <w:lang w:val="en-US" w:eastAsia="zh-CN"/>
              </w:rPr>
              <w:t>兽药监察所</w:t>
            </w: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w:t>
            </w:r>
            <w:r>
              <w:rPr>
                <w:rFonts w:ascii="宋体" w:hAnsi="宋体" w:cs="宋体"/>
                <w:b/>
                <w:color w:val="000000"/>
                <w:kern w:val="0"/>
                <w:sz w:val="16"/>
                <w:szCs w:val="16"/>
              </w:rPr>
              <w:t xml:space="preserve"> </w:t>
            </w:r>
            <w:r>
              <w:rPr>
                <w:rFonts w:hint="eastAsia" w:ascii="宋体" w:hAnsi="宋体" w:cs="宋体"/>
                <w:b/>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55.70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53.25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2.45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2320303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地方政府向国际组织借款付息支出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PrEx>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337"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0" w:num="1"/>
          <w:docGrid w:type="lines" w:linePitch="317" w:charSpace="0"/>
        </w:sectPr>
      </w:pPr>
    </w:p>
    <w:tbl>
      <w:tblPr>
        <w:tblStyle w:val="5"/>
        <w:tblW w:w="10350" w:type="dxa"/>
        <w:tblInd w:w="-821" w:type="dxa"/>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宋体"/>
                <w:color w:val="000000"/>
                <w:sz w:val="16"/>
                <w:szCs w:val="16"/>
              </w:rPr>
            </w:pPr>
            <w:r>
              <w:rPr>
                <w:rFonts w:hint="eastAsia" w:ascii="宋体" w:cs="宋体"/>
                <w:color w:val="000000"/>
                <w:sz w:val="21"/>
                <w:szCs w:val="21"/>
                <w:lang w:val="en-US" w:eastAsia="zh-CN"/>
              </w:rPr>
              <w:t>兽药监察所</w:t>
            </w: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59.16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59.16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人大立法</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人大监督</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人大代表履职能力提升</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2320411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国有土地使用权出让金债务付息支出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docGrid w:type="lines" w:linePitch="318" w:charSpace="0"/>
        </w:sectPr>
      </w:pPr>
    </w:p>
    <w:tbl>
      <w:tblPr>
        <w:tblStyle w:val="5"/>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169"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90" w:hRule="atLeast"/>
        </w:trPr>
        <w:tc>
          <w:tcPr>
            <w:tcW w:w="2289" w:type="dxa"/>
            <w:gridSpan w:val="2"/>
            <w:vAlign w:val="center"/>
          </w:tcPr>
          <w:p>
            <w:pPr>
              <w:rPr>
                <w:rFonts w:ascii="宋体" w:cs="宋体"/>
                <w:color w:val="000000"/>
                <w:sz w:val="16"/>
                <w:szCs w:val="16"/>
              </w:rPr>
            </w:pPr>
            <w:r>
              <w:rPr>
                <w:rFonts w:hint="eastAsia" w:ascii="宋体" w:cs="宋体"/>
                <w:color w:val="000000"/>
                <w:sz w:val="21"/>
                <w:szCs w:val="21"/>
                <w:lang w:val="en-US" w:eastAsia="zh-CN"/>
              </w:rPr>
              <w:t>兽药监察所</w:t>
            </w: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53.25</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11.33</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11.33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2.15</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2.15</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41.68</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41.68</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53.25</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55.15</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55.15</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2.78</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0.88</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0.88</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2.78</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56.03</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56.03</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56.03</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95" w:hRule="atLeast"/>
        </w:trPr>
        <w:tc>
          <w:tcPr>
            <w:tcW w:w="1042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pPr>
      <w:r>
        <w:rPr>
          <w:rFonts w:ascii="隶书" w:hAnsi="隶书" w:eastAsia="隶书" w:cs="隶书"/>
          <w:sz w:val="52"/>
          <w:szCs w:val="52"/>
        </w:rPr>
        <w:br w:type="page"/>
      </w:r>
    </w:p>
    <w:tbl>
      <w:tblPr>
        <w:tblStyle w:val="5"/>
        <w:tblW w:w="10440" w:type="dxa"/>
        <w:tblInd w:w="-902" w:type="dxa"/>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91" w:type="dxa"/>
            <w:gridSpan w:val="2"/>
            <w:vAlign w:val="center"/>
          </w:tcPr>
          <w:p>
            <w:pPr>
              <w:rPr>
                <w:rFonts w:ascii="宋体" w:cs="宋体"/>
                <w:color w:val="000000"/>
                <w:sz w:val="16"/>
                <w:szCs w:val="16"/>
              </w:rPr>
            </w:pPr>
            <w:r>
              <w:rPr>
                <w:rFonts w:hint="eastAsia" w:ascii="宋体" w:cs="宋体"/>
                <w:color w:val="000000"/>
                <w:sz w:val="21"/>
                <w:szCs w:val="21"/>
                <w:lang w:val="en-US" w:eastAsia="zh-CN"/>
              </w:rPr>
              <w:t>兽药监察所</w:t>
            </w: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55.15</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55.15</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人大立法</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人大监督</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人大代表履职能力提升</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代表工作</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人大信访工作</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600" w:hRule="atLeast"/>
        </w:trPr>
        <w:tc>
          <w:tcPr>
            <w:tcW w:w="1044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50" w:type="dxa"/>
            <w:gridSpan w:val="2"/>
            <w:vAlign w:val="center"/>
          </w:tcPr>
          <w:p>
            <w:pPr>
              <w:rPr>
                <w:rFonts w:ascii="宋体" w:cs="宋体"/>
                <w:color w:val="000000"/>
                <w:sz w:val="16"/>
                <w:szCs w:val="16"/>
              </w:rPr>
            </w:pPr>
            <w:r>
              <w:rPr>
                <w:rFonts w:hint="eastAsia" w:ascii="宋体" w:cs="宋体"/>
                <w:color w:val="000000"/>
                <w:sz w:val="21"/>
                <w:szCs w:val="21"/>
                <w:lang w:val="en-US" w:eastAsia="zh-CN"/>
              </w:rPr>
              <w:t>兽药监察所</w:t>
            </w: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40.50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0.57</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13.74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0.20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3.02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1.17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2.15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0.01</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19.70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0.04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0.72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14.08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11.33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2.69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0.05</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0.20</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0.07</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0.07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477" w:hRule="atLeast"/>
        </w:trPr>
        <w:tc>
          <w:tcPr>
            <w:tcW w:w="1048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485" w:type="dxa"/>
        <w:tblInd w:w="-911" w:type="dxa"/>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Layout w:type="fixed"/>
          <w:tblCellMar>
            <w:top w:w="15" w:type="dxa"/>
            <w:left w:w="15" w:type="dxa"/>
            <w:bottom w:w="15" w:type="dxa"/>
            <w:right w:w="15" w:type="dxa"/>
          </w:tblCellMar>
        </w:tblPrEx>
        <w:trPr>
          <w:trHeight w:val="375" w:hRule="atLeast"/>
        </w:trPr>
        <w:tc>
          <w:tcPr>
            <w:tcW w:w="10485"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83" w:type="dxa"/>
            <w:gridSpan w:val="2"/>
            <w:vAlign w:val="center"/>
          </w:tcPr>
          <w:p>
            <w:pPr>
              <w:rPr>
                <w:rFonts w:ascii="宋体" w:cs="宋体"/>
                <w:color w:val="000000"/>
                <w:sz w:val="16"/>
                <w:szCs w:val="16"/>
              </w:rPr>
            </w:pPr>
            <w:r>
              <w:rPr>
                <w:rFonts w:hint="eastAsia" w:ascii="宋体" w:cs="宋体"/>
                <w:color w:val="000000"/>
                <w:sz w:val="21"/>
                <w:szCs w:val="21"/>
                <w:lang w:val="en-US" w:eastAsia="zh-CN"/>
              </w:rPr>
              <w:t>兽药监察所</w:t>
            </w: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年度决算数</w:t>
            </w:r>
          </w:p>
        </w:tc>
      </w:tr>
      <w:tr>
        <w:tblPrEx>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Layout w:type="fixed"/>
          <w:tblCellMar>
            <w:top w:w="15" w:type="dxa"/>
            <w:left w:w="15" w:type="dxa"/>
            <w:bottom w:w="15" w:type="dxa"/>
            <w:right w:w="15" w:type="dxa"/>
          </w:tblCellMar>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b/>
                <w:color w:val="000000"/>
                <w:sz w:val="16"/>
                <w:szCs w:val="16"/>
              </w:rPr>
            </w:pP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 w:val="16"/>
                <w:szCs w:val="16"/>
              </w:rPr>
            </w:pP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ascii="宋体" w:cs="宋体"/>
                <w:b/>
                <w:color w:val="000000"/>
                <w:sz w:val="16"/>
                <w:szCs w:val="16"/>
              </w:rPr>
            </w:pP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485" w:type="dxa"/>
            <w:gridSpan w:val="2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500" w:type="dxa"/>
        <w:tblInd w:w="-902"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591" w:type="dxa"/>
            <w:gridSpan w:val="2"/>
            <w:vAlign w:val="center"/>
          </w:tcPr>
          <w:p>
            <w:pPr>
              <w:rPr>
                <w:rFonts w:ascii="宋体" w:cs="宋体"/>
                <w:color w:val="000000"/>
                <w:sz w:val="16"/>
                <w:szCs w:val="16"/>
              </w:rPr>
            </w:pPr>
            <w:r>
              <w:rPr>
                <w:rFonts w:hint="eastAsia" w:ascii="宋体" w:cs="宋体"/>
                <w:color w:val="000000"/>
                <w:sz w:val="21"/>
                <w:szCs w:val="21"/>
                <w:lang w:val="en-US" w:eastAsia="zh-CN"/>
              </w:rPr>
              <w:t>兽药监察所</w:t>
            </w: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宋体"/>
                <w:b/>
                <w:color w:val="FF0000"/>
                <w:sz w:val="20"/>
                <w:szCs w:val="20"/>
              </w:rPr>
            </w:pPr>
            <w:r>
              <w:rPr>
                <w:rFonts w:hint="eastAsia" w:ascii="宋体" w:cs="宋体"/>
                <w:b/>
                <w:bCs/>
                <w:color w:val="auto"/>
                <w:sz w:val="21"/>
                <w:szCs w:val="21"/>
                <w:lang w:val="en-US" w:eastAsia="zh-CN"/>
              </w:rPr>
              <w:t>兽药监察所</w:t>
            </w:r>
            <w:r>
              <w:rPr>
                <w:rFonts w:hint="eastAsia" w:ascii="宋体" w:hAnsi="宋体" w:cs="宋体"/>
                <w:b/>
                <w:bCs/>
                <w:color w:val="auto"/>
                <w:kern w:val="0"/>
                <w:sz w:val="20"/>
                <w:szCs w:val="20"/>
              </w:rPr>
              <w:t>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药监所</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55.70</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59.16</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年相持平。</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Times New Roman" w:eastAsia="仿宋_GB2312"/>
          <w:sz w:val="32"/>
          <w:szCs w:val="32"/>
        </w:rPr>
        <w:t>55.70</w:t>
      </w:r>
      <w:r>
        <w:rPr>
          <w:rFonts w:hint="eastAsia" w:ascii="仿宋_GB2312" w:hAnsi="Times New Roman" w:eastAsia="仿宋_GB2312"/>
          <w:sz w:val="32"/>
          <w:szCs w:val="32"/>
        </w:rPr>
        <w:t>万元，其中：财政拨款收入</w:t>
      </w:r>
      <w:r>
        <w:rPr>
          <w:rFonts w:ascii="仿宋_GB2312" w:hAnsi="Times New Roman" w:eastAsia="仿宋_GB2312"/>
          <w:sz w:val="32"/>
          <w:szCs w:val="32"/>
        </w:rPr>
        <w:t>53.25</w:t>
      </w:r>
      <w:r>
        <w:rPr>
          <w:rFonts w:hint="eastAsia" w:ascii="仿宋_GB2312" w:hAnsi="Times New Roman" w:eastAsia="仿宋_GB2312"/>
          <w:sz w:val="32"/>
          <w:szCs w:val="32"/>
        </w:rPr>
        <w:t>万元，占</w:t>
      </w:r>
      <w:r>
        <w:rPr>
          <w:rFonts w:ascii="仿宋_GB2312" w:hAnsi="Times New Roman" w:eastAsia="仿宋_GB2312"/>
          <w:sz w:val="32"/>
          <w:szCs w:val="32"/>
        </w:rPr>
        <w:t>95.6%</w:t>
      </w:r>
      <w:r>
        <w:rPr>
          <w:rFonts w:hint="eastAsia" w:ascii="仿宋_GB2312" w:hAnsi="Times New Roman" w:eastAsia="仿宋_GB2312"/>
          <w:sz w:val="32"/>
          <w:szCs w:val="32"/>
        </w:rPr>
        <w:t>；事业收入</w:t>
      </w:r>
      <w:r>
        <w:rPr>
          <w:rFonts w:ascii="仿宋_GB2312" w:hAnsi="Times New Roman" w:eastAsia="仿宋_GB2312"/>
          <w:sz w:val="32"/>
          <w:szCs w:val="32"/>
        </w:rPr>
        <w:t>2.45</w:t>
      </w:r>
      <w:r>
        <w:rPr>
          <w:rFonts w:hint="eastAsia" w:ascii="仿宋_GB2312" w:hAnsi="Times New Roman" w:eastAsia="仿宋_GB2312"/>
          <w:sz w:val="32"/>
          <w:szCs w:val="32"/>
        </w:rPr>
        <w:t>万元，占</w:t>
      </w:r>
      <w:r>
        <w:rPr>
          <w:rFonts w:ascii="仿宋_GB2312" w:hAnsi="Times New Roman" w:eastAsia="仿宋_GB2312"/>
          <w:sz w:val="32"/>
          <w:szCs w:val="32"/>
        </w:rPr>
        <w:t>4.4%</w:t>
      </w:r>
      <w:r>
        <w:rPr>
          <w:rFonts w:hint="eastAsia" w:ascii="仿宋_GB2312" w:hAnsi="Times New Roman" w:eastAsia="仿宋_GB2312"/>
          <w:sz w:val="32"/>
          <w:szCs w:val="32"/>
        </w:rPr>
        <w:t>；</w:t>
      </w:r>
    </w:p>
    <w:p>
      <w:pPr>
        <w:adjustRightInd w:val="0"/>
        <w:snapToGrid w:val="0"/>
        <w:spacing w:line="360" w:lineRule="auto"/>
        <w:ind w:firstLine="960" w:firstLineChars="3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59.16</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59.16</w:t>
      </w:r>
      <w:r>
        <w:rPr>
          <w:rFonts w:hint="eastAsia" w:ascii="仿宋_GB2312" w:hAnsi="宋体" w:eastAsia="仿宋_GB2312" w:cs="Courier New"/>
          <w:sz w:val="32"/>
          <w:szCs w:val="32"/>
        </w:rPr>
        <w:t>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年财政拨款收支总决算</w:t>
      </w:r>
      <w:r>
        <w:rPr>
          <w:rFonts w:ascii="仿宋_GB2312" w:hAnsi="宋体" w:eastAsia="仿宋_GB2312" w:cs="Courier New"/>
          <w:sz w:val="32"/>
          <w:szCs w:val="32"/>
        </w:rPr>
        <w:t>55.7</w:t>
      </w:r>
      <w:r>
        <w:rPr>
          <w:rFonts w:hint="eastAsia" w:ascii="仿宋_GB2312" w:hAnsi="宋体" w:eastAsia="仿宋_GB2312" w:cs="Courier New"/>
          <w:sz w:val="32"/>
          <w:szCs w:val="32"/>
        </w:rPr>
        <w:t>万元</w:t>
      </w:r>
    </w:p>
    <w:p>
      <w:pPr>
        <w:numPr>
          <w:ilvl w:val="0"/>
          <w:numId w:val="3"/>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55.15</w:t>
      </w:r>
      <w:r>
        <w:rPr>
          <w:rFonts w:hint="eastAsia" w:ascii="仿宋_GB2312" w:hAnsi="宋体" w:eastAsia="仿宋_GB2312" w:cs="Courier New"/>
          <w:sz w:val="32"/>
          <w:szCs w:val="32"/>
        </w:rPr>
        <w:t>万元</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55.15</w:t>
      </w:r>
      <w:r>
        <w:rPr>
          <w:rFonts w:hint="eastAsia" w:ascii="仿宋_GB2312" w:hAnsi="宋体" w:eastAsia="仿宋_GB2312" w:cs="Courier New"/>
          <w:sz w:val="32"/>
          <w:szCs w:val="32"/>
        </w:rPr>
        <w:t>万元</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67.54</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55.15</w:t>
      </w:r>
      <w:r>
        <w:rPr>
          <w:rFonts w:hint="eastAsia" w:ascii="仿宋_GB2312" w:hAnsi="宋体" w:eastAsia="仿宋_GB2312" w:cs="Courier New"/>
          <w:sz w:val="32"/>
          <w:szCs w:val="32"/>
        </w:rPr>
        <w:t>万元</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一般公共服务（类）财政事务（款）行政运行（项）。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67.54</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55.15</w:t>
      </w:r>
      <w:r>
        <w:rPr>
          <w:rFonts w:hint="eastAsia" w:ascii="仿宋_GB2312" w:hAnsi="宋体" w:eastAsia="仿宋_GB2312" w:cs="Courier New"/>
          <w:sz w:val="32"/>
          <w:szCs w:val="32"/>
        </w:rPr>
        <w:t>万元。</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一般公共服务（类）财政事务（款）一般行政管理事务（项）。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67.54</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55.15</w:t>
      </w:r>
      <w:r>
        <w:rPr>
          <w:rFonts w:hint="eastAsia" w:ascii="仿宋_GB2312" w:hAnsi="宋体" w:eastAsia="仿宋_GB2312" w:cs="Courier New"/>
          <w:sz w:val="32"/>
          <w:szCs w:val="32"/>
        </w:rPr>
        <w:t>万元</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59.16</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54.58</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w:t>
      </w:r>
      <w:r>
        <w:rPr>
          <w:rFonts w:ascii="仿宋_GB2312" w:hAnsi="宋体" w:eastAsia="仿宋_GB2312" w:cs="Courier New"/>
          <w:sz w:val="32"/>
          <w:szCs w:val="32"/>
        </w:rPr>
        <w:t>13.74</w:t>
      </w:r>
      <w:r>
        <w:rPr>
          <w:rFonts w:hint="eastAsia" w:ascii="仿宋_GB2312" w:hAnsi="宋体" w:eastAsia="仿宋_GB2312" w:cs="Courier New"/>
          <w:sz w:val="32"/>
          <w:szCs w:val="32"/>
        </w:rPr>
        <w:t>万元、津贴补贴</w:t>
      </w:r>
      <w:r>
        <w:rPr>
          <w:rFonts w:ascii="仿宋_GB2312" w:hAnsi="宋体" w:eastAsia="仿宋_GB2312" w:cs="Courier New"/>
          <w:sz w:val="32"/>
          <w:szCs w:val="32"/>
        </w:rPr>
        <w:t>3.02</w:t>
      </w:r>
      <w:r>
        <w:rPr>
          <w:rFonts w:hint="eastAsia" w:ascii="仿宋_GB2312" w:hAnsi="宋体" w:eastAsia="仿宋_GB2312" w:cs="Courier New"/>
          <w:sz w:val="32"/>
          <w:szCs w:val="32"/>
        </w:rPr>
        <w:t>万元、绩效工资</w:t>
      </w:r>
      <w:r>
        <w:rPr>
          <w:rFonts w:ascii="仿宋_GB2312" w:hAnsi="宋体" w:eastAsia="仿宋_GB2312" w:cs="Courier New"/>
          <w:sz w:val="32"/>
          <w:szCs w:val="32"/>
        </w:rPr>
        <w:t>19.70</w:t>
      </w:r>
      <w:r>
        <w:rPr>
          <w:rFonts w:hint="eastAsia" w:ascii="仿宋_GB2312" w:hAnsi="宋体" w:eastAsia="仿宋_GB2312" w:cs="Courier New"/>
          <w:sz w:val="32"/>
          <w:szCs w:val="32"/>
        </w:rPr>
        <w:t>万元；</w:t>
      </w:r>
      <w:r>
        <w:rPr>
          <w:rFonts w:hint="eastAsia" w:ascii="仿宋_GB2312" w:hAnsi="Times New Roman" w:eastAsia="仿宋_GB2312" w:cs="仿宋_GB2312"/>
          <w:b/>
          <w:spacing w:val="-1"/>
          <w:kern w:val="0"/>
          <w:sz w:val="32"/>
          <w:szCs w:val="32"/>
        </w:rPr>
        <w:t>公用经费</w:t>
      </w:r>
      <w:r>
        <w:rPr>
          <w:rFonts w:ascii="仿宋_GB2312" w:hAnsi="Times New Roman" w:eastAsia="仿宋_GB2312" w:cs="仿宋_GB2312"/>
          <w:b/>
          <w:spacing w:val="-1"/>
          <w:kern w:val="0"/>
          <w:sz w:val="32"/>
          <w:szCs w:val="32"/>
        </w:rPr>
        <w:t>0.57</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67.54</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55.15</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82.5%</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ascii="楷体_GB2312" w:hAnsi="楷体_GB2312" w:eastAsia="楷体_GB2312" w:cs="楷体_GB2312"/>
          <w:sz w:val="32"/>
          <w:szCs w:val="32"/>
        </w:rPr>
        <w:t xml:space="preserve">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 xml:space="preserve">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三、其他收入：</w:t>
      </w:r>
      <w:r>
        <w:rPr>
          <w:rFonts w:hint="eastAsia" w:ascii="仿宋_GB2312" w:hAnsi="宋体" w:eastAsia="仿宋_GB2312" w:cs="Courier New"/>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highlight w:val="none"/>
        </w:rPr>
        <w:t>指事业单位在当年的“财政拨款收入”、“事业收入”和“其他收入”</w:t>
      </w:r>
      <w:r>
        <w:rPr>
          <w:rFonts w:hint="eastAsia" w:ascii="仿宋_GB2312" w:hAnsi="宋体" w:eastAsia="仿宋_GB2312" w:cs="Courier New"/>
          <w:sz w:val="32"/>
          <w:szCs w:val="32"/>
        </w:rPr>
        <w:t>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五、年末结转和结余：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lang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九、机关运行经费：</w:t>
      </w:r>
      <w:r>
        <w:rPr>
          <w:rFonts w:hint="eastAsia" w:ascii="仿宋_GB2312" w:hAnsi="宋体" w:eastAsia="仿宋_GB2312"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bookmarkStart w:id="0" w:name="_GoBack"/>
      <w:bookmarkEnd w:id="0"/>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- 15 -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49B"/>
    <w:multiLevelType w:val="multilevel"/>
    <w:tmpl w:val="08D0349B"/>
    <w:lvl w:ilvl="0" w:tentative="0">
      <w:start w:val="3"/>
      <w:numFmt w:val="japaneseCounting"/>
      <w:lvlText w:val="%1、"/>
      <w:lvlJc w:val="left"/>
      <w:pPr>
        <w:tabs>
          <w:tab w:val="left" w:pos="720"/>
        </w:tabs>
        <w:ind w:left="720" w:hanging="720"/>
      </w:pPr>
      <w:rPr>
        <w:rFonts w:hint="default" w:ascii="宋体" w:hAnsi="Calibri" w:eastAsia="宋体" w:cs="宋体"/>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3">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4">
    <w:nsid w:val="5971DD00"/>
    <w:multiLevelType w:val="singleLevel"/>
    <w:tmpl w:val="5971DD00"/>
    <w:lvl w:ilvl="0" w:tentative="0">
      <w:start w:val="1"/>
      <w:numFmt w:val="decimal"/>
      <w:suff w:val="nothing"/>
      <w:lvlText w:val="%1．"/>
      <w:lvlJc w:val="left"/>
      <w:pPr>
        <w:ind w:firstLine="400"/>
      </w:pPr>
      <w:rPr>
        <w:rFonts w:hint="default" w:cs="Times New Roman"/>
      </w:rPr>
    </w:lvl>
  </w:abstractNum>
  <w:abstractNum w:abstractNumId="5">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B5A03"/>
    <w:rsid w:val="001150B0"/>
    <w:rsid w:val="00172A27"/>
    <w:rsid w:val="002603A4"/>
    <w:rsid w:val="002929B4"/>
    <w:rsid w:val="004D6085"/>
    <w:rsid w:val="005A1726"/>
    <w:rsid w:val="005B1837"/>
    <w:rsid w:val="0064330D"/>
    <w:rsid w:val="00644185"/>
    <w:rsid w:val="006558C4"/>
    <w:rsid w:val="0066288A"/>
    <w:rsid w:val="006914F5"/>
    <w:rsid w:val="006B1669"/>
    <w:rsid w:val="007A5E47"/>
    <w:rsid w:val="007F4348"/>
    <w:rsid w:val="008A4300"/>
    <w:rsid w:val="008F2EFE"/>
    <w:rsid w:val="009108DE"/>
    <w:rsid w:val="00971D14"/>
    <w:rsid w:val="00B458CF"/>
    <w:rsid w:val="00C31F7B"/>
    <w:rsid w:val="00C827C8"/>
    <w:rsid w:val="00C837EF"/>
    <w:rsid w:val="00CB03E8"/>
    <w:rsid w:val="00CD71F9"/>
    <w:rsid w:val="00DD22AB"/>
    <w:rsid w:val="00E023FE"/>
    <w:rsid w:val="00F07F4E"/>
    <w:rsid w:val="00F76028"/>
    <w:rsid w:val="00FE0558"/>
    <w:rsid w:val="04453648"/>
    <w:rsid w:val="05DB00B9"/>
    <w:rsid w:val="09BB2134"/>
    <w:rsid w:val="0CA434B9"/>
    <w:rsid w:val="0E4C156E"/>
    <w:rsid w:val="10BD4691"/>
    <w:rsid w:val="11585E8B"/>
    <w:rsid w:val="15492582"/>
    <w:rsid w:val="18F44D57"/>
    <w:rsid w:val="1D415527"/>
    <w:rsid w:val="1E7D3B34"/>
    <w:rsid w:val="22A51050"/>
    <w:rsid w:val="283D43BA"/>
    <w:rsid w:val="29B70F08"/>
    <w:rsid w:val="2B1B3FC3"/>
    <w:rsid w:val="2BA4769A"/>
    <w:rsid w:val="2CD06EF4"/>
    <w:rsid w:val="2F335194"/>
    <w:rsid w:val="30963758"/>
    <w:rsid w:val="32EF40CE"/>
    <w:rsid w:val="34920D5F"/>
    <w:rsid w:val="35AB7798"/>
    <w:rsid w:val="372974AC"/>
    <w:rsid w:val="37515EC2"/>
    <w:rsid w:val="3949702E"/>
    <w:rsid w:val="3BE408BA"/>
    <w:rsid w:val="3C7F703B"/>
    <w:rsid w:val="3D70189E"/>
    <w:rsid w:val="3DB74C66"/>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4"/>
    <w:link w:val="2"/>
    <w:semiHidden/>
    <w:locked/>
    <w:uiPriority w:val="99"/>
    <w:rPr>
      <w:rFonts w:ascii="Calibri" w:hAnsi="Calibri" w:cs="Times New Roman"/>
      <w:sz w:val="18"/>
      <w:szCs w:val="18"/>
    </w:rPr>
  </w:style>
  <w:style w:type="character" w:customStyle="1" w:styleId="7">
    <w:name w:val="Header Char"/>
    <w:basedOn w:val="4"/>
    <w:link w:val="3"/>
    <w:semiHidden/>
    <w:locked/>
    <w:uiPriority w:val="99"/>
    <w:rPr>
      <w:rFonts w:ascii="Calibri" w:hAnsi="Calibri" w:cs="Times New Roman"/>
      <w:sz w:val="18"/>
      <w:szCs w:val="18"/>
    </w:rPr>
  </w:style>
  <w:style w:type="character" w:customStyle="1" w:styleId="8">
    <w:name w:val="font31"/>
    <w:basedOn w:val="4"/>
    <w:qFormat/>
    <w:uiPriority w:val="99"/>
    <w:rPr>
      <w:rFonts w:ascii="Arial" w:hAnsi="Arial" w:cs="Arial"/>
      <w:color w:val="000000"/>
      <w:sz w:val="16"/>
      <w:szCs w:val="16"/>
      <w:u w:val="none"/>
    </w:rPr>
  </w:style>
  <w:style w:type="character" w:customStyle="1" w:styleId="9">
    <w:name w:val="font01"/>
    <w:basedOn w:val="4"/>
    <w:qFormat/>
    <w:uiPriority w:val="99"/>
    <w:rPr>
      <w:rFonts w:ascii="Arial" w:hAnsi="Arial" w:cs="Arial"/>
      <w:color w:val="000000"/>
      <w:sz w:val="16"/>
      <w:szCs w:val="16"/>
      <w:u w:val="none"/>
    </w:rPr>
  </w:style>
  <w:style w:type="character" w:customStyle="1" w:styleId="10">
    <w:name w:val="font41"/>
    <w:basedOn w:val="4"/>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23</Pages>
  <Words>1236</Words>
  <Characters>7048</Characters>
  <Lines>0</Lines>
  <Paragraphs>0</Paragraphs>
  <TotalTime>0</TotalTime>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2017-11-02T01:02:58Z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