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南阳市卧龙区畜牧局</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52"/>
          <w:szCs w:val="52"/>
        </w:rPr>
        <w:t>2016年度部门决算</w:t>
      </w:r>
    </w:p>
    <w:p>
      <w:pPr>
        <w:jc w:val="center"/>
        <w:rPr>
          <w:rFonts w:ascii="黑体" w:hAnsi="黑体" w:eastAsia="黑体" w:cs="黑体"/>
          <w:sz w:val="44"/>
          <w:szCs w:val="44"/>
        </w:rP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jc w:val="center"/>
        <w:rPr>
          <w:rFonts w:ascii="黑体" w:hAnsi="黑体" w:eastAsia="黑体" w:cs="黑体"/>
          <w:sz w:val="44"/>
          <w:szCs w:val="44"/>
        </w:rPr>
      </w:pPr>
    </w:p>
    <w:p>
      <w:pPr>
        <w:jc w:val="left"/>
        <w:rPr>
          <w:rFonts w:ascii="黑体" w:hAnsi="黑体" w:eastAsia="黑体" w:cs="黑体"/>
          <w:sz w:val="36"/>
          <w:szCs w:val="36"/>
        </w:rPr>
      </w:pPr>
      <w:r>
        <w:rPr>
          <w:rFonts w:hint="eastAsia" w:ascii="黑体" w:hAnsi="黑体" w:eastAsia="黑体" w:cs="黑体"/>
          <w:sz w:val="36"/>
          <w:szCs w:val="36"/>
        </w:rPr>
        <w:t>第一部分  卧龙区畜牧局概况</w:t>
      </w:r>
      <w:r>
        <w:rPr>
          <w:rFonts w:ascii="黑体" w:hAnsi="黑体" w:eastAsia="黑体" w:cs="黑体"/>
          <w:sz w:val="36"/>
          <w:szCs w:val="36"/>
        </w:rPr>
        <w:t xml:space="preserve"> </w:t>
      </w:r>
    </w:p>
    <w:p>
      <w:pPr>
        <w:jc w:val="left"/>
        <w:rPr>
          <w:rFonts w:ascii="宋体" w:hAnsi="宋体" w:eastAsia="宋体" w:cs="黑体"/>
          <w:sz w:val="32"/>
          <w:szCs w:val="32"/>
        </w:rPr>
      </w:pPr>
      <w:r>
        <w:rPr>
          <w:rFonts w:hint="eastAsia" w:ascii="宋体" w:hAnsi="宋体" w:eastAsia="宋体" w:cs="黑体"/>
          <w:sz w:val="32"/>
          <w:szCs w:val="32"/>
        </w:rPr>
        <w:t>一、主要职能</w:t>
      </w:r>
    </w:p>
    <w:p>
      <w:pPr>
        <w:jc w:val="left"/>
        <w:rPr>
          <w:rFonts w:ascii="宋体" w:hAnsi="宋体" w:eastAsia="宋体" w:cs="黑体"/>
          <w:sz w:val="32"/>
          <w:szCs w:val="32"/>
        </w:rPr>
      </w:pPr>
      <w:r>
        <w:rPr>
          <w:rFonts w:hint="eastAsia" w:ascii="宋体" w:hAnsi="宋体" w:eastAsia="宋体" w:cs="黑体"/>
          <w:sz w:val="32"/>
          <w:szCs w:val="32"/>
        </w:rPr>
        <w:t>二、部门决算单位构成</w:t>
      </w:r>
    </w:p>
    <w:p>
      <w:pPr>
        <w:jc w:val="left"/>
        <w:rPr>
          <w:rFonts w:ascii="黑体" w:hAnsi="黑体" w:eastAsia="黑体" w:cs="黑体"/>
          <w:sz w:val="36"/>
          <w:szCs w:val="36"/>
        </w:rPr>
      </w:pPr>
      <w:r>
        <w:rPr>
          <w:rFonts w:hint="eastAsia" w:ascii="黑体" w:hAnsi="黑体" w:eastAsia="黑体" w:cs="黑体"/>
          <w:sz w:val="36"/>
          <w:szCs w:val="36"/>
        </w:rPr>
        <w:t>第二部分</w:t>
      </w:r>
      <w:r>
        <w:rPr>
          <w:rFonts w:ascii="黑体" w:hAnsi="黑体" w:eastAsia="黑体" w:cs="黑体"/>
          <w:sz w:val="36"/>
          <w:szCs w:val="36"/>
        </w:rPr>
        <w:t xml:space="preserve"> </w:t>
      </w:r>
      <w:r>
        <w:rPr>
          <w:rFonts w:hint="eastAsia" w:ascii="黑体" w:hAnsi="黑体" w:eastAsia="黑体" w:cs="黑体"/>
          <w:sz w:val="36"/>
          <w:szCs w:val="36"/>
        </w:rPr>
        <w:t>卧龙区畜牧局2</w:t>
      </w:r>
      <w:r>
        <w:rPr>
          <w:rFonts w:ascii="黑体" w:hAnsi="黑体" w:eastAsia="黑体" w:cs="黑体"/>
          <w:sz w:val="36"/>
          <w:szCs w:val="36"/>
        </w:rPr>
        <w:t>01</w:t>
      </w:r>
      <w:r>
        <w:rPr>
          <w:rFonts w:hint="eastAsia" w:ascii="黑体" w:hAnsi="黑体" w:eastAsia="黑体" w:cs="黑体"/>
          <w:sz w:val="36"/>
          <w:szCs w:val="36"/>
          <w:lang w:val="en-US" w:eastAsia="zh-CN"/>
        </w:rPr>
        <w:t>6</w:t>
      </w:r>
      <w:r>
        <w:rPr>
          <w:rFonts w:ascii="黑体" w:hAnsi="黑体" w:eastAsia="黑体" w:cs="黑体"/>
          <w:sz w:val="36"/>
          <w:szCs w:val="36"/>
        </w:rPr>
        <w:t xml:space="preserve"> </w:t>
      </w:r>
      <w:r>
        <w:rPr>
          <w:rFonts w:hint="eastAsia" w:ascii="黑体" w:hAnsi="黑体" w:eastAsia="黑体" w:cs="黑体"/>
          <w:sz w:val="36"/>
          <w:szCs w:val="36"/>
        </w:rPr>
        <w:t>年度部门决算表</w:t>
      </w:r>
    </w:p>
    <w:p>
      <w:pPr>
        <w:jc w:val="left"/>
        <w:rPr>
          <w:rFonts w:ascii="宋体" w:hAnsi="宋体" w:eastAsia="宋体" w:cs="黑体"/>
          <w:sz w:val="32"/>
          <w:szCs w:val="32"/>
        </w:rPr>
      </w:pPr>
      <w:r>
        <w:rPr>
          <w:rFonts w:hint="eastAsia" w:ascii="宋体" w:hAnsi="宋体" w:eastAsia="宋体" w:cs="黑体"/>
          <w:sz w:val="32"/>
          <w:szCs w:val="32"/>
        </w:rPr>
        <w:t>一、收入支出决算总表</w:t>
      </w:r>
      <w:r>
        <w:rPr>
          <w:rFonts w:ascii="宋体" w:hAnsi="宋体" w:eastAsia="宋体" w:cs="黑体"/>
          <w:sz w:val="32"/>
          <w:szCs w:val="32"/>
        </w:rPr>
        <w:t xml:space="preserve"> </w:t>
      </w:r>
    </w:p>
    <w:p>
      <w:pPr>
        <w:jc w:val="left"/>
        <w:rPr>
          <w:rFonts w:ascii="宋体" w:hAnsi="宋体" w:eastAsia="宋体" w:cs="黑体"/>
          <w:sz w:val="32"/>
          <w:szCs w:val="32"/>
        </w:rPr>
      </w:pPr>
      <w:r>
        <w:rPr>
          <w:rFonts w:hint="eastAsia" w:ascii="宋体" w:hAnsi="宋体" w:eastAsia="宋体" w:cs="黑体"/>
          <w:sz w:val="32"/>
          <w:szCs w:val="32"/>
        </w:rPr>
        <w:t>二、收入决算表</w:t>
      </w:r>
      <w:r>
        <w:rPr>
          <w:rFonts w:ascii="宋体" w:hAnsi="宋体" w:eastAsia="宋体" w:cs="黑体"/>
          <w:sz w:val="32"/>
          <w:szCs w:val="32"/>
        </w:rPr>
        <w:t xml:space="preserve"> </w:t>
      </w:r>
    </w:p>
    <w:p>
      <w:pPr>
        <w:jc w:val="left"/>
        <w:rPr>
          <w:rFonts w:ascii="宋体" w:hAnsi="宋体" w:eastAsia="宋体" w:cs="黑体"/>
          <w:sz w:val="32"/>
          <w:szCs w:val="32"/>
        </w:rPr>
      </w:pPr>
      <w:r>
        <w:rPr>
          <w:rFonts w:hint="eastAsia" w:ascii="宋体" w:hAnsi="宋体" w:eastAsia="宋体" w:cs="黑体"/>
          <w:sz w:val="32"/>
          <w:szCs w:val="32"/>
        </w:rPr>
        <w:t>三、支出决算表</w:t>
      </w:r>
    </w:p>
    <w:p>
      <w:pPr>
        <w:jc w:val="left"/>
        <w:rPr>
          <w:rFonts w:ascii="宋体" w:hAnsi="宋体" w:eastAsia="宋体" w:cs="黑体"/>
          <w:sz w:val="32"/>
          <w:szCs w:val="32"/>
        </w:rPr>
      </w:pPr>
      <w:r>
        <w:rPr>
          <w:rFonts w:hint="eastAsia" w:ascii="宋体" w:hAnsi="宋体" w:eastAsia="宋体" w:cs="黑体"/>
          <w:sz w:val="32"/>
          <w:szCs w:val="32"/>
        </w:rPr>
        <w:t>四、财政拨款收入支出决算总表</w:t>
      </w:r>
      <w:r>
        <w:rPr>
          <w:rFonts w:ascii="宋体" w:hAnsi="宋体" w:eastAsia="宋体" w:cs="黑体"/>
          <w:sz w:val="32"/>
          <w:szCs w:val="32"/>
        </w:rPr>
        <w:t xml:space="preserve"> </w:t>
      </w:r>
    </w:p>
    <w:p>
      <w:pPr>
        <w:jc w:val="left"/>
        <w:rPr>
          <w:rFonts w:ascii="宋体" w:hAnsi="宋体" w:eastAsia="宋体" w:cs="黑体"/>
          <w:sz w:val="32"/>
          <w:szCs w:val="32"/>
        </w:rPr>
      </w:pPr>
      <w:r>
        <w:rPr>
          <w:rFonts w:hint="eastAsia" w:ascii="宋体" w:hAnsi="宋体" w:eastAsia="宋体" w:cs="黑体"/>
          <w:sz w:val="32"/>
          <w:szCs w:val="32"/>
        </w:rPr>
        <w:t>五、一般公共预算财政拨款支出决算表</w:t>
      </w:r>
      <w:r>
        <w:rPr>
          <w:rFonts w:ascii="宋体" w:hAnsi="宋体" w:eastAsia="宋体" w:cs="黑体"/>
          <w:sz w:val="32"/>
          <w:szCs w:val="32"/>
        </w:rPr>
        <w:t xml:space="preserve"> </w:t>
      </w:r>
    </w:p>
    <w:p>
      <w:pPr>
        <w:jc w:val="left"/>
        <w:rPr>
          <w:rFonts w:ascii="宋体" w:hAnsi="宋体" w:eastAsia="宋体" w:cs="黑体"/>
          <w:sz w:val="32"/>
          <w:szCs w:val="32"/>
        </w:rPr>
      </w:pPr>
      <w:r>
        <w:rPr>
          <w:rFonts w:hint="eastAsia" w:ascii="宋体" w:hAnsi="宋体" w:eastAsia="宋体" w:cs="黑体"/>
          <w:sz w:val="32"/>
          <w:szCs w:val="32"/>
        </w:rPr>
        <w:t>六、一般公共预算财政拨款基本支出决算表</w:t>
      </w:r>
      <w:r>
        <w:rPr>
          <w:rFonts w:ascii="宋体" w:hAnsi="宋体" w:eastAsia="宋体" w:cs="黑体"/>
          <w:sz w:val="32"/>
          <w:szCs w:val="32"/>
        </w:rPr>
        <w:t xml:space="preserve"> </w:t>
      </w:r>
    </w:p>
    <w:p>
      <w:pPr>
        <w:jc w:val="left"/>
        <w:rPr>
          <w:rFonts w:ascii="宋体" w:hAnsi="宋体" w:eastAsia="宋体" w:cs="黑体"/>
          <w:sz w:val="32"/>
          <w:szCs w:val="32"/>
        </w:rPr>
      </w:pPr>
      <w:r>
        <w:rPr>
          <w:rFonts w:hint="eastAsia" w:ascii="宋体" w:hAnsi="宋体" w:eastAsia="宋体" w:cs="黑体"/>
          <w:sz w:val="32"/>
          <w:szCs w:val="32"/>
        </w:rPr>
        <w:t>七、一般公共预算财政拨款“三公”经费支出决算表</w:t>
      </w:r>
      <w:r>
        <w:rPr>
          <w:rFonts w:ascii="宋体" w:hAnsi="宋体" w:eastAsia="宋体" w:cs="黑体"/>
          <w:sz w:val="32"/>
          <w:szCs w:val="32"/>
        </w:rPr>
        <w:t xml:space="preserve"> </w:t>
      </w:r>
    </w:p>
    <w:p>
      <w:pPr>
        <w:jc w:val="left"/>
        <w:rPr>
          <w:rFonts w:ascii="宋体" w:hAnsi="宋体" w:eastAsia="宋体" w:cs="黑体"/>
          <w:sz w:val="32"/>
          <w:szCs w:val="32"/>
        </w:rPr>
      </w:pPr>
      <w:r>
        <w:rPr>
          <w:rFonts w:hint="eastAsia" w:ascii="宋体" w:hAnsi="宋体" w:eastAsia="宋体" w:cs="黑体"/>
          <w:sz w:val="32"/>
          <w:szCs w:val="32"/>
        </w:rPr>
        <w:t>八、政府性基金预算财政拨款收入支出决算表</w:t>
      </w:r>
    </w:p>
    <w:p>
      <w:pPr>
        <w:jc w:val="left"/>
        <w:rPr>
          <w:rFonts w:ascii="黑体" w:hAnsi="黑体" w:eastAsia="黑体" w:cs="黑体"/>
          <w:sz w:val="36"/>
          <w:szCs w:val="36"/>
        </w:rPr>
      </w:pPr>
      <w:r>
        <w:rPr>
          <w:rFonts w:hint="eastAsia" w:ascii="黑体" w:hAnsi="黑体" w:eastAsia="黑体" w:cs="黑体"/>
          <w:sz w:val="36"/>
          <w:szCs w:val="36"/>
        </w:rPr>
        <w:t>第三部分</w:t>
      </w:r>
      <w:r>
        <w:rPr>
          <w:rFonts w:ascii="黑体" w:hAnsi="黑体" w:eastAsia="黑体" w:cs="黑体"/>
          <w:sz w:val="36"/>
          <w:szCs w:val="36"/>
        </w:rPr>
        <w:t xml:space="preserve"> </w:t>
      </w:r>
      <w:r>
        <w:rPr>
          <w:rFonts w:hint="eastAsia" w:ascii="黑体" w:hAnsi="黑体" w:eastAsia="黑体" w:cs="黑体"/>
          <w:sz w:val="36"/>
          <w:szCs w:val="36"/>
        </w:rPr>
        <w:t>卧龙区畜牧局</w:t>
      </w:r>
      <w:r>
        <w:rPr>
          <w:rFonts w:ascii="黑体" w:hAnsi="黑体" w:eastAsia="黑体" w:cs="黑体"/>
          <w:sz w:val="36"/>
          <w:szCs w:val="36"/>
        </w:rPr>
        <w:t xml:space="preserve"> 201</w:t>
      </w:r>
      <w:r>
        <w:rPr>
          <w:rFonts w:hint="eastAsia" w:ascii="黑体" w:hAnsi="黑体" w:eastAsia="黑体" w:cs="黑体"/>
          <w:sz w:val="36"/>
          <w:szCs w:val="36"/>
          <w:lang w:val="en-US" w:eastAsia="zh-CN"/>
        </w:rPr>
        <w:t>6</w:t>
      </w:r>
      <w:r>
        <w:rPr>
          <w:rFonts w:ascii="黑体" w:hAnsi="黑体" w:eastAsia="黑体" w:cs="黑体"/>
          <w:sz w:val="36"/>
          <w:szCs w:val="36"/>
        </w:rPr>
        <w:t xml:space="preserve"> </w:t>
      </w:r>
      <w:r>
        <w:rPr>
          <w:rFonts w:hint="eastAsia" w:ascii="黑体" w:hAnsi="黑体" w:eastAsia="黑体" w:cs="黑体"/>
          <w:sz w:val="36"/>
          <w:szCs w:val="36"/>
        </w:rPr>
        <w:t>年度部门决算情况说明</w:t>
      </w:r>
      <w:r>
        <w:rPr>
          <w:rFonts w:ascii="黑体" w:hAnsi="黑体" w:eastAsia="黑体" w:cs="黑体"/>
          <w:sz w:val="36"/>
          <w:szCs w:val="36"/>
        </w:rPr>
        <w:t xml:space="preserve"> </w:t>
      </w:r>
    </w:p>
    <w:p>
      <w:pPr>
        <w:jc w:val="left"/>
        <w:rPr>
          <w:rFonts w:ascii="黑体" w:hAnsi="黑体" w:eastAsia="黑体" w:cs="黑体"/>
          <w:sz w:val="36"/>
          <w:szCs w:val="36"/>
        </w:rPr>
      </w:pPr>
      <w:r>
        <w:rPr>
          <w:rFonts w:hint="eastAsia" w:ascii="黑体" w:hAnsi="黑体" w:eastAsia="黑体" w:cs="黑体"/>
          <w:sz w:val="36"/>
          <w:szCs w:val="36"/>
        </w:rPr>
        <w:t>第四部分</w:t>
      </w:r>
      <w:r>
        <w:rPr>
          <w:rFonts w:ascii="黑体" w:hAnsi="黑体" w:eastAsia="黑体" w:cs="黑体"/>
          <w:sz w:val="36"/>
          <w:szCs w:val="36"/>
        </w:rPr>
        <w:t xml:space="preserve"> </w:t>
      </w:r>
      <w:r>
        <w:rPr>
          <w:rFonts w:hint="eastAsia" w:ascii="黑体" w:hAnsi="黑体" w:eastAsia="黑体" w:cs="黑体"/>
          <w:sz w:val="36"/>
          <w:szCs w:val="36"/>
        </w:rPr>
        <w:t>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3"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卧龙区畜牧局概况</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第一部分</w:t>
      </w:r>
    </w:p>
    <w:p>
      <w:pPr>
        <w:spacing w:line="360" w:lineRule="auto"/>
        <w:jc w:val="center"/>
        <w:rPr>
          <w:rFonts w:ascii="黑体" w:hAnsi="黑体" w:eastAsia="黑体" w:cs="黑体"/>
          <w:sz w:val="32"/>
          <w:szCs w:val="32"/>
        </w:rPr>
      </w:pPr>
      <w:r>
        <w:rPr>
          <w:rFonts w:hint="eastAsia" w:ascii="黑体" w:hAnsi="黑体" w:eastAsia="黑体" w:cs="黑体"/>
          <w:sz w:val="32"/>
          <w:szCs w:val="32"/>
        </w:rPr>
        <w:t>卧龙区畜牧局概况</w:t>
      </w:r>
    </w:p>
    <w:p>
      <w:pPr>
        <w:spacing w:line="360" w:lineRule="auto"/>
        <w:jc w:val="left"/>
        <w:rPr>
          <w:rFonts w:ascii="黑体" w:hAnsi="黑体" w:eastAsia="黑体" w:cs="黑体"/>
          <w:sz w:val="32"/>
          <w:szCs w:val="32"/>
        </w:rPr>
      </w:pPr>
    </w:p>
    <w:p>
      <w:pPr>
        <w:spacing w:line="360" w:lineRule="auto"/>
        <w:jc w:val="left"/>
        <w:rPr>
          <w:rFonts w:ascii="黑体" w:hAnsi="黑体" w:eastAsia="黑体" w:cs="黑体"/>
          <w:sz w:val="32"/>
          <w:szCs w:val="32"/>
        </w:rPr>
      </w:pPr>
      <w:r>
        <w:rPr>
          <w:rFonts w:hint="eastAsia" w:ascii="黑体" w:hAnsi="黑体" w:eastAsia="黑体" w:cs="黑体"/>
          <w:sz w:val="32"/>
          <w:szCs w:val="32"/>
        </w:rPr>
        <w:t>一、卧龙区畜牧局主要职责</w:t>
      </w:r>
    </w:p>
    <w:p>
      <w:pPr>
        <w:spacing w:line="360" w:lineRule="auto"/>
        <w:jc w:val="left"/>
        <w:rPr>
          <w:rFonts w:ascii="宋体" w:hAnsi="宋体" w:eastAsia="宋体" w:cs="黑体"/>
          <w:sz w:val="32"/>
          <w:szCs w:val="32"/>
        </w:rPr>
      </w:pPr>
      <w:r>
        <w:rPr>
          <w:rFonts w:hint="eastAsia" w:ascii="宋体" w:hAnsi="宋体" w:eastAsia="宋体" w:cs="黑体"/>
          <w:sz w:val="32"/>
          <w:szCs w:val="32"/>
        </w:rPr>
        <w:t>（一）贯彻执行国家有关发展畜牧业的方针、政策、法律、法规</w:t>
      </w:r>
    </w:p>
    <w:p>
      <w:pPr>
        <w:spacing w:line="360" w:lineRule="auto"/>
        <w:jc w:val="left"/>
        <w:rPr>
          <w:rFonts w:ascii="宋体" w:hAnsi="宋体" w:eastAsia="宋体" w:cs="黑体"/>
          <w:sz w:val="32"/>
          <w:szCs w:val="32"/>
        </w:rPr>
      </w:pPr>
      <w:r>
        <w:rPr>
          <w:rFonts w:hint="eastAsia" w:ascii="宋体" w:hAnsi="宋体" w:eastAsia="宋体" w:cs="黑体"/>
          <w:sz w:val="32"/>
          <w:szCs w:val="32"/>
        </w:rPr>
        <w:t>（二）负责畜牧业项目的审查、筛选、立项、申报等，并指导项目的实施，对实施情况进行监督、检查</w:t>
      </w:r>
    </w:p>
    <w:p>
      <w:pPr>
        <w:spacing w:line="360" w:lineRule="auto"/>
        <w:jc w:val="left"/>
        <w:rPr>
          <w:rFonts w:ascii="宋体" w:hAnsi="宋体" w:eastAsia="宋体" w:cs="黑体"/>
          <w:sz w:val="32"/>
          <w:szCs w:val="32"/>
        </w:rPr>
      </w:pPr>
      <w:r>
        <w:rPr>
          <w:rFonts w:hint="eastAsia" w:ascii="宋体" w:hAnsi="宋体" w:eastAsia="宋体" w:cs="黑体"/>
          <w:sz w:val="32"/>
          <w:szCs w:val="32"/>
        </w:rPr>
        <w:t>（三）负责拟定全区畜牧业发展长远规划和年度计划并组织实施</w:t>
      </w:r>
    </w:p>
    <w:p>
      <w:pPr>
        <w:spacing w:line="360" w:lineRule="auto"/>
        <w:jc w:val="left"/>
        <w:rPr>
          <w:rFonts w:ascii="宋体" w:hAnsi="宋体" w:eastAsia="宋体" w:cs="黑体"/>
          <w:sz w:val="32"/>
          <w:szCs w:val="32"/>
        </w:rPr>
      </w:pPr>
      <w:r>
        <w:rPr>
          <w:rFonts w:hint="eastAsia" w:ascii="宋体" w:hAnsi="宋体" w:eastAsia="宋体" w:cs="黑体"/>
          <w:sz w:val="32"/>
          <w:szCs w:val="32"/>
        </w:rPr>
        <w:t>（四）负责全区畜禽防疫、动物及其产品的质量和安全卫生检疫检验、兽医医政、兽药药政、兽医卫生监督管理并组织扑灭畜禽疫病工作</w:t>
      </w:r>
    </w:p>
    <w:p>
      <w:pPr>
        <w:spacing w:line="360" w:lineRule="auto"/>
        <w:jc w:val="left"/>
        <w:rPr>
          <w:rFonts w:ascii="宋体" w:hAnsi="宋体" w:eastAsia="宋体" w:cs="黑体"/>
          <w:sz w:val="32"/>
          <w:szCs w:val="32"/>
        </w:rPr>
      </w:pPr>
      <w:r>
        <w:rPr>
          <w:rFonts w:hint="eastAsia" w:ascii="宋体" w:hAnsi="宋体" w:eastAsia="宋体" w:cs="黑体"/>
          <w:sz w:val="32"/>
          <w:szCs w:val="32"/>
        </w:rPr>
        <w:t>（五）负责全区畜禽良种引进、推广工作</w:t>
      </w:r>
    </w:p>
    <w:p>
      <w:pPr>
        <w:spacing w:line="360" w:lineRule="auto"/>
        <w:jc w:val="left"/>
        <w:rPr>
          <w:rFonts w:ascii="宋体" w:hAnsi="宋体" w:eastAsia="宋体" w:cs="黑体"/>
          <w:sz w:val="32"/>
          <w:szCs w:val="32"/>
        </w:rPr>
      </w:pPr>
      <w:r>
        <w:rPr>
          <w:rFonts w:hint="eastAsia" w:ascii="宋体" w:hAnsi="宋体" w:eastAsia="宋体" w:cs="黑体"/>
          <w:sz w:val="32"/>
          <w:szCs w:val="32"/>
        </w:rPr>
        <w:t>（六）制定全区畜牧、科技、教育、培训、技术推广规划，负责全区畜牧兽医科技推广队伍建设和畜牧兽医工作的宏观管理</w:t>
      </w:r>
    </w:p>
    <w:p>
      <w:pPr>
        <w:spacing w:line="360" w:lineRule="auto"/>
        <w:jc w:val="left"/>
        <w:rPr>
          <w:rFonts w:ascii="黑体" w:hAnsi="黑体" w:eastAsia="黑体" w:cs="黑体"/>
          <w:sz w:val="32"/>
          <w:szCs w:val="32"/>
        </w:rPr>
      </w:pPr>
      <w:r>
        <w:rPr>
          <w:rFonts w:hint="eastAsia" w:ascii="黑体" w:hAnsi="黑体" w:eastAsia="黑体" w:cs="黑体"/>
          <w:sz w:val="32"/>
          <w:szCs w:val="32"/>
        </w:rPr>
        <w:t>二、卧龙区畜牧局决算单位构成</w:t>
      </w:r>
    </w:p>
    <w:p>
      <w:pPr>
        <w:spacing w:line="360" w:lineRule="auto"/>
        <w:jc w:val="left"/>
        <w:rPr>
          <w:rFonts w:cs="黑体" w:asciiTheme="minorEastAsia" w:hAnsiTheme="minorEastAsia"/>
          <w:sz w:val="32"/>
          <w:szCs w:val="32"/>
        </w:rPr>
        <w:sectPr>
          <w:pgSz w:w="11906" w:h="16838"/>
          <w:pgMar w:top="1440" w:right="1531" w:bottom="1440" w:left="1587" w:header="850" w:footer="992" w:gutter="0"/>
          <w:pgNumType w:fmt="numberInDash"/>
          <w:cols w:space="0" w:num="1"/>
          <w:docGrid w:type="lines" w:linePitch="317" w:charSpace="0"/>
        </w:sectPr>
      </w:pPr>
      <w:r>
        <w:rPr>
          <w:rFonts w:hint="eastAsia" w:ascii="宋体" w:hAnsi="宋体" w:eastAsia="宋体" w:cs="黑体"/>
          <w:sz w:val="32"/>
          <w:szCs w:val="32"/>
        </w:rPr>
        <w:t>卧龙区畜牧局决算包括局机关本级决算。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卧龙区畜牧局2016年度部门决算表</w:t>
      </w:r>
    </w:p>
    <w:tbl>
      <w:tblPr>
        <w:tblStyle w:val="5"/>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472" w:type="dxa"/>
            <w:shd w:val="clear" w:color="auto" w:fill="auto"/>
            <w:vAlign w:val="center"/>
          </w:tcPr>
          <w:p>
            <w:pPr>
              <w:rPr>
                <w:rFonts w:ascii="宋体" w:hAnsi="宋体" w:eastAsia="宋体" w:cs="宋体"/>
                <w:color w:val="000000"/>
                <w:sz w:val="16"/>
                <w:szCs w:val="16"/>
              </w:rPr>
            </w:pPr>
          </w:p>
        </w:tc>
        <w:tc>
          <w:tcPr>
            <w:tcW w:w="1316" w:type="dxa"/>
            <w:shd w:val="clear" w:color="auto" w:fill="auto"/>
            <w:vAlign w:val="center"/>
          </w:tcPr>
          <w:p>
            <w:pPr>
              <w:rPr>
                <w:rFonts w:ascii="宋体" w:hAnsi="宋体" w:eastAsia="宋体" w:cs="宋体"/>
                <w:color w:val="000000"/>
                <w:sz w:val="16"/>
                <w:szCs w:val="16"/>
              </w:rPr>
            </w:pPr>
          </w:p>
        </w:tc>
        <w:tc>
          <w:tcPr>
            <w:tcW w:w="3144" w:type="dxa"/>
            <w:gridSpan w:val="3"/>
            <w:shd w:val="clear" w:color="auto" w:fill="auto"/>
            <w:vAlign w:val="center"/>
          </w:tcPr>
          <w:p>
            <w:pPr>
              <w:rPr>
                <w:rFonts w:ascii="宋体" w:hAnsi="宋体" w:eastAsia="宋体" w:cs="宋体"/>
                <w:color w:val="000000"/>
                <w:sz w:val="16"/>
                <w:szCs w:val="16"/>
              </w:rPr>
            </w:pPr>
          </w:p>
        </w:tc>
        <w:tc>
          <w:tcPr>
            <w:tcW w:w="527" w:type="dxa"/>
            <w:shd w:val="clear" w:color="auto" w:fill="auto"/>
            <w:vAlign w:val="center"/>
          </w:tcPr>
          <w:p>
            <w:pPr>
              <w:rPr>
                <w:rFonts w:ascii="宋体" w:hAnsi="宋体" w:eastAsia="宋体" w:cs="宋体"/>
                <w:color w:val="000000"/>
                <w:sz w:val="16"/>
                <w:szCs w:val="16"/>
              </w:rPr>
            </w:pPr>
          </w:p>
        </w:tc>
        <w:tc>
          <w:tcPr>
            <w:tcW w:w="1609"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ascii="宋体" w:hAnsi="宋体" w:eastAsia="宋体" w:cs="宋体"/>
                <w:color w:val="000000"/>
                <w:sz w:val="16"/>
                <w:szCs w:val="16"/>
              </w:rPr>
            </w:pPr>
          </w:p>
        </w:tc>
        <w:tc>
          <w:tcPr>
            <w:tcW w:w="472" w:type="dxa"/>
            <w:shd w:val="clear" w:color="auto" w:fill="auto"/>
            <w:vAlign w:val="center"/>
          </w:tcPr>
          <w:p>
            <w:pPr>
              <w:rPr>
                <w:rFonts w:ascii="宋体" w:hAnsi="宋体" w:eastAsia="宋体" w:cs="宋体"/>
                <w:color w:val="000000"/>
                <w:sz w:val="16"/>
                <w:szCs w:val="16"/>
              </w:rPr>
            </w:pPr>
          </w:p>
        </w:tc>
        <w:tc>
          <w:tcPr>
            <w:tcW w:w="1316" w:type="dxa"/>
            <w:shd w:val="clear" w:color="auto" w:fill="auto"/>
            <w:vAlign w:val="center"/>
          </w:tcPr>
          <w:p>
            <w:pPr>
              <w:rPr>
                <w:rFonts w:ascii="宋体" w:hAnsi="宋体" w:eastAsia="宋体" w:cs="宋体"/>
                <w:color w:val="000000"/>
                <w:sz w:val="16"/>
                <w:szCs w:val="16"/>
              </w:rPr>
            </w:pPr>
          </w:p>
        </w:tc>
        <w:tc>
          <w:tcPr>
            <w:tcW w:w="3144" w:type="dxa"/>
            <w:gridSpan w:val="3"/>
            <w:shd w:val="clear" w:color="auto" w:fill="auto"/>
            <w:vAlign w:val="center"/>
          </w:tcPr>
          <w:p>
            <w:pPr>
              <w:rPr>
                <w:rFonts w:ascii="宋体" w:hAnsi="宋体" w:eastAsia="宋体" w:cs="宋体"/>
                <w:color w:val="000000"/>
                <w:sz w:val="16"/>
                <w:szCs w:val="16"/>
              </w:rPr>
            </w:pPr>
          </w:p>
        </w:tc>
        <w:tc>
          <w:tcPr>
            <w:tcW w:w="527" w:type="dxa"/>
            <w:shd w:val="clear" w:color="auto" w:fill="auto"/>
            <w:vAlign w:val="center"/>
          </w:tcPr>
          <w:p>
            <w:pPr>
              <w:rPr>
                <w:rFonts w:ascii="宋体" w:hAnsi="宋体" w:eastAsia="宋体" w:cs="宋体"/>
                <w:color w:val="000000"/>
                <w:sz w:val="16"/>
                <w:szCs w:val="16"/>
              </w:rPr>
            </w:pPr>
          </w:p>
        </w:tc>
        <w:tc>
          <w:tcPr>
            <w:tcW w:w="1609"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1151.94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6.68</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13.21</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2.9</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1091.51</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1151.94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1114.3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25.42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63.06</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1177.36</w:t>
            </w: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1177.36</w:t>
            </w:r>
          </w:p>
        </w:tc>
      </w:tr>
      <w:tr>
        <w:tblPrEx>
          <w:tblLayout w:type="fixed"/>
          <w:tblCellMar>
            <w:top w:w="15" w:type="dxa"/>
            <w:left w:w="15" w:type="dxa"/>
            <w:bottom w:w="15" w:type="dxa"/>
            <w:right w:w="15" w:type="dxa"/>
          </w:tblCellMar>
        </w:tblPrEx>
        <w:trPr>
          <w:trHeight w:val="555" w:hRule="atLeast"/>
        </w:trPr>
        <w:tc>
          <w:tcPr>
            <w:tcW w:w="10350" w:type="dxa"/>
            <w:gridSpan w:val="10"/>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629" w:type="dxa"/>
        <w:tblInd w:w="-1119" w:type="dxa"/>
        <w:tblLayout w:type="fixed"/>
        <w:tblCellMar>
          <w:top w:w="15" w:type="dxa"/>
          <w:left w:w="15" w:type="dxa"/>
          <w:bottom w:w="15" w:type="dxa"/>
          <w:right w:w="15" w:type="dxa"/>
        </w:tblCellMar>
      </w:tblPr>
      <w:tblGrid>
        <w:gridCol w:w="967"/>
        <w:gridCol w:w="962"/>
        <w:gridCol w:w="1757"/>
        <w:gridCol w:w="850"/>
        <w:gridCol w:w="333"/>
        <w:gridCol w:w="943"/>
        <w:gridCol w:w="17"/>
        <w:gridCol w:w="960"/>
        <w:gridCol w:w="157"/>
        <w:gridCol w:w="803"/>
        <w:gridCol w:w="189"/>
        <w:gridCol w:w="771"/>
        <w:gridCol w:w="80"/>
        <w:gridCol w:w="880"/>
        <w:gridCol w:w="112"/>
        <w:gridCol w:w="848"/>
      </w:tblGrid>
      <w:tr>
        <w:tblPrEx>
          <w:tblLayout w:type="fixed"/>
          <w:tblCellMar>
            <w:top w:w="15" w:type="dxa"/>
            <w:left w:w="15" w:type="dxa"/>
            <w:bottom w:w="15" w:type="dxa"/>
            <w:right w:w="15" w:type="dxa"/>
          </w:tblCellMar>
        </w:tblPrEx>
        <w:trPr>
          <w:trHeight w:val="375" w:hRule="atLeast"/>
        </w:trPr>
        <w:tc>
          <w:tcPr>
            <w:tcW w:w="10629" w:type="dxa"/>
            <w:gridSpan w:val="16"/>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929" w:type="dxa"/>
            <w:gridSpan w:val="2"/>
            <w:shd w:val="clear" w:color="auto" w:fill="auto"/>
            <w:vAlign w:val="center"/>
          </w:tcPr>
          <w:p>
            <w:pPr>
              <w:rPr>
                <w:rFonts w:ascii="宋体" w:hAnsi="宋体" w:eastAsia="宋体" w:cs="宋体"/>
                <w:color w:val="000000"/>
                <w:sz w:val="16"/>
                <w:szCs w:val="16"/>
              </w:rPr>
            </w:pPr>
          </w:p>
        </w:tc>
        <w:tc>
          <w:tcPr>
            <w:tcW w:w="1757" w:type="dxa"/>
            <w:shd w:val="clear" w:color="auto" w:fill="auto"/>
            <w:vAlign w:val="center"/>
          </w:tcPr>
          <w:p>
            <w:pPr>
              <w:rPr>
                <w:rFonts w:ascii="宋体" w:hAnsi="宋体" w:eastAsia="宋体" w:cs="宋体"/>
                <w:color w:val="000000"/>
                <w:sz w:val="16"/>
                <w:szCs w:val="16"/>
              </w:rPr>
            </w:pPr>
          </w:p>
        </w:tc>
        <w:tc>
          <w:tcPr>
            <w:tcW w:w="1183"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公开02表</w:t>
            </w:r>
          </w:p>
        </w:tc>
      </w:tr>
      <w:tr>
        <w:tblPrEx>
          <w:tblLayout w:type="fixed"/>
          <w:tblCellMar>
            <w:top w:w="15" w:type="dxa"/>
            <w:left w:w="15" w:type="dxa"/>
            <w:bottom w:w="15" w:type="dxa"/>
            <w:right w:w="15" w:type="dxa"/>
          </w:tblCellMar>
        </w:tblPrEx>
        <w:trPr>
          <w:trHeight w:val="270" w:hRule="atLeast"/>
        </w:trPr>
        <w:tc>
          <w:tcPr>
            <w:tcW w:w="1929" w:type="dxa"/>
            <w:gridSpan w:val="2"/>
            <w:shd w:val="clear" w:color="auto" w:fill="auto"/>
            <w:vAlign w:val="center"/>
          </w:tcPr>
          <w:p>
            <w:pPr>
              <w:rPr>
                <w:rFonts w:ascii="宋体" w:hAnsi="宋体" w:eastAsia="宋体" w:cs="宋体"/>
                <w:color w:val="000000"/>
                <w:sz w:val="16"/>
                <w:szCs w:val="16"/>
              </w:rPr>
            </w:pPr>
          </w:p>
        </w:tc>
        <w:tc>
          <w:tcPr>
            <w:tcW w:w="1757" w:type="dxa"/>
            <w:shd w:val="clear" w:color="auto" w:fill="auto"/>
            <w:vAlign w:val="center"/>
          </w:tcPr>
          <w:p>
            <w:pPr>
              <w:rPr>
                <w:rFonts w:ascii="宋体" w:hAnsi="宋体" w:eastAsia="宋体" w:cs="宋体"/>
                <w:color w:val="000000"/>
                <w:sz w:val="16"/>
                <w:szCs w:val="16"/>
              </w:rPr>
            </w:pPr>
          </w:p>
        </w:tc>
        <w:tc>
          <w:tcPr>
            <w:tcW w:w="1183"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rPr>
                <w:rFonts w:ascii="宋体" w:hAnsi="宋体" w:eastAsia="宋体" w:cs="宋体"/>
                <w:color w:val="000000"/>
                <w:sz w:val="16"/>
                <w:szCs w:val="16"/>
              </w:rPr>
            </w:pPr>
          </w:p>
        </w:tc>
        <w:tc>
          <w:tcPr>
            <w:tcW w:w="960"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686"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85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127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财政拨款收入</w:t>
            </w:r>
          </w:p>
        </w:tc>
        <w:tc>
          <w:tcPr>
            <w:tcW w:w="1134"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上级补助收入</w:t>
            </w:r>
          </w:p>
        </w:tc>
        <w:tc>
          <w:tcPr>
            <w:tcW w:w="99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事业收入</w:t>
            </w:r>
          </w:p>
        </w:tc>
        <w:tc>
          <w:tcPr>
            <w:tcW w:w="85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经营收入</w:t>
            </w:r>
          </w:p>
        </w:tc>
        <w:tc>
          <w:tcPr>
            <w:tcW w:w="99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上缴收入</w:t>
            </w:r>
          </w:p>
        </w:tc>
        <w:tc>
          <w:tcPr>
            <w:tcW w:w="848"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85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76"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134"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92"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85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92"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848"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3686"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3686"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1151.94</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1151.94</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13.21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13.21</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20805</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行政事业单位离退休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13.21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13.21</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2080502</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事业单位离退休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13.21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13.21</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医疗卫生与计划生育支出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2.9</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2.9</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21005</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医疗保障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2.9</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2.9</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2100501</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2.9</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2.9</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1135.83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1135.83</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农业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1135.83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1135.83</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2130101</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51.53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51.53</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967"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2130108</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病虫害控制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591.7</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591.7</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35" w:hRule="atLeast"/>
        </w:trPr>
        <w:tc>
          <w:tcPr>
            <w:tcW w:w="967"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cs="Arial"/>
                <w:color w:val="000000"/>
                <w:sz w:val="22"/>
                <w:szCs w:val="22"/>
              </w:rPr>
            </w:pPr>
            <w:r>
              <w:rPr>
                <w:rFonts w:hint="eastAsia" w:cs="Arial"/>
                <w:color w:val="000000"/>
                <w:sz w:val="22"/>
                <w:szCs w:val="22"/>
              </w:rPr>
              <w:t>2130122</w:t>
            </w:r>
          </w:p>
        </w:tc>
        <w:tc>
          <w:tcPr>
            <w:tcW w:w="271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cs="Arial"/>
                <w:color w:val="000000"/>
                <w:sz w:val="22"/>
                <w:szCs w:val="22"/>
              </w:rPr>
            </w:pPr>
            <w:r>
              <w:rPr>
                <w:rFonts w:hint="eastAsia" w:cs="Arial"/>
                <w:color w:val="000000"/>
                <w:sz w:val="22"/>
                <w:szCs w:val="22"/>
              </w:rPr>
              <w:t>农业生产支持补贴</w:t>
            </w:r>
          </w:p>
        </w:tc>
        <w:tc>
          <w:tcPr>
            <w:tcW w:w="85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100</w:t>
            </w: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100</w:t>
            </w:r>
          </w:p>
        </w:tc>
        <w:tc>
          <w:tcPr>
            <w:tcW w:w="1134"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35" w:hRule="atLeast"/>
        </w:trPr>
        <w:tc>
          <w:tcPr>
            <w:tcW w:w="967"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cs="Arial"/>
                <w:color w:val="000000"/>
                <w:sz w:val="22"/>
                <w:szCs w:val="22"/>
              </w:rPr>
            </w:pPr>
            <w:r>
              <w:rPr>
                <w:rFonts w:cs="Arial"/>
                <w:color w:val="000000"/>
                <w:sz w:val="22"/>
                <w:szCs w:val="22"/>
              </w:rPr>
              <w:t>2130135</w:t>
            </w:r>
          </w:p>
        </w:tc>
        <w:tc>
          <w:tcPr>
            <w:tcW w:w="271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cs="Arial"/>
                <w:color w:val="000000"/>
                <w:sz w:val="22"/>
                <w:szCs w:val="22"/>
              </w:rPr>
            </w:pPr>
            <w:r>
              <w:rPr>
                <w:rFonts w:hint="eastAsia" w:cs="Arial"/>
                <w:color w:val="000000"/>
                <w:sz w:val="22"/>
                <w:szCs w:val="22"/>
              </w:rPr>
              <w:t>农业资源保护修复与利用</w:t>
            </w:r>
          </w:p>
        </w:tc>
        <w:tc>
          <w:tcPr>
            <w:tcW w:w="85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300</w:t>
            </w: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300</w:t>
            </w:r>
          </w:p>
        </w:tc>
        <w:tc>
          <w:tcPr>
            <w:tcW w:w="1134"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435" w:hRule="atLeast"/>
        </w:trPr>
        <w:tc>
          <w:tcPr>
            <w:tcW w:w="967"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ascii="宋体" w:hAnsi="宋体" w:eastAsia="宋体" w:cs="Arial"/>
                <w:color w:val="000000"/>
                <w:sz w:val="22"/>
                <w:szCs w:val="22"/>
              </w:rPr>
              <w:t>2130199</w:t>
            </w:r>
          </w:p>
        </w:tc>
        <w:tc>
          <w:tcPr>
            <w:tcW w:w="271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cs="Arial"/>
                <w:color w:val="000000"/>
                <w:sz w:val="22"/>
                <w:szCs w:val="22"/>
              </w:rPr>
            </w:pPr>
            <w:r>
              <w:rPr>
                <w:rFonts w:hint="eastAsia" w:cs="Arial"/>
                <w:color w:val="000000"/>
                <w:sz w:val="22"/>
                <w:szCs w:val="22"/>
              </w:rPr>
              <w:t xml:space="preserve">   其他农业支出</w:t>
            </w:r>
          </w:p>
        </w:tc>
        <w:tc>
          <w:tcPr>
            <w:tcW w:w="85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92.6</w:t>
            </w: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92.6</w:t>
            </w:r>
          </w:p>
        </w:tc>
        <w:tc>
          <w:tcPr>
            <w:tcW w:w="1134"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5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48"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629" w:type="dxa"/>
            <w:gridSpan w:val="16"/>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5"/>
        <w:tblW w:w="10350" w:type="dxa"/>
        <w:tblInd w:w="-821" w:type="dxa"/>
        <w:tblLayout w:type="fixed"/>
        <w:tblCellMar>
          <w:top w:w="15" w:type="dxa"/>
          <w:left w:w="15" w:type="dxa"/>
          <w:bottom w:w="15" w:type="dxa"/>
          <w:right w:w="15" w:type="dxa"/>
        </w:tblCellMar>
      </w:tblPr>
      <w:tblGrid>
        <w:gridCol w:w="836"/>
        <w:gridCol w:w="284"/>
        <w:gridCol w:w="362"/>
        <w:gridCol w:w="2331"/>
        <w:gridCol w:w="349"/>
        <w:gridCol w:w="785"/>
        <w:gridCol w:w="214"/>
        <w:gridCol w:w="999"/>
        <w:gridCol w:w="63"/>
        <w:gridCol w:w="936"/>
        <w:gridCol w:w="340"/>
        <w:gridCol w:w="659"/>
        <w:gridCol w:w="475"/>
        <w:gridCol w:w="708"/>
        <w:gridCol w:w="1009"/>
      </w:tblGrid>
      <w:tr>
        <w:tblPrEx>
          <w:tblLayout w:type="fixed"/>
          <w:tblCellMar>
            <w:top w:w="15" w:type="dxa"/>
            <w:left w:w="15" w:type="dxa"/>
            <w:bottom w:w="15" w:type="dxa"/>
            <w:right w:w="15" w:type="dxa"/>
          </w:tblCellMar>
        </w:tblPrEx>
        <w:trPr>
          <w:trHeight w:val="375" w:hRule="atLeast"/>
        </w:trPr>
        <w:tc>
          <w:tcPr>
            <w:tcW w:w="10350" w:type="dxa"/>
            <w:gridSpan w:val="15"/>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3"/>
            <w:shd w:val="clear" w:color="auto" w:fill="auto"/>
            <w:vAlign w:val="center"/>
          </w:tcPr>
          <w:p>
            <w:pPr>
              <w:rPr>
                <w:rFonts w:ascii="宋体" w:hAnsi="宋体" w:eastAsia="宋体" w:cs="宋体"/>
                <w:color w:val="000000"/>
                <w:sz w:val="16"/>
                <w:szCs w:val="16"/>
              </w:rPr>
            </w:pPr>
          </w:p>
        </w:tc>
        <w:tc>
          <w:tcPr>
            <w:tcW w:w="2331" w:type="dxa"/>
            <w:shd w:val="clear" w:color="auto" w:fill="auto"/>
            <w:vAlign w:val="center"/>
          </w:tcPr>
          <w:p>
            <w:pPr>
              <w:rPr>
                <w:rFonts w:ascii="宋体" w:hAnsi="宋体" w:eastAsia="宋体" w:cs="宋体"/>
                <w:color w:val="000000"/>
                <w:sz w:val="16"/>
                <w:szCs w:val="16"/>
              </w:rPr>
            </w:pPr>
          </w:p>
        </w:tc>
        <w:tc>
          <w:tcPr>
            <w:tcW w:w="349"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Layout w:type="fixed"/>
          <w:tblCellMar>
            <w:top w:w="15" w:type="dxa"/>
            <w:left w:w="15" w:type="dxa"/>
            <w:bottom w:w="15" w:type="dxa"/>
            <w:right w:w="15" w:type="dxa"/>
          </w:tblCellMar>
        </w:tblPrEx>
        <w:trPr>
          <w:trHeight w:val="315" w:hRule="atLeast"/>
        </w:trPr>
        <w:tc>
          <w:tcPr>
            <w:tcW w:w="1482" w:type="dxa"/>
            <w:gridSpan w:val="3"/>
            <w:shd w:val="clear" w:color="auto" w:fill="auto"/>
            <w:vAlign w:val="center"/>
          </w:tcPr>
          <w:p>
            <w:pPr>
              <w:rPr>
                <w:rFonts w:ascii="宋体" w:hAnsi="宋体" w:eastAsia="宋体" w:cs="宋体"/>
                <w:color w:val="000000"/>
                <w:sz w:val="16"/>
                <w:szCs w:val="16"/>
              </w:rPr>
            </w:pPr>
          </w:p>
        </w:tc>
        <w:tc>
          <w:tcPr>
            <w:tcW w:w="2331" w:type="dxa"/>
            <w:shd w:val="clear" w:color="auto" w:fill="auto"/>
            <w:vAlign w:val="center"/>
          </w:tcPr>
          <w:p>
            <w:pPr>
              <w:rPr>
                <w:rFonts w:ascii="宋体" w:hAnsi="宋体" w:eastAsia="宋体" w:cs="宋体"/>
                <w:color w:val="000000"/>
                <w:sz w:val="16"/>
                <w:szCs w:val="16"/>
              </w:rPr>
            </w:pPr>
          </w:p>
        </w:tc>
        <w:tc>
          <w:tcPr>
            <w:tcW w:w="349"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192"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13"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13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76"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7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13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708"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009"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83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13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76"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76"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13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708"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009"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3813"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813"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1114.3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81.72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1032.58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6.68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6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6.68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6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20199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其他一般公共服务支出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2019999</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其他一般公共服务支出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20805</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行政事业单位离退休</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2080502</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事业单位离退休</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医疗卫生与计划生育支出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21005</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医疗保障</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2100501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1091.51 </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58.93 </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1032.58 </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农业</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1086.51</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58.93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1027.58</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2130101</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53.93</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53.93</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2130108</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病虫害控制</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534.98</w:t>
            </w:r>
          </w:p>
        </w:tc>
        <w:tc>
          <w:tcPr>
            <w:tcW w:w="1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534.98</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009"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2130122</w:t>
            </w:r>
          </w:p>
        </w:tc>
        <w:tc>
          <w:tcPr>
            <w:tcW w:w="269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农业生产支持补贴</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100</w:t>
            </w:r>
          </w:p>
        </w:tc>
        <w:tc>
          <w:tcPr>
            <w:tcW w:w="1276"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100</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7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00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2130135</w:t>
            </w:r>
          </w:p>
        </w:tc>
        <w:tc>
          <w:tcPr>
            <w:tcW w:w="269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农业资源保护修复与利用</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300</w:t>
            </w:r>
          </w:p>
        </w:tc>
        <w:tc>
          <w:tcPr>
            <w:tcW w:w="1276"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300</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7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00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2130199</w:t>
            </w:r>
          </w:p>
        </w:tc>
        <w:tc>
          <w:tcPr>
            <w:tcW w:w="269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其他农业支出</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97.6</w:t>
            </w:r>
          </w:p>
        </w:tc>
        <w:tc>
          <w:tcPr>
            <w:tcW w:w="1276"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92.6</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7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00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PrEx>
        <w:trPr>
          <w:trHeight w:val="300" w:hRule="atLeast"/>
        </w:trPr>
        <w:tc>
          <w:tcPr>
            <w:tcW w:w="112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21399</w:t>
            </w:r>
          </w:p>
        </w:tc>
        <w:tc>
          <w:tcPr>
            <w:tcW w:w="269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其他农林水支出</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276"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7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00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12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2139999</w:t>
            </w:r>
          </w:p>
        </w:tc>
        <w:tc>
          <w:tcPr>
            <w:tcW w:w="269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其他农林水支出</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276"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76"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113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708"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009"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5"/>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5"/>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90"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1151.94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1091.51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1091.51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1151.94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1114.3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1114.3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25.42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63.06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63.06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25.42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1177.36 </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1177.36 </w:t>
            </w:r>
          </w:p>
        </w:tc>
        <w:tc>
          <w:tcPr>
            <w:tcW w:w="130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1177.36 </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425" w:type="dxa"/>
            <w:gridSpan w:val="14"/>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5"/>
        <w:tblW w:w="10440" w:type="dxa"/>
        <w:tblInd w:w="-902" w:type="dxa"/>
        <w:tblLayout w:type="fixed"/>
        <w:tblCellMar>
          <w:top w:w="15" w:type="dxa"/>
          <w:left w:w="15" w:type="dxa"/>
          <w:bottom w:w="15" w:type="dxa"/>
          <w:right w:w="15" w:type="dxa"/>
        </w:tblCellMar>
      </w:tblPr>
      <w:tblGrid>
        <w:gridCol w:w="1216"/>
        <w:gridCol w:w="675"/>
        <w:gridCol w:w="2145"/>
        <w:gridCol w:w="1904"/>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shd w:val="clear" w:color="auto" w:fill="auto"/>
            <w:vAlign w:val="center"/>
          </w:tcPr>
          <w:p>
            <w:pPr>
              <w:rPr>
                <w:rFonts w:ascii="宋体" w:hAnsi="宋体" w:eastAsia="宋体" w:cs="宋体"/>
                <w:color w:val="000000"/>
                <w:sz w:val="16"/>
                <w:szCs w:val="16"/>
              </w:rPr>
            </w:pPr>
          </w:p>
        </w:tc>
        <w:tc>
          <w:tcPr>
            <w:tcW w:w="2145" w:type="dxa"/>
            <w:shd w:val="clear" w:color="auto" w:fill="auto"/>
            <w:vAlign w:val="center"/>
          </w:tcPr>
          <w:p>
            <w:pPr>
              <w:rPr>
                <w:rFonts w:ascii="宋体" w:hAnsi="宋体" w:eastAsia="宋体" w:cs="宋体"/>
                <w:color w:val="000000"/>
                <w:sz w:val="16"/>
                <w:szCs w:val="16"/>
              </w:rPr>
            </w:pPr>
          </w:p>
        </w:tc>
        <w:tc>
          <w:tcPr>
            <w:tcW w:w="1980"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trHeight w:val="270" w:hRule="atLeast"/>
        </w:trPr>
        <w:tc>
          <w:tcPr>
            <w:tcW w:w="1891" w:type="dxa"/>
            <w:gridSpan w:val="2"/>
            <w:shd w:val="clear" w:color="auto" w:fill="auto"/>
            <w:vAlign w:val="center"/>
          </w:tcPr>
          <w:p>
            <w:pPr>
              <w:rPr>
                <w:rFonts w:ascii="宋体" w:hAnsi="宋体" w:eastAsia="宋体" w:cs="宋体"/>
                <w:color w:val="000000"/>
                <w:sz w:val="16"/>
                <w:szCs w:val="16"/>
              </w:rPr>
            </w:pPr>
          </w:p>
        </w:tc>
        <w:tc>
          <w:tcPr>
            <w:tcW w:w="2145" w:type="dxa"/>
            <w:shd w:val="clear" w:color="auto" w:fill="auto"/>
            <w:vAlign w:val="center"/>
          </w:tcPr>
          <w:p>
            <w:pPr>
              <w:rPr>
                <w:rFonts w:ascii="宋体" w:hAnsi="宋体" w:eastAsia="宋体" w:cs="宋体"/>
                <w:color w:val="000000"/>
                <w:sz w:val="16"/>
                <w:szCs w:val="16"/>
              </w:rPr>
            </w:pPr>
          </w:p>
        </w:tc>
        <w:tc>
          <w:tcPr>
            <w:tcW w:w="1980"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4036"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1904"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904"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300" w:hRule="atLeast"/>
        </w:trPr>
        <w:tc>
          <w:tcPr>
            <w:tcW w:w="4036"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4036"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1114.3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81.72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1032.58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201</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6.68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right="16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6.68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ind w:right="160"/>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20199</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其他一般公共服务支出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2019999</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其他一般公共服务支出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6.68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20805</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行政事业单位离退休</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2080502</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事业单位离退休</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医疗卫生与计划生育支出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21005</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医疗保障</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2100501</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1091.51 </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58.93 </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1032.58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农业</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1086.51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58.93</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1027.58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2130101</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53.93</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53.93</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2130108</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病虫害控制</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534.98</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534.98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2130122</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农业生产支持补贴</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2130135</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农业资源保护修复与利用</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2130199</w:t>
            </w:r>
          </w:p>
        </w:tc>
        <w:tc>
          <w:tcPr>
            <w:tcW w:w="2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其他农业支出</w:t>
            </w:r>
          </w:p>
        </w:tc>
        <w:tc>
          <w:tcPr>
            <w:tcW w:w="190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97.6</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92.6</w:t>
            </w:r>
          </w:p>
        </w:tc>
      </w:tr>
      <w:tr>
        <w:tblPrEx>
          <w:tblLayout w:type="fixed"/>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21399</w:t>
            </w:r>
          </w:p>
        </w:tc>
        <w:tc>
          <w:tcPr>
            <w:tcW w:w="2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其他农林水支出</w:t>
            </w:r>
          </w:p>
        </w:tc>
        <w:tc>
          <w:tcPr>
            <w:tcW w:w="190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2139999</w:t>
            </w:r>
          </w:p>
        </w:tc>
        <w:tc>
          <w:tcPr>
            <w:tcW w:w="2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eastAsia="宋体" w:cs="Arial"/>
                <w:color w:val="000000"/>
                <w:sz w:val="22"/>
                <w:szCs w:val="22"/>
              </w:rPr>
            </w:pPr>
            <w:r>
              <w:rPr>
                <w:rFonts w:hint="eastAsia" w:cs="Arial"/>
                <w:color w:val="000000"/>
                <w:sz w:val="22"/>
                <w:szCs w:val="22"/>
              </w:rPr>
              <w:t xml:space="preserve">  其他农林水支出</w:t>
            </w:r>
          </w:p>
        </w:tc>
        <w:tc>
          <w:tcPr>
            <w:tcW w:w="1904"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5</w:t>
            </w:r>
          </w:p>
        </w:tc>
      </w:tr>
      <w:tr>
        <w:tblPrEx>
          <w:tblLayout w:type="fixed"/>
          <w:tblCellMar>
            <w:top w:w="15" w:type="dxa"/>
            <w:left w:w="15" w:type="dxa"/>
            <w:bottom w:w="15" w:type="dxa"/>
            <w:right w:w="15" w:type="dxa"/>
          </w:tblCellMar>
        </w:tblPrEx>
        <w:trPr>
          <w:trHeight w:val="600" w:hRule="atLeast"/>
        </w:trPr>
        <w:tc>
          <w:tcPr>
            <w:tcW w:w="10440" w:type="dxa"/>
            <w:gridSpan w:val="8"/>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50.43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18.08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21.03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15.18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24.76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1.74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2.9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0.2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1.6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0.5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0.6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13.21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13.21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485" w:type="dxa"/>
        <w:tblInd w:w="-911"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29"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29" w:type="dxa"/>
            <w:shd w:val="clear" w:color="auto" w:fill="auto"/>
            <w:vAlign w:val="center"/>
          </w:tcPr>
          <w:p>
            <w:pPr>
              <w:rPr>
                <w:rFonts w:ascii="宋体" w:hAnsi="宋体" w:eastAsia="宋体" w:cs="宋体"/>
                <w:color w:val="000000"/>
                <w:sz w:val="16"/>
                <w:szCs w:val="16"/>
              </w:rPr>
            </w:pPr>
          </w:p>
        </w:tc>
        <w:tc>
          <w:tcPr>
            <w:tcW w:w="992" w:type="dxa"/>
            <w:gridSpan w:val="2"/>
            <w:shd w:val="clear" w:color="auto" w:fill="auto"/>
            <w:vAlign w:val="center"/>
          </w:tcPr>
          <w:p>
            <w:pPr>
              <w:rPr>
                <w:rFonts w:ascii="宋体" w:hAnsi="宋体" w:eastAsia="宋体" w:cs="宋体"/>
                <w:color w:val="000000"/>
                <w:sz w:val="16"/>
                <w:szCs w:val="16"/>
              </w:rPr>
            </w:pPr>
          </w:p>
        </w:tc>
        <w:tc>
          <w:tcPr>
            <w:tcW w:w="509" w:type="dxa"/>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30" w:type="dxa"/>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212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公开07表</w:t>
            </w:r>
          </w:p>
        </w:tc>
      </w:tr>
      <w:tr>
        <w:tblPrEx>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29"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29" w:type="dxa"/>
            <w:shd w:val="clear" w:color="auto" w:fill="auto"/>
            <w:vAlign w:val="center"/>
          </w:tcPr>
          <w:p>
            <w:pPr>
              <w:rPr>
                <w:rFonts w:ascii="宋体" w:hAnsi="宋体" w:eastAsia="宋体" w:cs="宋体"/>
                <w:color w:val="000000"/>
                <w:sz w:val="16"/>
                <w:szCs w:val="16"/>
              </w:rPr>
            </w:pPr>
          </w:p>
        </w:tc>
        <w:tc>
          <w:tcPr>
            <w:tcW w:w="992" w:type="dxa"/>
            <w:gridSpan w:val="2"/>
            <w:shd w:val="clear" w:color="auto" w:fill="auto"/>
            <w:vAlign w:val="center"/>
          </w:tcPr>
          <w:p>
            <w:pPr>
              <w:rPr>
                <w:rFonts w:ascii="宋体" w:hAnsi="宋体" w:eastAsia="宋体" w:cs="宋体"/>
                <w:color w:val="000000"/>
                <w:sz w:val="16"/>
                <w:szCs w:val="16"/>
              </w:rPr>
            </w:pPr>
          </w:p>
        </w:tc>
        <w:tc>
          <w:tcPr>
            <w:tcW w:w="509" w:type="dxa"/>
            <w:shd w:val="clear" w:color="auto" w:fill="auto"/>
            <w:vAlign w:val="center"/>
          </w:tcPr>
          <w:p>
            <w:pPr>
              <w:rPr>
                <w:rFonts w:ascii="宋体" w:hAnsi="宋体" w:eastAsia="宋体" w:cs="宋体"/>
                <w:color w:val="000000"/>
                <w:sz w:val="16"/>
                <w:szCs w:val="16"/>
              </w:rPr>
            </w:pPr>
          </w:p>
        </w:tc>
        <w:tc>
          <w:tcPr>
            <w:tcW w:w="647" w:type="dxa"/>
            <w:gridSpan w:val="2"/>
            <w:shd w:val="clear" w:color="auto" w:fill="auto"/>
            <w:vAlign w:val="center"/>
          </w:tcPr>
          <w:p>
            <w:pPr>
              <w:rPr>
                <w:rFonts w:ascii="宋体" w:hAnsi="宋体" w:eastAsia="宋体" w:cs="宋体"/>
                <w:color w:val="000000"/>
                <w:sz w:val="16"/>
                <w:szCs w:val="16"/>
              </w:rPr>
            </w:pPr>
          </w:p>
        </w:tc>
        <w:tc>
          <w:tcPr>
            <w:tcW w:w="630" w:type="dxa"/>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630" w:type="dxa"/>
            <w:gridSpan w:val="2"/>
            <w:shd w:val="clear" w:color="auto" w:fill="auto"/>
            <w:vAlign w:val="center"/>
          </w:tcPr>
          <w:p>
            <w:pPr>
              <w:rPr>
                <w:rFonts w:ascii="宋体" w:hAnsi="宋体" w:eastAsia="宋体" w:cs="宋体"/>
                <w:color w:val="000000"/>
                <w:sz w:val="16"/>
                <w:szCs w:val="16"/>
              </w:rPr>
            </w:pPr>
          </w:p>
        </w:tc>
        <w:tc>
          <w:tcPr>
            <w:tcW w:w="2129" w:type="dxa"/>
            <w:gridSpan w:val="3"/>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2016年度决算数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公务接待费</w:t>
            </w:r>
          </w:p>
        </w:tc>
      </w:tr>
      <w:tr>
        <w:tblPrEx>
          <w:tblLayout w:type="fixed"/>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公务用车</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14.5</w:t>
            </w: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w:t>
            </w:r>
          </w:p>
        </w:tc>
        <w:tc>
          <w:tcPr>
            <w:tcW w:w="8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4.5</w:t>
            </w: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b/>
                <w:color w:val="000000"/>
                <w:sz w:val="16"/>
                <w:szCs w:val="16"/>
              </w:rPr>
            </w:pPr>
            <w:r>
              <w:rPr>
                <w:rFonts w:hint="eastAsia" w:ascii="宋体" w:hAnsi="宋体" w:eastAsia="宋体" w:cs="宋体"/>
                <w:b/>
                <w:color w:val="000000"/>
                <w:sz w:val="16"/>
                <w:szCs w:val="16"/>
              </w:rPr>
              <w:t>13.8</w:t>
            </w: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9.7</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9.7</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4.1</w:t>
            </w:r>
          </w:p>
        </w:tc>
      </w:tr>
      <w:tr>
        <w:tblPrEx>
          <w:tblLayout w:type="fixed"/>
          <w:tblCellMar>
            <w:top w:w="15" w:type="dxa"/>
            <w:left w:w="15" w:type="dxa"/>
            <w:bottom w:w="15" w:type="dxa"/>
            <w:right w:w="15" w:type="dxa"/>
          </w:tblCellMar>
        </w:tblPrEx>
        <w:trPr>
          <w:trHeight w:val="600" w:hRule="atLeast"/>
        </w:trPr>
        <w:tc>
          <w:tcPr>
            <w:tcW w:w="10485" w:type="dxa"/>
            <w:gridSpan w:val="2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卧龙区畜牧局</w:t>
            </w: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color w:val="auto"/>
                <w:kern w:val="0"/>
                <w:sz w:val="20"/>
                <w:szCs w:val="20"/>
              </w:rPr>
              <w:t>说明：</w:t>
            </w:r>
            <w:r>
              <w:rPr>
                <w:rFonts w:hint="eastAsia" w:ascii="宋体" w:hAnsi="宋体" w:eastAsia="宋体" w:cs="宋体"/>
                <w:b/>
                <w:color w:val="auto"/>
                <w:kern w:val="0"/>
                <w:sz w:val="20"/>
                <w:szCs w:val="20"/>
                <w:lang w:eastAsia="zh-CN"/>
              </w:rPr>
              <w:t>畜牧局</w:t>
            </w:r>
            <w:r>
              <w:rPr>
                <w:rFonts w:hint="eastAsia" w:ascii="宋体" w:hAnsi="宋体" w:eastAsia="宋体" w:cs="宋体"/>
                <w:b/>
                <w:color w:val="auto"/>
                <w:kern w:val="0"/>
                <w:sz w:val="20"/>
                <w:szCs w:val="20"/>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卧龙区畜牧局</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2016年度部门决算情况说明</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2016年度收入总计1151.94万元，支出总计1114.3万元，与2015年相比，收入总计增加93.41万元，增长8.82%，支出总计增加81.19万元，增长7.85%。</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收入合计1151.94万元，其中：财政拨款收入1151.94万元，占100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2016年度支出合计1114.3万元，其中：基本支出81.72万元，占7.33</w:t>
      </w:r>
      <w:r>
        <w:rPr>
          <w:rFonts w:ascii="仿宋_GB2312" w:hAnsi="宋体" w:eastAsia="仿宋_GB2312" w:cs="Courier New"/>
          <w:sz w:val="32"/>
          <w:szCs w:val="32"/>
        </w:rPr>
        <w:t>%</w:t>
      </w:r>
      <w:r>
        <w:rPr>
          <w:rFonts w:hint="eastAsia" w:ascii="仿宋_GB2312" w:hAnsi="宋体" w:eastAsia="仿宋_GB2312" w:cs="Courier New"/>
          <w:sz w:val="32"/>
          <w:szCs w:val="32"/>
        </w:rPr>
        <w:t>；项目支出1032.58万元，占92.67%。</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2016年财政拨款收支总决算1177.36万元。与2015年相比，财政拨款收、支总计各增加118.83万元，增长11.23%。</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2016年一般公共预算财政拨款支出1114.3万元，占支出合计的100%。与2015年相比，一般公共预算财政拨款支出增加55.77万元，增长5.26%。</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2016年度一般公共预算财政拨款支出1114.3万元，主要用于以下方面：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支出6.68万元，占0.6%；</w:t>
      </w:r>
      <w:r>
        <w:rPr>
          <w:rFonts w:hint="eastAsia" w:ascii="仿宋_GB2312" w:hAnsi="宋体" w:eastAsia="仿宋_GB2312" w:cs="Courier New"/>
          <w:b/>
          <w:bCs/>
          <w:sz w:val="32"/>
          <w:szCs w:val="32"/>
        </w:rPr>
        <w:t>社会保障和就业</w:t>
      </w:r>
      <w:r>
        <w:rPr>
          <w:rFonts w:hint="eastAsia" w:ascii="仿宋_GB2312" w:hAnsi="宋体" w:eastAsia="仿宋_GB2312" w:cs="Courier New"/>
          <w:sz w:val="32"/>
          <w:szCs w:val="32"/>
        </w:rPr>
        <w:t>支出13.21万元，占1.19%；医疗卫生与计划生育支出2.9万元，占 0.26%；农林水支出1091.51万元，占97.95% 。</w:t>
      </w:r>
    </w:p>
    <w:p>
      <w:pPr>
        <w:numPr>
          <w:ilvl w:val="0"/>
          <w:numId w:val="2"/>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2016年度一般公共预算财政拨款支出年初预算为1114.3万元，支出决算为1114.3万元，完成年初预算的100%。其中：</w:t>
      </w:r>
    </w:p>
    <w:p>
      <w:pPr>
        <w:numPr>
          <w:ilvl w:val="0"/>
          <w:numId w:val="3"/>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年初预算为63.64万元，支出决算为63.64万元，完成年初预算的100%。</w:t>
      </w:r>
    </w:p>
    <w:p>
      <w:pPr>
        <w:numPr>
          <w:ilvl w:val="0"/>
          <w:numId w:val="3"/>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年初预算为18.08万元，支出决算为18.08万元，完成年初预算的100%。</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2016年一般公共预算财政拨款基本支出81.72万元，其中：</w:t>
      </w:r>
      <w:r>
        <w:rPr>
          <w:rFonts w:hint="eastAsia" w:ascii="仿宋_GB2312" w:hAnsi="Times New Roman" w:eastAsia="仿宋_GB2312" w:cs="仿宋_GB2312"/>
          <w:bCs/>
          <w:spacing w:val="-1"/>
          <w:kern w:val="0"/>
          <w:sz w:val="32"/>
          <w:szCs w:val="32"/>
        </w:rPr>
        <w:t>人员经费63.64万元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主要包括：基本工资、津贴补贴、奖金、其他社会保障缴费、退休费；</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18.08万元</w:t>
      </w:r>
      <w:r>
        <w:rPr>
          <w:rFonts w:hint="eastAsia" w:ascii="仿宋_GB2312" w:hAnsi="宋体" w:eastAsia="仿宋_GB2312" w:cs="Courier New"/>
          <w:sz w:val="32"/>
          <w:szCs w:val="32"/>
        </w:rPr>
        <w:t>，主要包括：办公费、水费、电费、邮电费、物业管理费。</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14.5万元，支出决算为13.8万元，完成预算的95%，其中：因公出国（境）费支出决算为0万元；公务用车购置及运行费支出决算为9.7万元，完成预算的97%；公务接待费支出决算为4.1万元，完成预算的91%。2016年度“三公”经费支出决算数小于预算数的主要原因是厉行节约。</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2.3万元，下降14%，其中：公务用车购置及运行费支出决算减少1万元，下降9.35%；公务接待费支出决算减少1.3万元，下降24%。公务用车购置及运行费支出增加（减少）的主要原因是严格公车管理；公务接待费支出减少的主要原因是严格执行“八项规定”文件精神。</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2016年度“三公”经费财政拨款支出决算中，因公出国（境）费支出决算0万元，占0%；公务用车购置及运行费支出决算9.7万元，占70.3%；公务接待费支出决算4.1万元，占29.7%。具体情况如下：</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支出9.7万元。其中：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支出9.7万元。主要用于无害化处理、瘦肉精检测、养殖环节污染治理、防疫检车、扶贫等。2016年期末，卧龙区畜牧局开支财政拨款的公务用车保有量为1量。</w:t>
      </w:r>
    </w:p>
    <w:p>
      <w:pPr>
        <w:numPr>
          <w:ilvl w:val="0"/>
          <w:numId w:val="5"/>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公务接待费支出4.1万元。</w:t>
      </w:r>
      <w:r>
        <w:rPr>
          <w:rFonts w:hint="eastAsia" w:ascii="仿宋_GB2312" w:hAnsi="宋体" w:eastAsia="仿宋_GB2312" w:cs="Courier New"/>
          <w:sz w:val="32"/>
          <w:szCs w:val="32"/>
        </w:rPr>
        <w:t>主要用于上级检查工作、培训接待、“双创”值班误餐等。卧龙区畜牧局2016年度共接待来访人员860人次（不包括陪同人员）。</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根据财政预算管理要求，卧龙区财政局对2016年度一般公共预算项目支出全面开展绩效自评。其中，二级项目1个，共涉及预算资金115万元，自评覆盖率达到100%。</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2016年度政府性基金预算财政拨款支出年初预算为0万元，支出决算为0万元。</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2016年度机关运行经费支出53.93万元，比2015年增加6.73万元，增长14.2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2016年度政府采购支出总额28.47万元，其中：政府采购货物支出26.64万元，政府采购服务支出1.83万元。其中：授予小微企业合同金额28.47万元，占政府采购支出总额的100%。</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2016年期末，卧龙区畜牧局共有车辆1辆，其中：一般公务用车1辆；单价50万元以上通用设备0台（套），单位价值100万元以上专用设备0台（套）。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bookmarkStart w:id="0" w:name="_GoBack"/>
      <w:bookmarkEnd w:id="0"/>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1">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2">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3">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4">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5">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6">
    <w:nsid w:val="5971EDEF"/>
    <w:multiLevelType w:val="singleLevel"/>
    <w:tmpl w:val="5971EDE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70F7"/>
    <w:rsid w:val="00094CEF"/>
    <w:rsid w:val="000B5A03"/>
    <w:rsid w:val="001150B0"/>
    <w:rsid w:val="00172A27"/>
    <w:rsid w:val="001D2CF7"/>
    <w:rsid w:val="001F3C88"/>
    <w:rsid w:val="002929B4"/>
    <w:rsid w:val="00384637"/>
    <w:rsid w:val="003A1B82"/>
    <w:rsid w:val="00500764"/>
    <w:rsid w:val="005829C4"/>
    <w:rsid w:val="005A415E"/>
    <w:rsid w:val="00672258"/>
    <w:rsid w:val="006D6BAF"/>
    <w:rsid w:val="006E42CD"/>
    <w:rsid w:val="00705E4B"/>
    <w:rsid w:val="00735C7A"/>
    <w:rsid w:val="007B4D21"/>
    <w:rsid w:val="008044DB"/>
    <w:rsid w:val="009108DE"/>
    <w:rsid w:val="00A0746A"/>
    <w:rsid w:val="00B458CF"/>
    <w:rsid w:val="00C35EBD"/>
    <w:rsid w:val="00CD71F9"/>
    <w:rsid w:val="00D01C10"/>
    <w:rsid w:val="00D8572A"/>
    <w:rsid w:val="00E85BAE"/>
    <w:rsid w:val="00EF5D62"/>
    <w:rsid w:val="00F9035F"/>
    <w:rsid w:val="00FE1014"/>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1995877"/>
    <w:rsid w:val="72416639"/>
    <w:rsid w:val="738C1FE2"/>
    <w:rsid w:val="75531EF6"/>
    <w:rsid w:val="75D0003D"/>
    <w:rsid w:val="764F7877"/>
    <w:rsid w:val="7AA141FF"/>
    <w:rsid w:val="7AD62BA6"/>
    <w:rsid w:val="7C445B57"/>
    <w:rsid w:val="7D713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81A9F-D7DC-402E-9F4D-9ADB9E06B3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1458</Words>
  <Characters>8312</Characters>
  <Lines>69</Lines>
  <Paragraphs>19</Paragraphs>
  <ScaleCrop>false</ScaleCrop>
  <LinksUpToDate>false</LinksUpToDate>
  <CharactersWithSpaces>9751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2017-09-11T02:59:00Z</dcterms:created>
  <dc:creator>wsj</dc:creator>
  <cp:lastModifiedBy>Administrator</cp:lastModifiedBy>
  <cp:lastPrinted>2017-07-25T02:47:00Z</cp:lastPrinted>
  <dcterms:modified xsi:type="dcterms:W3CDTF">2017-11-01T03:24:15Z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