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仿宋_GB2312" w:hAnsi="仿宋_GB2312" w:eastAsia="仿宋_GB2312" w:cs="仿宋_GB2312"/>
          <w:sz w:val="44"/>
          <w:szCs w:val="44"/>
        </w:rPr>
      </w:pPr>
      <w:r>
        <w:rPr>
          <w:rFonts w:hint="eastAsia" w:ascii="隶书" w:hAnsi="隶书" w:eastAsia="隶书" w:cs="隶书"/>
          <w:sz w:val="52"/>
          <w:szCs w:val="52"/>
        </w:rPr>
        <w:t>南阳市卧龙区独山公墓管理处</w:t>
      </w:r>
    </w:p>
    <w:p>
      <w:pPr>
        <w:jc w:val="center"/>
        <w:rPr>
          <w:rFonts w:ascii="黑体" w:hAnsi="黑体" w:eastAsia="黑体" w:cs="黑体"/>
          <w:sz w:val="52"/>
          <w:szCs w:val="52"/>
        </w:rPr>
      </w:pPr>
    </w:p>
    <w:p>
      <w:pPr>
        <w:jc w:val="center"/>
        <w:rPr>
          <w:rFonts w:ascii="隶书" w:hAnsi="隶书" w:eastAsia="隶书" w:cs="隶书"/>
          <w:sz w:val="52"/>
          <w:szCs w:val="52"/>
        </w:rPr>
        <w:sectPr>
          <w:headerReference r:id="rId5" w:type="first"/>
          <w:footerReference r:id="rId8" w:type="first"/>
          <w:headerReference r:id="rId3" w:type="default"/>
          <w:footerReference r:id="rId6" w:type="default"/>
          <w:headerReference r:id="rId4" w:type="even"/>
          <w:footerReference r:id="rId7" w:type="even"/>
          <w:pgSz w:w="11906" w:h="16838"/>
          <w:pgMar w:top="1440" w:right="1531" w:bottom="1440" w:left="1587" w:header="850" w:footer="992" w:gutter="0"/>
          <w:pgNumType w:fmt="numberInDash" w:start="1"/>
          <w:cols w:space="0" w:num="1"/>
          <w:docGrid w:type="lines" w:linePitch="317" w:charSpace="0"/>
        </w:sectPr>
      </w:pPr>
      <w:r>
        <w:rPr>
          <w:rFonts w:ascii="隶书" w:hAnsi="隶书" w:eastAsia="隶书" w:cs="隶书"/>
          <w:sz w:val="52"/>
          <w:szCs w:val="52"/>
        </w:rPr>
        <w:t>2016</w:t>
      </w:r>
      <w:r>
        <w:rPr>
          <w:rFonts w:hint="eastAsia" w:ascii="隶书" w:hAnsi="隶书" w:eastAsia="隶书" w:cs="隶书"/>
          <w:sz w:val="52"/>
          <w:szCs w:val="52"/>
        </w:rPr>
        <w:t>年度部门决算</w:t>
      </w:r>
    </w:p>
    <w:p>
      <w:pPr>
        <w:jc w:val="center"/>
        <w:rPr>
          <w:rFonts w:ascii="黑体" w:hAnsi="黑体" w:eastAsia="黑体" w:cs="黑体"/>
          <w:sz w:val="36"/>
          <w:szCs w:val="36"/>
        </w:rPr>
      </w:pPr>
      <w:r>
        <w:rPr>
          <w:rFonts w:hint="eastAsia" w:ascii="黑体" w:hAnsi="黑体" w:eastAsia="黑体" w:cs="黑体"/>
          <w:sz w:val="36"/>
          <w:szCs w:val="36"/>
        </w:rPr>
        <w:t>目　　录</w:t>
      </w:r>
    </w:p>
    <w:p>
      <w:pPr>
        <w:jc w:val="center"/>
        <w:rPr>
          <w:rFonts w:ascii="黑体" w:hAnsi="仿宋_GB2312" w:eastAsia="黑体" w:cs="仿宋_GB2312"/>
          <w:sz w:val="32"/>
          <w:szCs w:val="32"/>
        </w:rPr>
      </w:pPr>
      <w:r>
        <w:rPr>
          <w:rFonts w:hint="eastAsia" w:ascii="黑体" w:hAnsi="黑体" w:eastAsia="黑体" w:cs="黑体"/>
          <w:sz w:val="32"/>
          <w:szCs w:val="32"/>
        </w:rPr>
        <w:t>第一部分　　</w:t>
      </w:r>
      <w:r>
        <w:rPr>
          <w:rFonts w:hint="eastAsia" w:ascii="黑体" w:eastAsia="黑体"/>
          <w:sz w:val="32"/>
          <w:szCs w:val="32"/>
        </w:rPr>
        <w:t>南阳市卧龙区独山公墓管理处概况</w:t>
      </w:r>
      <w:r>
        <w:rPr>
          <w:rFonts w:ascii="黑体" w:hAnsi="黑体" w:eastAsia="黑体" w:cs="黑体"/>
          <w:sz w:val="32"/>
          <w:szCs w:val="32"/>
        </w:rPr>
        <w:tab/>
      </w:r>
    </w:p>
    <w:p>
      <w:pPr>
        <w:numPr>
          <w:ilvl w:val="0"/>
          <w:numId w:val="1"/>
        </w:numPr>
        <w:jc w:val="left"/>
        <w:rPr>
          <w:rFonts w:ascii="宋体" w:cs="宋体"/>
          <w:sz w:val="32"/>
          <w:szCs w:val="32"/>
        </w:rPr>
      </w:pPr>
      <w:r>
        <w:rPr>
          <w:rFonts w:hint="eastAsia" w:ascii="宋体" w:hAnsi="宋体" w:cs="宋体"/>
          <w:sz w:val="32"/>
          <w:szCs w:val="32"/>
        </w:rPr>
        <w:t>主要职责</w:t>
      </w:r>
    </w:p>
    <w:p>
      <w:pPr>
        <w:numPr>
          <w:ilvl w:val="0"/>
          <w:numId w:val="1"/>
        </w:numPr>
        <w:jc w:val="left"/>
        <w:rPr>
          <w:rFonts w:ascii="宋体" w:cs="宋体"/>
          <w:sz w:val="32"/>
          <w:szCs w:val="32"/>
        </w:rPr>
      </w:pPr>
      <w:r>
        <w:rPr>
          <w:rFonts w:hint="eastAsia" w:ascii="宋体" w:hAnsi="宋体" w:cs="宋体"/>
          <w:sz w:val="32"/>
          <w:szCs w:val="32"/>
        </w:rPr>
        <w:t>部门决算单位构成</w:t>
      </w:r>
    </w:p>
    <w:p>
      <w:pPr>
        <w:jc w:val="left"/>
        <w:rPr>
          <w:rFonts w:ascii="黑体" w:hAnsi="黑体" w:eastAsia="黑体" w:cs="黑体"/>
          <w:sz w:val="32"/>
          <w:szCs w:val="32"/>
        </w:rPr>
      </w:pPr>
      <w:r>
        <w:rPr>
          <w:rFonts w:hint="eastAsia" w:ascii="黑体" w:hAnsi="黑体" w:eastAsia="黑体" w:cs="黑体"/>
          <w:sz w:val="32"/>
          <w:szCs w:val="32"/>
        </w:rPr>
        <w:t>第二部分　</w:t>
      </w:r>
      <w:r>
        <w:rPr>
          <w:rFonts w:hint="eastAsia" w:ascii="黑体" w:eastAsia="黑体"/>
          <w:sz w:val="32"/>
          <w:szCs w:val="32"/>
        </w:rPr>
        <w:t>南阳市卧龙区独山公墓管理处</w:t>
      </w:r>
      <w:r>
        <w:rPr>
          <w:rFonts w:ascii="黑体" w:hAnsi="黑体" w:eastAsia="黑体" w:cs="黑体"/>
          <w:sz w:val="32"/>
          <w:szCs w:val="32"/>
        </w:rPr>
        <w:t>2016</w:t>
      </w:r>
      <w:r>
        <w:rPr>
          <w:rFonts w:hint="eastAsia" w:ascii="黑体" w:hAnsi="黑体" w:eastAsia="黑体" w:cs="黑体"/>
          <w:sz w:val="32"/>
          <w:szCs w:val="32"/>
        </w:rPr>
        <w:t>年度部门决算表</w:t>
      </w:r>
    </w:p>
    <w:p>
      <w:pPr>
        <w:jc w:val="left"/>
        <w:rPr>
          <w:rFonts w:ascii="宋体" w:cs="宋体"/>
          <w:sz w:val="32"/>
          <w:szCs w:val="32"/>
        </w:rPr>
      </w:pPr>
      <w:r>
        <w:rPr>
          <w:rFonts w:hint="eastAsia" w:ascii="宋体" w:hAnsi="宋体" w:cs="宋体"/>
          <w:sz w:val="32"/>
          <w:szCs w:val="32"/>
        </w:rPr>
        <w:t>一、收入支出决算总表</w:t>
      </w:r>
    </w:p>
    <w:p>
      <w:pPr>
        <w:jc w:val="left"/>
        <w:rPr>
          <w:rFonts w:ascii="宋体" w:cs="宋体"/>
          <w:sz w:val="32"/>
          <w:szCs w:val="32"/>
        </w:rPr>
      </w:pPr>
      <w:r>
        <w:rPr>
          <w:rFonts w:hint="eastAsia" w:ascii="宋体" w:hAnsi="宋体" w:cs="宋体"/>
          <w:sz w:val="32"/>
          <w:szCs w:val="32"/>
        </w:rPr>
        <w:t>二、收入决算表</w:t>
      </w:r>
    </w:p>
    <w:p>
      <w:pPr>
        <w:jc w:val="left"/>
        <w:rPr>
          <w:rFonts w:ascii="宋体" w:cs="宋体"/>
          <w:sz w:val="32"/>
          <w:szCs w:val="32"/>
        </w:rPr>
      </w:pPr>
      <w:r>
        <w:rPr>
          <w:rFonts w:hint="eastAsia" w:ascii="宋体" w:hAnsi="宋体" w:cs="宋体"/>
          <w:sz w:val="32"/>
          <w:szCs w:val="32"/>
        </w:rPr>
        <w:t>三、支出决算表</w:t>
      </w:r>
    </w:p>
    <w:p>
      <w:pPr>
        <w:jc w:val="left"/>
        <w:rPr>
          <w:rFonts w:ascii="宋体" w:cs="宋体"/>
          <w:sz w:val="32"/>
          <w:szCs w:val="32"/>
        </w:rPr>
      </w:pPr>
      <w:r>
        <w:rPr>
          <w:rFonts w:hint="eastAsia" w:ascii="宋体" w:hAnsi="宋体" w:cs="宋体"/>
          <w:sz w:val="32"/>
          <w:szCs w:val="32"/>
        </w:rPr>
        <w:t>四、财政拨款收入支出决算总表</w:t>
      </w:r>
    </w:p>
    <w:p>
      <w:pPr>
        <w:jc w:val="left"/>
        <w:rPr>
          <w:rFonts w:ascii="宋体" w:cs="宋体"/>
          <w:sz w:val="32"/>
          <w:szCs w:val="32"/>
        </w:rPr>
      </w:pPr>
      <w:r>
        <w:rPr>
          <w:rFonts w:hint="eastAsia" w:ascii="宋体" w:hAnsi="宋体" w:cs="宋体"/>
          <w:sz w:val="32"/>
          <w:szCs w:val="32"/>
        </w:rPr>
        <w:t>五、一般公共预算财政拨款支出决算表</w:t>
      </w:r>
    </w:p>
    <w:p>
      <w:pPr>
        <w:jc w:val="left"/>
        <w:rPr>
          <w:rFonts w:ascii="宋体" w:cs="宋体"/>
          <w:sz w:val="32"/>
          <w:szCs w:val="32"/>
        </w:rPr>
      </w:pPr>
      <w:r>
        <w:rPr>
          <w:rFonts w:hint="eastAsia" w:ascii="宋体" w:hAnsi="宋体" w:cs="宋体"/>
          <w:sz w:val="32"/>
          <w:szCs w:val="32"/>
        </w:rPr>
        <w:t>六、一般公共预算财政拨款基本支出决算表</w:t>
      </w:r>
    </w:p>
    <w:p>
      <w:pPr>
        <w:jc w:val="left"/>
        <w:rPr>
          <w:rFonts w:ascii="宋体" w:cs="宋体"/>
          <w:sz w:val="32"/>
          <w:szCs w:val="32"/>
        </w:rPr>
      </w:pPr>
      <w:r>
        <w:rPr>
          <w:rFonts w:hint="eastAsia" w:ascii="宋体" w:hAnsi="宋体" w:cs="宋体"/>
          <w:sz w:val="32"/>
          <w:szCs w:val="32"/>
        </w:rPr>
        <w:t>七、一般公共预算财政拨款“三公”经费支出决算表</w:t>
      </w:r>
    </w:p>
    <w:p>
      <w:pPr>
        <w:jc w:val="left"/>
        <w:rPr>
          <w:rFonts w:ascii="宋体" w:cs="宋体"/>
          <w:sz w:val="32"/>
          <w:szCs w:val="32"/>
        </w:rPr>
      </w:pPr>
      <w:r>
        <w:rPr>
          <w:rFonts w:hint="eastAsia" w:ascii="宋体" w:hAnsi="宋体" w:cs="宋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hint="eastAsia" w:ascii="黑体" w:eastAsia="黑体"/>
          <w:sz w:val="32"/>
          <w:szCs w:val="32"/>
        </w:rPr>
        <w:t>南阳市卧龙区独山公墓管理处</w:t>
      </w:r>
      <w:r>
        <w:rPr>
          <w:rFonts w:ascii="黑体" w:hAnsi="黑体" w:eastAsia="黑体" w:cs="黑体"/>
          <w:sz w:val="32"/>
          <w:szCs w:val="32"/>
        </w:rPr>
        <w:t>2016</w:t>
      </w:r>
      <w:r>
        <w:rPr>
          <w:rFonts w:hint="eastAsia" w:ascii="黑体" w:hAnsi="黑体" w:eastAsia="黑体" w:cs="黑体"/>
          <w:sz w:val="32"/>
          <w:szCs w:val="32"/>
        </w:rPr>
        <w:t>年度部门决算情况说明</w:t>
      </w:r>
    </w:p>
    <w:p>
      <w:pPr>
        <w:jc w:val="left"/>
        <w:rPr>
          <w:rFonts w:ascii="黑体" w:hAnsi="黑体" w:eastAsia="黑体" w:cs="黑体"/>
          <w:sz w:val="32"/>
          <w:szCs w:val="32"/>
        </w:rPr>
        <w:sectPr>
          <w:footerReference r:id="rId9" w:type="default"/>
          <w:pgSz w:w="11906" w:h="16838"/>
          <w:pgMar w:top="1440" w:right="1531" w:bottom="1440" w:left="1587" w:header="850" w:footer="992" w:gutter="0"/>
          <w:pgNumType w:fmt="numberInDash"/>
          <w:cols w:space="0" w:num="1"/>
          <w:docGrid w:type="lines" w:linePitch="317" w:charSpace="0"/>
        </w:sectPr>
      </w:pPr>
      <w:r>
        <w:rPr>
          <w:rFonts w:hint="eastAsia" w:ascii="黑体" w:hAnsi="黑体" w:eastAsia="黑体" w:cs="黑体"/>
          <w:sz w:val="32"/>
          <w:szCs w:val="32"/>
        </w:rPr>
        <w:t>第四部分　　名词解释</w:t>
      </w: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sectPr>
          <w:footerReference r:id="rId10" w:type="default"/>
          <w:pgSz w:w="11906" w:h="16838"/>
          <w:pgMar w:top="1440" w:right="1531" w:bottom="1440" w:left="1587" w:header="850" w:footer="992" w:gutter="0"/>
          <w:pgNumType w:fmt="numberInDash" w:start="1"/>
          <w:cols w:space="0" w:num="1"/>
          <w:docGrid w:type="lines" w:linePitch="317" w:charSpace="0"/>
        </w:sectPr>
      </w:pPr>
      <w:r>
        <w:rPr>
          <w:rFonts w:hint="eastAsia" w:ascii="隶书" w:hAnsi="隶书" w:eastAsia="隶书" w:cs="隶书"/>
          <w:sz w:val="48"/>
          <w:szCs w:val="48"/>
        </w:rPr>
        <w:t>第一部分　　</w:t>
      </w:r>
      <w:r>
        <w:rPr>
          <w:rFonts w:hint="eastAsia" w:ascii="楷体_GB2312" w:eastAsia="楷体_GB2312"/>
          <w:sz w:val="48"/>
          <w:szCs w:val="48"/>
        </w:rPr>
        <w:t>南阳市卧龙区独山公墓管理处</w:t>
      </w:r>
      <w:r>
        <w:rPr>
          <w:rFonts w:hint="eastAsia" w:ascii="楷体_GB2312" w:hAnsi="隶书" w:eastAsia="楷体_GB2312" w:cs="隶书"/>
          <w:sz w:val="48"/>
          <w:szCs w:val="48"/>
        </w:rPr>
        <w:t>概况</w:t>
      </w:r>
    </w:p>
    <w:p>
      <w:pPr>
        <w:numPr>
          <w:ilvl w:val="0"/>
          <w:numId w:val="2"/>
        </w:numPr>
        <w:spacing w:line="360" w:lineRule="auto"/>
        <w:ind w:firstLine="640" w:firstLineChars="200"/>
        <w:jc w:val="left"/>
        <w:outlineLvl w:val="1"/>
        <w:rPr>
          <w:rFonts w:ascii="黑体" w:hAnsi="黑体" w:eastAsia="黑体" w:cs="黑体"/>
          <w:sz w:val="32"/>
          <w:szCs w:val="32"/>
        </w:rPr>
      </w:pPr>
      <w:r>
        <w:rPr>
          <w:rFonts w:hint="eastAsia" w:ascii="黑体" w:hAnsi="黑体" w:eastAsia="黑体" w:cs="黑体"/>
          <w:sz w:val="32"/>
          <w:szCs w:val="32"/>
        </w:rPr>
        <w:t>主要职责</w:t>
      </w:r>
    </w:p>
    <w:p>
      <w:pPr>
        <w:spacing w:line="360" w:lineRule="auto"/>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提供遗体和骨灰安葬服务，墓碑制作，丧葬用品服务。</w:t>
      </w:r>
    </w:p>
    <w:p>
      <w:pPr>
        <w:spacing w:line="360" w:lineRule="auto"/>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w:t>
      </w:r>
    </w:p>
    <w:p>
      <w:pPr>
        <w:numPr>
          <w:ilvl w:val="0"/>
          <w:numId w:val="3"/>
        </w:numPr>
        <w:spacing w:line="360" w:lineRule="auto"/>
        <w:ind w:firstLine="640" w:firstLineChars="200"/>
        <w:jc w:val="left"/>
        <w:outlineLvl w:val="1"/>
        <w:rPr>
          <w:rFonts w:ascii="黑体" w:hAnsi="黑体" w:eastAsia="黑体" w:cs="黑体"/>
          <w:sz w:val="32"/>
          <w:szCs w:val="32"/>
        </w:rPr>
      </w:pPr>
      <w:r>
        <w:rPr>
          <w:rFonts w:hint="eastAsia" w:ascii="黑体" w:hAnsi="黑体" w:eastAsia="黑体" w:cs="黑体"/>
          <w:sz w:val="32"/>
          <w:szCs w:val="32"/>
        </w:rPr>
        <w:t>部门决算单位构成</w:t>
      </w:r>
    </w:p>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纳入</w:t>
      </w:r>
      <w:r>
        <w:rPr>
          <w:rFonts w:hint="eastAsia" w:ascii="仿宋_GB2312" w:eastAsia="仿宋_GB2312"/>
          <w:sz w:val="32"/>
          <w:szCs w:val="32"/>
        </w:rPr>
        <w:t>南阳市卧龙区独山公墓管理处</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年度部门决算编制范围的单位只包括</w:t>
      </w:r>
      <w:r>
        <w:rPr>
          <w:rFonts w:hint="eastAsia" w:ascii="仿宋_GB2312" w:eastAsia="仿宋_GB2312"/>
          <w:sz w:val="32"/>
          <w:szCs w:val="32"/>
        </w:rPr>
        <w:t>南阳市卧龙区独山公墓管理处。</w:t>
      </w:r>
    </w:p>
    <w:p>
      <w:pPr>
        <w:spacing w:line="360" w:lineRule="auto"/>
        <w:jc w:val="left"/>
        <w:rPr>
          <w:rFonts w:ascii="楷体_GB2312" w:hAnsi="楷体_GB2312" w:eastAsia="楷体_GB2312" w:cs="楷体_GB2312"/>
          <w:sz w:val="32"/>
          <w:szCs w:val="32"/>
        </w:rPr>
        <w:sectPr>
          <w:pgSz w:w="11906" w:h="16838"/>
          <w:pgMar w:top="1440" w:right="1531" w:bottom="1440" w:left="1587" w:header="850" w:footer="992" w:gutter="0"/>
          <w:pgNumType w:fmt="numberInDash"/>
          <w:cols w:space="0" w:num="1"/>
          <w:docGrid w:type="lines" w:linePitch="317" w:charSpace="0"/>
        </w:sectPr>
      </w:pPr>
      <w:r>
        <w:rPr>
          <w:rFonts w:hint="eastAsia" w:ascii="楷体_GB2312" w:hAnsi="楷体_GB2312" w:eastAsia="楷体_GB2312" w:cs="楷体_GB2312"/>
          <w:sz w:val="32"/>
          <w:szCs w:val="32"/>
        </w:rPr>
        <w:t>……</w:t>
      </w: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pPr>
      <w:r>
        <w:rPr>
          <w:rFonts w:hint="eastAsia" w:ascii="隶书" w:hAnsi="隶书" w:eastAsia="隶书" w:cs="隶书"/>
          <w:sz w:val="48"/>
          <w:szCs w:val="48"/>
        </w:rPr>
        <w:t>第二部分</w:t>
      </w:r>
    </w:p>
    <w:p>
      <w:pPr>
        <w:jc w:val="center"/>
        <w:rPr>
          <w:rFonts w:ascii="仿宋_GB2312" w:hAnsi="隶书" w:eastAsia="仿宋_GB2312" w:cs="隶书"/>
          <w:sz w:val="48"/>
          <w:szCs w:val="48"/>
        </w:rPr>
        <w:sectPr>
          <w:pgSz w:w="11906" w:h="16838"/>
          <w:pgMar w:top="1440" w:right="1531" w:bottom="1440" w:left="1587" w:header="850" w:footer="992" w:gutter="0"/>
          <w:pgNumType w:fmt="numberInDash"/>
          <w:cols w:space="0" w:num="1"/>
          <w:docGrid w:type="lines" w:linePitch="317" w:charSpace="0"/>
        </w:sectPr>
      </w:pPr>
      <w:r>
        <w:rPr>
          <w:rFonts w:hint="eastAsia" w:ascii="仿宋_GB2312" w:eastAsia="仿宋_GB2312"/>
          <w:sz w:val="48"/>
          <w:szCs w:val="48"/>
        </w:rPr>
        <w:t>南阳市卧龙区独山公墓管理处</w:t>
      </w:r>
      <w:r>
        <w:rPr>
          <w:rFonts w:ascii="仿宋_GB2312" w:hAnsi="隶书" w:eastAsia="仿宋_GB2312" w:cs="隶书"/>
          <w:sz w:val="48"/>
          <w:szCs w:val="48"/>
        </w:rPr>
        <w:t>2016</w:t>
      </w:r>
      <w:r>
        <w:rPr>
          <w:rFonts w:hint="eastAsia" w:ascii="仿宋_GB2312" w:hAnsi="隶书" w:eastAsia="仿宋_GB2312" w:cs="隶书"/>
          <w:sz w:val="48"/>
          <w:szCs w:val="48"/>
        </w:rPr>
        <w:t>年度部门决算表</w:t>
      </w:r>
    </w:p>
    <w:tbl>
      <w:tblPr>
        <w:tblStyle w:val="5"/>
        <w:tblW w:w="10350" w:type="dxa"/>
        <w:tblInd w:w="-1040" w:type="dxa"/>
        <w:tblLayout w:type="fixed"/>
        <w:tblCellMar>
          <w:top w:w="15" w:type="dxa"/>
          <w:left w:w="15" w:type="dxa"/>
          <w:bottom w:w="15" w:type="dxa"/>
          <w:right w:w="15" w:type="dxa"/>
        </w:tblCellMar>
      </w:tblPr>
      <w:tblGrid>
        <w:gridCol w:w="1995"/>
        <w:gridCol w:w="645"/>
        <w:gridCol w:w="642"/>
        <w:gridCol w:w="472"/>
        <w:gridCol w:w="1316"/>
        <w:gridCol w:w="2325"/>
        <w:gridCol w:w="495"/>
        <w:gridCol w:w="324"/>
        <w:gridCol w:w="527"/>
        <w:gridCol w:w="1609"/>
      </w:tblGrid>
      <w:tr>
        <w:tblPrEx>
          <w:tblLayout w:type="fixed"/>
          <w:tblCellMar>
            <w:top w:w="15" w:type="dxa"/>
            <w:left w:w="15" w:type="dxa"/>
            <w:bottom w:w="15" w:type="dxa"/>
            <w:right w:w="15" w:type="dxa"/>
          </w:tblCellMar>
        </w:tblPrEx>
        <w:trPr>
          <w:trHeight w:val="375" w:hRule="atLeast"/>
        </w:trPr>
        <w:tc>
          <w:tcPr>
            <w:tcW w:w="10350" w:type="dxa"/>
            <w:gridSpan w:val="10"/>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收入支出决算总表</w:t>
            </w:r>
          </w:p>
        </w:tc>
      </w:tr>
      <w:tr>
        <w:tblPrEx>
          <w:tblLayout w:type="fixed"/>
          <w:tblCellMar>
            <w:top w:w="15" w:type="dxa"/>
            <w:left w:w="15" w:type="dxa"/>
            <w:bottom w:w="15" w:type="dxa"/>
            <w:right w:w="15" w:type="dxa"/>
          </w:tblCellMar>
        </w:tblPrEx>
        <w:trPr>
          <w:trHeight w:val="315" w:hRule="atLeast"/>
        </w:trPr>
        <w:tc>
          <w:tcPr>
            <w:tcW w:w="3282" w:type="dxa"/>
            <w:gridSpan w:val="3"/>
            <w:vAlign w:val="center"/>
          </w:tcPr>
          <w:p>
            <w:pPr>
              <w:widowControl/>
              <w:jc w:val="left"/>
              <w:textAlignment w:val="center"/>
              <w:rPr>
                <w:rFonts w:ascii="宋体" w:cs="宋体"/>
                <w:color w:val="000000"/>
                <w:sz w:val="16"/>
                <w:szCs w:val="16"/>
              </w:rPr>
            </w:pPr>
            <w:r>
              <w:rPr>
                <w:rFonts w:ascii="宋体" w:cs="宋体"/>
                <w:color w:val="000000"/>
                <w:kern w:val="0"/>
                <w:sz w:val="16"/>
                <w:szCs w:val="16"/>
              </w:rPr>
              <w:t>.</w:t>
            </w:r>
          </w:p>
        </w:tc>
        <w:tc>
          <w:tcPr>
            <w:tcW w:w="472" w:type="dxa"/>
            <w:vAlign w:val="center"/>
          </w:tcPr>
          <w:p>
            <w:pPr>
              <w:rPr>
                <w:rFonts w:ascii="宋体" w:cs="宋体"/>
                <w:color w:val="000000"/>
                <w:sz w:val="16"/>
                <w:szCs w:val="16"/>
              </w:rPr>
            </w:pPr>
          </w:p>
        </w:tc>
        <w:tc>
          <w:tcPr>
            <w:tcW w:w="1316" w:type="dxa"/>
            <w:vAlign w:val="center"/>
          </w:tcPr>
          <w:p>
            <w:pPr>
              <w:rPr>
                <w:rFonts w:ascii="宋体" w:cs="宋体"/>
                <w:color w:val="000000"/>
                <w:sz w:val="16"/>
                <w:szCs w:val="16"/>
              </w:rPr>
            </w:pPr>
          </w:p>
        </w:tc>
        <w:tc>
          <w:tcPr>
            <w:tcW w:w="3144" w:type="dxa"/>
            <w:gridSpan w:val="3"/>
            <w:vAlign w:val="center"/>
          </w:tcPr>
          <w:p>
            <w:pPr>
              <w:rPr>
                <w:rFonts w:ascii="宋体" w:cs="宋体"/>
                <w:color w:val="000000"/>
                <w:sz w:val="16"/>
                <w:szCs w:val="16"/>
              </w:rPr>
            </w:pPr>
          </w:p>
        </w:tc>
        <w:tc>
          <w:tcPr>
            <w:tcW w:w="527" w:type="dxa"/>
            <w:vAlign w:val="center"/>
          </w:tcPr>
          <w:p>
            <w:pPr>
              <w:rPr>
                <w:rFonts w:ascii="宋体" w:cs="宋体"/>
                <w:color w:val="000000"/>
                <w:sz w:val="16"/>
                <w:szCs w:val="16"/>
              </w:rPr>
            </w:pPr>
          </w:p>
        </w:tc>
        <w:tc>
          <w:tcPr>
            <w:tcW w:w="1609" w:type="dxa"/>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01</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315" w:hRule="atLeast"/>
        </w:trPr>
        <w:tc>
          <w:tcPr>
            <w:tcW w:w="3282" w:type="dxa"/>
            <w:gridSpan w:val="3"/>
            <w:vAlign w:val="center"/>
          </w:tcPr>
          <w:p>
            <w:pPr>
              <w:rPr>
                <w:rFonts w:ascii="宋体" w:cs="宋体"/>
                <w:color w:val="000000"/>
                <w:sz w:val="16"/>
                <w:szCs w:val="16"/>
              </w:rPr>
            </w:pPr>
          </w:p>
        </w:tc>
        <w:tc>
          <w:tcPr>
            <w:tcW w:w="472" w:type="dxa"/>
            <w:vAlign w:val="center"/>
          </w:tcPr>
          <w:p>
            <w:pPr>
              <w:rPr>
                <w:rFonts w:ascii="宋体" w:cs="宋体"/>
                <w:color w:val="000000"/>
                <w:sz w:val="16"/>
                <w:szCs w:val="16"/>
              </w:rPr>
            </w:pPr>
          </w:p>
        </w:tc>
        <w:tc>
          <w:tcPr>
            <w:tcW w:w="1316" w:type="dxa"/>
            <w:vAlign w:val="center"/>
          </w:tcPr>
          <w:p>
            <w:pPr>
              <w:rPr>
                <w:rFonts w:ascii="宋体" w:cs="宋体"/>
                <w:color w:val="000000"/>
                <w:sz w:val="16"/>
                <w:szCs w:val="16"/>
              </w:rPr>
            </w:pPr>
          </w:p>
        </w:tc>
        <w:tc>
          <w:tcPr>
            <w:tcW w:w="3144" w:type="dxa"/>
            <w:gridSpan w:val="3"/>
            <w:vAlign w:val="center"/>
          </w:tcPr>
          <w:p>
            <w:pPr>
              <w:rPr>
                <w:rFonts w:ascii="宋体" w:cs="宋体"/>
                <w:color w:val="000000"/>
                <w:sz w:val="16"/>
                <w:szCs w:val="16"/>
              </w:rPr>
            </w:pPr>
          </w:p>
        </w:tc>
        <w:tc>
          <w:tcPr>
            <w:tcW w:w="527" w:type="dxa"/>
            <w:vAlign w:val="center"/>
          </w:tcPr>
          <w:p>
            <w:pPr>
              <w:rPr>
                <w:rFonts w:ascii="宋体" w:cs="宋体"/>
                <w:color w:val="000000"/>
                <w:sz w:val="16"/>
                <w:szCs w:val="16"/>
              </w:rPr>
            </w:pPr>
          </w:p>
        </w:tc>
        <w:tc>
          <w:tcPr>
            <w:tcW w:w="1609" w:type="dxa"/>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5070" w:type="dxa"/>
            <w:gridSpan w:val="5"/>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收　　入</w:t>
            </w:r>
          </w:p>
        </w:tc>
        <w:tc>
          <w:tcPr>
            <w:tcW w:w="5280" w:type="dxa"/>
            <w:gridSpan w:val="5"/>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支　　出</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　　目</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行次</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金额</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　　目</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行次</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金额</w:t>
            </w:r>
          </w:p>
        </w:tc>
      </w:tr>
      <w:tr>
        <w:tblPrEx>
          <w:tblLayout w:type="fixed"/>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　　次</w:t>
            </w:r>
          </w:p>
        </w:tc>
        <w:tc>
          <w:tcPr>
            <w:tcW w:w="6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　　次</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一、财政拨款收入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一、一般公共服务支出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30</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二、上级补助收入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二、外交支出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31</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三、事业收入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652.8</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三、国防支出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32</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四、经营收入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四、公共安全支出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33</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五、附属单位上缴收入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五、教育支出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34</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六、其他收入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六、科学技术支出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35</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7</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七、文化体育与传媒支出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36</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八、社会保障和就业支出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37</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r>
              <w:rPr>
                <w:rFonts w:ascii="宋体" w:cs="宋体"/>
                <w:color w:val="000000"/>
                <w:sz w:val="16"/>
                <w:szCs w:val="16"/>
              </w:rPr>
              <w:t>644.4</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九、医疗卫生与计划生育支出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38</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十、节能环保支出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39</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十一、城乡社区支出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40</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12</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十二、农林水支出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41</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13</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十三、交通运输支出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42</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14</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十四、资源勘探信息等支出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43</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15</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十五、商业服务业等支出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44</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16</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十六、金融支出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45</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17</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十七、援助其他地区支出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46</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18</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十八、国土海洋气象等支出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47</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19</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十九、住房保障支出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48</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20</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二十、粮油物资储备支出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49</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21</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二十一、其他支出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50</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22</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二十二、债务还本支出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51</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23</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二十三、债务付息支出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52</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24</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53</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本年收入合计</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25</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本年支出合计</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54</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b/>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　用事业基金弥补收支差额</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26</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　结余分配</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55</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　年初结转和结余</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27</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　年末结转和结余</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56</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28</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57</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总计</w:t>
            </w:r>
          </w:p>
        </w:tc>
        <w:tc>
          <w:tcPr>
            <w:tcW w:w="645"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29</w:t>
            </w:r>
          </w:p>
        </w:tc>
        <w:tc>
          <w:tcPr>
            <w:tcW w:w="2430"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b/>
                <w:color w:val="000000"/>
                <w:sz w:val="16"/>
                <w:szCs w:val="16"/>
              </w:rPr>
            </w:pPr>
            <w:r>
              <w:rPr>
                <w:rFonts w:ascii="宋体" w:cs="宋体"/>
                <w:b/>
                <w:color w:val="000000"/>
                <w:sz w:val="16"/>
                <w:szCs w:val="16"/>
              </w:rPr>
              <w:t>652.8</w:t>
            </w:r>
          </w:p>
        </w:tc>
        <w:tc>
          <w:tcPr>
            <w:tcW w:w="2325"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b/>
                <w:color w:val="000000"/>
                <w:sz w:val="16"/>
                <w:szCs w:val="16"/>
              </w:rPr>
            </w:pPr>
            <w:r>
              <w:rPr>
                <w:rFonts w:hint="eastAsia" w:ascii="宋体" w:hAnsi="宋体" w:cs="宋体"/>
                <w:b/>
                <w:color w:val="000000"/>
                <w:kern w:val="0"/>
                <w:sz w:val="16"/>
                <w:szCs w:val="16"/>
              </w:rPr>
              <w:t>总计</w:t>
            </w:r>
          </w:p>
        </w:tc>
        <w:tc>
          <w:tcPr>
            <w:tcW w:w="495"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58</w:t>
            </w:r>
          </w:p>
        </w:tc>
        <w:tc>
          <w:tcPr>
            <w:tcW w:w="2460" w:type="dxa"/>
            <w:gridSpan w:val="3"/>
            <w:tcBorders>
              <w:top w:val="single" w:color="000000" w:sz="4" w:space="0"/>
              <w:left w:val="single" w:color="000000" w:sz="4" w:space="0"/>
              <w:bottom w:val="single" w:color="000000" w:sz="12" w:space="0"/>
              <w:right w:val="single" w:color="000000" w:sz="12" w:space="0"/>
            </w:tcBorders>
            <w:vAlign w:val="center"/>
          </w:tcPr>
          <w:p>
            <w:pPr>
              <w:jc w:val="right"/>
              <w:rPr>
                <w:rFonts w:ascii="宋体" w:cs="宋体"/>
                <w:b/>
                <w:color w:val="000000"/>
                <w:sz w:val="16"/>
                <w:szCs w:val="16"/>
              </w:rPr>
            </w:pPr>
            <w:r>
              <w:rPr>
                <w:rFonts w:ascii="宋体" w:cs="宋体"/>
                <w:b/>
                <w:color w:val="000000"/>
                <w:sz w:val="16"/>
                <w:szCs w:val="16"/>
              </w:rPr>
              <w:t>644.4</w:t>
            </w:r>
          </w:p>
        </w:tc>
      </w:tr>
      <w:tr>
        <w:tblPrEx>
          <w:tblLayout w:type="fixed"/>
          <w:tblCellMar>
            <w:top w:w="15" w:type="dxa"/>
            <w:left w:w="15" w:type="dxa"/>
            <w:bottom w:w="15" w:type="dxa"/>
            <w:right w:w="15" w:type="dxa"/>
          </w:tblCellMar>
        </w:tblPrEx>
        <w:trPr>
          <w:trHeight w:val="555" w:hRule="atLeast"/>
        </w:trPr>
        <w:tc>
          <w:tcPr>
            <w:tcW w:w="10350" w:type="dxa"/>
            <w:gridSpan w:val="10"/>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注：本表反映部门本年度的总收支和年末结转结余情况。</w:t>
            </w:r>
          </w:p>
        </w:tc>
      </w:tr>
    </w:tbl>
    <w:p>
      <w:pPr>
        <w:spacing w:line="360" w:lineRule="auto"/>
        <w:rPr>
          <w:rFonts w:ascii="隶书" w:hAnsi="隶书" w:eastAsia="隶书" w:cs="隶书"/>
          <w:sz w:val="52"/>
          <w:szCs w:val="52"/>
        </w:rPr>
        <w:sectPr>
          <w:pgSz w:w="11906" w:h="16838"/>
          <w:pgMar w:top="1440" w:right="1800" w:bottom="1440" w:left="1800" w:header="851" w:footer="992" w:gutter="0"/>
          <w:pgNumType w:fmt="numberInDash"/>
          <w:cols w:space="425" w:num="1"/>
          <w:docGrid w:type="lines" w:linePitch="312" w:charSpace="0"/>
        </w:sectPr>
      </w:pPr>
    </w:p>
    <w:tbl>
      <w:tblPr>
        <w:tblStyle w:val="5"/>
        <w:tblW w:w="10337" w:type="dxa"/>
        <w:tblInd w:w="-827" w:type="dxa"/>
        <w:tblLayout w:type="fixed"/>
        <w:tblCellMar>
          <w:top w:w="15" w:type="dxa"/>
          <w:left w:w="15" w:type="dxa"/>
          <w:bottom w:w="15" w:type="dxa"/>
          <w:right w:w="15" w:type="dxa"/>
        </w:tblCellMar>
      </w:tblPr>
      <w:tblGrid>
        <w:gridCol w:w="675"/>
        <w:gridCol w:w="962"/>
        <w:gridCol w:w="1036"/>
        <w:gridCol w:w="1094"/>
        <w:gridCol w:w="810"/>
        <w:gridCol w:w="284"/>
        <w:gridCol w:w="676"/>
        <w:gridCol w:w="418"/>
        <w:gridCol w:w="542"/>
        <w:gridCol w:w="552"/>
        <w:gridCol w:w="408"/>
        <w:gridCol w:w="686"/>
        <w:gridCol w:w="274"/>
        <w:gridCol w:w="820"/>
        <w:gridCol w:w="140"/>
        <w:gridCol w:w="960"/>
      </w:tblGrid>
      <w:tr>
        <w:tblPrEx>
          <w:tblLayout w:type="fixed"/>
          <w:tblCellMar>
            <w:top w:w="15" w:type="dxa"/>
            <w:left w:w="15" w:type="dxa"/>
            <w:bottom w:w="15" w:type="dxa"/>
            <w:right w:w="15" w:type="dxa"/>
          </w:tblCellMar>
        </w:tblPrEx>
        <w:trPr>
          <w:trHeight w:val="375" w:hRule="atLeast"/>
        </w:trPr>
        <w:tc>
          <w:tcPr>
            <w:tcW w:w="10337" w:type="dxa"/>
            <w:gridSpan w:val="16"/>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收入决算表</w:t>
            </w:r>
          </w:p>
        </w:tc>
      </w:tr>
      <w:tr>
        <w:tblPrEx>
          <w:tblLayout w:type="fixed"/>
          <w:tblCellMar>
            <w:top w:w="15" w:type="dxa"/>
            <w:left w:w="15" w:type="dxa"/>
            <w:bottom w:w="15" w:type="dxa"/>
            <w:right w:w="15" w:type="dxa"/>
          </w:tblCellMar>
        </w:tblPrEx>
        <w:trPr>
          <w:trHeight w:val="285" w:hRule="atLeast"/>
        </w:trPr>
        <w:tc>
          <w:tcPr>
            <w:tcW w:w="1637" w:type="dxa"/>
            <w:gridSpan w:val="2"/>
            <w:vAlign w:val="center"/>
          </w:tcPr>
          <w:p>
            <w:pPr>
              <w:rPr>
                <w:rFonts w:ascii="宋体" w:cs="宋体"/>
                <w:color w:val="000000"/>
                <w:sz w:val="16"/>
                <w:szCs w:val="16"/>
              </w:rPr>
            </w:pPr>
          </w:p>
        </w:tc>
        <w:tc>
          <w:tcPr>
            <w:tcW w:w="1036" w:type="dxa"/>
            <w:vAlign w:val="center"/>
          </w:tcPr>
          <w:p>
            <w:pPr>
              <w:rPr>
                <w:rFonts w:ascii="宋体" w:cs="宋体"/>
                <w:color w:val="000000"/>
                <w:sz w:val="16"/>
                <w:szCs w:val="16"/>
              </w:rPr>
            </w:pPr>
          </w:p>
        </w:tc>
        <w:tc>
          <w:tcPr>
            <w:tcW w:w="1904"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02</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270" w:hRule="atLeast"/>
        </w:trPr>
        <w:tc>
          <w:tcPr>
            <w:tcW w:w="1637" w:type="dxa"/>
            <w:gridSpan w:val="2"/>
            <w:vAlign w:val="center"/>
          </w:tcPr>
          <w:p>
            <w:pPr>
              <w:rPr>
                <w:rFonts w:ascii="宋体" w:cs="宋体"/>
                <w:color w:val="000000"/>
                <w:sz w:val="16"/>
                <w:szCs w:val="16"/>
              </w:rPr>
            </w:pPr>
          </w:p>
        </w:tc>
        <w:tc>
          <w:tcPr>
            <w:tcW w:w="1036" w:type="dxa"/>
            <w:vAlign w:val="center"/>
          </w:tcPr>
          <w:p>
            <w:pPr>
              <w:rPr>
                <w:rFonts w:ascii="宋体" w:cs="宋体"/>
                <w:color w:val="000000"/>
                <w:sz w:val="16"/>
                <w:szCs w:val="16"/>
              </w:rPr>
            </w:pPr>
          </w:p>
        </w:tc>
        <w:tc>
          <w:tcPr>
            <w:tcW w:w="1904"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单位：万元</w:t>
            </w:r>
          </w:p>
        </w:tc>
      </w:tr>
      <w:tr>
        <w:tblPrEx>
          <w:tblLayout w:type="fixed"/>
          <w:tblCellMar>
            <w:top w:w="15" w:type="dxa"/>
            <w:left w:w="15" w:type="dxa"/>
            <w:bottom w:w="15" w:type="dxa"/>
            <w:right w:w="15" w:type="dxa"/>
          </w:tblCellMar>
        </w:tblPrEx>
        <w:trPr>
          <w:trHeight w:val="285" w:hRule="atLeast"/>
        </w:trPr>
        <w:tc>
          <w:tcPr>
            <w:tcW w:w="2673"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w:t>
            </w:r>
            <w:r>
              <w:rPr>
                <w:rFonts w:ascii="宋体" w:hAnsi="宋体" w:cs="宋体"/>
                <w:b/>
                <w:color w:val="000000"/>
                <w:kern w:val="0"/>
                <w:sz w:val="16"/>
                <w:szCs w:val="16"/>
              </w:rPr>
              <w:t xml:space="preserve"> </w:t>
            </w:r>
            <w:r>
              <w:rPr>
                <w:rFonts w:hint="eastAsia" w:ascii="宋体" w:hAnsi="宋体" w:cs="宋体"/>
                <w:b/>
                <w:color w:val="000000"/>
                <w:kern w:val="0"/>
                <w:sz w:val="16"/>
                <w:szCs w:val="16"/>
              </w:rPr>
              <w:t>目</w:t>
            </w:r>
          </w:p>
        </w:tc>
        <w:tc>
          <w:tcPr>
            <w:tcW w:w="1094"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本年收入合计</w:t>
            </w:r>
          </w:p>
        </w:tc>
        <w:tc>
          <w:tcPr>
            <w:tcW w:w="1094"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财政拨款收入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上级补助收入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事业收入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经营收入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附属单位</w:t>
            </w:r>
            <w:r>
              <w:rPr>
                <w:rFonts w:ascii="宋体" w:cs="宋体"/>
                <w:b/>
                <w:color w:val="000000"/>
                <w:kern w:val="0"/>
                <w:sz w:val="16"/>
                <w:szCs w:val="16"/>
              </w:rPr>
              <w:br w:type="textWrapping"/>
            </w:r>
            <w:r>
              <w:rPr>
                <w:rFonts w:hint="eastAsia" w:ascii="宋体" w:hAnsi="宋体" w:cs="宋体"/>
                <w:b/>
                <w:color w:val="000000"/>
                <w:kern w:val="0"/>
                <w:sz w:val="16"/>
                <w:szCs w:val="16"/>
              </w:rPr>
              <w:t>上缴收入</w:t>
            </w:r>
          </w:p>
        </w:tc>
        <w:tc>
          <w:tcPr>
            <w:tcW w:w="1100" w:type="dxa"/>
            <w:gridSpan w:val="2"/>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其他收入</w:t>
            </w:r>
          </w:p>
        </w:tc>
      </w:tr>
      <w:tr>
        <w:tblPrEx>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功能分类</w:t>
            </w:r>
            <w:r>
              <w:rPr>
                <w:rFonts w:ascii="宋体" w:cs="宋体"/>
                <w:b/>
                <w:color w:val="000000"/>
                <w:kern w:val="0"/>
                <w:sz w:val="16"/>
                <w:szCs w:val="16"/>
              </w:rPr>
              <w:br w:type="textWrapping"/>
            </w:r>
            <w:r>
              <w:rPr>
                <w:rFonts w:hint="eastAsia" w:ascii="宋体" w:hAnsi="宋体" w:cs="宋体"/>
                <w:b/>
                <w:color w:val="000000"/>
                <w:kern w:val="0"/>
                <w:sz w:val="16"/>
                <w:szCs w:val="16"/>
              </w:rPr>
              <w:t>科目编码</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科目名称</w:t>
            </w:r>
          </w:p>
        </w:tc>
        <w:tc>
          <w:tcPr>
            <w:tcW w:w="1094"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100" w:type="dxa"/>
            <w:gridSpan w:val="2"/>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ascii="宋体" w:cs="宋体"/>
                <w:b/>
                <w:color w:val="000000"/>
                <w:sz w:val="16"/>
                <w:szCs w:val="16"/>
              </w:rPr>
            </w:pPr>
          </w:p>
        </w:tc>
      </w:tr>
      <w:tr>
        <w:tblPrEx>
          <w:tblLayout w:type="fixed"/>
        </w:tblPrEx>
        <w:trPr>
          <w:trHeight w:val="285" w:hRule="atLeast"/>
        </w:trPr>
        <w:tc>
          <w:tcPr>
            <w:tcW w:w="2673"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栏次</w:t>
            </w:r>
          </w:p>
        </w:tc>
        <w:tc>
          <w:tcPr>
            <w:tcW w:w="10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7</w:t>
            </w:r>
          </w:p>
        </w:tc>
      </w:tr>
      <w:tr>
        <w:tblPrEx>
          <w:tblLayout w:type="fixed"/>
          <w:tblCellMar>
            <w:top w:w="15" w:type="dxa"/>
            <w:left w:w="15" w:type="dxa"/>
            <w:bottom w:w="15" w:type="dxa"/>
            <w:right w:w="15" w:type="dxa"/>
          </w:tblCellMar>
        </w:tblPrEx>
        <w:trPr>
          <w:trHeight w:val="285" w:hRule="atLeast"/>
        </w:trPr>
        <w:tc>
          <w:tcPr>
            <w:tcW w:w="2673"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r>
              <w:rPr>
                <w:rFonts w:ascii="宋体" w:cs="宋体"/>
                <w:b/>
                <w:color w:val="000000"/>
                <w:sz w:val="16"/>
                <w:szCs w:val="16"/>
              </w:rPr>
              <w:t>652.8</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r>
              <w:rPr>
                <w:rFonts w:ascii="宋体" w:cs="宋体"/>
                <w:b/>
                <w:color w:val="000000"/>
                <w:sz w:val="16"/>
                <w:szCs w:val="16"/>
              </w:rPr>
              <w:t>652.8</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b/>
                <w:color w:val="000000"/>
                <w:sz w:val="16"/>
                <w:szCs w:val="16"/>
              </w:rPr>
            </w:pPr>
          </w:p>
        </w:tc>
      </w:tr>
      <w:tr>
        <w:tblPrEx>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208</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社会保障和就业支出</w:t>
            </w:r>
          </w:p>
        </w:tc>
        <w:tc>
          <w:tcPr>
            <w:tcW w:w="1094" w:type="dxa"/>
            <w:tcBorders>
              <w:top w:val="single" w:color="000000" w:sz="4" w:space="0"/>
              <w:left w:val="single" w:color="000000" w:sz="4" w:space="0"/>
              <w:bottom w:val="single" w:color="000000" w:sz="4" w:space="0"/>
              <w:right w:val="single" w:color="000000" w:sz="4" w:space="0"/>
            </w:tcBorders>
          </w:tcPr>
          <w:p>
            <w:pPr>
              <w:ind w:firstLine="626" w:firstLineChars="390"/>
            </w:pPr>
            <w:r>
              <w:rPr>
                <w:rFonts w:ascii="宋体" w:cs="宋体"/>
                <w:b/>
                <w:color w:val="000000"/>
                <w:sz w:val="16"/>
                <w:szCs w:val="16"/>
              </w:rPr>
              <w:t>652.8</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r>
              <w:rPr>
                <w:rFonts w:ascii="宋体" w:cs="宋体"/>
                <w:b/>
                <w:color w:val="000000"/>
                <w:sz w:val="16"/>
                <w:szCs w:val="16"/>
              </w:rPr>
              <w:t>652.8</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b/>
                <w:color w:val="000000"/>
                <w:sz w:val="16"/>
                <w:szCs w:val="16"/>
              </w:rPr>
            </w:pPr>
          </w:p>
        </w:tc>
      </w:tr>
      <w:tr>
        <w:tblPrEx>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20802</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民政管理事务</w:t>
            </w:r>
          </w:p>
        </w:tc>
        <w:tc>
          <w:tcPr>
            <w:tcW w:w="1094" w:type="dxa"/>
            <w:tcBorders>
              <w:top w:val="single" w:color="000000" w:sz="4" w:space="0"/>
              <w:left w:val="single" w:color="000000" w:sz="4" w:space="0"/>
              <w:bottom w:val="single" w:color="000000" w:sz="4" w:space="0"/>
              <w:right w:val="single" w:color="000000" w:sz="4" w:space="0"/>
            </w:tcBorders>
          </w:tcPr>
          <w:p>
            <w:pPr>
              <w:ind w:firstLine="626" w:firstLineChars="390"/>
            </w:pPr>
            <w:r>
              <w:rPr>
                <w:rFonts w:ascii="宋体" w:cs="宋体"/>
                <w:b/>
                <w:color w:val="000000"/>
                <w:sz w:val="16"/>
                <w:szCs w:val="16"/>
              </w:rPr>
              <w:t>652.8</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cs="宋体"/>
                <w:b/>
                <w:color w:val="000000"/>
                <w:sz w:val="16"/>
                <w:szCs w:val="16"/>
              </w:rPr>
              <w:t>652.8</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2080299</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其他民政管理事务支出</w:t>
            </w:r>
          </w:p>
        </w:tc>
        <w:tc>
          <w:tcPr>
            <w:tcW w:w="1094" w:type="dxa"/>
            <w:tcBorders>
              <w:top w:val="single" w:color="000000" w:sz="4" w:space="0"/>
              <w:left w:val="single" w:color="000000" w:sz="4" w:space="0"/>
              <w:bottom w:val="single" w:color="000000" w:sz="4" w:space="0"/>
              <w:right w:val="single" w:color="000000" w:sz="4" w:space="0"/>
            </w:tcBorders>
          </w:tcPr>
          <w:p>
            <w:pPr>
              <w:ind w:firstLine="626" w:firstLineChars="390"/>
            </w:pPr>
            <w:r>
              <w:rPr>
                <w:rFonts w:ascii="宋体" w:cs="宋体"/>
                <w:b/>
                <w:color w:val="000000"/>
                <w:sz w:val="16"/>
                <w:szCs w:val="16"/>
              </w:rPr>
              <w:t>652.8</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ascii="宋体" w:cs="宋体"/>
                <w:b/>
                <w:color w:val="000000"/>
                <w:sz w:val="16"/>
                <w:szCs w:val="16"/>
              </w:rPr>
              <w:t>652.8</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p>
        </w:tc>
        <w:tc>
          <w:tcPr>
            <w:tcW w:w="109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435" w:hRule="atLeast"/>
        </w:trPr>
        <w:tc>
          <w:tcPr>
            <w:tcW w:w="675" w:type="dxa"/>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w:t>
            </w:r>
          </w:p>
        </w:tc>
        <w:tc>
          <w:tcPr>
            <w:tcW w:w="1998"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p>
        </w:tc>
        <w:tc>
          <w:tcPr>
            <w:tcW w:w="1094" w:type="dxa"/>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12"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10337" w:type="dxa"/>
            <w:gridSpan w:val="16"/>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注：本表反映部门本年度取得的各项收入情况。</w:t>
            </w:r>
          </w:p>
        </w:tc>
      </w:tr>
    </w:tbl>
    <w:p>
      <w:pPr>
        <w:spacing w:line="360" w:lineRule="auto"/>
        <w:jc w:val="center"/>
        <w:rPr>
          <w:rFonts w:ascii="隶书" w:hAnsi="隶书" w:eastAsia="隶书" w:cs="隶书"/>
          <w:sz w:val="52"/>
          <w:szCs w:val="52"/>
        </w:rPr>
        <w:sectPr>
          <w:pgSz w:w="11906" w:h="16838"/>
          <w:pgMar w:top="2098" w:right="1531" w:bottom="1984" w:left="1587" w:header="850" w:footer="992" w:gutter="0"/>
          <w:pgNumType w:fmt="numberInDash"/>
          <w:cols w:space="0" w:num="1"/>
          <w:docGrid w:type="lines" w:linePitch="317" w:charSpace="0"/>
        </w:sectPr>
      </w:pPr>
    </w:p>
    <w:tbl>
      <w:tblPr>
        <w:tblStyle w:val="5"/>
        <w:tblW w:w="10350" w:type="dxa"/>
        <w:tblInd w:w="-821" w:type="dxa"/>
        <w:tblLayout w:type="fixed"/>
        <w:tblCellMar>
          <w:top w:w="15" w:type="dxa"/>
          <w:left w:w="15" w:type="dxa"/>
          <w:bottom w:w="15" w:type="dxa"/>
          <w:right w:w="15" w:type="dxa"/>
        </w:tblCellMar>
      </w:tblPr>
      <w:tblGrid>
        <w:gridCol w:w="735"/>
        <w:gridCol w:w="747"/>
        <w:gridCol w:w="1638"/>
        <w:gridCol w:w="1042"/>
        <w:gridCol w:w="163"/>
        <w:gridCol w:w="836"/>
        <w:gridCol w:w="369"/>
        <w:gridCol w:w="630"/>
        <w:gridCol w:w="575"/>
        <w:gridCol w:w="424"/>
        <w:gridCol w:w="781"/>
        <w:gridCol w:w="218"/>
        <w:gridCol w:w="987"/>
        <w:gridCol w:w="1205"/>
      </w:tblGrid>
      <w:tr>
        <w:tblPrEx>
          <w:tblLayout w:type="fixed"/>
          <w:tblCellMar>
            <w:top w:w="15" w:type="dxa"/>
            <w:left w:w="15" w:type="dxa"/>
            <w:bottom w:w="15" w:type="dxa"/>
            <w:right w:w="15" w:type="dxa"/>
          </w:tblCellMar>
        </w:tblPrEx>
        <w:trPr>
          <w:trHeight w:val="375" w:hRule="atLeast"/>
        </w:trPr>
        <w:tc>
          <w:tcPr>
            <w:tcW w:w="10350" w:type="dxa"/>
            <w:gridSpan w:val="14"/>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支出决算表</w:t>
            </w:r>
          </w:p>
        </w:tc>
      </w:tr>
      <w:tr>
        <w:tblPrEx>
          <w:tblLayout w:type="fixed"/>
          <w:tblCellMar>
            <w:top w:w="15" w:type="dxa"/>
            <w:left w:w="15" w:type="dxa"/>
            <w:bottom w:w="15" w:type="dxa"/>
            <w:right w:w="15" w:type="dxa"/>
          </w:tblCellMar>
        </w:tblPrEx>
        <w:trPr>
          <w:trHeight w:val="315" w:hRule="atLeast"/>
        </w:trPr>
        <w:tc>
          <w:tcPr>
            <w:tcW w:w="1482" w:type="dxa"/>
            <w:gridSpan w:val="2"/>
            <w:vAlign w:val="center"/>
          </w:tcPr>
          <w:p>
            <w:pPr>
              <w:rPr>
                <w:rFonts w:ascii="宋体" w:cs="宋体"/>
                <w:color w:val="000000"/>
                <w:sz w:val="16"/>
                <w:szCs w:val="16"/>
              </w:rPr>
            </w:pPr>
          </w:p>
        </w:tc>
        <w:tc>
          <w:tcPr>
            <w:tcW w:w="1638" w:type="dxa"/>
            <w:vAlign w:val="center"/>
          </w:tcPr>
          <w:p>
            <w:pPr>
              <w:rPr>
                <w:rFonts w:ascii="宋体" w:cs="宋体"/>
                <w:color w:val="000000"/>
                <w:sz w:val="16"/>
                <w:szCs w:val="16"/>
              </w:rPr>
            </w:pPr>
          </w:p>
        </w:tc>
        <w:tc>
          <w:tcPr>
            <w:tcW w:w="1042" w:type="dxa"/>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2192" w:type="dxa"/>
            <w:gridSpan w:val="2"/>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03</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315" w:hRule="atLeast"/>
        </w:trPr>
        <w:tc>
          <w:tcPr>
            <w:tcW w:w="1482" w:type="dxa"/>
            <w:gridSpan w:val="2"/>
            <w:vAlign w:val="center"/>
          </w:tcPr>
          <w:p>
            <w:pPr>
              <w:rPr>
                <w:rFonts w:ascii="宋体" w:cs="宋体"/>
                <w:color w:val="000000"/>
                <w:sz w:val="16"/>
                <w:szCs w:val="16"/>
              </w:rPr>
            </w:pPr>
          </w:p>
        </w:tc>
        <w:tc>
          <w:tcPr>
            <w:tcW w:w="1638" w:type="dxa"/>
            <w:vAlign w:val="center"/>
          </w:tcPr>
          <w:p>
            <w:pPr>
              <w:rPr>
                <w:rFonts w:ascii="宋体" w:cs="宋体"/>
                <w:color w:val="000000"/>
                <w:sz w:val="16"/>
                <w:szCs w:val="16"/>
              </w:rPr>
            </w:pPr>
          </w:p>
        </w:tc>
        <w:tc>
          <w:tcPr>
            <w:tcW w:w="1042" w:type="dxa"/>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2192" w:type="dxa"/>
            <w:gridSpan w:val="2"/>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3120"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　　目</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本年支出合计</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基本支出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项目支出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上缴上级支出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经营支出</w:t>
            </w:r>
          </w:p>
        </w:tc>
        <w:tc>
          <w:tcPr>
            <w:tcW w:w="1205" w:type="dxa"/>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对附属单位</w:t>
            </w:r>
            <w:r>
              <w:rPr>
                <w:rFonts w:ascii="宋体" w:cs="宋体"/>
                <w:b/>
                <w:color w:val="000000"/>
                <w:kern w:val="0"/>
                <w:sz w:val="16"/>
                <w:szCs w:val="16"/>
              </w:rPr>
              <w:br w:type="textWrapping"/>
            </w:r>
            <w:r>
              <w:rPr>
                <w:rFonts w:hint="eastAsia" w:ascii="宋体" w:hAnsi="宋体" w:cs="宋体"/>
                <w:b/>
                <w:color w:val="000000"/>
                <w:kern w:val="0"/>
                <w:sz w:val="16"/>
                <w:szCs w:val="16"/>
              </w:rPr>
              <w:t>补助支出</w:t>
            </w:r>
          </w:p>
        </w:tc>
      </w:tr>
      <w:tr>
        <w:tblPrEx>
          <w:tblLayout w:type="fixed"/>
          <w:tblCellMar>
            <w:top w:w="15" w:type="dxa"/>
            <w:left w:w="15" w:type="dxa"/>
            <w:bottom w:w="15" w:type="dxa"/>
            <w:right w:w="15" w:type="dxa"/>
          </w:tblCellMar>
        </w:tblPrEx>
        <w:trPr>
          <w:trHeight w:val="6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功能分类</w:t>
            </w:r>
            <w:r>
              <w:rPr>
                <w:rFonts w:ascii="宋体" w:cs="宋体"/>
                <w:b/>
                <w:color w:val="000000"/>
                <w:kern w:val="0"/>
                <w:sz w:val="16"/>
                <w:szCs w:val="16"/>
              </w:rPr>
              <w:br w:type="textWrapping"/>
            </w:r>
            <w:r>
              <w:rPr>
                <w:rFonts w:hint="eastAsia" w:ascii="宋体" w:hAnsi="宋体" w:cs="宋体"/>
                <w:b/>
                <w:color w:val="000000"/>
                <w:kern w:val="0"/>
                <w:sz w:val="16"/>
                <w:szCs w:val="16"/>
              </w:rPr>
              <w:t>科目编码</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科目名称</w:t>
            </w: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205" w:type="dxa"/>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ascii="宋体" w:cs="宋体"/>
                <w:b/>
                <w:color w:val="000000"/>
                <w:sz w:val="16"/>
                <w:szCs w:val="16"/>
              </w:rPr>
            </w:pPr>
          </w:p>
        </w:tc>
      </w:tr>
      <w:tr>
        <w:tblPrEx>
          <w:tblLayout w:type="fixed"/>
        </w:tblPrEx>
        <w:trPr>
          <w:trHeight w:val="300" w:hRule="atLeast"/>
        </w:trPr>
        <w:tc>
          <w:tcPr>
            <w:tcW w:w="3120"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栏次</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r>
      <w:tr>
        <w:tblPrEx>
          <w:tblLayout w:type="fixed"/>
          <w:tblCellMar>
            <w:top w:w="15" w:type="dxa"/>
            <w:left w:w="15" w:type="dxa"/>
            <w:bottom w:w="15" w:type="dxa"/>
            <w:right w:w="15" w:type="dxa"/>
          </w:tblCellMar>
        </w:tblPrEx>
        <w:trPr>
          <w:trHeight w:val="300" w:hRule="atLeast"/>
        </w:trPr>
        <w:tc>
          <w:tcPr>
            <w:tcW w:w="3120"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644.4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644.4</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208</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社会保障和就业支出</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644.4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644.4</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20802</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民政管理事务</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b/>
                <w:color w:val="000000"/>
                <w:kern w:val="0"/>
                <w:sz w:val="16"/>
                <w:szCs w:val="16"/>
              </w:rPr>
              <w:t>644.4</w:t>
            </w: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644.4</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2080299</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其他民政管理事务支出</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b/>
                <w:color w:val="000000"/>
                <w:kern w:val="0"/>
                <w:sz w:val="16"/>
                <w:szCs w:val="16"/>
              </w:rPr>
              <w:t>644.4</w:t>
            </w: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644.4</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cs="宋体"/>
                <w:color w:val="000000"/>
                <w:kern w:val="0"/>
                <w:sz w:val="16"/>
                <w:szCs w:val="16"/>
              </w:rPr>
              <w:t>……</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cs="宋体"/>
                <w:color w:val="000000"/>
                <w:kern w:val="0"/>
                <w:sz w:val="16"/>
                <w:szCs w:val="16"/>
              </w:rPr>
              <w:t>……</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cs="宋体"/>
                <w:color w:val="000000"/>
                <w:kern w:val="0"/>
                <w:sz w:val="16"/>
                <w:szCs w:val="16"/>
              </w:rPr>
              <w:t>……</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PrEx>
        <w:trPr>
          <w:trHeight w:val="300" w:hRule="atLeast"/>
        </w:trPr>
        <w:tc>
          <w:tcPr>
            <w:tcW w:w="735" w:type="dxa"/>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w:t>
            </w:r>
          </w:p>
        </w:tc>
        <w:tc>
          <w:tcPr>
            <w:tcW w:w="2385"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05"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60" w:hRule="atLeast"/>
        </w:trPr>
        <w:tc>
          <w:tcPr>
            <w:tcW w:w="10350" w:type="dxa"/>
            <w:gridSpan w:val="14"/>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注：本表反映部门本年度各项支出情况。</w:t>
            </w:r>
          </w:p>
        </w:tc>
      </w:tr>
    </w:tbl>
    <w:p>
      <w:pPr>
        <w:spacing w:line="360" w:lineRule="auto"/>
        <w:jc w:val="center"/>
        <w:rPr>
          <w:rFonts w:ascii="隶书" w:hAnsi="隶书" w:eastAsia="隶书" w:cs="隶书"/>
          <w:sz w:val="52"/>
          <w:szCs w:val="52"/>
        </w:rPr>
        <w:sectPr>
          <w:pgSz w:w="11906" w:h="16838"/>
          <w:pgMar w:top="2098" w:right="1474" w:bottom="1984" w:left="1587" w:header="850" w:footer="992" w:gutter="0"/>
          <w:pgNumType w:fmt="numberInDash"/>
          <w:cols w:space="0" w:num="1"/>
          <w:docGrid w:type="lines" w:linePitch="318" w:charSpace="0"/>
        </w:sectPr>
      </w:pPr>
    </w:p>
    <w:tbl>
      <w:tblPr>
        <w:tblStyle w:val="5"/>
        <w:tblW w:w="10425" w:type="dxa"/>
        <w:tblInd w:w="-887" w:type="dxa"/>
        <w:tblLayout w:type="fixed"/>
        <w:tblCellMar>
          <w:top w:w="15" w:type="dxa"/>
          <w:left w:w="15" w:type="dxa"/>
          <w:bottom w:w="15" w:type="dxa"/>
          <w:right w:w="15" w:type="dxa"/>
        </w:tblCellMar>
      </w:tblPr>
      <w:tblGrid>
        <w:gridCol w:w="2145"/>
        <w:gridCol w:w="144"/>
        <w:gridCol w:w="261"/>
        <w:gridCol w:w="54"/>
        <w:gridCol w:w="1416"/>
        <w:gridCol w:w="1432"/>
        <w:gridCol w:w="316"/>
        <w:gridCol w:w="337"/>
        <w:gridCol w:w="420"/>
        <w:gridCol w:w="242"/>
        <w:gridCol w:w="999"/>
        <w:gridCol w:w="59"/>
        <w:gridCol w:w="1300"/>
        <w:gridCol w:w="1300"/>
      </w:tblGrid>
      <w:tr>
        <w:tblPrEx>
          <w:tblLayout w:type="fixed"/>
          <w:tblCellMar>
            <w:top w:w="15" w:type="dxa"/>
            <w:left w:w="15" w:type="dxa"/>
            <w:bottom w:w="15" w:type="dxa"/>
            <w:right w:w="15" w:type="dxa"/>
          </w:tblCellMar>
        </w:tblPrEx>
        <w:trPr>
          <w:trHeight w:val="169" w:hRule="atLeast"/>
        </w:trPr>
        <w:tc>
          <w:tcPr>
            <w:tcW w:w="10425" w:type="dxa"/>
            <w:gridSpan w:val="14"/>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财政拨款收入支出决算表</w:t>
            </w:r>
          </w:p>
        </w:tc>
      </w:tr>
      <w:tr>
        <w:tblPrEx>
          <w:tblLayout w:type="fixed"/>
          <w:tblCellMar>
            <w:top w:w="15" w:type="dxa"/>
            <w:left w:w="15" w:type="dxa"/>
            <w:bottom w:w="15" w:type="dxa"/>
            <w:right w:w="15" w:type="dxa"/>
          </w:tblCellMar>
        </w:tblPrEx>
        <w:trPr>
          <w:trHeight w:val="107" w:hRule="atLeast"/>
        </w:trPr>
        <w:tc>
          <w:tcPr>
            <w:tcW w:w="2289" w:type="dxa"/>
            <w:gridSpan w:val="2"/>
            <w:vAlign w:val="center"/>
          </w:tcPr>
          <w:p>
            <w:pPr>
              <w:rPr>
                <w:rFonts w:ascii="宋体" w:cs="宋体"/>
                <w:color w:val="000000"/>
                <w:sz w:val="16"/>
                <w:szCs w:val="16"/>
              </w:rPr>
            </w:pPr>
          </w:p>
        </w:tc>
        <w:tc>
          <w:tcPr>
            <w:tcW w:w="315" w:type="dxa"/>
            <w:gridSpan w:val="2"/>
            <w:vAlign w:val="center"/>
          </w:tcPr>
          <w:p>
            <w:pPr>
              <w:rPr>
                <w:rFonts w:ascii="宋体" w:cs="宋体"/>
                <w:color w:val="000000"/>
                <w:sz w:val="16"/>
                <w:szCs w:val="16"/>
              </w:rPr>
            </w:pPr>
          </w:p>
        </w:tc>
        <w:tc>
          <w:tcPr>
            <w:tcW w:w="1416" w:type="dxa"/>
            <w:vAlign w:val="center"/>
          </w:tcPr>
          <w:p>
            <w:pPr>
              <w:rPr>
                <w:rFonts w:ascii="宋体" w:cs="宋体"/>
                <w:color w:val="000000"/>
                <w:sz w:val="16"/>
                <w:szCs w:val="16"/>
              </w:rPr>
            </w:pPr>
          </w:p>
        </w:tc>
        <w:tc>
          <w:tcPr>
            <w:tcW w:w="1432" w:type="dxa"/>
            <w:vAlign w:val="center"/>
          </w:tcPr>
          <w:p>
            <w:pPr>
              <w:rPr>
                <w:rFonts w:ascii="宋体" w:cs="宋体"/>
                <w:color w:val="000000"/>
                <w:sz w:val="16"/>
                <w:szCs w:val="16"/>
              </w:rPr>
            </w:pPr>
          </w:p>
        </w:tc>
        <w:tc>
          <w:tcPr>
            <w:tcW w:w="316" w:type="dxa"/>
            <w:vAlign w:val="center"/>
          </w:tcPr>
          <w:p>
            <w:pPr>
              <w:rPr>
                <w:rFonts w:ascii="宋体" w:cs="宋体"/>
                <w:color w:val="000000"/>
                <w:sz w:val="16"/>
                <w:szCs w:val="16"/>
              </w:rPr>
            </w:pPr>
          </w:p>
        </w:tc>
        <w:tc>
          <w:tcPr>
            <w:tcW w:w="999" w:type="dxa"/>
            <w:gridSpan w:val="3"/>
            <w:vAlign w:val="center"/>
          </w:tcPr>
          <w:p>
            <w:pPr>
              <w:jc w:val="right"/>
              <w:rPr>
                <w:rFonts w:ascii="宋体" w:cs="宋体"/>
                <w:color w:val="000000"/>
                <w:sz w:val="16"/>
                <w:szCs w:val="16"/>
              </w:rPr>
            </w:pPr>
          </w:p>
        </w:tc>
        <w:tc>
          <w:tcPr>
            <w:tcW w:w="999" w:type="dxa"/>
            <w:vAlign w:val="center"/>
          </w:tcPr>
          <w:p>
            <w:pPr>
              <w:jc w:val="right"/>
              <w:rPr>
                <w:rFonts w:ascii="宋体" w:cs="宋体"/>
                <w:color w:val="000000"/>
                <w:sz w:val="16"/>
                <w:szCs w:val="16"/>
              </w:rPr>
            </w:pPr>
          </w:p>
        </w:tc>
        <w:tc>
          <w:tcPr>
            <w:tcW w:w="2659" w:type="dxa"/>
            <w:gridSpan w:val="3"/>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04</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90" w:hRule="atLeast"/>
        </w:trPr>
        <w:tc>
          <w:tcPr>
            <w:tcW w:w="2289" w:type="dxa"/>
            <w:gridSpan w:val="2"/>
            <w:vAlign w:val="center"/>
          </w:tcPr>
          <w:p>
            <w:pPr>
              <w:rPr>
                <w:rFonts w:ascii="宋体" w:cs="宋体"/>
                <w:color w:val="000000"/>
                <w:sz w:val="16"/>
                <w:szCs w:val="16"/>
              </w:rPr>
            </w:pPr>
          </w:p>
        </w:tc>
        <w:tc>
          <w:tcPr>
            <w:tcW w:w="315" w:type="dxa"/>
            <w:gridSpan w:val="2"/>
            <w:vAlign w:val="center"/>
          </w:tcPr>
          <w:p>
            <w:pPr>
              <w:rPr>
                <w:rFonts w:ascii="宋体" w:cs="宋体"/>
                <w:color w:val="000000"/>
                <w:sz w:val="16"/>
                <w:szCs w:val="16"/>
              </w:rPr>
            </w:pPr>
          </w:p>
        </w:tc>
        <w:tc>
          <w:tcPr>
            <w:tcW w:w="1416" w:type="dxa"/>
            <w:vAlign w:val="center"/>
          </w:tcPr>
          <w:p>
            <w:pPr>
              <w:rPr>
                <w:rFonts w:ascii="宋体" w:cs="宋体"/>
                <w:color w:val="000000"/>
                <w:sz w:val="16"/>
                <w:szCs w:val="16"/>
              </w:rPr>
            </w:pPr>
          </w:p>
        </w:tc>
        <w:tc>
          <w:tcPr>
            <w:tcW w:w="1432" w:type="dxa"/>
            <w:vAlign w:val="center"/>
          </w:tcPr>
          <w:p>
            <w:pPr>
              <w:rPr>
                <w:rFonts w:ascii="宋体" w:cs="宋体"/>
                <w:color w:val="000000"/>
                <w:sz w:val="16"/>
                <w:szCs w:val="16"/>
              </w:rPr>
            </w:pPr>
          </w:p>
        </w:tc>
        <w:tc>
          <w:tcPr>
            <w:tcW w:w="316" w:type="dxa"/>
            <w:vAlign w:val="center"/>
          </w:tcPr>
          <w:p>
            <w:pPr>
              <w:rPr>
                <w:rFonts w:ascii="宋体" w:cs="宋体"/>
                <w:color w:val="000000"/>
                <w:sz w:val="16"/>
                <w:szCs w:val="16"/>
              </w:rPr>
            </w:pPr>
          </w:p>
        </w:tc>
        <w:tc>
          <w:tcPr>
            <w:tcW w:w="999" w:type="dxa"/>
            <w:gridSpan w:val="3"/>
            <w:vAlign w:val="center"/>
          </w:tcPr>
          <w:p>
            <w:pPr>
              <w:jc w:val="right"/>
              <w:rPr>
                <w:rFonts w:ascii="宋体" w:cs="宋体"/>
                <w:color w:val="000000"/>
                <w:sz w:val="16"/>
                <w:szCs w:val="16"/>
              </w:rPr>
            </w:pPr>
          </w:p>
        </w:tc>
        <w:tc>
          <w:tcPr>
            <w:tcW w:w="999" w:type="dxa"/>
            <w:vAlign w:val="center"/>
          </w:tcPr>
          <w:p>
            <w:pPr>
              <w:jc w:val="right"/>
              <w:rPr>
                <w:rFonts w:ascii="宋体" w:cs="宋体"/>
                <w:color w:val="000000"/>
                <w:sz w:val="16"/>
                <w:szCs w:val="16"/>
              </w:rPr>
            </w:pPr>
          </w:p>
        </w:tc>
        <w:tc>
          <w:tcPr>
            <w:tcW w:w="2659" w:type="dxa"/>
            <w:gridSpan w:val="3"/>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单位：万元</w:t>
            </w:r>
          </w:p>
        </w:tc>
      </w:tr>
      <w:tr>
        <w:tblPrEx>
          <w:tblLayout w:type="fixed"/>
          <w:tblCellMar>
            <w:top w:w="15" w:type="dxa"/>
            <w:left w:w="15" w:type="dxa"/>
            <w:bottom w:w="15" w:type="dxa"/>
            <w:right w:w="15" w:type="dxa"/>
          </w:tblCellMar>
        </w:tblPrEx>
        <w:trPr>
          <w:trHeight w:val="285" w:hRule="atLeast"/>
        </w:trPr>
        <w:tc>
          <w:tcPr>
            <w:tcW w:w="4020" w:type="dxa"/>
            <w:gridSpan w:val="5"/>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收　　入</w:t>
            </w:r>
          </w:p>
        </w:tc>
        <w:tc>
          <w:tcPr>
            <w:tcW w:w="6405" w:type="dxa"/>
            <w:gridSpan w:val="9"/>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支　　出</w:t>
            </w:r>
          </w:p>
        </w:tc>
      </w:tr>
      <w:tr>
        <w:tblPrEx>
          <w:tblLayout w:type="fixed"/>
          <w:tblCellMar>
            <w:top w:w="15" w:type="dxa"/>
            <w:left w:w="15" w:type="dxa"/>
            <w:bottom w:w="15" w:type="dxa"/>
            <w:right w:w="15" w:type="dxa"/>
          </w:tblCellMar>
        </w:tblPrEx>
        <w:trPr>
          <w:trHeight w:val="480"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　　目</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行次</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金额</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　　目</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行次</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一般公共预算财政拨款</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政府性基金预算财政拨款</w:t>
            </w:r>
          </w:p>
        </w:tc>
      </w:tr>
      <w:tr>
        <w:tblPrEx>
          <w:tblLayout w:type="fixed"/>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　　次</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w:t>
            </w:r>
            <w:r>
              <w:rPr>
                <w:rFonts w:ascii="宋体" w:hAnsi="宋体" w:cs="宋体"/>
                <w:b/>
                <w:color w:val="000000"/>
                <w:kern w:val="0"/>
                <w:sz w:val="16"/>
                <w:szCs w:val="16"/>
              </w:rPr>
              <w:t xml:space="preserve">    </w:t>
            </w:r>
            <w:r>
              <w:rPr>
                <w:rFonts w:hint="eastAsia" w:ascii="宋体" w:hAnsi="宋体" w:cs="宋体"/>
                <w:b/>
                <w:color w:val="000000"/>
                <w:kern w:val="0"/>
                <w:sz w:val="16"/>
                <w:szCs w:val="16"/>
              </w:rPr>
              <w:t>次</w:t>
            </w:r>
          </w:p>
        </w:tc>
        <w:tc>
          <w:tcPr>
            <w:tcW w:w="4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一、一般公共预算财政拨款</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一、一般公共服务支出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31</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二、政府性基金预算财政拨款</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二、外交支出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32</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三、国防支出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33</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四、公共安全支出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34</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五、教育支出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35</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六、科学技术支出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36</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7</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七、文化体育与传媒支出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37</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八、社会保障和就业支出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38</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九、医疗卫生与计划生育支出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39</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十、节能环保支出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40</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十一、城乡社区支出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41</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12</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十二、农林水支出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42</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13</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十三、交通运输支出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43</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14</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十四、资源勘探信息等支出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44</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15</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十五、商业服务业等支出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45</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16</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十六、金融支出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46</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17</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十七、援助其他地区支出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47</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18</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十八、国土海洋气象等支出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48</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19</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十九、住房保障支出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49</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20</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二十、粮油物资储备支出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50</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21</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二十一、其他支出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51</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22</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二十二、债务还本支出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52</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23</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二十三、债务付息支出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53</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24</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54</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本年收入合计</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25</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本年支出合计</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55</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　年初财政拨款结转和结余</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26</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　年末财政拨款结转和结余</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56</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　一般公共预算财政拨款</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27</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57</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　政府性基金预算财政拨款</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28</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58</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29</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59</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PrEx>
        <w:trPr>
          <w:trHeight w:val="90" w:hRule="atLeast"/>
        </w:trPr>
        <w:tc>
          <w:tcPr>
            <w:tcW w:w="2145" w:type="dxa"/>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总计</w:t>
            </w:r>
          </w:p>
        </w:tc>
        <w:tc>
          <w:tcPr>
            <w:tcW w:w="405" w:type="dxa"/>
            <w:gridSpan w:val="2"/>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30</w:t>
            </w:r>
          </w:p>
        </w:tc>
        <w:tc>
          <w:tcPr>
            <w:tcW w:w="1470"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2085" w:type="dxa"/>
            <w:gridSpan w:val="3"/>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总计</w:t>
            </w:r>
          </w:p>
        </w:tc>
        <w:tc>
          <w:tcPr>
            <w:tcW w:w="420"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60</w:t>
            </w:r>
          </w:p>
        </w:tc>
        <w:tc>
          <w:tcPr>
            <w:tcW w:w="1300" w:type="dxa"/>
            <w:gridSpan w:val="3"/>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300"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300"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495" w:hRule="atLeast"/>
        </w:trPr>
        <w:tc>
          <w:tcPr>
            <w:tcW w:w="10425" w:type="dxa"/>
            <w:gridSpan w:val="14"/>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注：本表反映部门本年度一般公共预算财政拨款和政府性基金预算财政拨款的总收支和年末结转结余情况。</w:t>
            </w:r>
            <w:r>
              <w:rPr>
                <w:rFonts w:ascii="宋体" w:hAnsi="宋体" w:cs="宋体"/>
                <w:color w:val="000000"/>
                <w:kern w:val="0"/>
                <w:sz w:val="16"/>
                <w:szCs w:val="16"/>
              </w:rPr>
              <w:t xml:space="preserve">             </w:t>
            </w:r>
          </w:p>
        </w:tc>
      </w:tr>
    </w:tbl>
    <w:p>
      <w:pPr>
        <w:spacing w:line="360" w:lineRule="auto"/>
        <w:jc w:val="center"/>
        <w:rPr>
          <w:rFonts w:ascii="隶书" w:hAnsi="隶书" w:eastAsia="隶书" w:cs="隶书"/>
          <w:sz w:val="52"/>
          <w:szCs w:val="52"/>
        </w:rPr>
      </w:pPr>
      <w:r>
        <w:rPr>
          <w:rFonts w:hint="eastAsia" w:ascii="宋体" w:hAnsi="宋体" w:cs="宋体"/>
          <w:b/>
          <w:color w:val="FF0000"/>
          <w:kern w:val="0"/>
          <w:sz w:val="24"/>
        </w:rPr>
        <w:t>说明：南阳市卧龙区独山公墓管理处没有一般公共预算财政拨款和政府性基金预算财政拨款，故本表无数据。</w:t>
      </w:r>
      <w:r>
        <w:rPr>
          <w:rFonts w:ascii="隶书" w:hAnsi="隶书" w:eastAsia="隶书" w:cs="隶书"/>
          <w:sz w:val="52"/>
          <w:szCs w:val="52"/>
        </w:rPr>
        <w:br w:type="page"/>
      </w:r>
    </w:p>
    <w:tbl>
      <w:tblPr>
        <w:tblStyle w:val="5"/>
        <w:tblW w:w="10440" w:type="dxa"/>
        <w:tblInd w:w="-902" w:type="dxa"/>
        <w:tblLayout w:type="fixed"/>
        <w:tblCellMar>
          <w:top w:w="15" w:type="dxa"/>
          <w:left w:w="15" w:type="dxa"/>
          <w:bottom w:w="15" w:type="dxa"/>
          <w:right w:w="15" w:type="dxa"/>
        </w:tblCellMar>
      </w:tblPr>
      <w:tblGrid>
        <w:gridCol w:w="1216"/>
        <w:gridCol w:w="675"/>
        <w:gridCol w:w="1800"/>
        <w:gridCol w:w="2249"/>
        <w:gridCol w:w="76"/>
        <w:gridCol w:w="1575"/>
        <w:gridCol w:w="598"/>
        <w:gridCol w:w="2251"/>
      </w:tblGrid>
      <w:tr>
        <w:tblPrEx>
          <w:tblLayout w:type="fixed"/>
          <w:tblCellMar>
            <w:top w:w="15" w:type="dxa"/>
            <w:left w:w="15" w:type="dxa"/>
            <w:bottom w:w="15" w:type="dxa"/>
            <w:right w:w="15" w:type="dxa"/>
          </w:tblCellMar>
        </w:tblPrEx>
        <w:trPr>
          <w:trHeight w:val="375" w:hRule="atLeast"/>
        </w:trPr>
        <w:tc>
          <w:tcPr>
            <w:tcW w:w="10440" w:type="dxa"/>
            <w:gridSpan w:val="8"/>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一般公共预算财政拨款支出决算表</w:t>
            </w:r>
          </w:p>
        </w:tc>
      </w:tr>
      <w:tr>
        <w:tblPrEx>
          <w:tblLayout w:type="fixed"/>
          <w:tblCellMar>
            <w:top w:w="15" w:type="dxa"/>
            <w:left w:w="15" w:type="dxa"/>
            <w:bottom w:w="15" w:type="dxa"/>
            <w:right w:w="15" w:type="dxa"/>
          </w:tblCellMar>
        </w:tblPrEx>
        <w:trPr>
          <w:trHeight w:val="285" w:hRule="atLeast"/>
        </w:trPr>
        <w:tc>
          <w:tcPr>
            <w:tcW w:w="1891" w:type="dxa"/>
            <w:gridSpan w:val="2"/>
            <w:vAlign w:val="center"/>
          </w:tcPr>
          <w:p>
            <w:pPr>
              <w:rPr>
                <w:rFonts w:ascii="宋体" w:cs="宋体"/>
                <w:color w:val="000000"/>
                <w:sz w:val="16"/>
                <w:szCs w:val="16"/>
              </w:rPr>
            </w:pPr>
          </w:p>
        </w:tc>
        <w:tc>
          <w:tcPr>
            <w:tcW w:w="1800" w:type="dxa"/>
            <w:vAlign w:val="center"/>
          </w:tcPr>
          <w:p>
            <w:pPr>
              <w:rPr>
                <w:rFonts w:ascii="宋体" w:cs="宋体"/>
                <w:color w:val="000000"/>
                <w:sz w:val="16"/>
                <w:szCs w:val="16"/>
              </w:rPr>
            </w:pPr>
          </w:p>
        </w:tc>
        <w:tc>
          <w:tcPr>
            <w:tcW w:w="2325" w:type="dxa"/>
            <w:gridSpan w:val="2"/>
            <w:vAlign w:val="center"/>
          </w:tcPr>
          <w:p>
            <w:pPr>
              <w:rPr>
                <w:rFonts w:ascii="宋体" w:cs="宋体"/>
                <w:color w:val="000000"/>
                <w:sz w:val="16"/>
                <w:szCs w:val="16"/>
              </w:rPr>
            </w:pPr>
          </w:p>
        </w:tc>
        <w:tc>
          <w:tcPr>
            <w:tcW w:w="1575" w:type="dxa"/>
            <w:vAlign w:val="center"/>
          </w:tcPr>
          <w:p>
            <w:pPr>
              <w:rPr>
                <w:rFonts w:ascii="宋体" w:cs="宋体"/>
                <w:color w:val="000000"/>
                <w:sz w:val="16"/>
                <w:szCs w:val="16"/>
              </w:rPr>
            </w:pPr>
          </w:p>
        </w:tc>
        <w:tc>
          <w:tcPr>
            <w:tcW w:w="2849" w:type="dxa"/>
            <w:gridSpan w:val="2"/>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05</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270" w:hRule="atLeast"/>
        </w:trPr>
        <w:tc>
          <w:tcPr>
            <w:tcW w:w="1891" w:type="dxa"/>
            <w:gridSpan w:val="2"/>
            <w:vAlign w:val="center"/>
          </w:tcPr>
          <w:p>
            <w:pPr>
              <w:rPr>
                <w:rFonts w:ascii="宋体" w:cs="宋体"/>
                <w:color w:val="000000"/>
                <w:sz w:val="16"/>
                <w:szCs w:val="16"/>
              </w:rPr>
            </w:pPr>
          </w:p>
        </w:tc>
        <w:tc>
          <w:tcPr>
            <w:tcW w:w="1800" w:type="dxa"/>
            <w:vAlign w:val="center"/>
          </w:tcPr>
          <w:p>
            <w:pPr>
              <w:rPr>
                <w:rFonts w:ascii="宋体" w:cs="宋体"/>
                <w:color w:val="000000"/>
                <w:sz w:val="16"/>
                <w:szCs w:val="16"/>
              </w:rPr>
            </w:pPr>
          </w:p>
        </w:tc>
        <w:tc>
          <w:tcPr>
            <w:tcW w:w="2325" w:type="dxa"/>
            <w:gridSpan w:val="2"/>
            <w:vAlign w:val="center"/>
          </w:tcPr>
          <w:p>
            <w:pPr>
              <w:rPr>
                <w:rFonts w:ascii="宋体" w:cs="宋体"/>
                <w:color w:val="000000"/>
                <w:sz w:val="16"/>
                <w:szCs w:val="16"/>
              </w:rPr>
            </w:pPr>
          </w:p>
        </w:tc>
        <w:tc>
          <w:tcPr>
            <w:tcW w:w="1575" w:type="dxa"/>
            <w:vAlign w:val="center"/>
          </w:tcPr>
          <w:p>
            <w:pPr>
              <w:rPr>
                <w:rFonts w:ascii="宋体" w:cs="宋体"/>
                <w:color w:val="000000"/>
                <w:sz w:val="16"/>
                <w:szCs w:val="16"/>
              </w:rPr>
            </w:pPr>
          </w:p>
        </w:tc>
        <w:tc>
          <w:tcPr>
            <w:tcW w:w="2849" w:type="dxa"/>
            <w:gridSpan w:val="2"/>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3691"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项目</w:t>
            </w:r>
          </w:p>
        </w:tc>
        <w:tc>
          <w:tcPr>
            <w:tcW w:w="2249"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本年支出合计</w:t>
            </w:r>
          </w:p>
        </w:tc>
        <w:tc>
          <w:tcPr>
            <w:tcW w:w="2249" w:type="dxa"/>
            <w:gridSpan w:val="3"/>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基本支出</w:t>
            </w:r>
          </w:p>
        </w:tc>
        <w:tc>
          <w:tcPr>
            <w:tcW w:w="2251" w:type="dxa"/>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项目支出</w:t>
            </w:r>
          </w:p>
        </w:tc>
      </w:tr>
      <w:tr>
        <w:tblPrEx>
          <w:tblLayout w:type="fixed"/>
          <w:tblCellMar>
            <w:top w:w="15" w:type="dxa"/>
            <w:left w:w="15" w:type="dxa"/>
            <w:bottom w:w="15" w:type="dxa"/>
            <w:right w:w="15" w:type="dxa"/>
          </w:tblCellMar>
        </w:tblPrEx>
        <w:trPr>
          <w:trHeight w:val="6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功能分类</w:t>
            </w:r>
            <w:r>
              <w:rPr>
                <w:rFonts w:ascii="宋体" w:cs="宋体"/>
                <w:b/>
                <w:color w:val="000000"/>
                <w:kern w:val="0"/>
                <w:sz w:val="16"/>
                <w:szCs w:val="16"/>
              </w:rPr>
              <w:br w:type="textWrapping"/>
            </w:r>
            <w:r>
              <w:rPr>
                <w:rFonts w:hint="eastAsia" w:ascii="宋体" w:hAnsi="宋体" w:cs="宋体"/>
                <w:b/>
                <w:color w:val="000000"/>
                <w:kern w:val="0"/>
                <w:sz w:val="16"/>
                <w:szCs w:val="16"/>
              </w:rPr>
              <w:t>科目编码</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科目名称</w:t>
            </w:r>
          </w:p>
        </w:tc>
        <w:tc>
          <w:tcPr>
            <w:tcW w:w="2249"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2249" w:type="dxa"/>
            <w:gridSpan w:val="3"/>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2251" w:type="dxa"/>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ascii="宋体" w:cs="宋体"/>
                <w:b/>
                <w:color w:val="000000"/>
                <w:sz w:val="16"/>
                <w:szCs w:val="16"/>
              </w:rPr>
            </w:pPr>
          </w:p>
        </w:tc>
      </w:tr>
      <w:tr>
        <w:tblPrEx>
          <w:tblLayout w:type="fixed"/>
        </w:tblPrEx>
        <w:trPr>
          <w:trHeight w:val="300" w:hRule="atLeast"/>
        </w:trPr>
        <w:tc>
          <w:tcPr>
            <w:tcW w:w="3691"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栏次</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r>
      <w:tr>
        <w:tblPrEx>
          <w:tblLayout w:type="fixed"/>
          <w:tblCellMar>
            <w:top w:w="15" w:type="dxa"/>
            <w:left w:w="15" w:type="dxa"/>
            <w:bottom w:w="15" w:type="dxa"/>
            <w:right w:w="15" w:type="dxa"/>
          </w:tblCellMar>
        </w:tblPrEx>
        <w:trPr>
          <w:trHeight w:val="300" w:hRule="atLeast"/>
        </w:trPr>
        <w:tc>
          <w:tcPr>
            <w:tcW w:w="3691"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201</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一般公共服务支出</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20101</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人大事务</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2010101</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行政运行</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2010102</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一般行政管理事务</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2010103</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机关服务</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2010104</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人大会议</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2010105</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人大立法</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2010106</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人大监督</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2010107</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人大代表履职能力提升</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2010108</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代表工作</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2010109</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人大信访工作</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2010150</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事业运行</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w:t>
            </w:r>
          </w:p>
        </w:tc>
        <w:tc>
          <w:tcPr>
            <w:tcW w:w="2475"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p>
        </w:tc>
        <w:tc>
          <w:tcPr>
            <w:tcW w:w="2249"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2249" w:type="dxa"/>
            <w:gridSpan w:val="3"/>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2251"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PrEx>
        <w:trPr>
          <w:trHeight w:val="600" w:hRule="atLeast"/>
        </w:trPr>
        <w:tc>
          <w:tcPr>
            <w:tcW w:w="10440" w:type="dxa"/>
            <w:gridSpan w:val="8"/>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注：本表反映部门本年度一般公共预算财政拨款实际支出情况。</w:t>
            </w:r>
            <w:r>
              <w:rPr>
                <w:rFonts w:ascii="宋体" w:hAnsi="宋体" w:cs="宋体"/>
                <w:color w:val="000000"/>
                <w:kern w:val="0"/>
                <w:sz w:val="16"/>
                <w:szCs w:val="16"/>
              </w:rPr>
              <w:t xml:space="preserve">             </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docGrid w:type="lines" w:linePitch="317" w:charSpace="0"/>
        </w:sectPr>
      </w:pPr>
      <w:r>
        <w:rPr>
          <w:rFonts w:hint="eastAsia" w:ascii="宋体" w:hAnsi="宋体" w:cs="宋体"/>
          <w:b/>
          <w:color w:val="FF0000"/>
          <w:kern w:val="0"/>
          <w:sz w:val="24"/>
        </w:rPr>
        <w:t>说明：南阳市卧龙区独山公墓管理处没有一般公共预算财政拨款和政府性基金预算财政拨款，故本表无数据。</w:t>
      </w:r>
    </w:p>
    <w:tbl>
      <w:tblPr>
        <w:tblStyle w:val="5"/>
        <w:tblW w:w="10485" w:type="dxa"/>
        <w:tblInd w:w="-896" w:type="dxa"/>
        <w:tblLayout w:type="fixed"/>
        <w:tblCellMar>
          <w:top w:w="15" w:type="dxa"/>
          <w:left w:w="15" w:type="dxa"/>
          <w:bottom w:w="15" w:type="dxa"/>
          <w:right w:w="15" w:type="dxa"/>
        </w:tblCellMar>
      </w:tblPr>
      <w:tblGrid>
        <w:gridCol w:w="715"/>
        <w:gridCol w:w="935"/>
        <w:gridCol w:w="1794"/>
        <w:gridCol w:w="1620"/>
        <w:gridCol w:w="754"/>
        <w:gridCol w:w="117"/>
        <w:gridCol w:w="1677"/>
        <w:gridCol w:w="1163"/>
        <w:gridCol w:w="1710"/>
      </w:tblGrid>
      <w:tr>
        <w:tblPrEx>
          <w:tblLayout w:type="fixed"/>
          <w:tblCellMar>
            <w:top w:w="15" w:type="dxa"/>
            <w:left w:w="15" w:type="dxa"/>
            <w:bottom w:w="15" w:type="dxa"/>
            <w:right w:w="15" w:type="dxa"/>
          </w:tblCellMar>
        </w:tblPrEx>
        <w:trPr>
          <w:trHeight w:val="375" w:hRule="atLeast"/>
        </w:trPr>
        <w:tc>
          <w:tcPr>
            <w:tcW w:w="10485" w:type="dxa"/>
            <w:gridSpan w:val="9"/>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一般公共预算财政拨款基本支出决算表</w:t>
            </w:r>
          </w:p>
        </w:tc>
      </w:tr>
      <w:tr>
        <w:tblPrEx>
          <w:tblLayout w:type="fixed"/>
          <w:tblCellMar>
            <w:top w:w="15" w:type="dxa"/>
            <w:left w:w="15" w:type="dxa"/>
            <w:bottom w:w="15" w:type="dxa"/>
            <w:right w:w="15" w:type="dxa"/>
          </w:tblCellMar>
        </w:tblPrEx>
        <w:trPr>
          <w:trHeight w:val="285" w:hRule="atLeast"/>
        </w:trPr>
        <w:tc>
          <w:tcPr>
            <w:tcW w:w="1650" w:type="dxa"/>
            <w:gridSpan w:val="2"/>
            <w:vAlign w:val="center"/>
          </w:tcPr>
          <w:p>
            <w:pPr>
              <w:rPr>
                <w:rFonts w:ascii="宋体" w:cs="宋体"/>
                <w:color w:val="000000"/>
                <w:sz w:val="16"/>
                <w:szCs w:val="16"/>
              </w:rPr>
            </w:pPr>
          </w:p>
        </w:tc>
        <w:tc>
          <w:tcPr>
            <w:tcW w:w="1794" w:type="dxa"/>
            <w:vAlign w:val="center"/>
          </w:tcPr>
          <w:p>
            <w:pPr>
              <w:rPr>
                <w:rFonts w:ascii="宋体" w:cs="宋体"/>
                <w:color w:val="000000"/>
                <w:sz w:val="16"/>
                <w:szCs w:val="16"/>
              </w:rPr>
            </w:pPr>
          </w:p>
        </w:tc>
        <w:tc>
          <w:tcPr>
            <w:tcW w:w="1620" w:type="dxa"/>
            <w:vAlign w:val="center"/>
          </w:tcPr>
          <w:p>
            <w:pPr>
              <w:rPr>
                <w:rFonts w:ascii="宋体" w:cs="宋体"/>
                <w:color w:val="000000"/>
                <w:sz w:val="16"/>
                <w:szCs w:val="16"/>
              </w:rPr>
            </w:pPr>
          </w:p>
        </w:tc>
        <w:tc>
          <w:tcPr>
            <w:tcW w:w="754" w:type="dxa"/>
            <w:vAlign w:val="center"/>
          </w:tcPr>
          <w:p>
            <w:pPr>
              <w:rPr>
                <w:rFonts w:ascii="宋体" w:cs="宋体"/>
                <w:color w:val="000000"/>
                <w:sz w:val="16"/>
                <w:szCs w:val="16"/>
              </w:rPr>
            </w:pPr>
          </w:p>
        </w:tc>
        <w:tc>
          <w:tcPr>
            <w:tcW w:w="1794" w:type="dxa"/>
            <w:gridSpan w:val="2"/>
            <w:vAlign w:val="center"/>
          </w:tcPr>
          <w:p>
            <w:pPr>
              <w:rPr>
                <w:rFonts w:ascii="宋体" w:cs="宋体"/>
                <w:color w:val="000000"/>
                <w:sz w:val="16"/>
                <w:szCs w:val="16"/>
              </w:rPr>
            </w:pPr>
          </w:p>
        </w:tc>
        <w:tc>
          <w:tcPr>
            <w:tcW w:w="2873" w:type="dxa"/>
            <w:gridSpan w:val="2"/>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06</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270" w:hRule="atLeast"/>
        </w:trPr>
        <w:tc>
          <w:tcPr>
            <w:tcW w:w="1650" w:type="dxa"/>
            <w:gridSpan w:val="2"/>
            <w:vAlign w:val="center"/>
          </w:tcPr>
          <w:p>
            <w:pPr>
              <w:rPr>
                <w:rFonts w:ascii="宋体" w:cs="宋体"/>
                <w:color w:val="000000"/>
                <w:sz w:val="16"/>
                <w:szCs w:val="16"/>
              </w:rPr>
            </w:pPr>
          </w:p>
        </w:tc>
        <w:tc>
          <w:tcPr>
            <w:tcW w:w="1794" w:type="dxa"/>
            <w:vAlign w:val="center"/>
          </w:tcPr>
          <w:p>
            <w:pPr>
              <w:rPr>
                <w:rFonts w:ascii="宋体" w:cs="宋体"/>
                <w:color w:val="000000"/>
                <w:sz w:val="16"/>
                <w:szCs w:val="16"/>
              </w:rPr>
            </w:pPr>
          </w:p>
        </w:tc>
        <w:tc>
          <w:tcPr>
            <w:tcW w:w="1620" w:type="dxa"/>
            <w:vAlign w:val="center"/>
          </w:tcPr>
          <w:p>
            <w:pPr>
              <w:rPr>
                <w:rFonts w:ascii="宋体" w:cs="宋体"/>
                <w:color w:val="000000"/>
                <w:sz w:val="16"/>
                <w:szCs w:val="16"/>
              </w:rPr>
            </w:pPr>
          </w:p>
        </w:tc>
        <w:tc>
          <w:tcPr>
            <w:tcW w:w="754" w:type="dxa"/>
            <w:vAlign w:val="center"/>
          </w:tcPr>
          <w:p>
            <w:pPr>
              <w:rPr>
                <w:rFonts w:ascii="宋体" w:cs="宋体"/>
                <w:color w:val="000000"/>
                <w:sz w:val="16"/>
                <w:szCs w:val="16"/>
              </w:rPr>
            </w:pPr>
          </w:p>
        </w:tc>
        <w:tc>
          <w:tcPr>
            <w:tcW w:w="1794" w:type="dxa"/>
            <w:gridSpan w:val="2"/>
            <w:vAlign w:val="center"/>
          </w:tcPr>
          <w:p>
            <w:pPr>
              <w:rPr>
                <w:rFonts w:ascii="宋体" w:cs="宋体"/>
                <w:color w:val="000000"/>
                <w:sz w:val="16"/>
                <w:szCs w:val="16"/>
              </w:rPr>
            </w:pPr>
          </w:p>
        </w:tc>
        <w:tc>
          <w:tcPr>
            <w:tcW w:w="2873" w:type="dxa"/>
            <w:gridSpan w:val="2"/>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5064" w:type="dxa"/>
            <w:gridSpan w:val="4"/>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人员经费</w:t>
            </w:r>
          </w:p>
        </w:tc>
        <w:tc>
          <w:tcPr>
            <w:tcW w:w="5421" w:type="dxa"/>
            <w:gridSpan w:val="5"/>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公用经费</w:t>
            </w:r>
          </w:p>
        </w:tc>
      </w:tr>
      <w:tr>
        <w:tblPrEx>
          <w:tblLayout w:type="fixed"/>
          <w:tblCellMar>
            <w:top w:w="15" w:type="dxa"/>
            <w:left w:w="15" w:type="dxa"/>
            <w:bottom w:w="15" w:type="dxa"/>
            <w:right w:w="15" w:type="dxa"/>
          </w:tblCellMar>
        </w:tblPrEx>
        <w:trPr>
          <w:trHeight w:val="6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kern w:val="0"/>
                <w:sz w:val="16"/>
                <w:szCs w:val="16"/>
              </w:rPr>
            </w:pPr>
            <w:r>
              <w:rPr>
                <w:rFonts w:hint="eastAsia" w:ascii="宋体" w:hAnsi="宋体" w:cs="宋体"/>
                <w:b/>
                <w:color w:val="000000"/>
                <w:kern w:val="0"/>
                <w:sz w:val="16"/>
                <w:szCs w:val="16"/>
              </w:rPr>
              <w:t>经济分类</w:t>
            </w:r>
          </w:p>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科目编码</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科目名称</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金额</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kern w:val="0"/>
                <w:sz w:val="16"/>
                <w:szCs w:val="16"/>
              </w:rPr>
            </w:pPr>
            <w:r>
              <w:rPr>
                <w:rFonts w:hint="eastAsia" w:ascii="宋体" w:hAnsi="宋体" w:cs="宋体"/>
                <w:b/>
                <w:color w:val="000000"/>
                <w:kern w:val="0"/>
                <w:sz w:val="16"/>
                <w:szCs w:val="16"/>
              </w:rPr>
              <w:t>经济分类</w:t>
            </w:r>
          </w:p>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科目编码</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科目名称</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金额</w:t>
            </w:r>
          </w:p>
        </w:tc>
      </w:tr>
      <w:tr>
        <w:tblPrEx>
          <w:tblLayout w:type="fixed"/>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301</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工资福利支出</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302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商品和服务支出</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30101</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基本工资</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办公费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30102</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津贴补贴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印刷费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30103</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奖金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30203</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咨询费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30104</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其他社会保障缴费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30204</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手续费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30106</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伙食补助费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水费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30107</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绩效工资</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电费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30108</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机关事业单位基本养老保险缴费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邮电费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30109</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职业年金缴费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取暖费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30199</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其他工资福利支出</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物业管理费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303</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对个人和家庭的补助</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差旅费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30301</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离休费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因公出国</w:t>
            </w:r>
            <w:r>
              <w:rPr>
                <w:rFonts w:ascii="宋体" w:hAnsi="宋体" w:cs="宋体"/>
                <w:color w:val="000000"/>
                <w:kern w:val="0"/>
                <w:sz w:val="16"/>
                <w:szCs w:val="16"/>
              </w:rPr>
              <w:t>(</w:t>
            </w:r>
            <w:r>
              <w:rPr>
                <w:rFonts w:hint="eastAsia" w:ascii="宋体" w:hAnsi="宋体" w:cs="宋体"/>
                <w:color w:val="000000"/>
                <w:kern w:val="0"/>
                <w:sz w:val="16"/>
                <w:szCs w:val="16"/>
              </w:rPr>
              <w:t>境</w:t>
            </w:r>
            <w:r>
              <w:rPr>
                <w:rFonts w:ascii="宋体" w:hAnsi="宋体" w:cs="宋体"/>
                <w:color w:val="000000"/>
                <w:kern w:val="0"/>
                <w:sz w:val="16"/>
                <w:szCs w:val="16"/>
              </w:rPr>
              <w:t>)</w:t>
            </w:r>
            <w:r>
              <w:rPr>
                <w:rFonts w:hint="eastAsia" w:ascii="宋体" w:hAnsi="宋体" w:cs="宋体"/>
                <w:color w:val="000000"/>
                <w:kern w:val="0"/>
                <w:sz w:val="16"/>
                <w:szCs w:val="16"/>
              </w:rPr>
              <w:t>费用</w:t>
            </w:r>
            <w:r>
              <w:rPr>
                <w:rFonts w:ascii="宋体" w:hAnsi="宋体" w:cs="宋体"/>
                <w:color w:val="000000"/>
                <w:kern w:val="0"/>
                <w:sz w:val="16"/>
                <w:szCs w:val="16"/>
              </w:rPr>
              <w:t xml:space="preserve"> </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30302</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退休费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30213</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维修</w:t>
            </w:r>
            <w:r>
              <w:rPr>
                <w:rFonts w:ascii="宋体" w:hAnsi="宋体" w:cs="宋体"/>
                <w:color w:val="000000"/>
                <w:kern w:val="0"/>
                <w:sz w:val="16"/>
                <w:szCs w:val="16"/>
              </w:rPr>
              <w:t>(</w:t>
            </w:r>
            <w:r>
              <w:rPr>
                <w:rFonts w:hint="eastAsia" w:ascii="宋体" w:hAnsi="宋体" w:cs="宋体"/>
                <w:color w:val="000000"/>
                <w:kern w:val="0"/>
                <w:sz w:val="16"/>
                <w:szCs w:val="16"/>
              </w:rPr>
              <w:t>护</w:t>
            </w:r>
            <w:r>
              <w:rPr>
                <w:rFonts w:ascii="宋体" w:hAnsi="宋体" w:cs="宋体"/>
                <w:color w:val="000000"/>
                <w:kern w:val="0"/>
                <w:sz w:val="16"/>
                <w:szCs w:val="16"/>
              </w:rPr>
              <w:t>)</w:t>
            </w:r>
            <w:r>
              <w:rPr>
                <w:rFonts w:hint="eastAsia" w:ascii="宋体" w:hAnsi="宋体" w:cs="宋体"/>
                <w:color w:val="000000"/>
                <w:kern w:val="0"/>
                <w:sz w:val="16"/>
                <w:szCs w:val="16"/>
              </w:rPr>
              <w:t>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30303</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退职</w:t>
            </w:r>
            <w:r>
              <w:rPr>
                <w:rFonts w:ascii="宋体" w:hAnsi="宋体" w:cs="宋体"/>
                <w:color w:val="000000"/>
                <w:kern w:val="0"/>
                <w:sz w:val="16"/>
                <w:szCs w:val="16"/>
              </w:rPr>
              <w:t>(</w:t>
            </w:r>
            <w:r>
              <w:rPr>
                <w:rFonts w:hint="eastAsia" w:ascii="宋体" w:hAnsi="宋体" w:cs="宋体"/>
                <w:color w:val="000000"/>
                <w:kern w:val="0"/>
                <w:sz w:val="16"/>
                <w:szCs w:val="16"/>
              </w:rPr>
              <w:t>役</w:t>
            </w:r>
            <w:r>
              <w:rPr>
                <w:rFonts w:ascii="宋体" w:hAnsi="宋体" w:cs="宋体"/>
                <w:color w:val="000000"/>
                <w:kern w:val="0"/>
                <w:sz w:val="16"/>
                <w:szCs w:val="16"/>
              </w:rPr>
              <w:t>)</w:t>
            </w:r>
            <w:r>
              <w:rPr>
                <w:rFonts w:hint="eastAsia" w:ascii="宋体" w:hAnsi="宋体" w:cs="宋体"/>
                <w:color w:val="000000"/>
                <w:kern w:val="0"/>
                <w:sz w:val="16"/>
                <w:szCs w:val="16"/>
              </w:rPr>
              <w:t>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30214</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租赁费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30304</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抚恤金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会议费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30305</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生活补助</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培训费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30306</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救济费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公务接待费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30307</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医疗费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专用材料费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30308</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助学金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30224</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被装购置费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30309</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奖励金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专用燃料费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30310</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生产补贴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劳务费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30311</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住房公积金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委托业务费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30312</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提租补贴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工会经费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30313</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购房补贴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福利费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30314</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采暖补贴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30231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公务用车运行维护费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30315</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物业服务补贴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30239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其他交通费用</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30399</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其他对个人和家庭的补助支出</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30240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税金及附加费用</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30299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其他商品和服务支出</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30224</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被装购置费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专用燃料费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劳务费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委托业务费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工会经费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福利费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30231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公务用车运行维护费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30239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其他交通费用</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30240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税金及附加费用</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30299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其他商品和服务支出</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b/>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b/>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310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其他资本性支出</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房屋建筑物购建</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办公设备购置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31003</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专用设备购置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基础设施建设</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大型修缮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信息网络及软件购置更新</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物资储备</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土地补偿</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31010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安置补助</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31011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地上附着物和青苗补偿</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31012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拆迁补偿</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31013</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公务用车购置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31019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其他交通工具购置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31020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产权参股</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12"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12"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31099</w:t>
            </w:r>
          </w:p>
        </w:tc>
        <w:tc>
          <w:tcPr>
            <w:tcW w:w="2840"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其他资本性支出</w:t>
            </w:r>
          </w:p>
        </w:tc>
        <w:tc>
          <w:tcPr>
            <w:tcW w:w="1710"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PrEx>
        <w:trPr>
          <w:trHeight w:val="477" w:hRule="atLeast"/>
        </w:trPr>
        <w:tc>
          <w:tcPr>
            <w:tcW w:w="10485" w:type="dxa"/>
            <w:gridSpan w:val="9"/>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注：本表反映部门本年度一般公共预算财政拨款基本支出明细情况。</w:t>
            </w:r>
          </w:p>
        </w:tc>
      </w:tr>
    </w:tbl>
    <w:p>
      <w:pPr>
        <w:tabs>
          <w:tab w:val="left" w:pos="3405"/>
          <w:tab w:val="center" w:pos="4394"/>
        </w:tabs>
        <w:spacing w:line="360" w:lineRule="auto"/>
        <w:jc w:val="left"/>
        <w:rPr>
          <w:rFonts w:ascii="隶书" w:hAnsi="隶书" w:eastAsia="隶书" w:cs="隶书"/>
          <w:sz w:val="52"/>
          <w:szCs w:val="52"/>
        </w:rPr>
      </w:pPr>
      <w:r>
        <w:rPr>
          <w:rFonts w:hint="eastAsia" w:ascii="宋体" w:hAnsi="宋体" w:cs="宋体"/>
          <w:b/>
          <w:color w:val="FF0000"/>
          <w:kern w:val="0"/>
          <w:sz w:val="24"/>
        </w:rPr>
        <w:t>说明：南阳市卧龙区独山公墓管理处没有一般公共预算财政拨款和政府性基金预算财政拨款，故本表无数据。</w:t>
      </w:r>
      <w:r>
        <w:rPr>
          <w:rFonts w:ascii="隶书" w:hAnsi="隶书" w:eastAsia="隶书" w:cs="隶书"/>
          <w:sz w:val="52"/>
          <w:szCs w:val="52"/>
        </w:rPr>
        <w:tab/>
      </w:r>
    </w:p>
    <w:p>
      <w:pPr>
        <w:rPr>
          <w:rFonts w:ascii="隶书" w:hAnsi="隶书" w:eastAsia="隶书" w:cs="隶书"/>
          <w:sz w:val="52"/>
          <w:szCs w:val="52"/>
        </w:rPr>
        <w:sectPr>
          <w:pgSz w:w="11906" w:h="16838"/>
          <w:pgMar w:top="1440" w:right="1531" w:bottom="1440" w:left="1587" w:header="850" w:footer="992" w:gutter="0"/>
          <w:pgNumType w:fmt="numberInDash"/>
          <w:cols w:space="0" w:num="1"/>
          <w:docGrid w:type="lines" w:linePitch="317" w:charSpace="0"/>
        </w:sectPr>
      </w:pPr>
    </w:p>
    <w:tbl>
      <w:tblPr>
        <w:tblStyle w:val="5"/>
        <w:tblW w:w="10485" w:type="dxa"/>
        <w:tblInd w:w="-911" w:type="dxa"/>
        <w:tblLayout w:type="fixed"/>
        <w:tblCellMar>
          <w:top w:w="15" w:type="dxa"/>
          <w:left w:w="15" w:type="dxa"/>
          <w:bottom w:w="15" w:type="dxa"/>
          <w:right w:w="15" w:type="dxa"/>
        </w:tblCellMar>
      </w:tblPr>
      <w:tblGrid>
        <w:gridCol w:w="922"/>
        <w:gridCol w:w="861"/>
        <w:gridCol w:w="62"/>
        <w:gridCol w:w="585"/>
        <w:gridCol w:w="115"/>
        <w:gridCol w:w="514"/>
        <w:gridCol w:w="336"/>
        <w:gridCol w:w="294"/>
        <w:gridCol w:w="629"/>
        <w:gridCol w:w="77"/>
        <w:gridCol w:w="915"/>
        <w:gridCol w:w="509"/>
        <w:gridCol w:w="413"/>
        <w:gridCol w:w="234"/>
        <w:gridCol w:w="630"/>
        <w:gridCol w:w="59"/>
        <w:gridCol w:w="571"/>
        <w:gridCol w:w="249"/>
        <w:gridCol w:w="381"/>
        <w:gridCol w:w="439"/>
        <w:gridCol w:w="820"/>
        <w:gridCol w:w="870"/>
      </w:tblGrid>
      <w:tr>
        <w:tblPrEx>
          <w:tblLayout w:type="fixed"/>
          <w:tblCellMar>
            <w:top w:w="15" w:type="dxa"/>
            <w:left w:w="15" w:type="dxa"/>
            <w:bottom w:w="15" w:type="dxa"/>
            <w:right w:w="15" w:type="dxa"/>
          </w:tblCellMar>
        </w:tblPrEx>
        <w:trPr>
          <w:trHeight w:val="375" w:hRule="atLeast"/>
        </w:trPr>
        <w:tc>
          <w:tcPr>
            <w:tcW w:w="10485" w:type="dxa"/>
            <w:gridSpan w:val="22"/>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一般公共预算财政拨款“三公”经费支出决算表</w:t>
            </w:r>
          </w:p>
        </w:tc>
      </w:tr>
      <w:tr>
        <w:tblPrEx>
          <w:tblLayout w:type="fixed"/>
          <w:tblCellMar>
            <w:top w:w="15" w:type="dxa"/>
            <w:left w:w="15" w:type="dxa"/>
            <w:bottom w:w="15" w:type="dxa"/>
            <w:right w:w="15" w:type="dxa"/>
          </w:tblCellMar>
        </w:tblPrEx>
        <w:trPr>
          <w:trHeight w:val="285" w:hRule="atLeast"/>
        </w:trPr>
        <w:tc>
          <w:tcPr>
            <w:tcW w:w="1783" w:type="dxa"/>
            <w:gridSpan w:val="2"/>
            <w:vAlign w:val="center"/>
          </w:tcPr>
          <w:p>
            <w:pPr>
              <w:rPr>
                <w:rFonts w:ascii="宋体" w:cs="宋体"/>
                <w:color w:val="000000"/>
                <w:sz w:val="16"/>
                <w:szCs w:val="16"/>
              </w:rPr>
            </w:pPr>
          </w:p>
        </w:tc>
        <w:tc>
          <w:tcPr>
            <w:tcW w:w="647" w:type="dxa"/>
            <w:gridSpan w:val="2"/>
            <w:vAlign w:val="center"/>
          </w:tcPr>
          <w:p>
            <w:pPr>
              <w:rPr>
                <w:rFonts w:ascii="宋体" w:cs="宋体"/>
                <w:color w:val="000000"/>
                <w:sz w:val="16"/>
                <w:szCs w:val="16"/>
              </w:rPr>
            </w:pPr>
          </w:p>
        </w:tc>
        <w:tc>
          <w:tcPr>
            <w:tcW w:w="629" w:type="dxa"/>
            <w:gridSpan w:val="2"/>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629" w:type="dxa"/>
            <w:vAlign w:val="center"/>
          </w:tcPr>
          <w:p>
            <w:pPr>
              <w:rPr>
                <w:rFonts w:ascii="宋体" w:cs="宋体"/>
                <w:color w:val="000000"/>
                <w:sz w:val="16"/>
                <w:szCs w:val="16"/>
              </w:rPr>
            </w:pPr>
          </w:p>
        </w:tc>
        <w:tc>
          <w:tcPr>
            <w:tcW w:w="992" w:type="dxa"/>
            <w:gridSpan w:val="2"/>
            <w:vAlign w:val="center"/>
          </w:tcPr>
          <w:p>
            <w:pPr>
              <w:rPr>
                <w:rFonts w:ascii="宋体" w:cs="宋体"/>
                <w:color w:val="000000"/>
                <w:sz w:val="16"/>
                <w:szCs w:val="16"/>
              </w:rPr>
            </w:pPr>
          </w:p>
        </w:tc>
        <w:tc>
          <w:tcPr>
            <w:tcW w:w="509" w:type="dxa"/>
            <w:vAlign w:val="center"/>
          </w:tcPr>
          <w:p>
            <w:pPr>
              <w:rPr>
                <w:rFonts w:ascii="宋体" w:cs="宋体"/>
                <w:color w:val="000000"/>
                <w:sz w:val="16"/>
                <w:szCs w:val="16"/>
              </w:rPr>
            </w:pPr>
          </w:p>
        </w:tc>
        <w:tc>
          <w:tcPr>
            <w:tcW w:w="647" w:type="dxa"/>
            <w:gridSpan w:val="2"/>
            <w:vAlign w:val="center"/>
          </w:tcPr>
          <w:p>
            <w:pPr>
              <w:rPr>
                <w:rFonts w:ascii="宋体" w:cs="宋体"/>
                <w:color w:val="000000"/>
                <w:sz w:val="16"/>
                <w:szCs w:val="16"/>
              </w:rPr>
            </w:pPr>
          </w:p>
        </w:tc>
        <w:tc>
          <w:tcPr>
            <w:tcW w:w="630" w:type="dxa"/>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2129" w:type="dxa"/>
            <w:gridSpan w:val="3"/>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07</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270" w:hRule="atLeast"/>
        </w:trPr>
        <w:tc>
          <w:tcPr>
            <w:tcW w:w="1783" w:type="dxa"/>
            <w:gridSpan w:val="2"/>
            <w:vAlign w:val="center"/>
          </w:tcPr>
          <w:p>
            <w:pPr>
              <w:rPr>
                <w:rFonts w:ascii="宋体" w:cs="宋体"/>
                <w:color w:val="000000"/>
                <w:sz w:val="16"/>
                <w:szCs w:val="16"/>
              </w:rPr>
            </w:pPr>
          </w:p>
        </w:tc>
        <w:tc>
          <w:tcPr>
            <w:tcW w:w="647" w:type="dxa"/>
            <w:gridSpan w:val="2"/>
            <w:vAlign w:val="center"/>
          </w:tcPr>
          <w:p>
            <w:pPr>
              <w:rPr>
                <w:rFonts w:ascii="宋体" w:cs="宋体"/>
                <w:color w:val="000000"/>
                <w:sz w:val="16"/>
                <w:szCs w:val="16"/>
              </w:rPr>
            </w:pPr>
          </w:p>
        </w:tc>
        <w:tc>
          <w:tcPr>
            <w:tcW w:w="629" w:type="dxa"/>
            <w:gridSpan w:val="2"/>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629" w:type="dxa"/>
            <w:vAlign w:val="center"/>
          </w:tcPr>
          <w:p>
            <w:pPr>
              <w:rPr>
                <w:rFonts w:ascii="宋体" w:cs="宋体"/>
                <w:color w:val="000000"/>
                <w:sz w:val="16"/>
                <w:szCs w:val="16"/>
              </w:rPr>
            </w:pPr>
          </w:p>
        </w:tc>
        <w:tc>
          <w:tcPr>
            <w:tcW w:w="992" w:type="dxa"/>
            <w:gridSpan w:val="2"/>
            <w:vAlign w:val="center"/>
          </w:tcPr>
          <w:p>
            <w:pPr>
              <w:rPr>
                <w:rFonts w:ascii="宋体" w:cs="宋体"/>
                <w:color w:val="000000"/>
                <w:sz w:val="16"/>
                <w:szCs w:val="16"/>
              </w:rPr>
            </w:pPr>
          </w:p>
        </w:tc>
        <w:tc>
          <w:tcPr>
            <w:tcW w:w="509" w:type="dxa"/>
            <w:vAlign w:val="center"/>
          </w:tcPr>
          <w:p>
            <w:pPr>
              <w:rPr>
                <w:rFonts w:ascii="宋体" w:cs="宋体"/>
                <w:color w:val="000000"/>
                <w:sz w:val="16"/>
                <w:szCs w:val="16"/>
              </w:rPr>
            </w:pPr>
          </w:p>
        </w:tc>
        <w:tc>
          <w:tcPr>
            <w:tcW w:w="647" w:type="dxa"/>
            <w:gridSpan w:val="2"/>
            <w:vAlign w:val="center"/>
          </w:tcPr>
          <w:p>
            <w:pPr>
              <w:rPr>
                <w:rFonts w:ascii="宋体" w:cs="宋体"/>
                <w:color w:val="000000"/>
                <w:sz w:val="16"/>
                <w:szCs w:val="16"/>
              </w:rPr>
            </w:pPr>
          </w:p>
        </w:tc>
        <w:tc>
          <w:tcPr>
            <w:tcW w:w="630" w:type="dxa"/>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2129" w:type="dxa"/>
            <w:gridSpan w:val="3"/>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5310" w:type="dxa"/>
            <w:gridSpan w:val="11"/>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2016</w:t>
            </w:r>
            <w:r>
              <w:rPr>
                <w:rFonts w:hint="eastAsia" w:ascii="宋体" w:hAnsi="宋体" w:cs="宋体"/>
                <w:b/>
                <w:color w:val="000000"/>
                <w:kern w:val="0"/>
                <w:sz w:val="16"/>
                <w:szCs w:val="16"/>
              </w:rPr>
              <w:t>年度预算数</w:t>
            </w:r>
          </w:p>
        </w:tc>
        <w:tc>
          <w:tcPr>
            <w:tcW w:w="5175" w:type="dxa"/>
            <w:gridSpan w:val="11"/>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2016</w:t>
            </w:r>
            <w:r>
              <w:rPr>
                <w:rFonts w:hint="eastAsia" w:ascii="宋体" w:hAnsi="宋体" w:cs="宋体"/>
                <w:b/>
                <w:color w:val="000000"/>
                <w:kern w:val="0"/>
                <w:sz w:val="16"/>
                <w:szCs w:val="16"/>
              </w:rPr>
              <w:t>年度决算数</w:t>
            </w:r>
          </w:p>
        </w:tc>
      </w:tr>
      <w:tr>
        <w:tblPrEx>
          <w:tblLayout w:type="fixed"/>
          <w:tblCellMar>
            <w:top w:w="15" w:type="dxa"/>
            <w:left w:w="15" w:type="dxa"/>
            <w:bottom w:w="15" w:type="dxa"/>
            <w:right w:w="15" w:type="dxa"/>
          </w:tblCellMar>
        </w:tblPrEx>
        <w:trPr>
          <w:trHeight w:val="600" w:hRule="atLeast"/>
        </w:trPr>
        <w:tc>
          <w:tcPr>
            <w:tcW w:w="922" w:type="dxa"/>
            <w:vMerge w:val="restart"/>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92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因公出国（境）费</w:t>
            </w:r>
          </w:p>
        </w:tc>
        <w:tc>
          <w:tcPr>
            <w:tcW w:w="2550"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公务用车购置及运行费</w:t>
            </w: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公务接待费</w:t>
            </w:r>
          </w:p>
        </w:tc>
        <w:tc>
          <w:tcPr>
            <w:tcW w:w="922"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923"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因公出国（境）费</w:t>
            </w:r>
          </w:p>
        </w:tc>
        <w:tc>
          <w:tcPr>
            <w:tcW w:w="2460"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公务用车购置及运行费</w:t>
            </w:r>
          </w:p>
        </w:tc>
        <w:tc>
          <w:tcPr>
            <w:tcW w:w="870" w:type="dxa"/>
            <w:vMerge w:val="restart"/>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公务接待费</w:t>
            </w:r>
          </w:p>
        </w:tc>
      </w:tr>
      <w:tr>
        <w:tblPrEx>
          <w:tblLayout w:type="fixed"/>
        </w:tblPrEx>
        <w:trPr>
          <w:trHeight w:val="600" w:hRule="atLeast"/>
        </w:trPr>
        <w:tc>
          <w:tcPr>
            <w:tcW w:w="922"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b/>
                <w:color w:val="000000"/>
                <w:sz w:val="16"/>
                <w:szCs w:val="16"/>
              </w:rPr>
            </w:pPr>
          </w:p>
        </w:tc>
        <w:tc>
          <w:tcPr>
            <w:tcW w:w="92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小计</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w:t>
            </w:r>
            <w:r>
              <w:rPr>
                <w:rFonts w:ascii="宋体" w:cs="宋体"/>
                <w:b/>
                <w:color w:val="000000"/>
                <w:kern w:val="0"/>
                <w:sz w:val="16"/>
                <w:szCs w:val="16"/>
              </w:rPr>
              <w:br w:type="textWrapping"/>
            </w:r>
            <w:r>
              <w:rPr>
                <w:rFonts w:hint="eastAsia" w:ascii="宋体" w:hAnsi="宋体" w:cs="宋体"/>
                <w:b/>
                <w:color w:val="000000"/>
                <w:kern w:val="0"/>
                <w:sz w:val="16"/>
                <w:szCs w:val="16"/>
              </w:rPr>
              <w:t>购置费</w:t>
            </w:r>
          </w:p>
        </w:tc>
        <w:tc>
          <w:tcPr>
            <w:tcW w:w="10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w:t>
            </w:r>
            <w:r>
              <w:rPr>
                <w:rFonts w:ascii="宋体" w:cs="宋体"/>
                <w:b/>
                <w:color w:val="000000"/>
                <w:kern w:val="0"/>
                <w:sz w:val="16"/>
                <w:szCs w:val="16"/>
              </w:rPr>
              <w:br w:type="textWrapping"/>
            </w:r>
            <w:r>
              <w:rPr>
                <w:rFonts w:hint="eastAsia" w:ascii="宋体" w:hAnsi="宋体" w:cs="宋体"/>
                <w:b/>
                <w:color w:val="000000"/>
                <w:kern w:val="0"/>
                <w:sz w:val="16"/>
                <w:szCs w:val="16"/>
              </w:rPr>
              <w:t>运行费</w:t>
            </w: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922"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923"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小计</w:t>
            </w: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w:t>
            </w:r>
            <w:r>
              <w:rPr>
                <w:rFonts w:ascii="宋体" w:cs="宋体"/>
                <w:b/>
                <w:color w:val="000000"/>
                <w:kern w:val="0"/>
                <w:sz w:val="16"/>
                <w:szCs w:val="16"/>
              </w:rPr>
              <w:br w:type="textWrapping"/>
            </w:r>
            <w:r>
              <w:rPr>
                <w:rFonts w:hint="eastAsia" w:ascii="宋体" w:hAnsi="宋体" w:cs="宋体"/>
                <w:b/>
                <w:color w:val="000000"/>
                <w:kern w:val="0"/>
                <w:sz w:val="16"/>
                <w:szCs w:val="16"/>
              </w:rPr>
              <w:t>购置费</w:t>
            </w:r>
          </w:p>
        </w:tc>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w:t>
            </w:r>
            <w:r>
              <w:rPr>
                <w:rFonts w:ascii="宋体" w:cs="宋体"/>
                <w:b/>
                <w:color w:val="000000"/>
                <w:kern w:val="0"/>
                <w:sz w:val="16"/>
                <w:szCs w:val="16"/>
              </w:rPr>
              <w:br w:type="textWrapping"/>
            </w:r>
            <w:r>
              <w:rPr>
                <w:rFonts w:hint="eastAsia" w:ascii="宋体" w:hAnsi="宋体" w:cs="宋体"/>
                <w:b/>
                <w:color w:val="000000"/>
                <w:kern w:val="0"/>
                <w:sz w:val="16"/>
                <w:szCs w:val="16"/>
              </w:rPr>
              <w:t>运行费</w:t>
            </w:r>
          </w:p>
        </w:tc>
        <w:tc>
          <w:tcPr>
            <w:tcW w:w="870" w:type="dxa"/>
            <w:vMerge w:val="continue"/>
            <w:tcBorders>
              <w:top w:val="single" w:color="000000" w:sz="4" w:space="0"/>
              <w:left w:val="single" w:color="000000" w:sz="4" w:space="0"/>
              <w:bottom w:val="single" w:color="000000" w:sz="4" w:space="0"/>
              <w:right w:val="single" w:color="000000" w:sz="12" w:space="0"/>
            </w:tcBorders>
            <w:vAlign w:val="center"/>
          </w:tcPr>
          <w:p>
            <w:pPr>
              <w:jc w:val="center"/>
              <w:rPr>
                <w:rFonts w:ascii="宋体" w:cs="宋体"/>
                <w:b/>
                <w:color w:val="000000"/>
                <w:sz w:val="16"/>
                <w:szCs w:val="16"/>
              </w:rPr>
            </w:pPr>
          </w:p>
        </w:tc>
      </w:tr>
      <w:tr>
        <w:tblPrEx>
          <w:tblLayout w:type="fixed"/>
          <w:tblCellMar>
            <w:top w:w="15" w:type="dxa"/>
            <w:left w:w="15" w:type="dxa"/>
            <w:bottom w:w="15" w:type="dxa"/>
            <w:right w:w="15" w:type="dxa"/>
          </w:tblCellMar>
        </w:tblPrEx>
        <w:trPr>
          <w:trHeight w:val="300" w:hRule="atLeast"/>
        </w:trPr>
        <w:tc>
          <w:tcPr>
            <w:tcW w:w="922"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92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10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92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7</w:t>
            </w:r>
          </w:p>
        </w:tc>
        <w:tc>
          <w:tcPr>
            <w:tcW w:w="92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87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12</w:t>
            </w:r>
          </w:p>
        </w:tc>
      </w:tr>
      <w:tr>
        <w:tblPrEx>
          <w:tblLayout w:type="fixed"/>
          <w:tblCellMar>
            <w:top w:w="15" w:type="dxa"/>
            <w:left w:w="15" w:type="dxa"/>
            <w:bottom w:w="15" w:type="dxa"/>
            <w:right w:w="15" w:type="dxa"/>
          </w:tblCellMar>
        </w:tblPrEx>
        <w:trPr>
          <w:trHeight w:val="600" w:hRule="atLeast"/>
        </w:trPr>
        <w:tc>
          <w:tcPr>
            <w:tcW w:w="922" w:type="dxa"/>
            <w:tcBorders>
              <w:top w:val="single" w:color="000000" w:sz="4" w:space="0"/>
              <w:left w:val="single" w:color="000000" w:sz="12" w:space="0"/>
              <w:bottom w:val="single" w:color="000000" w:sz="12" w:space="0"/>
              <w:right w:val="single" w:color="000000" w:sz="4" w:space="0"/>
            </w:tcBorders>
            <w:vAlign w:val="center"/>
          </w:tcPr>
          <w:p>
            <w:pPr>
              <w:jc w:val="right"/>
              <w:rPr>
                <w:rFonts w:ascii="宋体" w:cs="宋体"/>
                <w:b/>
                <w:color w:val="000000"/>
                <w:sz w:val="16"/>
                <w:szCs w:val="16"/>
              </w:rPr>
            </w:pPr>
          </w:p>
        </w:tc>
        <w:tc>
          <w:tcPr>
            <w:tcW w:w="923"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700"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850"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1000"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915" w:type="dxa"/>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922"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b/>
                <w:color w:val="000000"/>
                <w:sz w:val="16"/>
                <w:szCs w:val="16"/>
              </w:rPr>
            </w:pPr>
          </w:p>
        </w:tc>
        <w:tc>
          <w:tcPr>
            <w:tcW w:w="92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820"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820"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820" w:type="dxa"/>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870" w:type="dxa"/>
            <w:tcBorders>
              <w:top w:val="single" w:color="000000" w:sz="4" w:space="0"/>
              <w:left w:val="single" w:color="000000" w:sz="4" w:space="0"/>
              <w:bottom w:val="single" w:color="000000" w:sz="12"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600" w:hRule="atLeast"/>
        </w:trPr>
        <w:tc>
          <w:tcPr>
            <w:tcW w:w="10485" w:type="dxa"/>
            <w:gridSpan w:val="22"/>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注：本表反映部门本年度“三公”经费支出预决算情况。其中，</w:t>
            </w:r>
            <w:r>
              <w:rPr>
                <w:rFonts w:ascii="宋体" w:hAnsi="宋体" w:cs="宋体"/>
                <w:color w:val="000000"/>
                <w:kern w:val="0"/>
                <w:sz w:val="16"/>
                <w:szCs w:val="16"/>
              </w:rPr>
              <w:t>2016</w:t>
            </w:r>
            <w:r>
              <w:rPr>
                <w:rFonts w:hint="eastAsia" w:ascii="宋体" w:hAnsi="宋体" w:cs="宋体"/>
                <w:color w:val="000000"/>
                <w:kern w:val="0"/>
                <w:sz w:val="16"/>
                <w:szCs w:val="16"/>
              </w:rPr>
              <w:t>年度预算数为“三公”经费年初预算数，决算数是包括当年一般公共预算财政拨款和以前年度结转资金安排的实际支出。</w:t>
            </w:r>
          </w:p>
        </w:tc>
      </w:tr>
    </w:tbl>
    <w:p>
      <w:pPr>
        <w:tabs>
          <w:tab w:val="left" w:pos="3345"/>
          <w:tab w:val="center" w:pos="4394"/>
        </w:tabs>
        <w:spacing w:line="360" w:lineRule="auto"/>
        <w:jc w:val="left"/>
        <w:rPr>
          <w:rFonts w:ascii="隶书" w:hAnsi="隶书" w:eastAsia="隶书" w:cs="隶书"/>
          <w:sz w:val="52"/>
          <w:szCs w:val="52"/>
        </w:rPr>
      </w:pPr>
      <w:r>
        <w:rPr>
          <w:rFonts w:hint="eastAsia" w:ascii="宋体" w:hAnsi="宋体" w:cs="宋体"/>
          <w:b/>
          <w:color w:val="FF0000"/>
          <w:kern w:val="0"/>
          <w:sz w:val="24"/>
        </w:rPr>
        <w:t>说明：南阳市卧龙区独山公墓管理处没有一般公共预算财政拨款和政府性基金预算财政拨款，故本表无数据。</w:t>
      </w:r>
      <w:r>
        <w:rPr>
          <w:rFonts w:ascii="隶书" w:hAnsi="隶书" w:eastAsia="隶书" w:cs="隶书"/>
          <w:sz w:val="52"/>
          <w:szCs w:val="52"/>
        </w:rPr>
        <w:tab/>
      </w:r>
    </w:p>
    <w:p>
      <w:pPr>
        <w:rPr>
          <w:rFonts w:ascii="隶书" w:hAnsi="隶书" w:eastAsia="隶书" w:cs="隶书"/>
          <w:sz w:val="52"/>
          <w:szCs w:val="52"/>
        </w:rPr>
        <w:sectPr>
          <w:pgSz w:w="11906" w:h="16838"/>
          <w:pgMar w:top="1440" w:right="1531" w:bottom="1440" w:left="1587" w:header="850" w:footer="992" w:gutter="0"/>
          <w:pgNumType w:fmt="numberInDash"/>
          <w:cols w:space="0" w:num="1"/>
          <w:docGrid w:type="lines" w:linePitch="317" w:charSpace="0"/>
        </w:sectPr>
      </w:pPr>
    </w:p>
    <w:tbl>
      <w:tblPr>
        <w:tblStyle w:val="5"/>
        <w:tblW w:w="10500" w:type="dxa"/>
        <w:tblInd w:w="-902" w:type="dxa"/>
        <w:tblLayout w:type="fixed"/>
        <w:tblCellMar>
          <w:top w:w="15" w:type="dxa"/>
          <w:left w:w="15" w:type="dxa"/>
          <w:bottom w:w="15" w:type="dxa"/>
          <w:right w:w="15" w:type="dxa"/>
        </w:tblCellMar>
      </w:tblPr>
      <w:tblGrid>
        <w:gridCol w:w="705"/>
        <w:gridCol w:w="886"/>
        <w:gridCol w:w="1436"/>
        <w:gridCol w:w="1166"/>
        <w:gridCol w:w="65"/>
        <w:gridCol w:w="1232"/>
        <w:gridCol w:w="751"/>
        <w:gridCol w:w="499"/>
        <w:gridCol w:w="500"/>
        <w:gridCol w:w="750"/>
        <w:gridCol w:w="1250"/>
        <w:gridCol w:w="1260"/>
      </w:tblGrid>
      <w:tr>
        <w:tblPrEx>
          <w:tblLayout w:type="fixed"/>
          <w:tblCellMar>
            <w:top w:w="15" w:type="dxa"/>
            <w:left w:w="15" w:type="dxa"/>
            <w:bottom w:w="15" w:type="dxa"/>
            <w:right w:w="15" w:type="dxa"/>
          </w:tblCellMar>
        </w:tblPrEx>
        <w:trPr>
          <w:trHeight w:val="375" w:hRule="atLeast"/>
        </w:trPr>
        <w:tc>
          <w:tcPr>
            <w:tcW w:w="10500" w:type="dxa"/>
            <w:gridSpan w:val="12"/>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政府性基金预算财政拨款收入支出决算表</w:t>
            </w:r>
          </w:p>
        </w:tc>
      </w:tr>
      <w:tr>
        <w:tblPrEx>
          <w:tblLayout w:type="fixed"/>
          <w:tblCellMar>
            <w:top w:w="15" w:type="dxa"/>
            <w:left w:w="15" w:type="dxa"/>
            <w:bottom w:w="15" w:type="dxa"/>
            <w:right w:w="15" w:type="dxa"/>
          </w:tblCellMar>
        </w:tblPrEx>
        <w:trPr>
          <w:trHeight w:val="285" w:hRule="atLeast"/>
        </w:trPr>
        <w:tc>
          <w:tcPr>
            <w:tcW w:w="1591" w:type="dxa"/>
            <w:gridSpan w:val="2"/>
            <w:vAlign w:val="center"/>
          </w:tcPr>
          <w:p>
            <w:pPr>
              <w:rPr>
                <w:rFonts w:ascii="宋体" w:cs="宋体"/>
                <w:color w:val="000000"/>
                <w:sz w:val="16"/>
                <w:szCs w:val="16"/>
              </w:rPr>
            </w:pPr>
          </w:p>
        </w:tc>
        <w:tc>
          <w:tcPr>
            <w:tcW w:w="1436" w:type="dxa"/>
            <w:vAlign w:val="center"/>
          </w:tcPr>
          <w:p>
            <w:pPr>
              <w:rPr>
                <w:rFonts w:ascii="宋体" w:cs="宋体"/>
                <w:color w:val="000000"/>
                <w:sz w:val="16"/>
                <w:szCs w:val="16"/>
              </w:rPr>
            </w:pPr>
          </w:p>
        </w:tc>
        <w:tc>
          <w:tcPr>
            <w:tcW w:w="1166" w:type="dxa"/>
            <w:vAlign w:val="center"/>
          </w:tcPr>
          <w:p>
            <w:pPr>
              <w:rPr>
                <w:rFonts w:ascii="宋体" w:cs="宋体"/>
                <w:color w:val="000000"/>
                <w:sz w:val="16"/>
                <w:szCs w:val="16"/>
              </w:rPr>
            </w:pPr>
          </w:p>
        </w:tc>
        <w:tc>
          <w:tcPr>
            <w:tcW w:w="1297" w:type="dxa"/>
            <w:gridSpan w:val="2"/>
            <w:vAlign w:val="center"/>
          </w:tcPr>
          <w:p>
            <w:pPr>
              <w:rPr>
                <w:rFonts w:ascii="宋体" w:cs="宋体"/>
                <w:color w:val="000000"/>
                <w:sz w:val="16"/>
                <w:szCs w:val="16"/>
              </w:rPr>
            </w:pPr>
          </w:p>
        </w:tc>
        <w:tc>
          <w:tcPr>
            <w:tcW w:w="751" w:type="dxa"/>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2000" w:type="dxa"/>
            <w:gridSpan w:val="2"/>
            <w:vAlign w:val="center"/>
          </w:tcPr>
          <w:p>
            <w:pPr>
              <w:rPr>
                <w:rFonts w:ascii="宋体" w:cs="宋体"/>
                <w:color w:val="000000"/>
                <w:sz w:val="16"/>
                <w:szCs w:val="16"/>
              </w:rPr>
            </w:pPr>
          </w:p>
        </w:tc>
        <w:tc>
          <w:tcPr>
            <w:tcW w:w="1260" w:type="dxa"/>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08</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270" w:hRule="atLeast"/>
        </w:trPr>
        <w:tc>
          <w:tcPr>
            <w:tcW w:w="1591" w:type="dxa"/>
            <w:gridSpan w:val="2"/>
            <w:vAlign w:val="center"/>
          </w:tcPr>
          <w:p>
            <w:pPr>
              <w:rPr>
                <w:rFonts w:ascii="宋体" w:cs="宋体"/>
                <w:color w:val="000000"/>
                <w:sz w:val="16"/>
                <w:szCs w:val="16"/>
              </w:rPr>
            </w:pPr>
          </w:p>
        </w:tc>
        <w:tc>
          <w:tcPr>
            <w:tcW w:w="1436" w:type="dxa"/>
            <w:vAlign w:val="center"/>
          </w:tcPr>
          <w:p>
            <w:pPr>
              <w:rPr>
                <w:rFonts w:ascii="宋体" w:cs="宋体"/>
                <w:color w:val="000000"/>
                <w:sz w:val="16"/>
                <w:szCs w:val="16"/>
              </w:rPr>
            </w:pPr>
          </w:p>
        </w:tc>
        <w:tc>
          <w:tcPr>
            <w:tcW w:w="1166" w:type="dxa"/>
            <w:vAlign w:val="center"/>
          </w:tcPr>
          <w:p>
            <w:pPr>
              <w:rPr>
                <w:rFonts w:ascii="宋体" w:cs="宋体"/>
                <w:color w:val="000000"/>
                <w:sz w:val="16"/>
                <w:szCs w:val="16"/>
              </w:rPr>
            </w:pPr>
          </w:p>
        </w:tc>
        <w:tc>
          <w:tcPr>
            <w:tcW w:w="1297" w:type="dxa"/>
            <w:gridSpan w:val="2"/>
            <w:vAlign w:val="center"/>
          </w:tcPr>
          <w:p>
            <w:pPr>
              <w:rPr>
                <w:rFonts w:ascii="宋体" w:cs="宋体"/>
                <w:color w:val="000000"/>
                <w:sz w:val="16"/>
                <w:szCs w:val="16"/>
              </w:rPr>
            </w:pPr>
          </w:p>
        </w:tc>
        <w:tc>
          <w:tcPr>
            <w:tcW w:w="751" w:type="dxa"/>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2000" w:type="dxa"/>
            <w:gridSpan w:val="2"/>
            <w:vAlign w:val="center"/>
          </w:tcPr>
          <w:p>
            <w:pPr>
              <w:rPr>
                <w:rFonts w:ascii="宋体" w:cs="宋体"/>
                <w:color w:val="000000"/>
                <w:sz w:val="16"/>
                <w:szCs w:val="16"/>
              </w:rPr>
            </w:pPr>
          </w:p>
        </w:tc>
        <w:tc>
          <w:tcPr>
            <w:tcW w:w="1260" w:type="dxa"/>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单位：万元</w:t>
            </w:r>
          </w:p>
        </w:tc>
      </w:tr>
      <w:tr>
        <w:tblPrEx>
          <w:tblLayout w:type="fixed"/>
          <w:tblCellMar>
            <w:top w:w="15" w:type="dxa"/>
            <w:left w:w="15" w:type="dxa"/>
            <w:bottom w:w="15" w:type="dxa"/>
            <w:right w:w="15" w:type="dxa"/>
          </w:tblCellMar>
        </w:tblPrEx>
        <w:trPr>
          <w:trHeight w:val="285" w:hRule="atLeast"/>
        </w:trPr>
        <w:tc>
          <w:tcPr>
            <w:tcW w:w="3027"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　　目</w:t>
            </w:r>
          </w:p>
        </w:tc>
        <w:tc>
          <w:tcPr>
            <w:tcW w:w="1231"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年初结转和结余</w:t>
            </w:r>
          </w:p>
        </w:tc>
        <w:tc>
          <w:tcPr>
            <w:tcW w:w="1232"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本年收入</w:t>
            </w:r>
          </w:p>
        </w:tc>
        <w:tc>
          <w:tcPr>
            <w:tcW w:w="3750" w:type="dxa"/>
            <w:gridSpan w:val="5"/>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本年支出</w:t>
            </w:r>
          </w:p>
        </w:tc>
        <w:tc>
          <w:tcPr>
            <w:tcW w:w="1260" w:type="dxa"/>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年末结转和结余</w:t>
            </w:r>
          </w:p>
        </w:tc>
      </w:tr>
      <w:tr>
        <w:tblPrEx>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功能分类</w:t>
            </w:r>
            <w:r>
              <w:rPr>
                <w:rFonts w:ascii="宋体" w:cs="宋体"/>
                <w:b/>
                <w:color w:val="000000"/>
                <w:kern w:val="0"/>
                <w:sz w:val="16"/>
                <w:szCs w:val="16"/>
              </w:rPr>
              <w:br w:type="textWrapping"/>
            </w:r>
            <w:r>
              <w:rPr>
                <w:rFonts w:hint="eastAsia" w:ascii="宋体" w:hAnsi="宋体" w:cs="宋体"/>
                <w:b/>
                <w:color w:val="000000"/>
                <w:kern w:val="0"/>
                <w:sz w:val="16"/>
                <w:szCs w:val="16"/>
              </w:rPr>
              <w:t>科目编码</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科目名称</w:t>
            </w:r>
          </w:p>
        </w:tc>
        <w:tc>
          <w:tcPr>
            <w:tcW w:w="1231"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232"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小计</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基本支出</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项目支出</w:t>
            </w:r>
          </w:p>
        </w:tc>
        <w:tc>
          <w:tcPr>
            <w:tcW w:w="1260" w:type="dxa"/>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ascii="宋体" w:cs="宋体"/>
                <w:b/>
                <w:color w:val="000000"/>
                <w:sz w:val="16"/>
                <w:szCs w:val="16"/>
              </w:rPr>
            </w:pPr>
          </w:p>
        </w:tc>
      </w:tr>
      <w:tr>
        <w:tblPrEx>
          <w:tblLayout w:type="fixed"/>
        </w:tblPrEx>
        <w:trPr>
          <w:trHeight w:val="285" w:hRule="atLeast"/>
        </w:trPr>
        <w:tc>
          <w:tcPr>
            <w:tcW w:w="3027"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栏次</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r>
      <w:tr>
        <w:tblPrEx>
          <w:tblLayout w:type="fixed"/>
          <w:tblCellMar>
            <w:top w:w="15" w:type="dxa"/>
            <w:left w:w="15" w:type="dxa"/>
            <w:bottom w:w="15" w:type="dxa"/>
            <w:right w:w="15" w:type="dxa"/>
          </w:tblCellMar>
        </w:tblPrEx>
        <w:trPr>
          <w:trHeight w:val="285" w:hRule="atLeast"/>
        </w:trPr>
        <w:tc>
          <w:tcPr>
            <w:tcW w:w="3027"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207</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文化体育与传媒支出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20707</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国家电影事业发展专项资金及对应专项债务收入安排的支出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2070701</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资助国产影片放映</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2070702</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资助城市影院</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2070703</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资助少数民族电影译制</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2070799</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其他国家电影事业发展专项资金支出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208</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社会保障和就业支出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20822</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大中型水库移民后期扶持基金支出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cs="宋体"/>
                <w:color w:val="000000"/>
                <w:kern w:val="0"/>
                <w:sz w:val="16"/>
                <w:szCs w:val="16"/>
              </w:rPr>
              <w:t>……</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cs="宋体"/>
                <w:color w:val="000000"/>
                <w:kern w:val="0"/>
                <w:sz w:val="16"/>
                <w:szCs w:val="16"/>
              </w:rPr>
              <w:t>……</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cs="宋体"/>
                <w:color w:val="000000"/>
                <w:kern w:val="0"/>
                <w:sz w:val="16"/>
                <w:szCs w:val="16"/>
              </w:rPr>
              <w:t>……</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270" w:hRule="atLeast"/>
        </w:trPr>
        <w:tc>
          <w:tcPr>
            <w:tcW w:w="705" w:type="dxa"/>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w:t>
            </w:r>
          </w:p>
        </w:tc>
        <w:tc>
          <w:tcPr>
            <w:tcW w:w="2322"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p>
        </w:tc>
        <w:tc>
          <w:tcPr>
            <w:tcW w:w="1231"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32"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50"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60"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10500" w:type="dxa"/>
            <w:gridSpan w:val="12"/>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注：本表反映部门本年度政府性基金预算财政拨款收入支出及结转和结余情况。</w:t>
            </w:r>
          </w:p>
        </w:tc>
      </w:tr>
      <w:tr>
        <w:tblPrEx>
          <w:tblLayout w:type="fixed"/>
          <w:tblCellMar>
            <w:top w:w="15" w:type="dxa"/>
            <w:left w:w="15" w:type="dxa"/>
            <w:bottom w:w="15" w:type="dxa"/>
            <w:right w:w="15" w:type="dxa"/>
          </w:tblCellMar>
        </w:tblPrEx>
        <w:trPr>
          <w:trHeight w:val="285" w:hRule="atLeast"/>
        </w:trPr>
        <w:tc>
          <w:tcPr>
            <w:tcW w:w="10500" w:type="dxa"/>
            <w:gridSpan w:val="12"/>
            <w:vAlign w:val="center"/>
          </w:tcPr>
          <w:p>
            <w:pPr>
              <w:widowControl/>
              <w:jc w:val="left"/>
              <w:textAlignment w:val="center"/>
              <w:rPr>
                <w:rFonts w:ascii="宋体" w:cs="宋体"/>
                <w:b/>
                <w:color w:val="FF0000"/>
                <w:sz w:val="20"/>
                <w:szCs w:val="20"/>
              </w:rPr>
            </w:pPr>
            <w:r>
              <w:rPr>
                <w:rFonts w:hint="eastAsia" w:ascii="宋体" w:hAnsi="宋体" w:cs="宋体"/>
                <w:b/>
                <w:color w:val="FF0000"/>
                <w:kern w:val="0"/>
                <w:sz w:val="20"/>
                <w:szCs w:val="20"/>
              </w:rPr>
              <w:t>（该报表全部数据为零时）说明：南阳市卧龙区独山公墓管理处没有政府性基金收入，也没有使用政府性基金安排的支出，故本表无数据。</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docGrid w:type="lines" w:linePitch="317"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pPr>
      <w:r>
        <w:rPr>
          <w:rFonts w:hint="eastAsia" w:ascii="隶书" w:hAnsi="隶书" w:eastAsia="隶书" w:cs="隶书"/>
          <w:sz w:val="48"/>
          <w:szCs w:val="48"/>
        </w:rPr>
        <w:t>第三部分</w:t>
      </w:r>
    </w:p>
    <w:p>
      <w:pPr>
        <w:jc w:val="center"/>
        <w:rPr>
          <w:rFonts w:ascii="隶书" w:hAnsi="隶书" w:eastAsia="隶书" w:cs="隶书"/>
          <w:sz w:val="48"/>
          <w:szCs w:val="48"/>
        </w:rPr>
      </w:pPr>
      <w:r>
        <w:rPr>
          <w:rFonts w:hint="eastAsia" w:ascii="隶书" w:hAnsi="隶书" w:eastAsia="隶书" w:cs="隶书"/>
          <w:sz w:val="48"/>
          <w:szCs w:val="48"/>
        </w:rPr>
        <w:t>南阳市卧龙区独山公墓管理处</w:t>
      </w:r>
    </w:p>
    <w:p>
      <w:pPr>
        <w:jc w:val="center"/>
        <w:rPr>
          <w:rFonts w:ascii="隶书" w:hAnsi="隶书" w:eastAsia="隶书" w:cs="隶书"/>
          <w:sz w:val="48"/>
          <w:szCs w:val="48"/>
        </w:rPr>
        <w:sectPr>
          <w:pgSz w:w="11906" w:h="16838"/>
          <w:pgMar w:top="1440" w:right="1531" w:bottom="1440" w:left="1587" w:header="850" w:footer="992" w:gutter="0"/>
          <w:pgNumType w:fmt="numberInDash"/>
          <w:cols w:space="0" w:num="1"/>
          <w:docGrid w:type="lines" w:linePitch="317" w:charSpace="0"/>
        </w:sectPr>
      </w:pPr>
      <w:r>
        <w:rPr>
          <w:rFonts w:ascii="隶书" w:hAnsi="隶书" w:eastAsia="隶书" w:cs="隶书"/>
          <w:sz w:val="48"/>
          <w:szCs w:val="48"/>
        </w:rPr>
        <w:t>2016</w:t>
      </w:r>
      <w:r>
        <w:rPr>
          <w:rFonts w:hint="eastAsia" w:ascii="隶书" w:hAnsi="隶书" w:eastAsia="隶书" w:cs="隶书"/>
          <w:sz w:val="48"/>
          <w:szCs w:val="48"/>
        </w:rPr>
        <w:t>年度部门决算情况说明</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关于收入支出决算总体情况说明</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年度收入总计</w:t>
      </w:r>
      <w:r>
        <w:rPr>
          <w:rFonts w:ascii="仿宋_GB2312" w:hAnsi="宋体" w:eastAsia="仿宋_GB2312" w:cs="Courier New"/>
          <w:sz w:val="32"/>
          <w:szCs w:val="32"/>
        </w:rPr>
        <w:t>652.8</w:t>
      </w:r>
      <w:r>
        <w:rPr>
          <w:rFonts w:hint="eastAsia" w:ascii="仿宋_GB2312" w:hAnsi="宋体" w:eastAsia="仿宋_GB2312" w:cs="Courier New"/>
          <w:sz w:val="32"/>
          <w:szCs w:val="32"/>
        </w:rPr>
        <w:t>万元，支出总计</w:t>
      </w:r>
      <w:r>
        <w:rPr>
          <w:rFonts w:ascii="仿宋_GB2312" w:hAnsi="宋体" w:eastAsia="仿宋_GB2312" w:cs="Courier New"/>
          <w:sz w:val="32"/>
          <w:szCs w:val="32"/>
        </w:rPr>
        <w:t>644.4</w:t>
      </w:r>
      <w:r>
        <w:rPr>
          <w:rFonts w:hint="eastAsia" w:ascii="仿宋_GB2312" w:hAnsi="宋体" w:eastAsia="仿宋_GB2312" w:cs="Courier New"/>
          <w:sz w:val="32"/>
          <w:szCs w:val="32"/>
        </w:rPr>
        <w:t>万元，与</w:t>
      </w:r>
      <w:r>
        <w:rPr>
          <w:rFonts w:ascii="仿宋_GB2312" w:hAnsi="宋体" w:eastAsia="仿宋_GB2312" w:cs="Courier New"/>
          <w:sz w:val="32"/>
          <w:szCs w:val="32"/>
        </w:rPr>
        <w:t>2015</w:t>
      </w:r>
      <w:r>
        <w:rPr>
          <w:rFonts w:hint="eastAsia" w:ascii="仿宋_GB2312" w:hAnsi="宋体" w:eastAsia="仿宋_GB2312" w:cs="Courier New"/>
          <w:sz w:val="32"/>
          <w:szCs w:val="32"/>
        </w:rPr>
        <w:t>年相比，收入增加</w:t>
      </w:r>
      <w:r>
        <w:rPr>
          <w:rFonts w:hint="eastAsia" w:ascii="仿宋_GB2312" w:hAnsi="宋体" w:eastAsia="仿宋_GB2312" w:cs="Courier New"/>
          <w:sz w:val="32"/>
          <w:szCs w:val="32"/>
          <w:lang w:val="en-US" w:eastAsia="zh-CN"/>
        </w:rPr>
        <w:t>8.6</w:t>
      </w:r>
      <w:r>
        <w:rPr>
          <w:rFonts w:hint="eastAsia" w:ascii="仿宋_GB2312" w:hAnsi="宋体" w:eastAsia="仿宋_GB2312" w:cs="Courier New"/>
          <w:sz w:val="32"/>
          <w:szCs w:val="32"/>
        </w:rPr>
        <w:t>万元，增长</w:t>
      </w:r>
      <w:r>
        <w:rPr>
          <w:rFonts w:hint="eastAsia" w:ascii="仿宋_GB2312" w:hAnsi="宋体" w:eastAsia="仿宋_GB2312" w:cs="Courier New"/>
          <w:sz w:val="32"/>
          <w:szCs w:val="32"/>
          <w:lang w:val="en-US" w:eastAsia="zh-CN"/>
        </w:rPr>
        <w:t>2</w:t>
      </w:r>
      <w:r>
        <w:rPr>
          <w:rFonts w:ascii="仿宋_GB2312" w:hAnsi="宋体" w:eastAsia="仿宋_GB2312" w:cs="Courier New"/>
          <w:sz w:val="32"/>
          <w:szCs w:val="32"/>
        </w:rPr>
        <w:t>%</w:t>
      </w:r>
      <w:r>
        <w:rPr>
          <w:rFonts w:hint="eastAsia" w:ascii="仿宋_GB2312" w:hAnsi="宋体" w:eastAsia="仿宋_GB2312" w:cs="Courier New"/>
          <w:sz w:val="32"/>
          <w:szCs w:val="32"/>
          <w:lang w:val="en-US" w:eastAsia="zh-CN"/>
        </w:rPr>
        <w:t>;支出减少2.1万元，减少1%</w:t>
      </w:r>
      <w:r>
        <w:rPr>
          <w:rFonts w:hint="eastAsia" w:ascii="仿宋_GB2312" w:hAnsi="宋体" w:eastAsia="仿宋_GB2312" w:cs="Courier New"/>
          <w:sz w:val="32"/>
          <w:szCs w:val="32"/>
        </w:rPr>
        <w:t>。</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关于收入决算情况说明</w:t>
      </w:r>
    </w:p>
    <w:p>
      <w:pPr>
        <w:adjustRightInd w:val="0"/>
        <w:snapToGrid w:val="0"/>
        <w:spacing w:line="360" w:lineRule="auto"/>
        <w:ind w:firstLine="640" w:firstLineChars="200"/>
        <w:rPr>
          <w:rFonts w:ascii="仿宋_GB2312" w:hAnsi="Times New Roman" w:eastAsia="仿宋_GB2312"/>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w:t>
      </w:r>
      <w:r>
        <w:rPr>
          <w:rFonts w:hint="eastAsia" w:ascii="仿宋_GB2312" w:hAnsi="Times New Roman" w:eastAsia="仿宋_GB2312"/>
          <w:sz w:val="32"/>
          <w:szCs w:val="32"/>
        </w:rPr>
        <w:t>收入合计</w:t>
      </w:r>
      <w:r>
        <w:rPr>
          <w:rFonts w:ascii="仿宋_GB2312" w:hAnsi="Times New Roman" w:eastAsia="仿宋_GB2312"/>
          <w:sz w:val="32"/>
          <w:szCs w:val="32"/>
        </w:rPr>
        <w:t>652.8</w:t>
      </w:r>
      <w:r>
        <w:rPr>
          <w:rFonts w:hint="eastAsia" w:ascii="仿宋_GB2312" w:hAnsi="Times New Roman" w:eastAsia="仿宋_GB2312"/>
          <w:sz w:val="32"/>
          <w:szCs w:val="32"/>
        </w:rPr>
        <w:t>万元，其中：事业收入</w:t>
      </w:r>
      <w:r>
        <w:rPr>
          <w:rFonts w:ascii="仿宋_GB2312" w:hAnsi="Times New Roman" w:eastAsia="仿宋_GB2312"/>
          <w:sz w:val="32"/>
          <w:szCs w:val="32"/>
        </w:rPr>
        <w:t>652.8</w:t>
      </w:r>
      <w:r>
        <w:rPr>
          <w:rFonts w:hint="eastAsia" w:ascii="仿宋_GB2312" w:hAnsi="Times New Roman" w:eastAsia="仿宋_GB2312"/>
          <w:sz w:val="32"/>
          <w:szCs w:val="32"/>
        </w:rPr>
        <w:t>万元，占</w:t>
      </w:r>
      <w:r>
        <w:rPr>
          <w:rFonts w:ascii="仿宋_GB2312" w:hAnsi="Times New Roman" w:eastAsia="仿宋_GB2312"/>
          <w:sz w:val="32"/>
          <w:szCs w:val="32"/>
        </w:rPr>
        <w:t>100%</w:t>
      </w:r>
      <w:r>
        <w:rPr>
          <w:rFonts w:hint="eastAsia" w:ascii="仿宋_GB2312" w:hAnsi="Times New Roman" w:eastAsia="仿宋_GB2312"/>
          <w:sz w:val="32"/>
          <w:szCs w:val="32"/>
        </w:rPr>
        <w:t>。</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关于支出决算情况说明</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年度支出合计</w:t>
      </w:r>
      <w:r>
        <w:rPr>
          <w:rFonts w:ascii="仿宋_GB2312" w:hAnsi="宋体" w:eastAsia="仿宋_GB2312" w:cs="Courier New"/>
          <w:sz w:val="32"/>
          <w:szCs w:val="32"/>
        </w:rPr>
        <w:t>644.4</w:t>
      </w:r>
      <w:r>
        <w:rPr>
          <w:rFonts w:hint="eastAsia" w:ascii="仿宋_GB2312" w:hAnsi="宋体" w:eastAsia="仿宋_GB2312" w:cs="Courier New"/>
          <w:sz w:val="32"/>
          <w:szCs w:val="32"/>
        </w:rPr>
        <w:t>万元，其中：基本支出</w:t>
      </w:r>
      <w:r>
        <w:rPr>
          <w:rFonts w:ascii="仿宋_GB2312" w:hAnsi="宋体" w:eastAsia="仿宋_GB2312" w:cs="Courier New"/>
          <w:sz w:val="32"/>
          <w:szCs w:val="32"/>
        </w:rPr>
        <w:t>644.4</w:t>
      </w:r>
      <w:r>
        <w:rPr>
          <w:rFonts w:hint="eastAsia" w:ascii="仿宋_GB2312" w:hAnsi="宋体" w:eastAsia="仿宋_GB2312" w:cs="Courier New"/>
          <w:sz w:val="32"/>
          <w:szCs w:val="32"/>
        </w:rPr>
        <w:t>万元，占</w:t>
      </w:r>
      <w:r>
        <w:rPr>
          <w:rFonts w:ascii="仿宋_GB2312" w:hAnsi="宋体" w:eastAsia="仿宋_GB2312" w:cs="Courier New"/>
          <w:sz w:val="32"/>
          <w:szCs w:val="32"/>
        </w:rPr>
        <w:t>100%</w:t>
      </w:r>
      <w:r>
        <w:rPr>
          <w:rFonts w:hint="eastAsia" w:ascii="仿宋_GB2312" w:hAnsi="宋体" w:eastAsia="仿宋_GB2312" w:cs="Courier New"/>
          <w:sz w:val="32"/>
          <w:szCs w:val="32"/>
        </w:rPr>
        <w:t>。</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关于财政拨款收入支出决算总体情况说明</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年财政拨款收支总决算没有。</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关于一般公共预算财政拨款支出决算情况说明</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年一般公共预算财政拨款支出没有。</w:t>
      </w:r>
    </w:p>
    <w:p>
      <w:p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六、关于一般公共预算财政拨款基本支出决算情况说明</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年一般公共预算财政拨款基本支出没有。</w:t>
      </w: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七、关于一般公共预算财政拨款“三公”经费支出决算情况说明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黑体" w:eastAsia="仿宋_GB2312"/>
          <w:sz w:val="32"/>
          <w:szCs w:val="32"/>
        </w:rPr>
        <w:t>一般公共预算财政拨款“三公”经费支出</w:t>
      </w:r>
      <w:r>
        <w:rPr>
          <w:rFonts w:hint="eastAsia" w:ascii="仿宋_GB2312" w:hAnsi="宋体" w:eastAsia="仿宋_GB2312" w:cs="Courier New"/>
          <w:sz w:val="32"/>
          <w:szCs w:val="32"/>
        </w:rPr>
        <w:t>没有。</w:t>
      </w:r>
    </w:p>
    <w:p>
      <w:pPr>
        <w:numPr>
          <w:ilvl w:val="0"/>
          <w:numId w:val="5"/>
        </w:numPr>
        <w:adjustRightInd w:val="0"/>
        <w:snapToGrid w:val="0"/>
        <w:spacing w:line="360" w:lineRule="auto"/>
        <w:outlineLvl w:val="1"/>
        <w:rPr>
          <w:rFonts w:ascii="黑体" w:hAnsi="黑体" w:eastAsia="黑体"/>
          <w:sz w:val="32"/>
          <w:szCs w:val="32"/>
        </w:rPr>
      </w:pPr>
      <w:r>
        <w:rPr>
          <w:rFonts w:hint="eastAsia" w:ascii="黑体" w:hAnsi="黑体" w:eastAsia="黑体"/>
          <w:sz w:val="32"/>
          <w:szCs w:val="32"/>
        </w:rPr>
        <w:t>关于预算绩效情况说明</w:t>
      </w:r>
    </w:p>
    <w:p>
      <w:pPr>
        <w:adjustRightInd w:val="0"/>
        <w:snapToGrid w:val="0"/>
        <w:spacing w:line="360" w:lineRule="auto"/>
        <w:ind w:firstLine="480" w:firstLineChars="150"/>
        <w:outlineLvl w:val="1"/>
        <w:rPr>
          <w:rFonts w:ascii="仿宋_GB2312" w:hAnsi="黑体" w:eastAsia="仿宋_GB2312"/>
          <w:sz w:val="32"/>
          <w:szCs w:val="32"/>
        </w:rPr>
      </w:pPr>
      <w:r>
        <w:rPr>
          <w:rFonts w:hint="eastAsia" w:ascii="仿宋_GB2312" w:hAnsi="黑体" w:eastAsia="仿宋_GB2312"/>
          <w:sz w:val="32"/>
          <w:szCs w:val="32"/>
        </w:rPr>
        <w:t>本年度无此项内容。</w:t>
      </w:r>
    </w:p>
    <w:p>
      <w:pPr>
        <w:numPr>
          <w:ilvl w:val="0"/>
          <w:numId w:val="5"/>
        </w:numPr>
        <w:adjustRightInd w:val="0"/>
        <w:snapToGrid w:val="0"/>
        <w:spacing w:line="360" w:lineRule="auto"/>
        <w:outlineLvl w:val="1"/>
        <w:rPr>
          <w:rFonts w:ascii="黑体" w:hAnsi="黑体" w:eastAsia="黑体"/>
          <w:sz w:val="32"/>
          <w:szCs w:val="32"/>
        </w:rPr>
      </w:pPr>
      <w:r>
        <w:rPr>
          <w:rFonts w:hint="eastAsia" w:ascii="黑体" w:hAnsi="黑体" w:eastAsia="黑体"/>
          <w:sz w:val="32"/>
          <w:szCs w:val="32"/>
        </w:rPr>
        <w:t>关于政府性基金预算财政拨款支出决算情况说明</w:t>
      </w:r>
    </w:p>
    <w:p>
      <w:pPr>
        <w:adjustRightInd w:val="0"/>
        <w:snapToGrid w:val="0"/>
        <w:spacing w:line="360" w:lineRule="auto"/>
        <w:ind w:left="640"/>
        <w:outlineLvl w:val="1"/>
        <w:rPr>
          <w:rFonts w:ascii="仿宋_GB2312" w:hAnsi="黑体" w:eastAsia="仿宋_GB2312"/>
          <w:sz w:val="32"/>
          <w:szCs w:val="32"/>
        </w:rPr>
      </w:pPr>
      <w:r>
        <w:rPr>
          <w:rFonts w:hint="eastAsia" w:ascii="仿宋_GB2312" w:hAnsi="黑体" w:eastAsia="仿宋_GB2312"/>
          <w:sz w:val="32"/>
          <w:szCs w:val="32"/>
        </w:rPr>
        <w:t>南阳市卧龙区独山公墓管理处没有政府性基金预算财政拨款。</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仿宋_GB2312" w:hAnsi="宋体" w:eastAsia="仿宋_GB2312"/>
          <w:sz w:val="32"/>
          <w:szCs w:val="32"/>
        </w:rPr>
        <w:t>我单位</w:t>
      </w:r>
      <w:r>
        <w:rPr>
          <w:rFonts w:ascii="仿宋_GB2312" w:hAnsi="宋体" w:eastAsia="仿宋_GB2312" w:cs="Courier New"/>
          <w:sz w:val="32"/>
          <w:szCs w:val="32"/>
        </w:rPr>
        <w:t xml:space="preserve"> </w:t>
      </w:r>
      <w:r>
        <w:rPr>
          <w:rFonts w:hint="eastAsia" w:ascii="黑体" w:hAnsi="黑体" w:eastAsia="黑体"/>
          <w:sz w:val="32"/>
          <w:szCs w:val="32"/>
        </w:rPr>
        <w:t>其他重要事项的情况说明</w:t>
      </w:r>
    </w:p>
    <w:p>
      <w:pPr>
        <w:numPr>
          <w:ilvl w:val="0"/>
          <w:numId w:val="6"/>
        </w:numPr>
        <w:kinsoku w:val="0"/>
        <w:overflowPunct w:val="0"/>
        <w:autoSpaceDE w:val="0"/>
        <w:autoSpaceDN w:val="0"/>
        <w:adjustRightInd w:val="0"/>
        <w:snapToGrid w:val="0"/>
        <w:spacing w:line="360" w:lineRule="auto"/>
        <w:ind w:firstLine="640" w:firstLineChars="200"/>
        <w:rPr>
          <w:rFonts w:ascii="楷体_GB2312" w:hAnsi="Times New Roman" w:eastAsia="楷体_GB2312" w:cs="黑体"/>
          <w:bCs/>
          <w:kern w:val="0"/>
          <w:sz w:val="32"/>
          <w:szCs w:val="32"/>
        </w:rPr>
      </w:pPr>
      <w:r>
        <w:rPr>
          <w:rFonts w:hint="eastAsia" w:ascii="楷体_GB2312" w:hAnsi="Times New Roman" w:eastAsia="楷体_GB2312" w:cs="仿宋_GB2312"/>
          <w:bCs/>
          <w:kern w:val="0"/>
          <w:sz w:val="32"/>
          <w:szCs w:val="32"/>
        </w:rPr>
        <w:t>机关运行经费支出情况。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本年无此项支出。</w:t>
      </w:r>
    </w:p>
    <w:p>
      <w:pPr>
        <w:numPr>
          <w:ilvl w:val="0"/>
          <w:numId w:val="6"/>
        </w:numPr>
        <w:kinsoku w:val="0"/>
        <w:overflowPunct w:val="0"/>
        <w:autoSpaceDE w:val="0"/>
        <w:autoSpaceDN w:val="0"/>
        <w:adjustRightInd w:val="0"/>
        <w:snapToGrid w:val="0"/>
        <w:spacing w:line="360" w:lineRule="auto"/>
        <w:ind w:firstLine="640" w:firstLineChars="200"/>
        <w:rPr>
          <w:rFonts w:ascii="楷体_GB2312" w:hAnsi="Times New Roman" w:eastAsia="楷体_GB2312" w:cs="仿宋_GB2312"/>
          <w:bCs/>
          <w:kern w:val="0"/>
          <w:sz w:val="32"/>
          <w:szCs w:val="32"/>
        </w:rPr>
      </w:pPr>
      <w:r>
        <w:rPr>
          <w:rFonts w:hint="eastAsia" w:ascii="楷体_GB2312" w:hAnsi="Times New Roman" w:eastAsia="楷体_GB2312" w:cs="仿宋_GB2312"/>
          <w:bCs/>
          <w:kern w:val="0"/>
          <w:sz w:val="32"/>
          <w:szCs w:val="32"/>
        </w:rPr>
        <w:t>政府采购支出情况。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2016年度政府采购支出总额</w:t>
      </w:r>
      <w:r>
        <w:rPr>
          <w:rFonts w:hint="eastAsia" w:ascii="仿宋_GB2312" w:hAnsi="宋体" w:eastAsia="仿宋_GB2312" w:cs="Courier New"/>
          <w:sz w:val="32"/>
          <w:szCs w:val="32"/>
          <w:lang w:val="en-US" w:eastAsia="zh-CN"/>
        </w:rPr>
        <w:t>45</w:t>
      </w:r>
      <w:r>
        <w:rPr>
          <w:rFonts w:hint="eastAsia" w:ascii="仿宋_GB2312" w:hAnsi="宋体" w:eastAsia="仿宋_GB2312" w:cs="Courier New"/>
          <w:sz w:val="32"/>
          <w:szCs w:val="32"/>
        </w:rPr>
        <w:t>万元，其中：政府采购货物支出</w:t>
      </w:r>
      <w:r>
        <w:rPr>
          <w:rFonts w:hint="eastAsia" w:ascii="仿宋_GB2312" w:hAnsi="宋体" w:eastAsia="仿宋_GB2312" w:cs="Courier New"/>
          <w:sz w:val="32"/>
          <w:szCs w:val="32"/>
          <w:lang w:val="en-US" w:eastAsia="zh-CN"/>
        </w:rPr>
        <w:t>8.5</w:t>
      </w:r>
      <w:r>
        <w:rPr>
          <w:rFonts w:hint="eastAsia" w:ascii="仿宋_GB2312" w:hAnsi="宋体" w:eastAsia="仿宋_GB2312" w:cs="Courier New"/>
          <w:sz w:val="32"/>
          <w:szCs w:val="32"/>
        </w:rPr>
        <w:t>万元，政府采购工程支出</w:t>
      </w:r>
      <w:r>
        <w:rPr>
          <w:rFonts w:hint="eastAsia" w:ascii="仿宋_GB2312" w:hAnsi="宋体" w:eastAsia="仿宋_GB2312" w:cs="Courier New"/>
          <w:sz w:val="32"/>
          <w:szCs w:val="32"/>
          <w:lang w:val="en-US" w:eastAsia="zh-CN"/>
        </w:rPr>
        <w:t>4.3</w:t>
      </w:r>
      <w:r>
        <w:rPr>
          <w:rFonts w:hint="eastAsia" w:ascii="仿宋_GB2312" w:hAnsi="宋体" w:eastAsia="仿宋_GB2312" w:cs="Courier New"/>
          <w:sz w:val="32"/>
          <w:szCs w:val="32"/>
        </w:rPr>
        <w:t>万元，政府采购服务支出</w:t>
      </w:r>
      <w:r>
        <w:rPr>
          <w:rFonts w:hint="eastAsia" w:ascii="仿宋_GB2312" w:hAnsi="宋体" w:eastAsia="仿宋_GB2312" w:cs="Courier New"/>
          <w:sz w:val="32"/>
          <w:szCs w:val="32"/>
          <w:lang w:val="en-US" w:eastAsia="zh-CN"/>
        </w:rPr>
        <w:t>32.2</w:t>
      </w:r>
      <w:r>
        <w:rPr>
          <w:rFonts w:hint="eastAsia" w:ascii="仿宋_GB2312" w:hAnsi="宋体" w:eastAsia="仿宋_GB2312" w:cs="Courier New"/>
          <w:sz w:val="32"/>
          <w:szCs w:val="32"/>
        </w:rPr>
        <w:t>万元。</w:t>
      </w:r>
    </w:p>
    <w:p>
      <w:pPr>
        <w:numPr>
          <w:ilvl w:val="0"/>
          <w:numId w:val="6"/>
        </w:numPr>
        <w:kinsoku w:val="0"/>
        <w:overflowPunct w:val="0"/>
        <w:autoSpaceDE w:val="0"/>
        <w:autoSpaceDN w:val="0"/>
        <w:adjustRightInd w:val="0"/>
        <w:snapToGrid w:val="0"/>
        <w:spacing w:line="360" w:lineRule="auto"/>
        <w:ind w:firstLine="640" w:firstLineChars="200"/>
        <w:rPr>
          <w:rFonts w:ascii="楷体_GB2312" w:hAnsi="Times New Roman" w:eastAsia="楷体_GB2312" w:cs="仿宋_GB2312"/>
          <w:bCs/>
          <w:kern w:val="0"/>
          <w:sz w:val="32"/>
          <w:szCs w:val="32"/>
        </w:rPr>
      </w:pPr>
      <w:r>
        <w:rPr>
          <w:rFonts w:hint="eastAsia" w:ascii="楷体_GB2312" w:hAnsi="Times New Roman" w:eastAsia="楷体_GB2312" w:cs="仿宋_GB2312"/>
          <w:bCs/>
          <w:kern w:val="0"/>
          <w:sz w:val="32"/>
          <w:szCs w:val="32"/>
        </w:rPr>
        <w:t>国有资产占用情况。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本年度无此项内容。</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sectPr>
          <w:pgSz w:w="11906" w:h="16838"/>
          <w:pgMar w:top="1440" w:right="1531" w:bottom="1440" w:left="1587" w:header="850" w:footer="992" w:gutter="0"/>
          <w:pgNumType w:fmt="numberInDash"/>
          <w:cols w:space="0" w:num="1"/>
          <w:docGrid w:type="lines" w:linePitch="317"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pPr>
      <w:r>
        <w:rPr>
          <w:rFonts w:hint="eastAsia" w:ascii="隶书" w:hAnsi="隶书" w:eastAsia="隶书" w:cs="隶书"/>
          <w:sz w:val="48"/>
          <w:szCs w:val="48"/>
        </w:rPr>
        <w:t>第四部分　　名词解释</w:t>
      </w:r>
    </w:p>
    <w:p>
      <w:pPr>
        <w:jc w:val="center"/>
        <w:outlineLvl w:val="0"/>
        <w:rPr>
          <w:rFonts w:ascii="隶书" w:hAnsi="隶书" w:eastAsia="隶书" w:cs="隶书"/>
          <w:sz w:val="48"/>
          <w:szCs w:val="48"/>
        </w:rPr>
      </w:pPr>
    </w:p>
    <w:p>
      <w:pPr>
        <w:jc w:val="center"/>
        <w:outlineLvl w:val="0"/>
        <w:rPr>
          <w:rFonts w:ascii="隶书" w:hAnsi="隶书" w:eastAsia="隶书" w:cs="隶书"/>
          <w:sz w:val="48"/>
          <w:szCs w:val="48"/>
        </w:rPr>
      </w:pPr>
    </w:p>
    <w:p>
      <w:pPr>
        <w:jc w:val="center"/>
        <w:outlineLvl w:val="0"/>
        <w:rPr>
          <w:rFonts w:ascii="隶书" w:hAnsi="隶书" w:eastAsia="隶书" w:cs="隶书"/>
          <w:sz w:val="48"/>
          <w:szCs w:val="48"/>
        </w:rPr>
      </w:pPr>
    </w:p>
    <w:p>
      <w:pPr>
        <w:jc w:val="center"/>
        <w:outlineLvl w:val="0"/>
        <w:rPr>
          <w:rFonts w:ascii="隶书" w:hAnsi="隶书" w:eastAsia="隶书" w:cs="隶书"/>
          <w:sz w:val="48"/>
          <w:szCs w:val="48"/>
        </w:rPr>
      </w:pPr>
    </w:p>
    <w:p>
      <w:pPr>
        <w:jc w:val="center"/>
        <w:outlineLvl w:val="0"/>
        <w:rPr>
          <w:rFonts w:ascii="隶书" w:hAnsi="隶书" w:eastAsia="隶书" w:cs="隶书"/>
          <w:sz w:val="48"/>
          <w:szCs w:val="48"/>
        </w:rPr>
      </w:pPr>
    </w:p>
    <w:p>
      <w:pPr>
        <w:jc w:val="center"/>
        <w:outlineLvl w:val="0"/>
        <w:rPr>
          <w:rFonts w:ascii="隶书" w:hAnsi="隶书" w:eastAsia="隶书" w:cs="隶书"/>
          <w:sz w:val="48"/>
          <w:szCs w:val="48"/>
        </w:rPr>
      </w:pPr>
    </w:p>
    <w:p>
      <w:pPr>
        <w:jc w:val="center"/>
        <w:outlineLvl w:val="0"/>
        <w:rPr>
          <w:rFonts w:ascii="隶书" w:hAnsi="隶书" w:eastAsia="隶书" w:cs="隶书"/>
          <w:sz w:val="48"/>
          <w:szCs w:val="48"/>
        </w:rPr>
      </w:pPr>
    </w:p>
    <w:p>
      <w:pPr>
        <w:jc w:val="center"/>
        <w:outlineLvl w:val="0"/>
        <w:rPr>
          <w:rFonts w:ascii="隶书" w:hAnsi="隶书" w:eastAsia="隶书" w:cs="隶书"/>
          <w:sz w:val="48"/>
          <w:szCs w:val="48"/>
        </w:rPr>
      </w:pPr>
    </w:p>
    <w:p>
      <w:pPr>
        <w:jc w:val="center"/>
        <w:outlineLvl w:val="0"/>
        <w:rPr>
          <w:rFonts w:ascii="隶书" w:hAnsi="隶书" w:eastAsia="隶书" w:cs="隶书"/>
          <w:sz w:val="48"/>
          <w:szCs w:val="48"/>
        </w:rPr>
      </w:pPr>
    </w:p>
    <w:p>
      <w:pPr>
        <w:jc w:val="center"/>
        <w:outlineLvl w:val="0"/>
        <w:rPr>
          <w:rFonts w:ascii="隶书" w:hAnsi="隶书" w:eastAsia="隶书" w:cs="隶书"/>
          <w:sz w:val="48"/>
          <w:szCs w:val="48"/>
        </w:rPr>
      </w:pPr>
    </w:p>
    <w:p>
      <w:pPr>
        <w:jc w:val="center"/>
        <w:outlineLvl w:val="0"/>
        <w:rPr>
          <w:rFonts w:ascii="隶书" w:hAnsi="隶书" w:eastAsia="隶书" w:cs="隶书"/>
          <w:sz w:val="48"/>
          <w:szCs w:val="48"/>
        </w:rPr>
      </w:pPr>
    </w:p>
    <w:p>
      <w:pPr>
        <w:jc w:val="center"/>
        <w:outlineLvl w:val="0"/>
        <w:rPr>
          <w:rFonts w:ascii="隶书" w:hAnsi="隶书" w:eastAsia="隶书" w:cs="隶书"/>
          <w:sz w:val="48"/>
          <w:szCs w:val="48"/>
        </w:rPr>
      </w:pPr>
    </w:p>
    <w:p>
      <w:pPr>
        <w:jc w:val="center"/>
        <w:outlineLvl w:val="0"/>
        <w:rPr>
          <w:rFonts w:ascii="隶书" w:hAnsi="隶书" w:eastAsia="隶书" w:cs="隶书"/>
          <w:sz w:val="48"/>
          <w:szCs w:val="48"/>
        </w:rPr>
      </w:pPr>
    </w:p>
    <w:p>
      <w:pPr>
        <w:jc w:val="center"/>
        <w:outlineLvl w:val="0"/>
        <w:rPr>
          <w:rFonts w:ascii="隶书" w:hAnsi="隶书" w:eastAsia="隶书" w:cs="隶书"/>
          <w:sz w:val="48"/>
          <w:szCs w:val="48"/>
        </w:rPr>
      </w:pPr>
    </w:p>
    <w:p>
      <w:pPr>
        <w:jc w:val="center"/>
        <w:outlineLvl w:val="0"/>
        <w:rPr>
          <w:rFonts w:ascii="隶书" w:hAnsi="隶书" w:eastAsia="隶书" w:cs="隶书"/>
          <w:sz w:val="48"/>
          <w:szCs w:val="48"/>
        </w:rPr>
      </w:pPr>
    </w:p>
    <w:p>
      <w:pPr>
        <w:outlineLvl w:val="0"/>
        <w:rPr>
          <w:rFonts w:ascii="仿宋_GB2312" w:hAnsi="隶书" w:eastAsia="仿宋_GB2312" w:cs="隶书"/>
          <w:sz w:val="32"/>
          <w:szCs w:val="32"/>
        </w:rPr>
      </w:pPr>
      <w:r>
        <w:rPr>
          <w:rFonts w:hint="eastAsia" w:ascii="仿宋_GB2312" w:hAnsi="隶书" w:eastAsia="仿宋_GB2312" w:cs="隶书"/>
          <w:sz w:val="32"/>
          <w:szCs w:val="32"/>
        </w:rPr>
        <w:t>一、事业收入：指销售墓穴收入。</w:t>
      </w:r>
    </w:p>
    <w:p>
      <w:pPr>
        <w:outlineLvl w:val="0"/>
        <w:rPr>
          <w:rFonts w:ascii="仿宋_GB2312" w:hAnsi="隶书" w:eastAsia="仿宋_GB2312" w:cs="隶书"/>
          <w:sz w:val="32"/>
          <w:szCs w:val="32"/>
        </w:rPr>
        <w:sectPr>
          <w:pgSz w:w="11906" w:h="16838"/>
          <w:pgMar w:top="1440" w:right="1531" w:bottom="1440" w:left="1587" w:header="850" w:footer="992" w:gutter="0"/>
          <w:pgNumType w:fmt="numberInDash"/>
          <w:cols w:space="0" w:num="1"/>
          <w:docGrid w:type="lines" w:linePitch="317" w:charSpace="0"/>
        </w:sectPr>
      </w:pPr>
      <w:r>
        <w:rPr>
          <w:rFonts w:hint="eastAsia" w:ascii="仿宋_GB2312" w:hAnsi="隶书" w:eastAsia="仿宋_GB2312" w:cs="隶书"/>
          <w:sz w:val="32"/>
          <w:szCs w:val="32"/>
        </w:rPr>
        <w:t>二、基本支出：指为保证单位正常运行，所支出的人员费用及日常公用经费。</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b/>
          <w:bCs/>
          <w:sz w:val="32"/>
          <w:szCs w:val="32"/>
          <w:highlight w:val="yellow"/>
        </w:rPr>
      </w:pPr>
      <w:r>
        <w:rPr>
          <w:rFonts w:hint="eastAsia" w:ascii="仿宋_GB2312" w:hAnsi="宋体" w:eastAsia="仿宋_GB2312" w:cs="Courier New"/>
          <w:b/>
          <w:bCs/>
          <w:sz w:val="32"/>
          <w:szCs w:val="32"/>
          <w:highlight w:val="yellow"/>
        </w:rPr>
        <w:t>（说明：请结合本部门公开</w:t>
      </w:r>
      <w:r>
        <w:rPr>
          <w:rFonts w:ascii="仿宋_GB2312" w:hAnsi="宋体" w:eastAsia="仿宋_GB2312" w:cs="Courier New"/>
          <w:b/>
          <w:bCs/>
          <w:sz w:val="32"/>
          <w:szCs w:val="32"/>
          <w:highlight w:val="yellow"/>
        </w:rPr>
        <w:t>01</w:t>
      </w:r>
      <w:r>
        <w:rPr>
          <w:rFonts w:hint="eastAsia" w:ascii="仿宋_GB2312" w:hAnsi="宋体" w:eastAsia="仿宋_GB2312" w:cs="Courier New"/>
          <w:b/>
          <w:bCs/>
          <w:sz w:val="32"/>
          <w:szCs w:val="32"/>
          <w:highlight w:val="yellow"/>
        </w:rPr>
        <w:t>至公开</w:t>
      </w:r>
      <w:r>
        <w:rPr>
          <w:rFonts w:ascii="仿宋_GB2312" w:hAnsi="宋体" w:eastAsia="仿宋_GB2312" w:cs="Courier New"/>
          <w:b/>
          <w:bCs/>
          <w:sz w:val="32"/>
          <w:szCs w:val="32"/>
          <w:highlight w:val="yellow"/>
        </w:rPr>
        <w:t>08</w:t>
      </w:r>
      <w:r>
        <w:rPr>
          <w:rFonts w:hint="eastAsia" w:ascii="仿宋_GB2312" w:hAnsi="宋体" w:eastAsia="仿宋_GB2312" w:cs="Courier New"/>
          <w:b/>
          <w:bCs/>
          <w:sz w:val="32"/>
          <w:szCs w:val="32"/>
          <w:highlight w:val="yellow"/>
        </w:rPr>
        <w:t>表给出名词解释，本单位公开表中有的、金额较大的要给出名词解释，没有的要删除！</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b/>
          <w:bCs/>
          <w:sz w:val="32"/>
          <w:szCs w:val="32"/>
          <w:highlight w:val="yellow"/>
        </w:rPr>
      </w:pPr>
      <w:r>
        <w:rPr>
          <w:rFonts w:hint="eastAsia" w:ascii="仿宋_GB2312" w:hAnsi="宋体" w:eastAsia="仿宋_GB2312" w:cs="Courier New"/>
          <w:b/>
          <w:bCs/>
          <w:sz w:val="32"/>
          <w:szCs w:val="32"/>
          <w:highlight w:val="yellow"/>
        </w:rPr>
        <w:t>例</w:t>
      </w:r>
      <w:r>
        <w:rPr>
          <w:rFonts w:ascii="仿宋_GB2312" w:hAnsi="宋体" w:eastAsia="仿宋_GB2312" w:cs="Courier New"/>
          <w:b/>
          <w:bCs/>
          <w:sz w:val="32"/>
          <w:szCs w:val="32"/>
          <w:highlight w:val="yellow"/>
        </w:rPr>
        <w:t>1</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b/>
          <w:bCs/>
          <w:sz w:val="32"/>
          <w:szCs w:val="32"/>
          <w:highlight w:val="yellow"/>
        </w:rPr>
      </w:pPr>
      <w:r>
        <w:rPr>
          <w:rFonts w:hint="eastAsia" w:ascii="仿宋_GB2312" w:hAnsi="宋体" w:eastAsia="仿宋_GB2312" w:cs="Courier New"/>
          <w:b/>
          <w:bCs/>
          <w:sz w:val="32"/>
          <w:szCs w:val="32"/>
          <w:highlight w:val="yellow"/>
        </w:rPr>
        <w:t>某部门公开</w:t>
      </w:r>
      <w:r>
        <w:rPr>
          <w:rFonts w:ascii="仿宋_GB2312" w:hAnsi="宋体" w:eastAsia="仿宋_GB2312" w:cs="Courier New"/>
          <w:b/>
          <w:bCs/>
          <w:sz w:val="32"/>
          <w:szCs w:val="32"/>
          <w:highlight w:val="yellow"/>
        </w:rPr>
        <w:t>01</w:t>
      </w:r>
      <w:r>
        <w:rPr>
          <w:rFonts w:hint="eastAsia" w:ascii="仿宋_GB2312" w:hAnsi="宋体" w:eastAsia="仿宋_GB2312" w:cs="Courier New"/>
          <w:b/>
          <w:bCs/>
          <w:sz w:val="32"/>
          <w:szCs w:val="32"/>
          <w:highlight w:val="yellow"/>
        </w:rPr>
        <w:t>表中收入栏“一、财政拨款收入”、“六、其他收入”两项有数据，则可给出以下名词解释</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b/>
          <w:bCs/>
          <w:sz w:val="32"/>
          <w:szCs w:val="32"/>
          <w:highlight w:val="yellow"/>
        </w:rPr>
      </w:pPr>
      <w:r>
        <w:rPr>
          <w:rFonts w:hint="eastAsia" w:ascii="仿宋_GB2312" w:hAnsi="宋体" w:eastAsia="仿宋_GB2312" w:cs="Courier New"/>
          <w:b/>
          <w:bCs/>
          <w:sz w:val="32"/>
          <w:szCs w:val="32"/>
          <w:highlight w:val="yellow"/>
        </w:rPr>
        <w:t>一、财政拨款收入：</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b/>
          <w:bCs/>
          <w:sz w:val="32"/>
          <w:szCs w:val="32"/>
          <w:highlight w:val="yellow"/>
        </w:rPr>
      </w:pPr>
      <w:r>
        <w:rPr>
          <w:rFonts w:hint="eastAsia" w:ascii="仿宋_GB2312" w:hAnsi="宋体" w:eastAsia="仿宋_GB2312" w:cs="Courier New"/>
          <w:b/>
          <w:bCs/>
          <w:sz w:val="32"/>
          <w:szCs w:val="32"/>
          <w:highlight w:val="yellow"/>
        </w:rPr>
        <w:t>二、其他收入：</w:t>
      </w:r>
    </w:p>
    <w:p>
      <w:pPr>
        <w:kinsoku w:val="0"/>
        <w:overflowPunct w:val="0"/>
        <w:autoSpaceDE w:val="0"/>
        <w:autoSpaceDN w:val="0"/>
        <w:adjustRightInd w:val="0"/>
        <w:snapToGrid w:val="0"/>
        <w:spacing w:line="360" w:lineRule="auto"/>
        <w:ind w:firstLine="643" w:firstLineChars="200"/>
        <w:jc w:val="left"/>
        <w:rPr>
          <w:rFonts w:ascii="仿宋_GB2312" w:hAnsi="宋体" w:eastAsia="仿宋_GB2312" w:cs="Courier New"/>
          <w:sz w:val="32"/>
          <w:szCs w:val="32"/>
          <w:highlight w:val="yellow"/>
        </w:rPr>
      </w:pPr>
      <w:r>
        <w:rPr>
          <w:rFonts w:hint="eastAsia" w:ascii="仿宋_GB2312" w:hAnsi="宋体" w:eastAsia="仿宋_GB2312" w:cs="Courier New"/>
          <w:b/>
          <w:bCs/>
          <w:sz w:val="32"/>
          <w:szCs w:val="32"/>
          <w:highlight w:val="yellow"/>
        </w:rPr>
        <w:t>三、用事业基金弥补收支差额：</w:t>
      </w:r>
      <w:r>
        <w:rPr>
          <w:rFonts w:hint="eastAsia" w:ascii="仿宋_GB2312" w:hAnsi="宋体" w:eastAsia="仿宋_GB2312" w:cs="Courier New"/>
          <w:sz w:val="32"/>
          <w:szCs w:val="32"/>
          <w:highlight w:val="yellow"/>
        </w:rPr>
        <w:t>指事业单位在当年的“财政拨款收入”、“其他收入”不足以安排当年支出的情况下，使用以前年度积累的事业基金（事业单位当年收支相抵后按国家规定提取、用于弥补以后年度收支差额的基金）弥补当年收支缺口的资金。</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highlight w:val="yellow"/>
        </w:rPr>
      </w:pPr>
      <w:r>
        <w:rPr>
          <w:rFonts w:hint="eastAsia" w:ascii="仿宋_GB2312" w:hAnsi="宋体" w:eastAsia="仿宋_GB2312" w:cs="Courier New"/>
          <w:sz w:val="32"/>
          <w:szCs w:val="32"/>
          <w:highlight w:val="yellow"/>
        </w:rPr>
        <w:t>……</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b/>
          <w:bCs/>
          <w:sz w:val="32"/>
          <w:szCs w:val="32"/>
          <w:highlight w:val="yellow"/>
        </w:rPr>
      </w:pPr>
      <w:r>
        <w:rPr>
          <w:rFonts w:hint="eastAsia" w:ascii="仿宋_GB2312" w:hAnsi="宋体" w:eastAsia="仿宋_GB2312" w:cs="Courier New"/>
          <w:b/>
          <w:bCs/>
          <w:sz w:val="32"/>
          <w:szCs w:val="32"/>
          <w:highlight w:val="yellow"/>
        </w:rPr>
        <w:t>例</w:t>
      </w:r>
      <w:r>
        <w:rPr>
          <w:rFonts w:ascii="仿宋_GB2312" w:hAnsi="宋体" w:eastAsia="仿宋_GB2312" w:cs="Courier New"/>
          <w:b/>
          <w:bCs/>
          <w:sz w:val="32"/>
          <w:szCs w:val="32"/>
          <w:highlight w:val="yellow"/>
        </w:rPr>
        <w:t>2</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b/>
          <w:bCs/>
          <w:sz w:val="32"/>
          <w:szCs w:val="32"/>
          <w:highlight w:val="yellow"/>
        </w:rPr>
      </w:pPr>
      <w:r>
        <w:rPr>
          <w:rFonts w:hint="eastAsia" w:ascii="仿宋_GB2312" w:hAnsi="宋体" w:eastAsia="仿宋_GB2312" w:cs="Courier New"/>
          <w:b/>
          <w:bCs/>
          <w:sz w:val="32"/>
          <w:szCs w:val="32"/>
          <w:highlight w:val="yellow"/>
        </w:rPr>
        <w:t>某部门公开</w:t>
      </w:r>
      <w:r>
        <w:rPr>
          <w:rFonts w:ascii="仿宋_GB2312" w:hAnsi="宋体" w:eastAsia="仿宋_GB2312" w:cs="Courier New"/>
          <w:b/>
          <w:bCs/>
          <w:sz w:val="32"/>
          <w:szCs w:val="32"/>
          <w:highlight w:val="yellow"/>
        </w:rPr>
        <w:t>01</w:t>
      </w:r>
      <w:r>
        <w:rPr>
          <w:rFonts w:hint="eastAsia" w:ascii="仿宋_GB2312" w:hAnsi="宋体" w:eastAsia="仿宋_GB2312" w:cs="Courier New"/>
          <w:b/>
          <w:bCs/>
          <w:sz w:val="32"/>
          <w:szCs w:val="32"/>
          <w:highlight w:val="yellow"/>
        </w:rPr>
        <w:t>表中收入栏六项均有数据，则可给出以下名词解释</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b/>
          <w:bCs/>
          <w:sz w:val="32"/>
          <w:szCs w:val="32"/>
          <w:highlight w:val="yellow"/>
        </w:rPr>
      </w:pPr>
      <w:r>
        <w:rPr>
          <w:rFonts w:hint="eastAsia" w:ascii="仿宋_GB2312" w:hAnsi="宋体" w:eastAsia="仿宋_GB2312" w:cs="Courier New"/>
          <w:b/>
          <w:bCs/>
          <w:sz w:val="32"/>
          <w:szCs w:val="32"/>
          <w:highlight w:val="yellow"/>
        </w:rPr>
        <w:t>一、财政拨款收入：</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b/>
          <w:bCs/>
          <w:sz w:val="32"/>
          <w:szCs w:val="32"/>
          <w:highlight w:val="yellow"/>
        </w:rPr>
      </w:pPr>
      <w:r>
        <w:rPr>
          <w:rFonts w:hint="eastAsia" w:ascii="仿宋_GB2312" w:hAnsi="宋体" w:eastAsia="仿宋_GB2312" w:cs="Courier New"/>
          <w:b/>
          <w:bCs/>
          <w:sz w:val="32"/>
          <w:szCs w:val="32"/>
          <w:highlight w:val="yellow"/>
        </w:rPr>
        <w:t>二、上级补助收入：</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b/>
          <w:bCs/>
          <w:sz w:val="32"/>
          <w:szCs w:val="32"/>
          <w:highlight w:val="yellow"/>
        </w:rPr>
      </w:pPr>
      <w:r>
        <w:rPr>
          <w:rFonts w:hint="eastAsia" w:ascii="仿宋_GB2312" w:hAnsi="宋体" w:eastAsia="仿宋_GB2312" w:cs="Courier New"/>
          <w:b/>
          <w:bCs/>
          <w:sz w:val="32"/>
          <w:szCs w:val="32"/>
          <w:highlight w:val="yellow"/>
        </w:rPr>
        <w:t>三、事业收入：</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b/>
          <w:bCs/>
          <w:sz w:val="32"/>
          <w:szCs w:val="32"/>
          <w:highlight w:val="yellow"/>
        </w:rPr>
      </w:pPr>
      <w:r>
        <w:rPr>
          <w:rFonts w:hint="eastAsia" w:ascii="仿宋_GB2312" w:hAnsi="宋体" w:eastAsia="仿宋_GB2312" w:cs="Courier New"/>
          <w:b/>
          <w:bCs/>
          <w:sz w:val="32"/>
          <w:szCs w:val="32"/>
          <w:highlight w:val="yellow"/>
        </w:rPr>
        <w:t>四、经营收入：</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b/>
          <w:bCs/>
          <w:sz w:val="32"/>
          <w:szCs w:val="32"/>
          <w:highlight w:val="yellow"/>
        </w:rPr>
      </w:pPr>
      <w:r>
        <w:rPr>
          <w:rFonts w:hint="eastAsia" w:ascii="仿宋_GB2312" w:hAnsi="宋体" w:eastAsia="仿宋_GB2312" w:cs="Courier New"/>
          <w:b/>
          <w:bCs/>
          <w:sz w:val="32"/>
          <w:szCs w:val="32"/>
          <w:highlight w:val="yellow"/>
        </w:rPr>
        <w:t>五、附属单位上缴收入：</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b/>
          <w:bCs/>
          <w:sz w:val="32"/>
          <w:szCs w:val="32"/>
          <w:highlight w:val="yellow"/>
        </w:rPr>
      </w:pPr>
      <w:r>
        <w:rPr>
          <w:rFonts w:hint="eastAsia" w:ascii="仿宋_GB2312" w:hAnsi="宋体" w:eastAsia="仿宋_GB2312" w:cs="Courier New"/>
          <w:b/>
          <w:bCs/>
          <w:sz w:val="32"/>
          <w:szCs w:val="32"/>
          <w:highlight w:val="yellow"/>
        </w:rPr>
        <w:t>六、其他收入</w:t>
      </w:r>
    </w:p>
    <w:p>
      <w:pPr>
        <w:kinsoku w:val="0"/>
        <w:overflowPunct w:val="0"/>
        <w:autoSpaceDE w:val="0"/>
        <w:autoSpaceDN w:val="0"/>
        <w:adjustRightInd w:val="0"/>
        <w:snapToGrid w:val="0"/>
        <w:spacing w:line="360" w:lineRule="auto"/>
        <w:ind w:firstLine="643" w:firstLineChars="200"/>
        <w:jc w:val="left"/>
        <w:rPr>
          <w:rFonts w:ascii="仿宋_GB2312" w:hAnsi="宋体" w:eastAsia="仿宋_GB2312" w:cs="Courier New"/>
          <w:sz w:val="32"/>
          <w:szCs w:val="32"/>
          <w:highlight w:val="yellow"/>
        </w:rPr>
      </w:pPr>
      <w:r>
        <w:rPr>
          <w:rFonts w:hint="eastAsia" w:ascii="仿宋_GB2312" w:hAnsi="宋体" w:eastAsia="仿宋_GB2312" w:cs="Courier New"/>
          <w:b/>
          <w:bCs/>
          <w:sz w:val="32"/>
          <w:szCs w:val="32"/>
          <w:highlight w:val="yellow"/>
        </w:rPr>
        <w:t>七、用事业基金弥补收支差额：</w:t>
      </w:r>
      <w:r>
        <w:rPr>
          <w:rFonts w:hint="eastAsia" w:ascii="仿宋_GB2312" w:hAnsi="宋体" w:eastAsia="仿宋_GB2312" w:cs="Courier New"/>
          <w:sz w:val="32"/>
          <w:szCs w:val="32"/>
          <w:highlight w:val="yellow"/>
        </w:rPr>
        <w:t>指事业单位在当年的“财政拨款收入”、“上级补助收入”、“事业收入”、“经营收入”、“附属单位上缴收入”和“其他收入”不足以安排当年支出的情况下，使用以前年度积累的事业基金（事业单位当年收支相抵后按国家规定提取、用于弥补以后年度收支差额的基金）弥补当年收支缺口的资金。</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b/>
          <w:bCs/>
          <w:sz w:val="32"/>
          <w:szCs w:val="32"/>
          <w:highlight w:val="yellow"/>
        </w:rPr>
      </w:pPr>
      <w:r>
        <w:rPr>
          <w:rFonts w:hint="eastAsia" w:ascii="仿宋_GB2312" w:hAnsi="宋体" w:eastAsia="仿宋_GB2312" w:cs="Courier New"/>
          <w:sz w:val="32"/>
          <w:szCs w:val="32"/>
          <w:highlight w:val="yellow"/>
        </w:rPr>
        <w:t>……</w:t>
      </w:r>
      <w:r>
        <w:rPr>
          <w:rFonts w:hint="eastAsia" w:ascii="仿宋_GB2312" w:hAnsi="宋体" w:eastAsia="仿宋_GB2312" w:cs="Courier New"/>
          <w:b/>
          <w:bCs/>
          <w:sz w:val="32"/>
          <w:szCs w:val="32"/>
          <w:highlight w:val="yellow"/>
        </w:rPr>
        <w:t>）</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b/>
          <w:bCs/>
          <w:sz w:val="32"/>
          <w:szCs w:val="32"/>
        </w:rPr>
      </w:pP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一、财政拨款收入：</w:t>
      </w:r>
      <w:r>
        <w:rPr>
          <w:rFonts w:hint="eastAsia" w:ascii="仿宋_GB2312" w:hAnsi="宋体" w:eastAsia="仿宋_GB2312" w:cs="Courier New"/>
          <w:sz w:val="32"/>
          <w:szCs w:val="32"/>
        </w:rPr>
        <w:t>指省级财政当年拨付的资金。</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二、事业收入：</w:t>
      </w:r>
      <w:r>
        <w:rPr>
          <w:rFonts w:hint="eastAsia" w:ascii="仿宋_GB2312" w:hAnsi="宋体" w:eastAsia="仿宋_GB2312" w:cs="Courier New"/>
          <w:sz w:val="32"/>
          <w:szCs w:val="32"/>
        </w:rPr>
        <w:t>指事业单位开展专业业务活动及辅助活动所取得的收入。</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三、其他收入：</w:t>
      </w:r>
      <w:r>
        <w:rPr>
          <w:rFonts w:hint="eastAsia" w:ascii="仿宋_GB2312" w:hAnsi="宋体" w:eastAsia="仿宋_GB2312" w:cs="Courier New"/>
          <w:sz w:val="32"/>
          <w:szCs w:val="32"/>
        </w:rPr>
        <w:t>指本部门取得的除“财政拨款收入”、“事业收入”、“经营收入”等以外的收入。</w:t>
      </w:r>
    </w:p>
    <w:p>
      <w:pPr>
        <w:kinsoku w:val="0"/>
        <w:overflowPunct w:val="0"/>
        <w:autoSpaceDE w:val="0"/>
        <w:autoSpaceDN w:val="0"/>
        <w:adjustRightInd w:val="0"/>
        <w:snapToGrid w:val="0"/>
        <w:spacing w:line="360" w:lineRule="auto"/>
        <w:ind w:firstLine="643" w:firstLineChars="200"/>
        <w:jc w:val="left"/>
        <w:rPr>
          <w:rFonts w:ascii="仿宋_GB2312" w:hAnsi="宋体" w:eastAsia="仿宋_GB2312" w:cs="Courier New"/>
          <w:sz w:val="32"/>
          <w:szCs w:val="32"/>
        </w:rPr>
      </w:pPr>
      <w:r>
        <w:rPr>
          <w:rFonts w:hint="eastAsia" w:ascii="仿宋_GB2312" w:hAnsi="宋体" w:eastAsia="仿宋_GB2312" w:cs="Courier New"/>
          <w:b/>
          <w:bCs/>
          <w:sz w:val="32"/>
          <w:szCs w:val="32"/>
        </w:rPr>
        <w:t>四、用事业基金弥补收支差额：</w:t>
      </w:r>
      <w:r>
        <w:rPr>
          <w:rFonts w:hint="eastAsia" w:ascii="仿宋_GB2312" w:hAnsi="宋体" w:eastAsia="仿宋_GB2312" w:cs="Courier New"/>
          <w:sz w:val="32"/>
          <w:szCs w:val="32"/>
          <w:highlight w:val="yellow"/>
        </w:rPr>
        <w:t>指事业单位在当年的“财政拨款收入”、“事业收入”和“其他收入”</w:t>
      </w:r>
      <w:r>
        <w:rPr>
          <w:rFonts w:hint="eastAsia" w:ascii="仿宋_GB2312" w:hAnsi="宋体" w:eastAsia="仿宋_GB2312" w:cs="Courier New"/>
          <w:sz w:val="32"/>
          <w:szCs w:val="32"/>
        </w:rPr>
        <w:t>不足以安排当年支出的情况下，使用以前年度积累的事业基金（事业单位当年收支相抵后按国家规定提取、用于弥补以后年度收支差额的基金）弥补当年收支缺口的资金。</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五、年末结转和结余：</w:t>
      </w:r>
      <w:r>
        <w:rPr>
          <w:rFonts w:hint="eastAsia" w:ascii="仿宋_GB2312" w:hAnsi="宋体" w:eastAsia="仿宋_GB2312" w:cs="Courier New"/>
          <w:sz w:val="32"/>
          <w:szCs w:val="32"/>
        </w:rPr>
        <w:t>指本年度或以前年度预算安排、因客观条件发生变化无法按原计划实施，需延迟到以后年度按有关规定继续使用的资金。</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六、基本支出：</w:t>
      </w:r>
      <w:r>
        <w:rPr>
          <w:rFonts w:hint="eastAsia" w:ascii="仿宋_GB2312" w:hAnsi="宋体" w:eastAsia="仿宋_GB2312" w:cs="Courier New"/>
          <w:sz w:val="32"/>
          <w:szCs w:val="32"/>
        </w:rPr>
        <w:t>指为保障机构正常运转、完成日常工作任务而发生的人员支出和公用支出。</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七、项目支出：</w:t>
      </w:r>
      <w:r>
        <w:rPr>
          <w:rFonts w:hint="eastAsia" w:ascii="仿宋_GB2312" w:hAnsi="宋体" w:eastAsia="仿宋_GB2312" w:cs="Courier New"/>
          <w:sz w:val="32"/>
          <w:szCs w:val="32"/>
        </w:rPr>
        <w:t>指在基本支出之外为完成特定行政任务和事业发展目标所发生的支出</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八、</w:t>
      </w:r>
      <w:r>
        <w:rPr>
          <w:rFonts w:hint="eastAsia" w:ascii="仿宋_GB2312" w:hAnsi="仿宋_GB2312" w:eastAsia="仿宋_GB2312" w:cs="仿宋_GB2312"/>
          <w:b/>
          <w:bCs/>
          <w:sz w:val="32"/>
          <w:szCs w:val="32"/>
        </w:rPr>
        <w:t>外交（类）国际组织（款）国际组织会费（项）</w:t>
      </w:r>
      <w:r>
        <w:rPr>
          <w:rFonts w:hint="eastAsia" w:ascii="仿宋_GB2312" w:hAnsi="仿宋_GB2312" w:eastAsia="仿宋_GB2312" w:cs="仿宋_GB2312"/>
          <w:b/>
          <w:bCs/>
          <w:sz w:val="32"/>
          <w:szCs w:val="32"/>
          <w:highlight w:val="yellow"/>
        </w:rPr>
        <w:t>（根据本单位公开</w:t>
      </w:r>
      <w:r>
        <w:rPr>
          <w:rFonts w:ascii="仿宋_GB2312" w:hAnsi="仿宋_GB2312" w:eastAsia="仿宋_GB2312" w:cs="仿宋_GB2312"/>
          <w:b/>
          <w:bCs/>
          <w:sz w:val="32"/>
          <w:szCs w:val="32"/>
          <w:highlight w:val="yellow"/>
        </w:rPr>
        <w:t>03</w:t>
      </w:r>
      <w:r>
        <w:rPr>
          <w:rFonts w:hint="eastAsia" w:ascii="仿宋_GB2312" w:hAnsi="仿宋_GB2312" w:eastAsia="仿宋_GB2312" w:cs="仿宋_GB2312"/>
          <w:b/>
          <w:bCs/>
          <w:sz w:val="32"/>
          <w:szCs w:val="32"/>
          <w:highlight w:val="yellow"/>
        </w:rPr>
        <w:t>表填写）</w:t>
      </w:r>
      <w:r>
        <w:rPr>
          <w:rFonts w:hint="eastAsia" w:ascii="仿宋_GB2312" w:hAnsi="仿宋_GB2312" w:eastAsia="仿宋_GB2312" w:cs="仿宋_GB2312"/>
          <w:b/>
          <w:bCs/>
          <w:sz w:val="32"/>
          <w:szCs w:val="32"/>
        </w:rPr>
        <w:t>：</w:t>
      </w:r>
      <w:r>
        <w:rPr>
          <w:rFonts w:hint="eastAsia" w:ascii="仿宋_GB2312" w:hAnsi="宋体" w:eastAsia="仿宋_GB2312" w:cs="Courier New"/>
          <w:sz w:val="32"/>
          <w:szCs w:val="32"/>
        </w:rPr>
        <w:t>……。</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九、外交（类）国际组织（款）国际组织捐赠（项）</w:t>
      </w:r>
      <w:r>
        <w:rPr>
          <w:rFonts w:hint="eastAsia" w:ascii="仿宋_GB2312" w:hAnsi="仿宋_GB2312" w:eastAsia="仿宋_GB2312" w:cs="仿宋_GB2312"/>
          <w:b/>
          <w:bCs/>
          <w:sz w:val="32"/>
          <w:szCs w:val="32"/>
          <w:highlight w:val="yellow"/>
        </w:rPr>
        <w:t>（根据本单位公开</w:t>
      </w:r>
      <w:r>
        <w:rPr>
          <w:rFonts w:ascii="仿宋_GB2312" w:hAnsi="仿宋_GB2312" w:eastAsia="仿宋_GB2312" w:cs="仿宋_GB2312"/>
          <w:b/>
          <w:bCs/>
          <w:sz w:val="32"/>
          <w:szCs w:val="32"/>
          <w:highlight w:val="yellow"/>
        </w:rPr>
        <w:t>03</w:t>
      </w:r>
      <w:r>
        <w:rPr>
          <w:rFonts w:hint="eastAsia" w:ascii="仿宋_GB2312" w:hAnsi="仿宋_GB2312" w:eastAsia="仿宋_GB2312" w:cs="仿宋_GB2312"/>
          <w:b/>
          <w:bCs/>
          <w:sz w:val="32"/>
          <w:szCs w:val="32"/>
          <w:highlight w:val="yellow"/>
        </w:rPr>
        <w:t>表填写）</w:t>
      </w:r>
      <w:r>
        <w:rPr>
          <w:rFonts w:hint="eastAsia" w:ascii="仿宋_GB2312" w:hAnsi="宋体" w:eastAsia="仿宋_GB2312" w:cs="Courier New"/>
          <w:sz w:val="32"/>
          <w:szCs w:val="32"/>
        </w:rPr>
        <w:t>：……。</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十、外交（类）国际组织（款）国际组织股金及基金（项）</w:t>
      </w:r>
      <w:r>
        <w:rPr>
          <w:rFonts w:hint="eastAsia" w:ascii="仿宋_GB2312" w:hAnsi="仿宋_GB2312" w:eastAsia="仿宋_GB2312" w:cs="仿宋_GB2312"/>
          <w:b/>
          <w:bCs/>
          <w:sz w:val="32"/>
          <w:szCs w:val="32"/>
          <w:highlight w:val="yellow"/>
        </w:rPr>
        <w:t>（根据本单位公开</w:t>
      </w:r>
      <w:r>
        <w:rPr>
          <w:rFonts w:ascii="仿宋_GB2312" w:hAnsi="仿宋_GB2312" w:eastAsia="仿宋_GB2312" w:cs="仿宋_GB2312"/>
          <w:b/>
          <w:bCs/>
          <w:sz w:val="32"/>
          <w:szCs w:val="32"/>
          <w:highlight w:val="yellow"/>
        </w:rPr>
        <w:t>03</w:t>
      </w:r>
      <w:r>
        <w:rPr>
          <w:rFonts w:hint="eastAsia" w:ascii="仿宋_GB2312" w:hAnsi="仿宋_GB2312" w:eastAsia="仿宋_GB2312" w:cs="仿宋_GB2312"/>
          <w:b/>
          <w:bCs/>
          <w:sz w:val="32"/>
          <w:szCs w:val="32"/>
          <w:highlight w:val="yellow"/>
        </w:rPr>
        <w:t>表填写）</w:t>
      </w:r>
      <w:r>
        <w:rPr>
          <w:rFonts w:hint="eastAsia" w:ascii="仿宋_GB2312" w:hAnsi="宋体" w:eastAsia="仿宋_GB2312" w:cs="Courier New"/>
          <w:sz w:val="32"/>
          <w:szCs w:val="32"/>
        </w:rPr>
        <w:t>：……。</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w:t>
      </w:r>
    </w:p>
    <w:p>
      <w:pPr>
        <w:kinsoku w:val="0"/>
        <w:overflowPunct w:val="0"/>
        <w:autoSpaceDE w:val="0"/>
        <w:autoSpaceDN w:val="0"/>
        <w:adjustRightInd w:val="0"/>
        <w:snapToGrid w:val="0"/>
        <w:spacing w:line="360" w:lineRule="auto"/>
        <w:ind w:firstLine="643" w:firstLineChars="200"/>
        <w:jc w:val="left"/>
        <w:rPr>
          <w:rFonts w:ascii="仿宋_GB2312" w:hAnsi="宋体" w:eastAsia="仿宋_GB2312" w:cs="Courier New"/>
          <w:sz w:val="32"/>
          <w:szCs w:val="32"/>
        </w:rPr>
      </w:pPr>
      <w:r>
        <w:rPr>
          <w:rFonts w:hint="eastAsia" w:ascii="仿宋_GB2312" w:hAnsi="宋体" w:eastAsia="仿宋_GB2312" w:cs="Courier New"/>
          <w:b/>
          <w:bCs/>
          <w:sz w:val="32"/>
          <w:szCs w:val="32"/>
        </w:rPr>
        <w:t>九十、“三公”经费：</w:t>
      </w:r>
      <w:r>
        <w:rPr>
          <w:rFonts w:hint="eastAsia" w:ascii="仿宋_GB2312" w:hAnsi="宋体" w:eastAsia="仿宋_GB2312" w:cs="Courier New"/>
          <w:sz w:val="32"/>
          <w:szCs w:val="32"/>
        </w:rPr>
        <w:t>纳入省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九十一、机关运行经费：</w:t>
      </w:r>
      <w:r>
        <w:rPr>
          <w:rFonts w:hint="eastAsia" w:ascii="仿宋_GB2312" w:hAnsi="宋体" w:eastAsia="仿宋_GB2312" w:cs="Courier New"/>
          <w:sz w:val="32"/>
          <w:szCs w:val="32"/>
        </w:rPr>
        <w:t>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p>
      <w:pPr>
        <w:kinsoku w:val="0"/>
        <w:overflowPunct w:val="0"/>
        <w:autoSpaceDE w:val="0"/>
        <w:autoSpaceDN w:val="0"/>
        <w:adjustRightInd w:val="0"/>
        <w:snapToGrid w:val="0"/>
        <w:spacing w:line="360" w:lineRule="auto"/>
        <w:rPr>
          <w:rFonts w:ascii="仿宋_GB2312" w:hAnsi="宋体" w:eastAsia="仿宋_GB2312" w:cs="Courier New"/>
          <w:sz w:val="52"/>
          <w:szCs w:val="52"/>
          <w:highlight w:val="yellow"/>
        </w:rPr>
      </w:pPr>
      <w:r>
        <w:rPr>
          <w:rFonts w:hint="eastAsia" w:ascii="仿宋_GB2312" w:hAnsi="宋体" w:eastAsia="仿宋_GB2312" w:cs="Courier New"/>
          <w:b/>
          <w:bCs/>
          <w:sz w:val="52"/>
          <w:szCs w:val="52"/>
          <w:highlight w:val="yellow"/>
        </w:rPr>
        <w:t>保存为</w:t>
      </w:r>
      <w:r>
        <w:rPr>
          <w:rFonts w:ascii="仿宋_GB2312" w:hAnsi="宋体" w:eastAsia="仿宋_GB2312" w:cs="Courier New"/>
          <w:b/>
          <w:bCs/>
          <w:sz w:val="52"/>
          <w:szCs w:val="52"/>
          <w:highlight w:val="yellow"/>
        </w:rPr>
        <w:t>PDF</w:t>
      </w:r>
      <w:r>
        <w:rPr>
          <w:rFonts w:hint="eastAsia" w:ascii="仿宋_GB2312" w:hAnsi="宋体" w:eastAsia="仿宋_GB2312" w:cs="Courier New"/>
          <w:b/>
          <w:bCs/>
          <w:sz w:val="52"/>
          <w:szCs w:val="52"/>
          <w:highlight w:val="yellow"/>
        </w:rPr>
        <w:t>版本的方法：</w:t>
      </w:r>
      <w:r>
        <w:rPr>
          <w:rFonts w:hint="eastAsia" w:ascii="仿宋_GB2312" w:hAnsi="宋体" w:eastAsia="仿宋_GB2312" w:cs="Courier New"/>
          <w:sz w:val="52"/>
          <w:szCs w:val="52"/>
          <w:highlight w:val="yellow"/>
        </w:rPr>
        <w:t>百度</w:t>
      </w:r>
      <w:r>
        <w:rPr>
          <w:rFonts w:ascii="仿宋_GB2312" w:hAnsi="宋体" w:eastAsia="仿宋_GB2312" w:cs="Courier New"/>
          <w:sz w:val="52"/>
          <w:szCs w:val="52"/>
          <w:highlight w:val="yellow"/>
        </w:rPr>
        <w:t>wps</w:t>
      </w:r>
      <w:r>
        <w:rPr>
          <w:rFonts w:hint="eastAsia" w:ascii="仿宋_GB2312" w:hAnsi="宋体" w:eastAsia="仿宋_GB2312" w:cs="Courier New"/>
          <w:sz w:val="52"/>
          <w:szCs w:val="52"/>
          <w:highlight w:val="yellow"/>
        </w:rPr>
        <w:t>、下载安装、打开</w:t>
      </w:r>
      <w:r>
        <w:rPr>
          <w:rFonts w:ascii="仿宋_GB2312" w:hAnsi="宋体" w:eastAsia="仿宋_GB2312" w:cs="Courier New"/>
          <w:sz w:val="52"/>
          <w:szCs w:val="52"/>
          <w:highlight w:val="yellow"/>
        </w:rPr>
        <w:t>wps</w:t>
      </w:r>
      <w:r>
        <w:rPr>
          <w:rFonts w:hint="eastAsia" w:ascii="仿宋_GB2312" w:hAnsi="宋体" w:eastAsia="仿宋_GB2312" w:cs="Courier New"/>
          <w:sz w:val="52"/>
          <w:szCs w:val="52"/>
          <w:highlight w:val="yellow"/>
        </w:rPr>
        <w:t>软件、单击左上角</w:t>
      </w:r>
      <w:r>
        <w:rPr>
          <w:rFonts w:ascii="仿宋_GB2312" w:hAnsi="宋体" w:eastAsia="仿宋_GB2312" w:cs="Courier New"/>
          <w:sz w:val="52"/>
          <w:szCs w:val="52"/>
          <w:highlight w:val="yellow"/>
        </w:rPr>
        <w:t>wps</w:t>
      </w:r>
      <w:r>
        <w:rPr>
          <w:rFonts w:hint="eastAsia" w:ascii="仿宋_GB2312" w:hAnsi="宋体" w:eastAsia="仿宋_GB2312" w:cs="Courier New"/>
          <w:sz w:val="52"/>
          <w:szCs w:val="52"/>
          <w:highlight w:val="yellow"/>
        </w:rPr>
        <w:t>文字</w:t>
      </w:r>
      <w:r>
        <w:rPr>
          <w:rFonts w:ascii="仿宋_GB2312" w:hAnsi="宋体" w:eastAsia="仿宋_GB2312" w:cs="Courier New"/>
          <w:sz w:val="52"/>
          <w:szCs w:val="52"/>
          <w:highlight w:val="yellow"/>
        </w:rPr>
        <w:t>-</w:t>
      </w:r>
      <w:r>
        <w:rPr>
          <w:rFonts w:hint="eastAsia" w:ascii="仿宋_GB2312" w:hAnsi="宋体" w:eastAsia="仿宋_GB2312" w:cs="Courier New"/>
          <w:sz w:val="52"/>
          <w:szCs w:val="52"/>
          <w:highlight w:val="yellow"/>
        </w:rPr>
        <w:t>另存为</w:t>
      </w:r>
      <w:r>
        <w:rPr>
          <w:rFonts w:ascii="仿宋_GB2312" w:hAnsi="宋体" w:eastAsia="仿宋_GB2312" w:cs="Courier New"/>
          <w:sz w:val="52"/>
          <w:szCs w:val="52"/>
          <w:highlight w:val="yellow"/>
        </w:rPr>
        <w:t>-</w:t>
      </w:r>
      <w:r>
        <w:rPr>
          <w:rFonts w:hint="eastAsia" w:ascii="仿宋_GB2312" w:hAnsi="宋体" w:eastAsia="仿宋_GB2312" w:cs="Courier New"/>
          <w:sz w:val="52"/>
          <w:szCs w:val="52"/>
          <w:highlight w:val="yellow"/>
        </w:rPr>
        <w:t>输出为</w:t>
      </w:r>
      <w:r>
        <w:rPr>
          <w:rFonts w:ascii="仿宋_GB2312" w:hAnsi="宋体" w:eastAsia="仿宋_GB2312" w:cs="Courier New"/>
          <w:sz w:val="52"/>
          <w:szCs w:val="52"/>
          <w:highlight w:val="yellow"/>
        </w:rPr>
        <w:t>PDF</w:t>
      </w:r>
      <w:r>
        <w:rPr>
          <w:rFonts w:hint="eastAsia" w:ascii="仿宋_GB2312" w:hAnsi="宋体" w:eastAsia="仿宋_GB2312" w:cs="Courier New"/>
          <w:sz w:val="52"/>
          <w:szCs w:val="52"/>
          <w:highlight w:val="yellow"/>
        </w:rPr>
        <w:t>格式。</w:t>
      </w:r>
    </w:p>
    <w:sectPr>
      <w:pgSz w:w="11906" w:h="16838"/>
      <w:pgMar w:top="1440" w:right="1531" w:bottom="1440" w:left="1587" w:header="850" w:footer="992" w:gutter="0"/>
      <w:pgNumType w:fmt="numberInDash"/>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Arial">
    <w:panose1 w:val="020B0604020202020204"/>
    <w:charset w:val="00"/>
    <w:family w:val="swiss"/>
    <w:pitch w:val="default"/>
    <w:sig w:usb0="00007A87" w:usb1="80000000" w:usb2="00000008" w:usb3="00000000" w:csb0="400001FF" w:csb1="FFFF0000"/>
  </w:font>
  <w:font w:name="方正小标宋简体">
    <w:panose1 w:val="03000509000000000000"/>
    <w:charset w:val="86"/>
    <w:family w:val="script"/>
    <w:pitch w:val="default"/>
    <w:sig w:usb0="00000001" w:usb1="080E0000" w:usb2="00000000" w:usb3="00000000" w:csb0="00040000" w:csb1="00000000"/>
  </w:font>
  <w:font w:name="隶书">
    <w:altName w:val="黑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Lucida Sans">
    <w:panose1 w:val="020B0602030504020204"/>
    <w:charset w:val="00"/>
    <w:family w:val="auto"/>
    <w:pitch w:val="default"/>
    <w:sig w:usb0="00000000" w:usb1="00000000" w:usb2="00000000" w:usb3="00000000" w:csb0="00000000" w:csb1="00000000"/>
  </w:font>
  <w:font w:name="Palatino Linotype">
    <w:panose1 w:val="02040502050505030304"/>
    <w:charset w:val="00"/>
    <w:family w:val="auto"/>
    <w:pitch w:val="default"/>
    <w:sig w:usb0="E0000387" w:usb1="40000013" w:usb2="00000000" w:usb3="00000000" w:csb0="2000019F" w:csb1="00000000"/>
  </w:font>
  <w:font w:name="Calibri Light">
    <w:altName w:val="Times New Roman"/>
    <w:panose1 w:val="00000000000000000000"/>
    <w:charset w:val="00"/>
    <w:family w:val="roman"/>
    <w:pitch w:val="default"/>
    <w:sig w:usb0="00000000" w:usb1="00000000" w:usb2="00000000" w:usb3="00000000" w:csb0="00000000" w:csb1="00000000"/>
  </w:font>
  <w:font w:name="微软雅黑">
    <w:altName w:val="黑体"/>
    <w:panose1 w:val="020B0503020204020204"/>
    <w:charset w:val="86"/>
    <w:family w:val="auto"/>
    <w:pitch w:val="default"/>
    <w:sig w:usb0="00000000" w:usb1="00000000" w:usb2="00000016" w:usb3="00000000" w:csb0="0004001F" w:csb1="00000000"/>
  </w:font>
  <w:font w:name="Tahoma">
    <w:panose1 w:val="020B0604030504040204"/>
    <w:charset w:val="00"/>
    <w:family w:val="auto"/>
    <w:pitch w:val="default"/>
    <w:sig w:usb0="61007A87" w:usb1="80000000" w:usb2="00000008" w:usb3="00000000" w:csb0="200101FF" w:csb1="20280000"/>
  </w:font>
  <w:font w:name="仿宋">
    <w:altName w:val="宋体"/>
    <w:panose1 w:val="02010609060101010101"/>
    <w:charset w:val="86"/>
    <w:family w:val="modern"/>
    <w:pitch w:val="default"/>
    <w:sig w:usb0="00000000" w:usb1="00000000"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文星中等线">
    <w:altName w:val="宋体"/>
    <w:panose1 w:val="02010604000101010101"/>
    <w:charset w:val="86"/>
    <w:family w:val="auto"/>
    <w:pitch w:val="default"/>
    <w:sig w:usb0="00000000" w:usb1="00000000" w:usb2="00000000" w:usb3="00000000" w:csb0="00040001" w:csb1="00000000"/>
  </w:font>
  <w:font w:name="文星中文符号库一">
    <w:altName w:val="Lucida Console"/>
    <w:panose1 w:val="02010609000101010101"/>
    <w:charset w:val="00"/>
    <w:family w:val="auto"/>
    <w:pitch w:val="default"/>
    <w:sig w:usb0="00000000" w:usb1="00000000" w:usb2="00000000" w:usb3="00000000" w:csb0="00000000" w:csb1="00000000"/>
  </w:font>
  <w:font w:name="华文宋体">
    <w:altName w:val="宋体"/>
    <w:panose1 w:val="02010600040101010101"/>
    <w:charset w:val="86"/>
    <w:family w:val="auto"/>
    <w:pitch w:val="default"/>
    <w:sig w:usb0="00000000" w:usb1="00000000" w:usb2="00000000" w:usb3="00000000" w:csb0="0004009F" w:csb1="DFD70000"/>
  </w:font>
  <w:font w:name="华文彩云">
    <w:altName w:val="宋体"/>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宋体"/>
    <w:panose1 w:val="02010600040101010101"/>
    <w:charset w:val="86"/>
    <w:family w:val="auto"/>
    <w:pitch w:val="default"/>
    <w:sig w:usb0="00000000" w:usb1="00000000" w:usb2="00000000" w:usb3="00000000" w:csb0="0004009F" w:csb1="DFD70000"/>
  </w:font>
  <w:font w:name="华文行楷">
    <w:altName w:val="宋体"/>
    <w:panose1 w:val="02010800040101010101"/>
    <w:charset w:val="86"/>
    <w:family w:val="auto"/>
    <w:pitch w:val="default"/>
    <w:sig w:usb0="00000000" w:usb1="00000000" w:usb2="00000000" w:usb3="00000000" w:csb0="00040000" w:csb1="00000000"/>
  </w:font>
  <w:font w:name="华文隶书">
    <w:altName w:val="宋体"/>
    <w:panose1 w:val="02010800040101010101"/>
    <w:charset w:val="86"/>
    <w:family w:val="auto"/>
    <w:pitch w:val="default"/>
    <w:sig w:usb0="00000000" w:usb1="00000000" w:usb2="00000000" w:usb3="00000000" w:csb0="00040000" w:csb1="00000000"/>
  </w:font>
  <w:font w:name="文星简超黑">
    <w:altName w:val="黑体"/>
    <w:panose1 w:val="02010609000101010101"/>
    <w:charset w:val="00"/>
    <w:family w:val="auto"/>
    <w:pitch w:val="default"/>
    <w:sig w:usb0="00000000" w:usb1="00000000" w:usb2="00000000" w:usb3="00000000" w:csb0="00000000" w:csb1="00000000"/>
  </w:font>
  <w:font w:name="文星简行草">
    <w:altName w:val="Lucida Console"/>
    <w:panose1 w:val="02010609000101010101"/>
    <w:charset w:val="00"/>
    <w:family w:val="auto"/>
    <w:pitch w:val="default"/>
    <w:sig w:usb0="00000000" w:usb1="00000000" w:usb2="00000000" w:usb3="00000000" w:csb0="00000000" w:csb1="00000000"/>
  </w:font>
  <w:font w:name="文星细圆">
    <w:altName w:val="宋体"/>
    <w:panose1 w:val="02010604000101010101"/>
    <w:charset w:val="86"/>
    <w:family w:val="auto"/>
    <w:pitch w:val="default"/>
    <w:sig w:usb0="00000000" w:usb1="00000000" w:usb2="00000000" w:usb3="00000000" w:csb0="00040001" w:csb1="00000000"/>
  </w:font>
  <w:font w:name="文星细黑一">
    <w:altName w:val="黑体"/>
    <w:panose1 w:val="02010604000101010101"/>
    <w:charset w:val="86"/>
    <w:family w:val="auto"/>
    <w:pitch w:val="default"/>
    <w:sig w:usb0="00000000" w:usb1="00000000" w:usb2="00000000" w:usb3="00000000" w:csb0="00040001" w:csb1="00000000"/>
  </w:font>
  <w:font w:name="文星隶变">
    <w:altName w:val="宋体"/>
    <w:panose1 w:val="02010604000101010101"/>
    <w:charset w:val="86"/>
    <w:family w:val="auto"/>
    <w:pitch w:val="default"/>
    <w:sig w:usb0="00000000" w:usb1="00000000" w:usb2="00000000" w:usb3="00000000" w:csb0="00040001" w:csb1="00000000"/>
  </w:font>
  <w:font w:name="新宋体">
    <w:panose1 w:val="02010609030101010101"/>
    <w:charset w:val="86"/>
    <w:family w:val="auto"/>
    <w:pitch w:val="default"/>
    <w:sig w:usb0="00000003" w:usb1="080E0000" w:usb2="00000000" w:usb3="00000000" w:csb0="00040001"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文星简隶书">
    <w:altName w:val="宋体"/>
    <w:panose1 w:val="02010609000101010101"/>
    <w:charset w:val="00"/>
    <w:family w:val="auto"/>
    <w:pitch w:val="default"/>
    <w:sig w:usb0="00000000" w:usb1="00000000" w:usb2="00000000" w:usb3="00000000" w:csb0="00000000" w:csb1="00000000"/>
  </w:font>
  <w:font w:name="文星简魏体">
    <w:altName w:val="Lucida Console"/>
    <w:panose1 w:val="02010609000101010101"/>
    <w:charset w:val="00"/>
    <w:family w:val="auto"/>
    <w:pitch w:val="default"/>
    <w:sig w:usb0="00000000" w:usb1="00000000" w:usb2="00000000" w:usb3="00000000" w:csb0="00000000" w:csb1="00000000"/>
  </w:font>
  <w:font w:name="文星简黑变">
    <w:altName w:val="黑体"/>
    <w:panose1 w:val="02010609000101010101"/>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altName w:val="MingLiU"/>
    <w:panose1 w:val="03000509000000000000"/>
    <w:charset w:val="88"/>
    <w:family w:val="auto"/>
    <w:pitch w:val="default"/>
    <w:sig w:usb0="00000000" w:usb1="0000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FH">
    <w:altName w:val="宋体"/>
    <w:panose1 w:val="02010604000101010101"/>
    <w:charset w:val="86"/>
    <w:family w:val="auto"/>
    <w:pitch w:val="default"/>
    <w:sig w:usb0="00000000" w:usb1="00000000" w:usb2="00000000" w:usb3="00000000" w:csb0="00040001" w:csb1="00000000"/>
  </w:font>
  <w:font w:name="Malgun Gothic">
    <w:altName w:val="Gulim"/>
    <w:panose1 w:val="020B0503020000020004"/>
    <w:charset w:val="81"/>
    <w:family w:val="auto"/>
    <w:pitch w:val="default"/>
    <w:sig w:usb0="00000000" w:usb1="00000000" w:usb2="00000012" w:usb3="00000000" w:csb0="00080001" w:csb1="00000000"/>
  </w:font>
  <w:font w:name="GungsuhChe">
    <w:panose1 w:val="0203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eiryo">
    <w:altName w:val="MS UI Gothic"/>
    <w:panose1 w:val="020B0604030504040204"/>
    <w:charset w:val="80"/>
    <w:family w:val="auto"/>
    <w:pitch w:val="default"/>
    <w:sig w:usb0="00000000" w:usb1="00000000" w:usb2="00010012" w:usb3="00000000" w:csb0="6002009F" w:csb1="DFD70000"/>
  </w:font>
  <w:font w:name="Meiryo UI">
    <w:altName w:val="MS UI Gothic"/>
    <w:panose1 w:val="020B0604030504040204"/>
    <w:charset w:val="80"/>
    <w:family w:val="auto"/>
    <w:pitch w:val="default"/>
    <w:sig w:usb0="00000000" w:usb1="00000000" w:usb2="00010012" w:usb3="00000000" w:csb0="6002009F" w:csb1="DFD70000"/>
  </w:font>
  <w:font w:name="Microsoft JhengHei">
    <w:altName w:val="PMingLiU"/>
    <w:panose1 w:val="020B0604030504040204"/>
    <w:charset w:val="88"/>
    <w:family w:val="auto"/>
    <w:pitch w:val="default"/>
    <w:sig w:usb0="00000000" w:usb1="00000000" w:usb2="00000016" w:usb3="00000000" w:csb0="00100009" w:csb1="00000000"/>
  </w:font>
  <w:font w:name="MingLiU">
    <w:panose1 w:val="02020309000000000000"/>
    <w:charset w:val="88"/>
    <w:family w:val="auto"/>
    <w:pitch w:val="default"/>
    <w:sig w:usb0="00000003" w:usb1="082E0000" w:usb2="00000016" w:usb3="00000000" w:csb0="00100001" w:csb1="00000000"/>
  </w:font>
  <w:font w:name="MingLiU-ExtB">
    <w:altName w:val="PMingLiU"/>
    <w:panose1 w:val="02020500000000000000"/>
    <w:charset w:val="88"/>
    <w:family w:val="auto"/>
    <w:pitch w:val="default"/>
    <w:sig w:usb0="00000000" w:usb1="00000000" w:usb2="00000000" w:usb3="00000000" w:csb0="00100001" w:csb1="00000000"/>
  </w:font>
  <w:font w:name="MingLiU_HKSCS">
    <w:altName w:val="PMingLiU"/>
    <w:panose1 w:val="02020500000000000000"/>
    <w:charset w:val="88"/>
    <w:family w:val="auto"/>
    <w:pitch w:val="default"/>
    <w:sig w:usb0="00000000" w:usb1="00000000" w:usb2="00000016" w:usb3="00000000" w:csb0="00100001" w:csb1="00000000"/>
  </w:font>
  <w:font w:name="MS Gothic">
    <w:panose1 w:val="020B0609070205080204"/>
    <w:charset w:val="80"/>
    <w:family w:val="auto"/>
    <w:pitch w:val="default"/>
    <w:sig w:usb0="A00002BF" w:usb1="68C7FCFB" w:usb2="00000010" w:usb3="00000000" w:csb0="4002009F" w:csb1="DFD70000"/>
  </w:font>
  <w:font w:name="MS Mincho">
    <w:panose1 w:val="02020609040205080304"/>
    <w:charset w:val="80"/>
    <w:family w:val="auto"/>
    <w:pitch w:val="default"/>
    <w:sig w:usb0="A00002BF" w:usb1="68C7FCFB" w:usb2="00000010" w:usb3="00000000" w:csb0="4002009F" w:csb1="DFD70000"/>
  </w:font>
  <w:font w:name="AngsanaUPC">
    <w:altName w:val="Times New Roman"/>
    <w:panose1 w:val="02020603050405020304"/>
    <w:charset w:val="00"/>
    <w:family w:val="auto"/>
    <w:pitch w:val="default"/>
    <w:sig w:usb0="00000000" w:usb1="00000000" w:usb2="00000000" w:usb3="00000000" w:csb0="00010001" w:csb1="00000000"/>
  </w:font>
  <w:font w:name="Angsana New">
    <w:altName w:val="Times New Roman"/>
    <w:panose1 w:val="02020603050405020304"/>
    <w:charset w:val="00"/>
    <w:family w:val="auto"/>
    <w:pitch w:val="default"/>
    <w:sig w:usb0="00000000" w:usb1="00000000" w:usb2="00000000" w:usb3="00000000" w:csb0="00010001" w:csb1="00000000"/>
  </w:font>
  <w:font w:name="Andalus">
    <w:altName w:val="Times New Roman"/>
    <w:panose1 w:val="02020603050405020304"/>
    <w:charset w:val="00"/>
    <w:family w:val="auto"/>
    <w:pitch w:val="default"/>
    <w:sig w:usb0="00000000" w:usb1="00000000" w:usb2="00000008" w:usb3="00000000" w:csb0="00000041" w:csb1="20080000"/>
  </w:font>
  <w:font w:name="Algerian">
    <w:altName w:val="Courier New"/>
    <w:panose1 w:val="04020705040A02060702"/>
    <w:charset w:val="00"/>
    <w:family w:val="auto"/>
    <w:pitch w:val="default"/>
    <w:sig w:usb0="00000000" w:usb1="00000000" w:usb2="00000000" w:usb3="00000000" w:csb0="20000001" w:csb1="00000000"/>
  </w:font>
  <w:font w:name="Aharoni">
    <w:altName w:val="Tahoma"/>
    <w:panose1 w:val="02010803020104030203"/>
    <w:charset w:val="00"/>
    <w:family w:val="auto"/>
    <w:pitch w:val="default"/>
    <w:sig w:usb0="00000000" w:usb1="00000000" w:usb2="00000000" w:usb3="00000000" w:csb0="00000020" w:csb1="00200000"/>
  </w:font>
  <w:font w:name="Agency FB">
    <w:altName w:val="Trebuchet MS"/>
    <w:panose1 w:val="020B0503020202020204"/>
    <w:charset w:val="00"/>
    <w:family w:val="auto"/>
    <w:pitch w:val="default"/>
    <w:sig w:usb0="00000000" w:usb1="00000000" w:usb2="00000000" w:usb3="00000000" w:csb0="20000001" w:csb1="00000000"/>
  </w:font>
  <w:font w:name="SimSun-ExtB">
    <w:altName w:val="宋体"/>
    <w:panose1 w:val="02010609060101010101"/>
    <w:charset w:val="86"/>
    <w:family w:val="auto"/>
    <w:pitch w:val="default"/>
    <w:sig w:usb0="00000000" w:usb1="00000000" w:usb2="00000000" w:usb3="00000000" w:csb0="00040001" w:csb1="00000000"/>
  </w:font>
  <w:font w:name="PMingLiU-ExtB">
    <w:altName w:val="PMingLiU"/>
    <w:panose1 w:val="02020500000000000000"/>
    <w:charset w:val="88"/>
    <w:family w:val="auto"/>
    <w:pitch w:val="default"/>
    <w:sig w:usb0="00000000" w:usb1="00000000" w:usb2="00000000" w:usb3="00000000" w:csb0="00100001" w:csb1="00000000"/>
  </w:font>
  <w:font w:name="PMingLiU">
    <w:panose1 w:val="02020300000000000000"/>
    <w:charset w:val="88"/>
    <w:family w:val="auto"/>
    <w:pitch w:val="default"/>
    <w:sig w:usb0="00000003" w:usb1="082E0000" w:usb2="00000016" w:usb3="00000000" w:csb0="00100001" w:csb1="00000000"/>
  </w:font>
  <w:font w:name="MS UI Gothic">
    <w:panose1 w:val="020B0600070205080204"/>
    <w:charset w:val="80"/>
    <w:family w:val="auto"/>
    <w:pitch w:val="default"/>
    <w:sig w:usb0="A00002BF" w:usb1="68C7FCFB" w:usb2="00000010" w:usb3="00000000" w:csb0="4002009F" w:csb1="DFD70000"/>
  </w:font>
  <w:font w:name="MS PMincho">
    <w:panose1 w:val="02020600040205080304"/>
    <w:charset w:val="80"/>
    <w:family w:val="auto"/>
    <w:pitch w:val="default"/>
    <w:sig w:usb0="A00002BF" w:usb1="68C7FCFB" w:usb2="00000010" w:usb3="00000000" w:csb0="4002009F" w:csb1="DFD70000"/>
  </w:font>
  <w:font w:name="MS Outlook">
    <w:altName w:val="Symbol"/>
    <w:panose1 w:val="05010100010000000000"/>
    <w:charset w:val="00"/>
    <w:family w:val="auto"/>
    <w:pitch w:val="default"/>
    <w:sig w:usb0="00000000" w:usb1="00000000" w:usb2="00000000" w:usb3="00000000" w:csb0="80000000" w:csb1="00000000"/>
  </w:font>
  <w:font w:name="Modern No. 20">
    <w:altName w:val="PMingLiU"/>
    <w:panose1 w:val="02070704070505020303"/>
    <w:charset w:val="00"/>
    <w:family w:val="auto"/>
    <w:pitch w:val="default"/>
    <w:sig w:usb0="00000000" w:usb1="00000000" w:usb2="00000000" w:usb3="00000000" w:csb0="20000001" w:csb1="00000000"/>
  </w:font>
  <w:font w:name="Miriam">
    <w:altName w:val="Gulim"/>
    <w:panose1 w:val="020B0502050101010101"/>
    <w:charset w:val="00"/>
    <w:family w:val="auto"/>
    <w:pitch w:val="default"/>
    <w:sig w:usb0="00000000" w:usb1="00000000" w:usb2="00000000" w:usb3="00000000" w:csb0="00000020" w:csb1="00200000"/>
  </w:font>
  <w:font w:name="Microsoft Uighur">
    <w:altName w:val="Verdana"/>
    <w:panose1 w:val="02000000000000000000"/>
    <w:charset w:val="00"/>
    <w:family w:val="auto"/>
    <w:pitch w:val="default"/>
    <w:sig w:usb0="00000000" w:usb1="00000000" w:usb2="00000008" w:usb3="00000000" w:csb0="00000041" w:csb1="00000000"/>
  </w:font>
  <w:font w:name="Microsoft PhagsPa">
    <w:altName w:val="Lucida Sans Unicode"/>
    <w:panose1 w:val="020B0502040204020203"/>
    <w:charset w:val="00"/>
    <w:family w:val="auto"/>
    <w:pitch w:val="default"/>
    <w:sig w:usb0="00000000" w:usb1="00000000" w:usb2="08000000" w:usb3="00000000" w:csb0="00000001" w:csb1="00000000"/>
  </w:font>
  <w:font w:name="Microsoft Himalaya">
    <w:altName w:val="Sylfaen"/>
    <w:panose1 w:val="01010100010101010101"/>
    <w:charset w:val="00"/>
    <w:family w:val="auto"/>
    <w:pitch w:val="default"/>
    <w:sig w:usb0="00000000" w:usb1="00000000" w:usb2="00000040" w:usb3="00000000" w:csb0="00000001" w:csb1="00000000"/>
  </w:font>
  <w:font w:name="Matura MT Script Capitals">
    <w:altName w:val="Comic Sans MS"/>
    <w:panose1 w:val="03020802060602070202"/>
    <w:charset w:val="00"/>
    <w:family w:val="auto"/>
    <w:pitch w:val="default"/>
    <w:sig w:usb0="00000000" w:usb1="00000000" w:usb2="00000000" w:usb3="00000000" w:csb0="20000001" w:csb1="00000000"/>
  </w:font>
  <w:font w:name="文星简大黑">
    <w:altName w:val="黑体"/>
    <w:panose1 w:val="02010609000101010101"/>
    <w:charset w:val="00"/>
    <w:family w:val="auto"/>
    <w:pitch w:val="default"/>
    <w:sig w:usb0="00000000" w:usb1="00000000" w:usb2="00000000" w:usb3="00000000" w:csb0="00000000" w:csb1="00000000"/>
  </w:font>
  <w:font w:name="文星简中圆">
    <w:altName w:val="Lucida Console"/>
    <w:panose1 w:val="02010609000101010101"/>
    <w:charset w:val="00"/>
    <w:family w:val="auto"/>
    <w:pitch w:val="default"/>
    <w:sig w:usb0="00000000" w:usb1="00000000" w:usb2="00000000" w:usb3="00000000" w:csb0="00000000" w:csb1="00000000"/>
  </w:font>
  <w:font w:name="文星楷宋">
    <w:altName w:val="宋体"/>
    <w:panose1 w:val="02010604000101010101"/>
    <w:charset w:val="86"/>
    <w:family w:val="auto"/>
    <w:pitch w:val="default"/>
    <w:sig w:usb0="00000000" w:usb1="00000000" w:usb2="00000000" w:usb3="00000000" w:csb0="00040001" w:csb1="00000000"/>
  </w:font>
  <w:font w:name="文星排版符号库１">
    <w:altName w:val="Lucida Console"/>
    <w:panose1 w:val="02010609000101010101"/>
    <w:charset w:val="00"/>
    <w:family w:val="auto"/>
    <w:pitch w:val="default"/>
    <w:sig w:usb0="00000000" w:usb1="00000000" w:usb2="00000000" w:usb3="00000000" w:csb0="00000000" w:csb1="00000000"/>
  </w:font>
  <w:font w:name="文星报宋">
    <w:altName w:val="宋体"/>
    <w:panose1 w:val="02010609000101010101"/>
    <w:charset w:val="86"/>
    <w:family w:val="auto"/>
    <w:pitch w:val="default"/>
    <w:sig w:usb0="00000000" w:usb1="00000000" w:usb2="00000000" w:usb3="00000000" w:csb0="00040000" w:csb1="00000000"/>
  </w:font>
  <w:font w:name="文星准圆">
    <w:altName w:val="宋体"/>
    <w:panose1 w:val="02010604000101010101"/>
    <w:charset w:val="86"/>
    <w:family w:val="auto"/>
    <w:pitch w:val="default"/>
    <w:sig w:usb0="00000000" w:usb1="00000000" w:usb2="00000000" w:usb3="00000000" w:csb0="00040001" w:csb1="00000000"/>
  </w:font>
  <w:font w:name="文星仿宋">
    <w:altName w:val="仿宋_GB2312"/>
    <w:panose1 w:val="02010604000101010101"/>
    <w:charset w:val="86"/>
    <w:family w:val="auto"/>
    <w:pitch w:val="default"/>
    <w:sig w:usb0="00000000" w:usb1="00000000" w:usb2="00000000" w:usb3="00000000" w:csb0="00040001" w:csb1="00000000"/>
  </w:font>
  <w:font w:name="华文仿宋">
    <w:altName w:val="仿宋_GB2312"/>
    <w:panose1 w:val="02010600040101010101"/>
    <w:charset w:val="86"/>
    <w:family w:val="auto"/>
    <w:pitch w:val="default"/>
    <w:sig w:usb0="00000000" w:usb1="00000000" w:usb2="00000000" w:usb3="00000000" w:csb0="0004009F" w:csb1="DFD70000"/>
  </w:font>
  <w:font w:name="文星简舒同">
    <w:altName w:val="Lucida Console"/>
    <w:panose1 w:val="02010609000101010101"/>
    <w:charset w:val="00"/>
    <w:family w:val="auto"/>
    <w:pitch w:val="default"/>
    <w:sig w:usb0="00000000" w:usb1="00000000" w:usb2="00000000" w:usb3="00000000" w:csb0="00000000" w:csb1="00000000"/>
  </w:font>
  <w:font w:name="文星简粗黑">
    <w:altName w:val="黑体"/>
    <w:panose1 w:val="02010609000101010101"/>
    <w:charset w:val="00"/>
    <w:family w:val="auto"/>
    <w:pitch w:val="default"/>
    <w:sig w:usb0="00000000" w:usb1="00000000" w:usb2="00000000" w:usb3="00000000" w:csb0="00000000" w:csb1="00000000"/>
  </w:font>
  <w:font w:name="文星简彩云">
    <w:altName w:val="Lucida Console"/>
    <w:panose1 w:val="02010609000101010101"/>
    <w:charset w:val="00"/>
    <w:family w:val="auto"/>
    <w:pitch w:val="default"/>
    <w:sig w:usb0="00000000" w:usb1="00000000" w:usb2="00000000" w:usb3="00000000" w:csb0="00000000" w:csb1="00000000"/>
  </w:font>
  <w:font w:name="文星简大标宋">
    <w:altName w:val="宋体"/>
    <w:panose1 w:val="02010609000101010101"/>
    <w:charset w:val="00"/>
    <w:family w:val="auto"/>
    <w:pitch w:val="default"/>
    <w:sig w:usb0="00000000" w:usb1="00000000" w:usb2="00000000" w:usb3="00000000" w:csb0="00000000" w:csb1="00000000"/>
  </w:font>
  <w:font w:name="文星简行楷">
    <w:altName w:val="楷体_GB2312"/>
    <w:panose1 w:val="02010609000101010101"/>
    <w:charset w:val="00"/>
    <w:family w:val="auto"/>
    <w:pitch w:val="default"/>
    <w:sig w:usb0="00000000" w:usb1="00000000" w:usb2="00000000" w:usb3="00000000" w:csb0="00000000" w:csb1="00000000"/>
  </w:font>
  <w:font w:name="文星简综艺">
    <w:altName w:val="Lucida Console"/>
    <w:panose1 w:val="02010609000101010101"/>
    <w:charset w:val="00"/>
    <w:family w:val="auto"/>
    <w:pitch w:val="default"/>
    <w:sig w:usb0="00000000" w:usb1="00000000" w:usb2="00000000" w:usb3="00000000" w:csb0="00000000" w:csb1="00000000"/>
  </w:font>
  <w:font w:name="文星简美黑">
    <w:altName w:val="黑体"/>
    <w:panose1 w:val="02010609000101010101"/>
    <w:charset w:val="00"/>
    <w:family w:val="auto"/>
    <w:pitch w:val="default"/>
    <w:sig w:usb0="00000000" w:usb1="00000000" w:usb2="00000000" w:usb3="00000000" w:csb0="00000000" w:csb1="00000000"/>
  </w:font>
  <w:font w:name="文星简胖头鱼">
    <w:altName w:val="Lucida Console"/>
    <w:panose1 w:val="02010609000101010101"/>
    <w:charset w:val="00"/>
    <w:family w:val="auto"/>
    <w:pitch w:val="default"/>
    <w:sig w:usb0="00000000" w:usb1="00000000" w:usb2="00000000" w:usb3="00000000" w:csb0="00000000" w:csb1="00000000"/>
  </w:font>
  <w:font w:name="文星简楷宋">
    <w:altName w:val="宋体"/>
    <w:panose1 w:val="02010609000101010101"/>
    <w:charset w:val="00"/>
    <w:family w:val="auto"/>
    <w:pitch w:val="default"/>
    <w:sig w:usb0="00000000" w:usb1="00000000" w:usb2="00000000" w:usb3="00000000" w:csb0="00000000" w:csb1="00000000"/>
  </w:font>
  <w:font w:name="幼圆">
    <w:altName w:val="宋体"/>
    <w:panose1 w:val="02010509060101010101"/>
    <w:charset w:val="86"/>
    <w:family w:val="auto"/>
    <w:pitch w:val="default"/>
    <w:sig w:usb0="00000000" w:usb1="00000000" w:usb2="00000000" w:usb3="00000000" w:csb0="00040000" w:csb1="00000000"/>
  </w:font>
  <w:font w:name="Lucida Console">
    <w:panose1 w:val="020B0609040504020204"/>
    <w:charset w:val="00"/>
    <w:family w:val="auto"/>
    <w:pitch w:val="default"/>
    <w:sig w:usb0="8000028F" w:usb1="00001800" w:usb2="00000000" w:usb3="00000000" w:csb0="0000001F" w:csb1="D7D70000"/>
  </w:font>
  <w:font w:name="Trebuchet MS">
    <w:panose1 w:val="020B0603020202020204"/>
    <w:charset w:val="00"/>
    <w:family w:val="auto"/>
    <w:pitch w:val="default"/>
    <w:sig w:usb0="000002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Verdana">
    <w:panose1 w:val="020B0604030504040204"/>
    <w:charset w:val="00"/>
    <w:family w:val="auto"/>
    <w:pitch w:val="default"/>
    <w:sig w:usb0="00000287" w:usb1="00000000"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Sylfaen">
    <w:panose1 w:val="010A0502050306030303"/>
    <w:charset w:val="00"/>
    <w:family w:val="auto"/>
    <w:pitch w:val="default"/>
    <w:sig w:usb0="04000687" w:usb1="00000000" w:usb2="00000000" w:usb3="00000000" w:csb0="2000009F" w:csb1="00000000"/>
  </w:font>
  <w:font w:name="Comic Sans MS">
    <w:panose1 w:val="030F0702030302020204"/>
    <w:charset w:val="00"/>
    <w:family w:val="auto"/>
    <w:pitch w:val="default"/>
    <w:sig w:usb0="00000287" w:usb1="00000000" w:usb2="00000000" w:usb3="00000000" w:csb0="2000009F" w:csb1="00000000"/>
  </w:font>
  <w:font w:name="经典隶书简">
    <w:panose1 w:val="02010609000101010101"/>
    <w:charset w:val="86"/>
    <w:family w:val="auto"/>
    <w:pitch w:val="default"/>
    <w:sig w:usb0="A1007AEF" w:usb1="F9DF7CFB" w:usb2="0000001E" w:usb3="00000000" w:csb0="20040000" w:csb1="00000000"/>
  </w:font>
  <w:font w:name="宋体-PUA">
    <w:panose1 w:val="02010600030101010101"/>
    <w:charset w:val="86"/>
    <w:family w:val="auto"/>
    <w:pitch w:val="default"/>
    <w:sig w:usb0="00000000" w:usb1="10000000" w:usb2="00000000" w:usb3="00000000" w:csb0="00040000" w:csb1="00000000"/>
  </w:font>
  <w:font w:name="Georgia">
    <w:panose1 w:val="02040502050405020303"/>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rPr>
                    <w:sz w:val="18"/>
                  </w:rPr>
                  <w:t>- 22 -</w:t>
                </w:r>
                <w:r>
                  <w:rPr>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47192"/>
    <w:multiLevelType w:val="multilevel"/>
    <w:tmpl w:val="1C547192"/>
    <w:lvl w:ilvl="0" w:tentative="0">
      <w:start w:val="8"/>
      <w:numFmt w:val="japaneseCounting"/>
      <w:lvlText w:val="%1、"/>
      <w:lvlJc w:val="left"/>
      <w:pPr>
        <w:tabs>
          <w:tab w:val="left" w:pos="1360"/>
        </w:tabs>
        <w:ind w:left="1360" w:hanging="720"/>
      </w:pPr>
      <w:rPr>
        <w:rFonts w:hint="default" w:cs="Times New Roman"/>
      </w:rPr>
    </w:lvl>
    <w:lvl w:ilvl="1" w:tentative="0">
      <w:start w:val="1"/>
      <w:numFmt w:val="lowerLetter"/>
      <w:lvlText w:val="%2)"/>
      <w:lvlJc w:val="left"/>
      <w:pPr>
        <w:tabs>
          <w:tab w:val="left" w:pos="1480"/>
        </w:tabs>
        <w:ind w:left="1480" w:hanging="420"/>
      </w:pPr>
      <w:rPr>
        <w:rFonts w:cs="Times New Roman"/>
      </w:rPr>
    </w:lvl>
    <w:lvl w:ilvl="2" w:tentative="0">
      <w:start w:val="1"/>
      <w:numFmt w:val="lowerRoman"/>
      <w:lvlText w:val="%3."/>
      <w:lvlJc w:val="right"/>
      <w:pPr>
        <w:tabs>
          <w:tab w:val="left" w:pos="1900"/>
        </w:tabs>
        <w:ind w:left="1900" w:hanging="420"/>
      </w:pPr>
      <w:rPr>
        <w:rFonts w:cs="Times New Roman"/>
      </w:rPr>
    </w:lvl>
    <w:lvl w:ilvl="3" w:tentative="0">
      <w:start w:val="1"/>
      <w:numFmt w:val="decimal"/>
      <w:lvlText w:val="%4."/>
      <w:lvlJc w:val="left"/>
      <w:pPr>
        <w:tabs>
          <w:tab w:val="left" w:pos="2320"/>
        </w:tabs>
        <w:ind w:left="2320" w:hanging="420"/>
      </w:pPr>
      <w:rPr>
        <w:rFonts w:cs="Times New Roman"/>
      </w:rPr>
    </w:lvl>
    <w:lvl w:ilvl="4" w:tentative="0">
      <w:start w:val="1"/>
      <w:numFmt w:val="lowerLetter"/>
      <w:lvlText w:val="%5)"/>
      <w:lvlJc w:val="left"/>
      <w:pPr>
        <w:tabs>
          <w:tab w:val="left" w:pos="2740"/>
        </w:tabs>
        <w:ind w:left="2740" w:hanging="420"/>
      </w:pPr>
      <w:rPr>
        <w:rFonts w:cs="Times New Roman"/>
      </w:rPr>
    </w:lvl>
    <w:lvl w:ilvl="5" w:tentative="0">
      <w:start w:val="1"/>
      <w:numFmt w:val="lowerRoman"/>
      <w:lvlText w:val="%6."/>
      <w:lvlJc w:val="right"/>
      <w:pPr>
        <w:tabs>
          <w:tab w:val="left" w:pos="3160"/>
        </w:tabs>
        <w:ind w:left="3160" w:hanging="420"/>
      </w:pPr>
      <w:rPr>
        <w:rFonts w:cs="Times New Roman"/>
      </w:rPr>
    </w:lvl>
    <w:lvl w:ilvl="6" w:tentative="0">
      <w:start w:val="1"/>
      <w:numFmt w:val="decimal"/>
      <w:lvlText w:val="%7."/>
      <w:lvlJc w:val="left"/>
      <w:pPr>
        <w:tabs>
          <w:tab w:val="left" w:pos="3580"/>
        </w:tabs>
        <w:ind w:left="3580" w:hanging="420"/>
      </w:pPr>
      <w:rPr>
        <w:rFonts w:cs="Times New Roman"/>
      </w:rPr>
    </w:lvl>
    <w:lvl w:ilvl="7" w:tentative="0">
      <w:start w:val="1"/>
      <w:numFmt w:val="lowerLetter"/>
      <w:lvlText w:val="%8)"/>
      <w:lvlJc w:val="left"/>
      <w:pPr>
        <w:tabs>
          <w:tab w:val="left" w:pos="4000"/>
        </w:tabs>
        <w:ind w:left="4000" w:hanging="420"/>
      </w:pPr>
      <w:rPr>
        <w:rFonts w:cs="Times New Roman"/>
      </w:rPr>
    </w:lvl>
    <w:lvl w:ilvl="8" w:tentative="0">
      <w:start w:val="1"/>
      <w:numFmt w:val="lowerRoman"/>
      <w:lvlText w:val="%9."/>
      <w:lvlJc w:val="right"/>
      <w:pPr>
        <w:tabs>
          <w:tab w:val="left" w:pos="4420"/>
        </w:tabs>
        <w:ind w:left="4420" w:hanging="420"/>
      </w:pPr>
      <w:rPr>
        <w:rFonts w:cs="Times New Roman"/>
      </w:rPr>
    </w:lvl>
  </w:abstractNum>
  <w:abstractNum w:abstractNumId="1">
    <w:nsid w:val="5971BE17"/>
    <w:multiLevelType w:val="singleLevel"/>
    <w:tmpl w:val="5971BE17"/>
    <w:lvl w:ilvl="0" w:tentative="0">
      <w:start w:val="1"/>
      <w:numFmt w:val="chineseCounting"/>
      <w:suff w:val="nothing"/>
      <w:lvlText w:val="%1、"/>
      <w:lvlJc w:val="left"/>
      <w:rPr>
        <w:rFonts w:cs="Times New Roman"/>
      </w:rPr>
    </w:lvl>
  </w:abstractNum>
  <w:abstractNum w:abstractNumId="2">
    <w:nsid w:val="5971BF59"/>
    <w:multiLevelType w:val="singleLevel"/>
    <w:tmpl w:val="5971BF59"/>
    <w:lvl w:ilvl="0" w:tentative="0">
      <w:start w:val="1"/>
      <w:numFmt w:val="chineseCounting"/>
      <w:suff w:val="nothing"/>
      <w:lvlText w:val="%1、"/>
      <w:lvlJc w:val="left"/>
      <w:pPr>
        <w:ind w:firstLine="420"/>
      </w:pPr>
      <w:rPr>
        <w:rFonts w:hint="eastAsia" w:cs="Times New Roman"/>
      </w:rPr>
    </w:lvl>
  </w:abstractNum>
  <w:abstractNum w:abstractNumId="3">
    <w:nsid w:val="5971C193"/>
    <w:multiLevelType w:val="singleLevel"/>
    <w:tmpl w:val="5971C193"/>
    <w:lvl w:ilvl="0" w:tentative="0">
      <w:start w:val="2"/>
      <w:numFmt w:val="chineseCounting"/>
      <w:suff w:val="nothing"/>
      <w:lvlText w:val="%1、"/>
      <w:lvlJc w:val="left"/>
      <w:rPr>
        <w:rFonts w:cs="Times New Roman"/>
      </w:rPr>
    </w:lvl>
  </w:abstractNum>
  <w:abstractNum w:abstractNumId="4">
    <w:nsid w:val="5971DAC2"/>
    <w:multiLevelType w:val="singleLevel"/>
    <w:tmpl w:val="5971DAC2"/>
    <w:lvl w:ilvl="0" w:tentative="0">
      <w:start w:val="1"/>
      <w:numFmt w:val="chineseCounting"/>
      <w:suff w:val="nothing"/>
      <w:lvlText w:val="%1、"/>
      <w:lvlJc w:val="left"/>
      <w:pPr>
        <w:ind w:firstLine="420"/>
      </w:pPr>
      <w:rPr>
        <w:rFonts w:hint="eastAsia" w:cs="Times New Roman"/>
      </w:rPr>
    </w:lvl>
  </w:abstractNum>
  <w:abstractNum w:abstractNumId="5">
    <w:nsid w:val="5971EDEF"/>
    <w:multiLevelType w:val="singleLevel"/>
    <w:tmpl w:val="5971EDEF"/>
    <w:lvl w:ilvl="0" w:tentative="0">
      <w:start w:val="1"/>
      <w:numFmt w:val="chineseCounting"/>
      <w:suff w:val="nothing"/>
      <w:lvlText w:val="（%1）"/>
      <w:lvlJc w:val="left"/>
      <w:pPr>
        <w:ind w:firstLine="420"/>
      </w:pPr>
      <w:rPr>
        <w:rFonts w:hint="eastAsia" w:cs="Times New Roman"/>
      </w:r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10"/>
  <w:drawingGridVerticalSpacing w:val="159"/>
  <w:displayVerticalDrawingGridEvery w:val="2"/>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B5A03"/>
    <w:rsid w:val="001150B0"/>
    <w:rsid w:val="00172A27"/>
    <w:rsid w:val="002929B4"/>
    <w:rsid w:val="00386837"/>
    <w:rsid w:val="004A16F6"/>
    <w:rsid w:val="004E1803"/>
    <w:rsid w:val="004E3D5A"/>
    <w:rsid w:val="00586016"/>
    <w:rsid w:val="00615A80"/>
    <w:rsid w:val="0064182F"/>
    <w:rsid w:val="00643DFF"/>
    <w:rsid w:val="00754D6F"/>
    <w:rsid w:val="00871005"/>
    <w:rsid w:val="00877B1D"/>
    <w:rsid w:val="00881140"/>
    <w:rsid w:val="009108DE"/>
    <w:rsid w:val="00A21E79"/>
    <w:rsid w:val="00A56E4C"/>
    <w:rsid w:val="00B458CF"/>
    <w:rsid w:val="00BB0661"/>
    <w:rsid w:val="00CD71F9"/>
    <w:rsid w:val="00FF4865"/>
    <w:rsid w:val="03520E49"/>
    <w:rsid w:val="04453648"/>
    <w:rsid w:val="05DB00B9"/>
    <w:rsid w:val="09BB2134"/>
    <w:rsid w:val="0CA434B9"/>
    <w:rsid w:val="0E4C156E"/>
    <w:rsid w:val="10BD4691"/>
    <w:rsid w:val="11585E8B"/>
    <w:rsid w:val="15492582"/>
    <w:rsid w:val="18F44D57"/>
    <w:rsid w:val="1D415527"/>
    <w:rsid w:val="1E7D3B34"/>
    <w:rsid w:val="22A51050"/>
    <w:rsid w:val="283D43BA"/>
    <w:rsid w:val="29B70F08"/>
    <w:rsid w:val="2BA4769A"/>
    <w:rsid w:val="2CD06EF4"/>
    <w:rsid w:val="2F335194"/>
    <w:rsid w:val="30963758"/>
    <w:rsid w:val="32EF40CE"/>
    <w:rsid w:val="34920D5F"/>
    <w:rsid w:val="35AB7798"/>
    <w:rsid w:val="372974AC"/>
    <w:rsid w:val="37515EC2"/>
    <w:rsid w:val="3949702E"/>
    <w:rsid w:val="3BE408BA"/>
    <w:rsid w:val="3C7F703B"/>
    <w:rsid w:val="3D70189E"/>
    <w:rsid w:val="42271DDB"/>
    <w:rsid w:val="43910C0D"/>
    <w:rsid w:val="48B52937"/>
    <w:rsid w:val="48EE3EF3"/>
    <w:rsid w:val="4C1E2F28"/>
    <w:rsid w:val="4CFC29CC"/>
    <w:rsid w:val="4D6E1856"/>
    <w:rsid w:val="502C04C1"/>
    <w:rsid w:val="51DE24AB"/>
    <w:rsid w:val="5651051D"/>
    <w:rsid w:val="56EC004A"/>
    <w:rsid w:val="57E961A8"/>
    <w:rsid w:val="581E77CF"/>
    <w:rsid w:val="58B06254"/>
    <w:rsid w:val="5AF25131"/>
    <w:rsid w:val="600176AC"/>
    <w:rsid w:val="65332BB8"/>
    <w:rsid w:val="664A46E0"/>
    <w:rsid w:val="66755D81"/>
    <w:rsid w:val="68A121F7"/>
    <w:rsid w:val="68A9241E"/>
    <w:rsid w:val="6B6D695A"/>
    <w:rsid w:val="6FD41D7F"/>
    <w:rsid w:val="72416639"/>
    <w:rsid w:val="738C1FE2"/>
    <w:rsid w:val="75531EF6"/>
    <w:rsid w:val="75D0003D"/>
    <w:rsid w:val="764F7877"/>
    <w:rsid w:val="7AA141FF"/>
    <w:rsid w:val="7C445B57"/>
    <w:rsid w:val="7D713C1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99"/>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Footer Char"/>
    <w:basedOn w:val="4"/>
    <w:link w:val="2"/>
    <w:semiHidden/>
    <w:locked/>
    <w:uiPriority w:val="99"/>
    <w:rPr>
      <w:rFonts w:ascii="Calibri" w:hAnsi="Calibri" w:cs="Times New Roman"/>
      <w:sz w:val="18"/>
      <w:szCs w:val="18"/>
    </w:rPr>
  </w:style>
  <w:style w:type="character" w:customStyle="1" w:styleId="7">
    <w:name w:val="Header Char"/>
    <w:basedOn w:val="4"/>
    <w:link w:val="3"/>
    <w:semiHidden/>
    <w:qFormat/>
    <w:locked/>
    <w:uiPriority w:val="99"/>
    <w:rPr>
      <w:rFonts w:ascii="Calibri" w:hAnsi="Calibri" w:cs="Times New Roman"/>
      <w:sz w:val="18"/>
      <w:szCs w:val="18"/>
    </w:rPr>
  </w:style>
  <w:style w:type="character" w:customStyle="1" w:styleId="8">
    <w:name w:val="font31"/>
    <w:basedOn w:val="4"/>
    <w:uiPriority w:val="99"/>
    <w:rPr>
      <w:rFonts w:ascii="Arial" w:hAnsi="Arial" w:cs="Arial"/>
      <w:color w:val="000000"/>
      <w:sz w:val="16"/>
      <w:szCs w:val="16"/>
      <w:u w:val="none"/>
    </w:rPr>
  </w:style>
  <w:style w:type="character" w:customStyle="1" w:styleId="9">
    <w:name w:val="font01"/>
    <w:basedOn w:val="4"/>
    <w:uiPriority w:val="99"/>
    <w:rPr>
      <w:rFonts w:ascii="Arial" w:hAnsi="Arial" w:cs="Arial"/>
      <w:color w:val="000000"/>
      <w:sz w:val="16"/>
      <w:szCs w:val="16"/>
      <w:u w:val="none"/>
    </w:rPr>
  </w:style>
  <w:style w:type="character" w:customStyle="1" w:styleId="10">
    <w:name w:val="font41"/>
    <w:basedOn w:val="4"/>
    <w:uiPriority w:val="99"/>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24</Pages>
  <Words>1200</Words>
  <Characters>6841</Characters>
  <Lines>0</Lines>
  <Paragraphs>0</Paragraphs>
  <TotalTime>0</TotalTime>
  <ScaleCrop>false</ScaleCrop>
  <LinksUpToDate>false</LinksUpToDate>
  <CharactersWithSpaces>0</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wsj</dc:creator>
  <cp:lastModifiedBy>Administrator</cp:lastModifiedBy>
  <cp:lastPrinted>2017-07-25T02:47:00Z</cp:lastPrinted>
  <dcterms:modified xsi:type="dcterms:W3CDTF">2017-09-15T01:14:07Z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