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隶书" w:hAnsi="隶书" w:eastAsia="隶书" w:cs="隶书"/>
          <w:sz w:val="52"/>
          <w:szCs w:val="52"/>
        </w:rPr>
        <w:t>陆营镇政府</w:t>
      </w: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陆营镇政府概况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陆营镇政府2016年度部门决算表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陆营镇政府2016年度部门决算情况说明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陆营镇政府概况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主要职责</w:t>
      </w:r>
    </w:p>
    <w:p>
      <w:pPr>
        <w:numPr>
          <w:ilvl w:val="0"/>
          <w:numId w:val="3"/>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拟定</w:t>
      </w:r>
    </w:p>
    <w:p>
      <w:pPr>
        <w:pStyle w:val="4"/>
        <w:widowControl/>
        <w:spacing w:before="226" w:after="406" w:line="450" w:lineRule="atLeast"/>
        <w:rPr>
          <w:rFonts w:ascii="仿宋" w:hAnsi="仿宋" w:eastAsia="仿宋" w:cs="仿宋"/>
          <w:sz w:val="32"/>
          <w:szCs w:val="32"/>
        </w:rPr>
      </w:pPr>
      <w:r>
        <w:rPr>
          <w:rFonts w:hint="eastAsia" w:ascii="仿宋" w:hAnsi="仿宋" w:eastAsia="仿宋" w:cs="仿宋"/>
          <w:color w:val="333333"/>
          <w:sz w:val="32"/>
          <w:szCs w:val="32"/>
        </w:rPr>
        <w:t>乡镇财政按照全面推行综合预算的要求编制年度财政预算。乡镇单位预算收入的编制应遵循所有经常性收入纳入预算的原则。将各单位的行政事业性收费收入、罚没收入、其他预算收入、财政补助收入纳入预算收入管理。</w:t>
      </w:r>
    </w:p>
    <w:p>
      <w:pPr>
        <w:numPr>
          <w:ilvl w:val="0"/>
          <w:numId w:val="3"/>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起草</w:t>
      </w:r>
    </w:p>
    <w:p>
      <w:pPr>
        <w:spacing w:line="360" w:lineRule="auto"/>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财政所编制完成财政收支预算（草案）,报乡镇主要领导，由乡镇领导召开本乡镇有关部门（站所）负责人预算计划通报会，对收支计划的测算程序和依据进行说明，并征求各站所意见，对确需调整的相关收支计划进行适当调整。乡镇财政所根据草拟的收支计划，编制《乡镇财政预算书》，报财政局审核。财政局提出审核（调整）意见后，应根据财政局的预算审核（调整）意见进行修改，并形成正式预算（草案）提交乡镇人民代表大会审议批准。乡镇财政预算经乡镇人民代表大会批准后，由乡镇财政所及时批复至各部门（站所），同时报县财政局备案。</w:t>
      </w:r>
    </w:p>
    <w:p>
      <w:pPr>
        <w:numPr>
          <w:ilvl w:val="0"/>
          <w:numId w:val="3"/>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承担</w:t>
      </w:r>
    </w:p>
    <w:p>
      <w:pPr>
        <w:spacing w:line="360" w:lineRule="auto"/>
        <w:jc w:val="left"/>
        <w:rPr>
          <w:rFonts w:ascii="仿宋" w:hAnsi="仿宋" w:eastAsia="仿宋" w:cs="仿宋"/>
          <w:sz w:val="32"/>
          <w:szCs w:val="32"/>
        </w:rPr>
      </w:pPr>
      <w:r>
        <w:rPr>
          <w:rFonts w:hint="eastAsia" w:ascii="仿宋" w:hAnsi="仿宋" w:eastAsia="仿宋" w:cs="仿宋"/>
          <w:color w:val="010101"/>
          <w:sz w:val="32"/>
          <w:szCs w:val="32"/>
          <w:shd w:val="clear" w:color="auto" w:fill="FFFFFF"/>
        </w:rPr>
        <w:t>编制财政预算草案并组织执行；人民政府的委托，人民代表大会报告乡镇预算及其执行情况，向人大常委会报告财政决算；管理和监督各项财政收支，负责财政资金的调度和拨款。</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纳入陆营镇政府2016年度部门决算编制范围的单位包括：</w:t>
      </w:r>
    </w:p>
    <w:p>
      <w:pPr>
        <w:numPr>
          <w:ilvl w:val="0"/>
          <w:numId w:val="5"/>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陆营镇政府</w:t>
      </w:r>
    </w:p>
    <w:p>
      <w:pPr>
        <w:numPr>
          <w:ilvl w:val="0"/>
          <w:numId w:val="5"/>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劳动保障所  民政办  计划生育服务中心 </w:t>
      </w:r>
    </w:p>
    <w:p>
      <w:pPr>
        <w:spacing w:line="360" w:lineRule="auto"/>
        <w:ind w:left="420" w:left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农业服务中心  村建中心  文化中心 三资中心 </w:t>
      </w:r>
    </w:p>
    <w:p>
      <w:pPr>
        <w:spacing w:line="360" w:lineRule="auto"/>
        <w:ind w:left="420" w:leftChars="200"/>
        <w:jc w:val="left"/>
        <w:rPr>
          <w:rFonts w:ascii="仿宋_GB2312" w:hAnsi="仿宋_GB2312" w:eastAsia="仿宋_GB2312" w:cs="仿宋_GB2312"/>
          <w:sz w:val="32"/>
          <w:szCs w:val="32"/>
        </w:rPr>
      </w:pPr>
    </w:p>
    <w:p/>
    <w:p/>
    <w:p/>
    <w:tbl>
      <w:tblPr>
        <w:tblStyle w:val="14"/>
        <w:tblpPr w:leftFromText="180" w:rightFromText="180" w:vertAnchor="page" w:horzAnchor="page" w:tblpX="2085" w:tblpY="1923"/>
        <w:tblOverlap w:val="never"/>
        <w:tblW w:w="8189" w:type="dxa"/>
        <w:tblInd w:w="0" w:type="dxa"/>
        <w:tblLayout w:type="fixed"/>
        <w:tblCellMar>
          <w:top w:w="15" w:type="dxa"/>
          <w:left w:w="15" w:type="dxa"/>
          <w:bottom w:w="15" w:type="dxa"/>
          <w:right w:w="15" w:type="dxa"/>
        </w:tblCellMar>
      </w:tblPr>
      <w:tblGrid>
        <w:gridCol w:w="1378"/>
        <w:gridCol w:w="426"/>
        <w:gridCol w:w="1443"/>
        <w:gridCol w:w="1382"/>
        <w:gridCol w:w="725"/>
        <w:gridCol w:w="630"/>
        <w:gridCol w:w="2205"/>
      </w:tblGrid>
      <w:tr>
        <w:tblPrEx>
          <w:tblLayout w:type="fixed"/>
          <w:tblCellMar>
            <w:top w:w="15" w:type="dxa"/>
            <w:left w:w="15" w:type="dxa"/>
            <w:bottom w:w="15" w:type="dxa"/>
            <w:right w:w="15" w:type="dxa"/>
          </w:tblCellMar>
        </w:tblPrEx>
        <w:trPr>
          <w:trHeight w:val="390" w:hRule="atLeast"/>
        </w:trPr>
        <w:tc>
          <w:tcPr>
            <w:tcW w:w="8189" w:type="dxa"/>
            <w:gridSpan w:val="7"/>
            <w:shd w:val="clear" w:color="auto" w:fill="auto"/>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28"/>
                <w:szCs w:val="28"/>
              </w:rPr>
              <w:t>收入支出决算总表</w:t>
            </w:r>
          </w:p>
        </w:tc>
      </w:tr>
      <w:tr>
        <w:tblPrEx>
          <w:tblLayout w:type="fixed"/>
          <w:tblCellMar>
            <w:top w:w="15" w:type="dxa"/>
            <w:left w:w="15" w:type="dxa"/>
            <w:bottom w:w="15" w:type="dxa"/>
            <w:right w:w="15" w:type="dxa"/>
          </w:tblCellMar>
        </w:tblPrEx>
        <w:trPr>
          <w:trHeight w:val="285" w:hRule="atLeast"/>
        </w:trPr>
        <w:tc>
          <w:tcPr>
            <w:tcW w:w="1378" w:type="dxa"/>
            <w:shd w:val="clear" w:color="auto" w:fill="auto"/>
            <w:vAlign w:val="bottom"/>
          </w:tcPr>
          <w:p>
            <w:pPr>
              <w:rPr>
                <w:rFonts w:ascii="Arial" w:hAnsi="Arial" w:cs="Arial"/>
                <w:color w:val="000000"/>
                <w:sz w:val="10"/>
                <w:szCs w:val="10"/>
              </w:rPr>
            </w:pPr>
          </w:p>
        </w:tc>
        <w:tc>
          <w:tcPr>
            <w:tcW w:w="426" w:type="dxa"/>
            <w:shd w:val="clear" w:color="auto" w:fill="auto"/>
            <w:vAlign w:val="bottom"/>
          </w:tcPr>
          <w:p>
            <w:pPr>
              <w:rPr>
                <w:rFonts w:ascii="Arial" w:hAnsi="Arial" w:cs="Arial"/>
                <w:color w:val="000000"/>
                <w:sz w:val="10"/>
                <w:szCs w:val="10"/>
              </w:rPr>
            </w:pPr>
          </w:p>
        </w:tc>
        <w:tc>
          <w:tcPr>
            <w:tcW w:w="1443" w:type="dxa"/>
            <w:shd w:val="clear" w:color="auto" w:fill="auto"/>
            <w:vAlign w:val="bottom"/>
          </w:tcPr>
          <w:p>
            <w:pPr>
              <w:rPr>
                <w:rFonts w:ascii="Arial" w:hAnsi="Arial" w:cs="Arial"/>
                <w:color w:val="000000"/>
                <w:sz w:val="10"/>
                <w:szCs w:val="10"/>
              </w:rPr>
            </w:pPr>
          </w:p>
        </w:tc>
        <w:tc>
          <w:tcPr>
            <w:tcW w:w="1382" w:type="dxa"/>
            <w:shd w:val="clear" w:color="auto" w:fill="auto"/>
            <w:vAlign w:val="bottom"/>
          </w:tcPr>
          <w:p>
            <w:pPr>
              <w:rPr>
                <w:rFonts w:ascii="Arial" w:hAnsi="Arial" w:cs="Arial"/>
                <w:color w:val="000000"/>
                <w:sz w:val="10"/>
                <w:szCs w:val="10"/>
              </w:rPr>
            </w:pPr>
          </w:p>
        </w:tc>
        <w:tc>
          <w:tcPr>
            <w:tcW w:w="725" w:type="dxa"/>
            <w:shd w:val="clear" w:color="auto" w:fill="auto"/>
            <w:vAlign w:val="bottom"/>
          </w:tcPr>
          <w:p>
            <w:pPr>
              <w:rPr>
                <w:rFonts w:ascii="Arial" w:hAnsi="Arial" w:cs="Arial"/>
                <w:color w:val="000000"/>
                <w:sz w:val="10"/>
                <w:szCs w:val="10"/>
              </w:rPr>
            </w:pPr>
          </w:p>
        </w:tc>
        <w:tc>
          <w:tcPr>
            <w:tcW w:w="2835" w:type="dxa"/>
            <w:gridSpan w:val="2"/>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公开01表</w:t>
            </w:r>
          </w:p>
        </w:tc>
      </w:tr>
      <w:tr>
        <w:tblPrEx>
          <w:tblLayout w:type="fixed"/>
          <w:tblCellMar>
            <w:top w:w="15" w:type="dxa"/>
            <w:left w:w="15" w:type="dxa"/>
            <w:bottom w:w="15" w:type="dxa"/>
            <w:right w:w="15" w:type="dxa"/>
          </w:tblCellMar>
        </w:tblPrEx>
        <w:trPr>
          <w:trHeight w:val="270" w:hRule="atLeast"/>
        </w:trPr>
        <w:tc>
          <w:tcPr>
            <w:tcW w:w="3247" w:type="dxa"/>
            <w:gridSpan w:val="3"/>
            <w:shd w:val="clear" w:color="auto" w:fill="auto"/>
            <w:vAlign w:val="bottom"/>
          </w:tcPr>
          <w:p>
            <w:pPr>
              <w:rPr>
                <w:rFonts w:ascii="Arial" w:hAnsi="Arial" w:cs="Arial"/>
                <w:color w:val="000000"/>
                <w:sz w:val="10"/>
                <w:szCs w:val="10"/>
              </w:rPr>
            </w:pPr>
            <w:r>
              <w:rPr>
                <w:rFonts w:hint="eastAsia" w:ascii="宋体" w:hAnsi="宋体" w:eastAsia="宋体" w:cs="宋体"/>
                <w:color w:val="000000"/>
                <w:kern w:val="0"/>
                <w:sz w:val="10"/>
                <w:szCs w:val="10"/>
              </w:rPr>
              <w:t>部门：河南省南阳市卧龙区陆营镇人民政府</w:t>
            </w:r>
          </w:p>
        </w:tc>
        <w:tc>
          <w:tcPr>
            <w:tcW w:w="1382" w:type="dxa"/>
            <w:shd w:val="clear" w:color="auto" w:fill="auto"/>
            <w:vAlign w:val="bottom"/>
          </w:tcPr>
          <w:p>
            <w:pPr>
              <w:rPr>
                <w:rFonts w:ascii="Arial" w:hAnsi="Arial" w:cs="Arial"/>
                <w:color w:val="000000"/>
                <w:sz w:val="10"/>
                <w:szCs w:val="10"/>
              </w:rPr>
            </w:pPr>
          </w:p>
        </w:tc>
        <w:tc>
          <w:tcPr>
            <w:tcW w:w="725" w:type="dxa"/>
            <w:shd w:val="clear" w:color="auto" w:fill="auto"/>
            <w:vAlign w:val="bottom"/>
          </w:tcPr>
          <w:p>
            <w:pPr>
              <w:rPr>
                <w:rFonts w:ascii="Arial" w:hAnsi="Arial" w:cs="Arial"/>
                <w:color w:val="000000"/>
                <w:sz w:val="10"/>
                <w:szCs w:val="10"/>
              </w:rPr>
            </w:pPr>
          </w:p>
        </w:tc>
        <w:tc>
          <w:tcPr>
            <w:tcW w:w="2835" w:type="dxa"/>
            <w:gridSpan w:val="2"/>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单位：万元</w:t>
            </w:r>
          </w:p>
        </w:tc>
      </w:tr>
      <w:tr>
        <w:tblPrEx>
          <w:tblLayout w:type="fixed"/>
          <w:tblCellMar>
            <w:top w:w="15" w:type="dxa"/>
            <w:left w:w="15" w:type="dxa"/>
            <w:bottom w:w="15" w:type="dxa"/>
            <w:right w:w="15" w:type="dxa"/>
          </w:tblCellMar>
        </w:tblPrEx>
        <w:trPr>
          <w:trHeight w:val="300" w:hRule="atLeast"/>
        </w:trPr>
        <w:tc>
          <w:tcPr>
            <w:tcW w:w="3247" w:type="dxa"/>
            <w:gridSpan w:val="3"/>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收入</w:t>
            </w:r>
          </w:p>
        </w:tc>
        <w:tc>
          <w:tcPr>
            <w:tcW w:w="4942" w:type="dxa"/>
            <w:gridSpan w:val="4"/>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支出</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行次</w:t>
            </w:r>
          </w:p>
        </w:tc>
        <w:tc>
          <w:tcPr>
            <w:tcW w:w="1443"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金额</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行次</w:t>
            </w:r>
          </w:p>
        </w:tc>
        <w:tc>
          <w:tcPr>
            <w:tcW w:w="220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金额</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栏次</w:t>
            </w:r>
          </w:p>
        </w:tc>
        <w:tc>
          <w:tcPr>
            <w:tcW w:w="426" w:type="dxa"/>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443"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栏次</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220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一、财政拨款收入</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w:t>
            </w:r>
          </w:p>
        </w:tc>
        <w:tc>
          <w:tcPr>
            <w:tcW w:w="144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一、一般公共服务支出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699.20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二、上级补助收入</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w:t>
            </w:r>
          </w:p>
        </w:tc>
        <w:tc>
          <w:tcPr>
            <w:tcW w:w="144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二、外交支出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三、事业收入</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w:t>
            </w:r>
          </w:p>
        </w:tc>
        <w:tc>
          <w:tcPr>
            <w:tcW w:w="144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三、国防支出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32</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四、经营收入</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w:t>
            </w:r>
          </w:p>
        </w:tc>
        <w:tc>
          <w:tcPr>
            <w:tcW w:w="144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四、公共安全支出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33</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五、附属单位上缴收入</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w:t>
            </w:r>
          </w:p>
        </w:tc>
        <w:tc>
          <w:tcPr>
            <w:tcW w:w="144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五、教育支出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34</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61.12</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六、其他收入</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w:t>
            </w:r>
          </w:p>
        </w:tc>
        <w:tc>
          <w:tcPr>
            <w:tcW w:w="144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六、科学技术支出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35</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七、文化体育与传媒支出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36</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八、社会保障和就业支出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37</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15.59</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九、医疗卫生与计划生育支出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38</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十、节能环保支出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39</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十一、城乡社区支出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40</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100.87</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12</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十二、农林水支出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41</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739.14</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13</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十三、交通运输支出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42</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14</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十四、资源勘探信息等支出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43</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十五、商业服务业等支出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44</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16</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十六、金融支出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45</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十七、援助其他地区支出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46</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18</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十八、国土海洋气象等支出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47</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19</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十九、住房保障支出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48</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二十、粮油物资储备支出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49</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二十一、其他支出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二十二、债务还本支出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23</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二十三、债务付息支出</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52</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24</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53</w:t>
            </w:r>
          </w:p>
        </w:tc>
        <w:tc>
          <w:tcPr>
            <w:tcW w:w="220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本年收入合计</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w:t>
            </w:r>
          </w:p>
        </w:tc>
        <w:tc>
          <w:tcPr>
            <w:tcW w:w="144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本年支出合计</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54</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用事业基金弥补收支差额</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26</w:t>
            </w:r>
          </w:p>
        </w:tc>
        <w:tc>
          <w:tcPr>
            <w:tcW w:w="144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结余分配</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55</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年初结转和结余</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27</w:t>
            </w:r>
          </w:p>
        </w:tc>
        <w:tc>
          <w:tcPr>
            <w:tcW w:w="144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年末结转和结余</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56</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28</w:t>
            </w:r>
          </w:p>
        </w:tc>
        <w:tc>
          <w:tcPr>
            <w:tcW w:w="1443"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382" w:type="dxa"/>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57</w:t>
            </w:r>
          </w:p>
        </w:tc>
        <w:tc>
          <w:tcPr>
            <w:tcW w:w="220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137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总计</w:t>
            </w:r>
          </w:p>
        </w:tc>
        <w:tc>
          <w:tcPr>
            <w:tcW w:w="42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29</w:t>
            </w:r>
          </w:p>
        </w:tc>
        <w:tc>
          <w:tcPr>
            <w:tcW w:w="144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38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总计</w:t>
            </w:r>
          </w:p>
        </w:tc>
        <w:tc>
          <w:tcPr>
            <w:tcW w:w="135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58</w:t>
            </w:r>
          </w:p>
        </w:tc>
        <w:tc>
          <w:tcPr>
            <w:tcW w:w="22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r>
      <w:tr>
        <w:tblPrEx>
          <w:tblLayout w:type="fixed"/>
          <w:tblCellMar>
            <w:top w:w="15" w:type="dxa"/>
            <w:left w:w="15" w:type="dxa"/>
            <w:bottom w:w="15" w:type="dxa"/>
            <w:right w:w="15" w:type="dxa"/>
          </w:tblCellMar>
        </w:tblPrEx>
        <w:trPr>
          <w:trHeight w:val="300" w:hRule="atLeast"/>
        </w:trPr>
        <w:tc>
          <w:tcPr>
            <w:tcW w:w="8189" w:type="dxa"/>
            <w:gridSpan w:val="7"/>
            <w:tcBorders>
              <w:left w:val="single" w:color="000000" w:sz="12"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注：本表反映部门本年度的总收支和年末结转结余情况。</w:t>
            </w:r>
          </w:p>
        </w:tc>
      </w:tr>
      <w:tr>
        <w:tblPrEx>
          <w:tblLayout w:type="fixed"/>
          <w:tblCellMar>
            <w:top w:w="15" w:type="dxa"/>
            <w:left w:w="15" w:type="dxa"/>
            <w:bottom w:w="15" w:type="dxa"/>
            <w:right w:w="15" w:type="dxa"/>
          </w:tblCellMar>
        </w:tblPrEx>
        <w:trPr>
          <w:trHeight w:val="286" w:hRule="atLeast"/>
        </w:trPr>
        <w:tc>
          <w:tcPr>
            <w:tcW w:w="8189" w:type="dxa"/>
            <w:gridSpan w:val="7"/>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kern w:val="0"/>
                <w:sz w:val="20"/>
                <w:szCs w:val="20"/>
              </w:rPr>
              <w:t>— 1 —</w:t>
            </w:r>
          </w:p>
        </w:tc>
      </w:tr>
    </w:tbl>
    <w:tbl>
      <w:tblPr>
        <w:tblStyle w:val="14"/>
        <w:tblW w:w="8970" w:type="dxa"/>
        <w:tblInd w:w="0" w:type="dxa"/>
        <w:tblLayout w:type="fixed"/>
        <w:tblCellMar>
          <w:top w:w="15" w:type="dxa"/>
          <w:left w:w="15" w:type="dxa"/>
          <w:bottom w:w="15" w:type="dxa"/>
          <w:right w:w="15" w:type="dxa"/>
        </w:tblCellMar>
      </w:tblPr>
      <w:tblGrid>
        <w:gridCol w:w="330"/>
        <w:gridCol w:w="569"/>
        <w:gridCol w:w="391"/>
        <w:gridCol w:w="960"/>
        <w:gridCol w:w="389"/>
        <w:gridCol w:w="1081"/>
        <w:gridCol w:w="240"/>
        <w:gridCol w:w="839"/>
        <w:gridCol w:w="990"/>
        <w:gridCol w:w="840"/>
        <w:gridCol w:w="660"/>
        <w:gridCol w:w="915"/>
        <w:gridCol w:w="766"/>
      </w:tblGrid>
      <w:tr>
        <w:tblPrEx>
          <w:tblLayout w:type="fixed"/>
          <w:tblCellMar>
            <w:top w:w="15" w:type="dxa"/>
            <w:left w:w="15" w:type="dxa"/>
            <w:bottom w:w="15" w:type="dxa"/>
            <w:right w:w="15" w:type="dxa"/>
          </w:tblCellMar>
        </w:tblPrEx>
        <w:trPr>
          <w:trHeight w:val="390" w:hRule="atLeast"/>
        </w:trPr>
        <w:tc>
          <w:tcPr>
            <w:tcW w:w="8970" w:type="dxa"/>
            <w:gridSpan w:val="13"/>
            <w:shd w:val="clear" w:color="auto" w:fill="auto"/>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330" w:type="dxa"/>
            <w:shd w:val="clear" w:color="auto" w:fill="auto"/>
            <w:vAlign w:val="bottom"/>
          </w:tcPr>
          <w:p>
            <w:pPr>
              <w:rPr>
                <w:rFonts w:ascii="Arial" w:hAnsi="Arial" w:cs="Arial"/>
                <w:color w:val="000000"/>
                <w:sz w:val="10"/>
                <w:szCs w:val="10"/>
              </w:rPr>
            </w:pPr>
          </w:p>
        </w:tc>
        <w:tc>
          <w:tcPr>
            <w:tcW w:w="960" w:type="dxa"/>
            <w:gridSpan w:val="2"/>
            <w:shd w:val="clear" w:color="auto" w:fill="auto"/>
            <w:vAlign w:val="bottom"/>
          </w:tcPr>
          <w:p>
            <w:pPr>
              <w:rPr>
                <w:rFonts w:ascii="Arial" w:hAnsi="Arial" w:cs="Arial"/>
                <w:color w:val="000000"/>
                <w:sz w:val="10"/>
                <w:szCs w:val="10"/>
              </w:rPr>
            </w:pPr>
          </w:p>
        </w:tc>
        <w:tc>
          <w:tcPr>
            <w:tcW w:w="960" w:type="dxa"/>
            <w:shd w:val="clear" w:color="auto" w:fill="auto"/>
            <w:vAlign w:val="bottom"/>
          </w:tcPr>
          <w:p>
            <w:pPr>
              <w:rPr>
                <w:rFonts w:ascii="Arial" w:hAnsi="Arial" w:cs="Arial"/>
                <w:color w:val="000000"/>
                <w:sz w:val="10"/>
                <w:szCs w:val="10"/>
              </w:rPr>
            </w:pPr>
          </w:p>
        </w:tc>
        <w:tc>
          <w:tcPr>
            <w:tcW w:w="1470" w:type="dxa"/>
            <w:gridSpan w:val="2"/>
            <w:shd w:val="clear" w:color="auto" w:fill="auto"/>
            <w:vAlign w:val="bottom"/>
          </w:tcPr>
          <w:p>
            <w:pPr>
              <w:rPr>
                <w:rFonts w:ascii="Arial" w:hAnsi="Arial" w:cs="Arial"/>
                <w:color w:val="000000"/>
                <w:sz w:val="10"/>
                <w:szCs w:val="10"/>
              </w:rPr>
            </w:pPr>
          </w:p>
        </w:tc>
        <w:tc>
          <w:tcPr>
            <w:tcW w:w="240" w:type="dxa"/>
            <w:shd w:val="clear" w:color="auto" w:fill="auto"/>
            <w:vAlign w:val="bottom"/>
          </w:tcPr>
          <w:p>
            <w:pPr>
              <w:rPr>
                <w:rFonts w:ascii="Arial" w:hAnsi="Arial" w:cs="Arial"/>
                <w:color w:val="000000"/>
                <w:sz w:val="10"/>
                <w:szCs w:val="10"/>
              </w:rPr>
            </w:pPr>
          </w:p>
        </w:tc>
        <w:tc>
          <w:tcPr>
            <w:tcW w:w="839" w:type="dxa"/>
            <w:shd w:val="clear" w:color="auto" w:fill="auto"/>
            <w:vAlign w:val="bottom"/>
          </w:tcPr>
          <w:p>
            <w:pPr>
              <w:rPr>
                <w:rFonts w:ascii="Arial" w:hAnsi="Arial" w:cs="Arial"/>
                <w:color w:val="000000"/>
                <w:sz w:val="10"/>
                <w:szCs w:val="10"/>
              </w:rPr>
            </w:pPr>
          </w:p>
        </w:tc>
        <w:tc>
          <w:tcPr>
            <w:tcW w:w="990" w:type="dxa"/>
            <w:shd w:val="clear" w:color="auto" w:fill="auto"/>
            <w:vAlign w:val="bottom"/>
          </w:tcPr>
          <w:p>
            <w:pPr>
              <w:rPr>
                <w:rFonts w:ascii="Arial" w:hAnsi="Arial" w:cs="Arial"/>
                <w:color w:val="000000"/>
                <w:sz w:val="10"/>
                <w:szCs w:val="10"/>
              </w:rPr>
            </w:pPr>
          </w:p>
        </w:tc>
        <w:tc>
          <w:tcPr>
            <w:tcW w:w="840" w:type="dxa"/>
            <w:shd w:val="clear" w:color="auto" w:fill="auto"/>
            <w:vAlign w:val="bottom"/>
          </w:tcPr>
          <w:p>
            <w:pPr>
              <w:rPr>
                <w:rFonts w:ascii="Arial" w:hAnsi="Arial" w:cs="Arial"/>
                <w:color w:val="000000"/>
                <w:sz w:val="10"/>
                <w:szCs w:val="10"/>
              </w:rPr>
            </w:pPr>
          </w:p>
        </w:tc>
        <w:tc>
          <w:tcPr>
            <w:tcW w:w="660" w:type="dxa"/>
            <w:shd w:val="clear" w:color="auto" w:fill="auto"/>
            <w:vAlign w:val="bottom"/>
          </w:tcPr>
          <w:p>
            <w:pPr>
              <w:rPr>
                <w:rFonts w:ascii="Arial" w:hAnsi="Arial" w:cs="Arial"/>
                <w:color w:val="000000"/>
                <w:sz w:val="10"/>
                <w:szCs w:val="10"/>
              </w:rPr>
            </w:pPr>
          </w:p>
        </w:tc>
        <w:tc>
          <w:tcPr>
            <w:tcW w:w="915" w:type="dxa"/>
            <w:shd w:val="clear" w:color="auto" w:fill="auto"/>
            <w:vAlign w:val="bottom"/>
          </w:tcPr>
          <w:p>
            <w:pPr>
              <w:rPr>
                <w:rFonts w:ascii="Arial" w:hAnsi="Arial" w:cs="Arial"/>
                <w:color w:val="000000"/>
                <w:sz w:val="10"/>
                <w:szCs w:val="10"/>
              </w:rPr>
            </w:pPr>
          </w:p>
        </w:tc>
        <w:tc>
          <w:tcPr>
            <w:tcW w:w="766" w:type="dxa"/>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公开02表</w:t>
            </w:r>
          </w:p>
        </w:tc>
      </w:tr>
      <w:tr>
        <w:tblPrEx>
          <w:tblLayout w:type="fixed"/>
          <w:tblCellMar>
            <w:top w:w="15" w:type="dxa"/>
            <w:left w:w="15" w:type="dxa"/>
            <w:bottom w:w="15" w:type="dxa"/>
            <w:right w:w="15" w:type="dxa"/>
          </w:tblCellMar>
        </w:tblPrEx>
        <w:trPr>
          <w:trHeight w:val="270" w:hRule="atLeast"/>
        </w:trPr>
        <w:tc>
          <w:tcPr>
            <w:tcW w:w="3960" w:type="dxa"/>
            <w:gridSpan w:val="7"/>
            <w:shd w:val="clear" w:color="auto" w:fill="auto"/>
            <w:vAlign w:val="bottom"/>
          </w:tcPr>
          <w:p>
            <w:pPr>
              <w:rPr>
                <w:rFonts w:ascii="Arial" w:hAnsi="Arial" w:cs="Arial"/>
                <w:color w:val="000000"/>
                <w:sz w:val="10"/>
                <w:szCs w:val="10"/>
              </w:rPr>
            </w:pPr>
            <w:r>
              <w:rPr>
                <w:rFonts w:hint="eastAsia" w:ascii="宋体" w:hAnsi="宋体" w:eastAsia="宋体" w:cs="宋体"/>
                <w:color w:val="000000"/>
                <w:kern w:val="0"/>
                <w:sz w:val="10"/>
                <w:szCs w:val="10"/>
              </w:rPr>
              <w:t>部门：河南省南阳市卧龙区陆营镇人民政府</w:t>
            </w:r>
          </w:p>
        </w:tc>
        <w:tc>
          <w:tcPr>
            <w:tcW w:w="839" w:type="dxa"/>
            <w:shd w:val="clear" w:color="auto" w:fill="auto"/>
            <w:vAlign w:val="bottom"/>
          </w:tcPr>
          <w:p>
            <w:pPr>
              <w:rPr>
                <w:rFonts w:ascii="Arial" w:hAnsi="Arial" w:cs="Arial"/>
                <w:color w:val="000000"/>
                <w:sz w:val="10"/>
                <w:szCs w:val="10"/>
              </w:rPr>
            </w:pPr>
          </w:p>
        </w:tc>
        <w:tc>
          <w:tcPr>
            <w:tcW w:w="990" w:type="dxa"/>
            <w:shd w:val="clear" w:color="auto" w:fill="auto"/>
            <w:vAlign w:val="bottom"/>
          </w:tcPr>
          <w:p>
            <w:pPr>
              <w:rPr>
                <w:rFonts w:ascii="Arial" w:hAnsi="Arial" w:cs="Arial"/>
                <w:color w:val="000000"/>
                <w:sz w:val="10"/>
                <w:szCs w:val="10"/>
              </w:rPr>
            </w:pPr>
          </w:p>
        </w:tc>
        <w:tc>
          <w:tcPr>
            <w:tcW w:w="840" w:type="dxa"/>
            <w:shd w:val="clear" w:color="auto" w:fill="auto"/>
            <w:vAlign w:val="bottom"/>
          </w:tcPr>
          <w:p>
            <w:pPr>
              <w:rPr>
                <w:rFonts w:ascii="Arial" w:hAnsi="Arial" w:cs="Arial"/>
                <w:color w:val="000000"/>
                <w:sz w:val="10"/>
                <w:szCs w:val="10"/>
              </w:rPr>
            </w:pPr>
          </w:p>
        </w:tc>
        <w:tc>
          <w:tcPr>
            <w:tcW w:w="660" w:type="dxa"/>
            <w:shd w:val="clear" w:color="auto" w:fill="auto"/>
            <w:vAlign w:val="bottom"/>
          </w:tcPr>
          <w:p>
            <w:pPr>
              <w:rPr>
                <w:rFonts w:ascii="Arial" w:hAnsi="Arial" w:cs="Arial"/>
                <w:color w:val="000000"/>
                <w:sz w:val="10"/>
                <w:szCs w:val="10"/>
              </w:rPr>
            </w:pPr>
          </w:p>
        </w:tc>
        <w:tc>
          <w:tcPr>
            <w:tcW w:w="915" w:type="dxa"/>
            <w:shd w:val="clear" w:color="auto" w:fill="auto"/>
            <w:vAlign w:val="bottom"/>
          </w:tcPr>
          <w:p>
            <w:pPr>
              <w:rPr>
                <w:rFonts w:ascii="Arial" w:hAnsi="Arial" w:cs="Arial"/>
                <w:color w:val="000000"/>
                <w:sz w:val="10"/>
                <w:szCs w:val="10"/>
              </w:rPr>
            </w:pPr>
          </w:p>
        </w:tc>
        <w:tc>
          <w:tcPr>
            <w:tcW w:w="766" w:type="dxa"/>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单位：万元</w:t>
            </w:r>
          </w:p>
        </w:tc>
      </w:tr>
      <w:tr>
        <w:tblPrEx>
          <w:tblLayout w:type="fixed"/>
          <w:tblCellMar>
            <w:top w:w="15" w:type="dxa"/>
            <w:left w:w="15" w:type="dxa"/>
            <w:bottom w:w="15" w:type="dxa"/>
            <w:right w:w="15" w:type="dxa"/>
          </w:tblCellMar>
        </w:tblPrEx>
        <w:trPr>
          <w:trHeight w:val="300" w:hRule="atLeast"/>
        </w:trPr>
        <w:tc>
          <w:tcPr>
            <w:tcW w:w="2639" w:type="dxa"/>
            <w:gridSpan w:val="5"/>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w:t>
            </w:r>
          </w:p>
        </w:tc>
        <w:tc>
          <w:tcPr>
            <w:tcW w:w="1321" w:type="dxa"/>
            <w:gridSpan w:val="2"/>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本年收入合计</w:t>
            </w:r>
          </w:p>
        </w:tc>
        <w:tc>
          <w:tcPr>
            <w:tcW w:w="839"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财政拨款收入</w:t>
            </w:r>
          </w:p>
        </w:tc>
        <w:tc>
          <w:tcPr>
            <w:tcW w:w="99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上级补助收入</w:t>
            </w:r>
          </w:p>
        </w:tc>
        <w:tc>
          <w:tcPr>
            <w:tcW w:w="84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事业收入</w:t>
            </w:r>
          </w:p>
        </w:tc>
        <w:tc>
          <w:tcPr>
            <w:tcW w:w="66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经营收入</w:t>
            </w:r>
          </w:p>
        </w:tc>
        <w:tc>
          <w:tcPr>
            <w:tcW w:w="915"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附属单位上缴收入</w:t>
            </w:r>
          </w:p>
        </w:tc>
        <w:tc>
          <w:tcPr>
            <w:tcW w:w="766"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其他收入</w:t>
            </w:r>
          </w:p>
        </w:tc>
      </w:tr>
      <w:tr>
        <w:tblPrEx>
          <w:tblLayout w:type="fixed"/>
          <w:tblCellMar>
            <w:top w:w="15" w:type="dxa"/>
            <w:left w:w="15" w:type="dxa"/>
            <w:bottom w:w="15" w:type="dxa"/>
            <w:right w:w="15" w:type="dxa"/>
          </w:tblCellMar>
        </w:tblPrEx>
        <w:trPr>
          <w:trHeight w:val="317" w:hRule="atLeast"/>
        </w:trPr>
        <w:tc>
          <w:tcPr>
            <w:tcW w:w="2250" w:type="dxa"/>
            <w:gridSpan w:val="4"/>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功能分类科目编码</w:t>
            </w:r>
          </w:p>
        </w:tc>
        <w:tc>
          <w:tcPr>
            <w:tcW w:w="389"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科目名称</w:t>
            </w:r>
          </w:p>
        </w:tc>
        <w:tc>
          <w:tcPr>
            <w:tcW w:w="1321"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39"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9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66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1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66"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17" w:hRule="atLeast"/>
        </w:trPr>
        <w:tc>
          <w:tcPr>
            <w:tcW w:w="2250" w:type="dxa"/>
            <w:gridSpan w:val="4"/>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38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321"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39"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9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66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1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66"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17" w:hRule="atLeast"/>
        </w:trPr>
        <w:tc>
          <w:tcPr>
            <w:tcW w:w="2250" w:type="dxa"/>
            <w:gridSpan w:val="4"/>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38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321"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39"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9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66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1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66"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17" w:hRule="atLeast"/>
        </w:trPr>
        <w:tc>
          <w:tcPr>
            <w:tcW w:w="2250" w:type="dxa"/>
            <w:gridSpan w:val="4"/>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38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321"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39"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9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66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1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66"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2639" w:type="dxa"/>
            <w:gridSpan w:val="5"/>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栏次</w:t>
            </w:r>
          </w:p>
        </w:tc>
        <w:tc>
          <w:tcPr>
            <w:tcW w:w="1321"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w:t>
            </w:r>
          </w:p>
        </w:tc>
        <w:tc>
          <w:tcPr>
            <w:tcW w:w="83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w:t>
            </w:r>
          </w:p>
        </w:tc>
        <w:tc>
          <w:tcPr>
            <w:tcW w:w="99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w:t>
            </w:r>
          </w:p>
        </w:tc>
        <w:tc>
          <w:tcPr>
            <w:tcW w:w="84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w:t>
            </w:r>
          </w:p>
        </w:tc>
        <w:tc>
          <w:tcPr>
            <w:tcW w:w="66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w:t>
            </w:r>
          </w:p>
        </w:tc>
        <w:tc>
          <w:tcPr>
            <w:tcW w:w="91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w:t>
            </w:r>
          </w:p>
        </w:tc>
        <w:tc>
          <w:tcPr>
            <w:tcW w:w="76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w:t>
            </w:r>
          </w:p>
        </w:tc>
      </w:tr>
      <w:tr>
        <w:tblPrEx>
          <w:tblLayout w:type="fixed"/>
          <w:tblCellMar>
            <w:top w:w="15" w:type="dxa"/>
            <w:left w:w="15" w:type="dxa"/>
            <w:bottom w:w="15" w:type="dxa"/>
            <w:right w:w="15" w:type="dxa"/>
          </w:tblCellMar>
        </w:tblPrEx>
        <w:trPr>
          <w:trHeight w:val="300" w:hRule="atLeast"/>
        </w:trPr>
        <w:tc>
          <w:tcPr>
            <w:tcW w:w="2639" w:type="dxa"/>
            <w:gridSpan w:val="5"/>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合计</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一般公共服务支出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699.20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699.20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20103</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政府办公厅（室）及相关机构事务</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671.14</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671.14</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2010301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647.92</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647.92</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2010308</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信访事务</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23.22</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23.22</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20106</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财政事务</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2010601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20132</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组织事务</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2013299</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其他组织事务支出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教育支出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61.12</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61.12</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20502</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普通教育</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2050202</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小学教育</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20507</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特殊教育</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2050701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特殊学校教育</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207</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文化体育与传媒支出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20701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文化</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2070101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社会保障和就业支出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15.59</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15.59</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20802</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民政管理事务</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2080201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20808</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抚恤</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2080802</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伤残抚恤</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20899</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其他社会保障和就业支出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2089901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其他社会保障和就业支出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节能环保支出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21103</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污染防治</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2110307</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排污费安排的支出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21104</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自然生态保护</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2110402</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农村环境保护</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21105</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天然林保护</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2110599</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其他天然林保护支出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21199</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其他节能环保支出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2119901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其他节能环保支出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城乡社区支出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100.87</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100.87</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城乡社区管理事务</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2120101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21203</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城乡社区公共设施</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2120303</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小城镇基础设施建设</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农林水支出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739.14</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739.14</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农业</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2130199</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其他农业支出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21302</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林业</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2130205</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森林培育</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21303</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水利</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171.80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171.80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2130316</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农田水利</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120.00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120.00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2130332</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砂石资源费支出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51.80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51.80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21307</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农村综合改革</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306.20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306.20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2130701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对村级一事一议的补助</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99.97</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99.97</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2130705</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对村民委员会和村党支部的补助</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206.23</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206.23</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220</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国土海洋气象等支出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22001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国土资源事务</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2200199</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其他国土资源事务支出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住房保障支出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22101</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保障性安居工程支出</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2210105</w:t>
            </w:r>
          </w:p>
        </w:tc>
        <w:tc>
          <w:tcPr>
            <w:tcW w:w="1740" w:type="dxa"/>
            <w:gridSpan w:val="3"/>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农村危房改造</w:t>
            </w:r>
          </w:p>
        </w:tc>
        <w:tc>
          <w:tcPr>
            <w:tcW w:w="132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83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9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9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6"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970" w:type="dxa"/>
            <w:gridSpan w:val="13"/>
            <w:tcBorders>
              <w:left w:val="single" w:color="000000" w:sz="12"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注：本表反映部门本年度取得的各项收入情况。</w:t>
            </w:r>
          </w:p>
        </w:tc>
      </w:tr>
      <w:tr>
        <w:tblPrEx>
          <w:tblLayout w:type="fixed"/>
          <w:tblCellMar>
            <w:top w:w="15" w:type="dxa"/>
            <w:left w:w="15" w:type="dxa"/>
            <w:bottom w:w="15" w:type="dxa"/>
            <w:right w:w="15" w:type="dxa"/>
          </w:tblCellMar>
        </w:tblPrEx>
        <w:trPr>
          <w:trHeight w:val="286" w:hRule="atLeast"/>
        </w:trPr>
        <w:tc>
          <w:tcPr>
            <w:tcW w:w="8970" w:type="dxa"/>
            <w:gridSpan w:val="13"/>
            <w:shd w:val="clear" w:color="auto" w:fill="auto"/>
            <w:vAlign w:val="bottom"/>
          </w:tcPr>
          <w:p>
            <w:pPr>
              <w:jc w:val="center"/>
              <w:rPr>
                <w:rFonts w:ascii="Arial" w:hAnsi="Arial" w:cs="Arial"/>
                <w:color w:val="000000"/>
                <w:sz w:val="20"/>
                <w:szCs w:val="20"/>
              </w:rPr>
            </w:pPr>
            <w:r>
              <w:rPr>
                <w:rFonts w:hint="eastAsia" w:ascii="宋体" w:hAnsi="宋体" w:eastAsia="宋体" w:cs="宋体"/>
                <w:color w:val="000000"/>
                <w:kern w:val="0"/>
                <w:sz w:val="20"/>
                <w:szCs w:val="20"/>
              </w:rPr>
              <w:t>—2 —</w:t>
            </w:r>
          </w:p>
        </w:tc>
      </w:tr>
    </w:tbl>
    <w:p/>
    <w:p/>
    <w:p/>
    <w:p/>
    <w:p/>
    <w:p/>
    <w:p/>
    <w:p>
      <w:r>
        <w:br w:type="page"/>
      </w:r>
    </w:p>
    <w:tbl>
      <w:tblPr>
        <w:tblStyle w:val="14"/>
        <w:tblW w:w="8803" w:type="dxa"/>
        <w:tblInd w:w="0" w:type="dxa"/>
        <w:tblLayout w:type="fixed"/>
        <w:tblCellMar>
          <w:top w:w="15" w:type="dxa"/>
          <w:left w:w="15" w:type="dxa"/>
          <w:bottom w:w="15" w:type="dxa"/>
          <w:right w:w="15" w:type="dxa"/>
        </w:tblCellMar>
      </w:tblPr>
      <w:tblGrid>
        <w:gridCol w:w="730"/>
        <w:gridCol w:w="730"/>
        <w:gridCol w:w="129"/>
        <w:gridCol w:w="660"/>
        <w:gridCol w:w="1005"/>
        <w:gridCol w:w="300"/>
        <w:gridCol w:w="615"/>
        <w:gridCol w:w="254"/>
        <w:gridCol w:w="586"/>
        <w:gridCol w:w="239"/>
        <w:gridCol w:w="586"/>
        <w:gridCol w:w="329"/>
        <w:gridCol w:w="676"/>
        <w:gridCol w:w="269"/>
        <w:gridCol w:w="436"/>
        <w:gridCol w:w="554"/>
        <w:gridCol w:w="705"/>
      </w:tblGrid>
      <w:tr>
        <w:tblPrEx>
          <w:tblLayout w:type="fixed"/>
          <w:tblCellMar>
            <w:top w:w="15" w:type="dxa"/>
            <w:left w:w="15" w:type="dxa"/>
            <w:bottom w:w="15" w:type="dxa"/>
            <w:right w:w="15" w:type="dxa"/>
          </w:tblCellMar>
        </w:tblPrEx>
        <w:trPr>
          <w:trHeight w:val="390" w:hRule="atLeast"/>
        </w:trPr>
        <w:tc>
          <w:tcPr>
            <w:tcW w:w="8803" w:type="dxa"/>
            <w:gridSpan w:val="17"/>
            <w:shd w:val="clear" w:color="auto" w:fill="auto"/>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28"/>
                <w:szCs w:val="28"/>
              </w:rPr>
              <w:t>支出决算表</w:t>
            </w:r>
          </w:p>
        </w:tc>
      </w:tr>
      <w:tr>
        <w:tblPrEx>
          <w:tblLayout w:type="fixed"/>
          <w:tblCellMar>
            <w:top w:w="15" w:type="dxa"/>
            <w:left w:w="15" w:type="dxa"/>
            <w:bottom w:w="15" w:type="dxa"/>
            <w:right w:w="15" w:type="dxa"/>
          </w:tblCellMar>
        </w:tblPrEx>
        <w:trPr>
          <w:trHeight w:val="285" w:hRule="atLeast"/>
        </w:trPr>
        <w:tc>
          <w:tcPr>
            <w:tcW w:w="730" w:type="dxa"/>
            <w:shd w:val="clear" w:color="auto" w:fill="auto"/>
            <w:vAlign w:val="bottom"/>
          </w:tcPr>
          <w:p>
            <w:pPr>
              <w:rPr>
                <w:rFonts w:ascii="Arial" w:hAnsi="Arial" w:cs="Arial"/>
                <w:color w:val="000000"/>
                <w:sz w:val="10"/>
                <w:szCs w:val="10"/>
              </w:rPr>
            </w:pPr>
          </w:p>
        </w:tc>
        <w:tc>
          <w:tcPr>
            <w:tcW w:w="730" w:type="dxa"/>
            <w:shd w:val="clear" w:color="auto" w:fill="auto"/>
            <w:vAlign w:val="bottom"/>
          </w:tcPr>
          <w:p>
            <w:pPr>
              <w:rPr>
                <w:rFonts w:ascii="Arial" w:hAnsi="Arial" w:cs="Arial"/>
                <w:color w:val="000000"/>
                <w:sz w:val="10"/>
                <w:szCs w:val="10"/>
              </w:rPr>
            </w:pPr>
          </w:p>
        </w:tc>
        <w:tc>
          <w:tcPr>
            <w:tcW w:w="789" w:type="dxa"/>
            <w:gridSpan w:val="2"/>
            <w:shd w:val="clear" w:color="auto" w:fill="auto"/>
            <w:vAlign w:val="bottom"/>
          </w:tcPr>
          <w:p>
            <w:pPr>
              <w:rPr>
                <w:rFonts w:ascii="Arial" w:hAnsi="Arial" w:cs="Arial"/>
                <w:color w:val="000000"/>
                <w:sz w:val="10"/>
                <w:szCs w:val="10"/>
              </w:rPr>
            </w:pPr>
          </w:p>
        </w:tc>
        <w:tc>
          <w:tcPr>
            <w:tcW w:w="1305" w:type="dxa"/>
            <w:gridSpan w:val="2"/>
            <w:shd w:val="clear" w:color="auto" w:fill="auto"/>
            <w:vAlign w:val="bottom"/>
          </w:tcPr>
          <w:p>
            <w:pPr>
              <w:rPr>
                <w:rFonts w:ascii="Arial" w:hAnsi="Arial" w:cs="Arial"/>
                <w:color w:val="000000"/>
                <w:sz w:val="10"/>
                <w:szCs w:val="10"/>
              </w:rPr>
            </w:pPr>
          </w:p>
        </w:tc>
        <w:tc>
          <w:tcPr>
            <w:tcW w:w="869" w:type="dxa"/>
            <w:gridSpan w:val="2"/>
            <w:shd w:val="clear" w:color="auto" w:fill="auto"/>
            <w:vAlign w:val="bottom"/>
          </w:tcPr>
          <w:p>
            <w:pPr>
              <w:rPr>
                <w:rFonts w:ascii="Arial" w:hAnsi="Arial" w:cs="Arial"/>
                <w:color w:val="000000"/>
                <w:sz w:val="10"/>
                <w:szCs w:val="10"/>
              </w:rPr>
            </w:pPr>
          </w:p>
        </w:tc>
        <w:tc>
          <w:tcPr>
            <w:tcW w:w="586" w:type="dxa"/>
            <w:shd w:val="clear" w:color="auto" w:fill="auto"/>
            <w:vAlign w:val="bottom"/>
          </w:tcPr>
          <w:p>
            <w:pPr>
              <w:rPr>
                <w:rFonts w:ascii="Arial" w:hAnsi="Arial" w:cs="Arial"/>
                <w:color w:val="000000"/>
                <w:sz w:val="10"/>
                <w:szCs w:val="10"/>
              </w:rPr>
            </w:pPr>
          </w:p>
        </w:tc>
        <w:tc>
          <w:tcPr>
            <w:tcW w:w="825" w:type="dxa"/>
            <w:gridSpan w:val="2"/>
            <w:shd w:val="clear" w:color="auto" w:fill="auto"/>
            <w:vAlign w:val="bottom"/>
          </w:tcPr>
          <w:p>
            <w:pPr>
              <w:rPr>
                <w:rFonts w:ascii="Arial" w:hAnsi="Arial" w:cs="Arial"/>
                <w:color w:val="000000"/>
                <w:sz w:val="10"/>
                <w:szCs w:val="10"/>
              </w:rPr>
            </w:pPr>
          </w:p>
        </w:tc>
        <w:tc>
          <w:tcPr>
            <w:tcW w:w="1005" w:type="dxa"/>
            <w:gridSpan w:val="2"/>
            <w:shd w:val="clear" w:color="auto" w:fill="auto"/>
            <w:vAlign w:val="bottom"/>
          </w:tcPr>
          <w:p>
            <w:pPr>
              <w:rPr>
                <w:rFonts w:ascii="Arial" w:hAnsi="Arial" w:cs="Arial"/>
                <w:color w:val="000000"/>
                <w:sz w:val="10"/>
                <w:szCs w:val="10"/>
              </w:rPr>
            </w:pPr>
          </w:p>
        </w:tc>
        <w:tc>
          <w:tcPr>
            <w:tcW w:w="705" w:type="dxa"/>
            <w:gridSpan w:val="2"/>
            <w:shd w:val="clear" w:color="auto" w:fill="auto"/>
            <w:vAlign w:val="bottom"/>
          </w:tcPr>
          <w:p>
            <w:pPr>
              <w:rPr>
                <w:rFonts w:ascii="Arial" w:hAnsi="Arial" w:cs="Arial"/>
                <w:color w:val="000000"/>
                <w:sz w:val="10"/>
                <w:szCs w:val="10"/>
              </w:rPr>
            </w:pPr>
          </w:p>
        </w:tc>
        <w:tc>
          <w:tcPr>
            <w:tcW w:w="1259" w:type="dxa"/>
            <w:gridSpan w:val="2"/>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公开03表</w:t>
            </w:r>
          </w:p>
        </w:tc>
      </w:tr>
      <w:tr>
        <w:tblPrEx>
          <w:tblLayout w:type="fixed"/>
          <w:tblCellMar>
            <w:top w:w="15" w:type="dxa"/>
            <w:left w:w="15" w:type="dxa"/>
            <w:bottom w:w="15" w:type="dxa"/>
            <w:right w:w="15" w:type="dxa"/>
          </w:tblCellMar>
        </w:tblPrEx>
        <w:trPr>
          <w:trHeight w:val="285" w:hRule="atLeast"/>
        </w:trPr>
        <w:tc>
          <w:tcPr>
            <w:tcW w:w="5009" w:type="dxa"/>
            <w:gridSpan w:val="9"/>
            <w:shd w:val="clear" w:color="auto" w:fill="auto"/>
            <w:vAlign w:val="bottom"/>
          </w:tcPr>
          <w:p>
            <w:pPr>
              <w:widowControl/>
              <w:jc w:val="lef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部门：河南省南阳市卧龙区陆营镇人民政府</w:t>
            </w:r>
          </w:p>
        </w:tc>
        <w:tc>
          <w:tcPr>
            <w:tcW w:w="825" w:type="dxa"/>
            <w:gridSpan w:val="2"/>
            <w:shd w:val="clear" w:color="auto" w:fill="auto"/>
            <w:vAlign w:val="bottom"/>
          </w:tcPr>
          <w:p>
            <w:pPr>
              <w:rPr>
                <w:rFonts w:ascii="Arial" w:hAnsi="Arial" w:cs="Arial"/>
                <w:color w:val="000000"/>
                <w:sz w:val="10"/>
                <w:szCs w:val="10"/>
              </w:rPr>
            </w:pPr>
          </w:p>
        </w:tc>
        <w:tc>
          <w:tcPr>
            <w:tcW w:w="1005" w:type="dxa"/>
            <w:gridSpan w:val="2"/>
            <w:shd w:val="clear" w:color="auto" w:fill="auto"/>
            <w:vAlign w:val="bottom"/>
          </w:tcPr>
          <w:p>
            <w:pPr>
              <w:rPr>
                <w:rFonts w:ascii="Arial" w:hAnsi="Arial" w:cs="Arial"/>
                <w:color w:val="000000"/>
                <w:sz w:val="10"/>
                <w:szCs w:val="10"/>
              </w:rPr>
            </w:pPr>
          </w:p>
        </w:tc>
        <w:tc>
          <w:tcPr>
            <w:tcW w:w="705" w:type="dxa"/>
            <w:gridSpan w:val="2"/>
            <w:shd w:val="clear" w:color="auto" w:fill="auto"/>
            <w:vAlign w:val="bottom"/>
          </w:tcPr>
          <w:p>
            <w:pPr>
              <w:rPr>
                <w:rFonts w:ascii="Arial" w:hAnsi="Arial" w:cs="Arial"/>
                <w:color w:val="000000"/>
                <w:sz w:val="10"/>
                <w:szCs w:val="10"/>
              </w:rPr>
            </w:pPr>
          </w:p>
        </w:tc>
        <w:tc>
          <w:tcPr>
            <w:tcW w:w="1259" w:type="dxa"/>
            <w:gridSpan w:val="2"/>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单位：万元</w:t>
            </w:r>
          </w:p>
        </w:tc>
      </w:tr>
      <w:tr>
        <w:tblPrEx>
          <w:tblLayout w:type="fixed"/>
          <w:tblCellMar>
            <w:top w:w="15" w:type="dxa"/>
            <w:left w:w="15" w:type="dxa"/>
            <w:bottom w:w="15" w:type="dxa"/>
            <w:right w:w="15" w:type="dxa"/>
          </w:tblCellMar>
        </w:tblPrEx>
        <w:trPr>
          <w:trHeight w:val="300" w:hRule="atLeast"/>
        </w:trPr>
        <w:tc>
          <w:tcPr>
            <w:tcW w:w="3254" w:type="dxa"/>
            <w:gridSpan w:val="5"/>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w:t>
            </w:r>
          </w:p>
        </w:tc>
        <w:tc>
          <w:tcPr>
            <w:tcW w:w="915" w:type="dxa"/>
            <w:gridSpan w:val="2"/>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本年支出合计</w:t>
            </w:r>
          </w:p>
        </w:tc>
        <w:tc>
          <w:tcPr>
            <w:tcW w:w="840" w:type="dxa"/>
            <w:gridSpan w:val="2"/>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基本支出</w:t>
            </w:r>
          </w:p>
        </w:tc>
        <w:tc>
          <w:tcPr>
            <w:tcW w:w="825" w:type="dxa"/>
            <w:gridSpan w:val="2"/>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项目支出</w:t>
            </w:r>
          </w:p>
        </w:tc>
        <w:tc>
          <w:tcPr>
            <w:tcW w:w="1005" w:type="dxa"/>
            <w:gridSpan w:val="2"/>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上缴上级支出</w:t>
            </w:r>
          </w:p>
        </w:tc>
        <w:tc>
          <w:tcPr>
            <w:tcW w:w="705" w:type="dxa"/>
            <w:gridSpan w:val="2"/>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经营支出</w:t>
            </w:r>
          </w:p>
        </w:tc>
        <w:tc>
          <w:tcPr>
            <w:tcW w:w="1259" w:type="dxa"/>
            <w:gridSpan w:val="2"/>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对附属单位补助支出</w:t>
            </w:r>
          </w:p>
        </w:tc>
      </w:tr>
      <w:tr>
        <w:tblPrEx>
          <w:tblLayout w:type="fixed"/>
          <w:tblCellMar>
            <w:top w:w="15" w:type="dxa"/>
            <w:left w:w="15" w:type="dxa"/>
            <w:bottom w:w="15" w:type="dxa"/>
            <w:right w:w="15" w:type="dxa"/>
          </w:tblCellMar>
        </w:tblPrEx>
        <w:trPr>
          <w:trHeight w:val="317" w:hRule="atLeast"/>
        </w:trPr>
        <w:tc>
          <w:tcPr>
            <w:tcW w:w="1589" w:type="dxa"/>
            <w:gridSpan w:val="3"/>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功能分类科目编码</w:t>
            </w:r>
          </w:p>
        </w:tc>
        <w:tc>
          <w:tcPr>
            <w:tcW w:w="1665"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科目名称</w:t>
            </w:r>
          </w:p>
        </w:tc>
        <w:tc>
          <w:tcPr>
            <w:tcW w:w="91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40"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2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00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0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259"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17" w:hRule="atLeast"/>
        </w:trPr>
        <w:tc>
          <w:tcPr>
            <w:tcW w:w="1589"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665"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1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40"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2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00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0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259"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17" w:hRule="atLeast"/>
        </w:trPr>
        <w:tc>
          <w:tcPr>
            <w:tcW w:w="1589"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665"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1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40"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2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00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0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259"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17" w:hRule="atLeast"/>
        </w:trPr>
        <w:tc>
          <w:tcPr>
            <w:tcW w:w="1589"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665"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1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40"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2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00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05"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259"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3254" w:type="dxa"/>
            <w:gridSpan w:val="5"/>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栏次</w:t>
            </w:r>
          </w:p>
        </w:tc>
        <w:tc>
          <w:tcPr>
            <w:tcW w:w="9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w:t>
            </w:r>
          </w:p>
        </w:tc>
        <w:tc>
          <w:tcPr>
            <w:tcW w:w="8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w:t>
            </w:r>
          </w:p>
        </w:tc>
        <w:tc>
          <w:tcPr>
            <w:tcW w:w="82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w:t>
            </w:r>
          </w:p>
        </w:tc>
        <w:tc>
          <w:tcPr>
            <w:tcW w:w="100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w:t>
            </w:r>
          </w:p>
        </w:tc>
        <w:tc>
          <w:tcPr>
            <w:tcW w:w="70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w:t>
            </w:r>
          </w:p>
        </w:tc>
        <w:tc>
          <w:tcPr>
            <w:tcW w:w="1259"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w:t>
            </w:r>
          </w:p>
        </w:tc>
      </w:tr>
      <w:tr>
        <w:tblPrEx>
          <w:tblLayout w:type="fixed"/>
          <w:tblCellMar>
            <w:top w:w="15" w:type="dxa"/>
            <w:left w:w="15" w:type="dxa"/>
            <w:bottom w:w="15" w:type="dxa"/>
            <w:right w:w="15" w:type="dxa"/>
          </w:tblCellMar>
        </w:tblPrEx>
        <w:trPr>
          <w:trHeight w:val="300" w:hRule="atLeast"/>
        </w:trPr>
        <w:tc>
          <w:tcPr>
            <w:tcW w:w="3254" w:type="dxa"/>
            <w:gridSpan w:val="5"/>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合计</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815.21</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926.04</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一般公共服务支出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699.20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699.20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20103</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政府办公厅（室）及相关机构事务</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671.14</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671.14</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2010301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647.92</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647.92</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2010308</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信访事务</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23.22</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23.22</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20106</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财政事务</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2010601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20132</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组织事务</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2013299</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其他组织事务支出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教育支出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61.12</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20502</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普通教育</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2050202</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小学教育</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20507</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特殊教育</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2050701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特殊学校教育</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207</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文化体育与传媒支出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20701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文化</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2070101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社会保障和就业支出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15.59</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15.59</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20802</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民政管理事务</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2080201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20808</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抚恤</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2080802</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伤残抚恤</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20899</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其他社会保障和就业支出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2089901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其他社会保障和就业支出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节能环保支出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21103</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污染防治</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2110307</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排污费安排的支出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21104</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自然生态保护</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2110402</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农村环境保护</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21105</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天然林保护</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2110599</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其他天然林保护支出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21199</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其他节能环保支出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2119901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其他节能环保支出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城乡社区支出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100.87</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城乡社区管理事务</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2120101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21203</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城乡社区公共设施</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2120303</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小城镇基础设施建设</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农林水支出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739.14</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739.14</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农业</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2130199</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其他农业支出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21302</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林业</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2130205</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森林培育</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21303</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水利</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171.80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171.80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2130316</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农田水利</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120.00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120.00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2130332</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砂石资源费支出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51.80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51.80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21307</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农村综合改革</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306.20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306.20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2130701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对村级一事一议的补助</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99.97</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99.97</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2130705</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对村民委员会和村党支部的补助</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206.23</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206.23</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220</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国土海洋气象等支出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22001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国土资源事务</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2200199</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其他国土资源事务支出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住房保障支出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22101</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保障性安居工程支出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58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2210105</w:t>
            </w:r>
          </w:p>
        </w:tc>
        <w:tc>
          <w:tcPr>
            <w:tcW w:w="1665"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农村危房改造</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84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82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10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0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259"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803" w:type="dxa"/>
            <w:gridSpan w:val="17"/>
            <w:tcBorders>
              <w:left w:val="single" w:color="000000" w:sz="12"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注：本表反映部门本年度各项支出情况。</w:t>
            </w:r>
          </w:p>
        </w:tc>
      </w:tr>
      <w:tr>
        <w:tblPrEx>
          <w:tblLayout w:type="fixed"/>
          <w:tblCellMar>
            <w:top w:w="15" w:type="dxa"/>
            <w:left w:w="15" w:type="dxa"/>
            <w:bottom w:w="15" w:type="dxa"/>
            <w:right w:w="15" w:type="dxa"/>
          </w:tblCellMar>
        </w:tblPrEx>
        <w:trPr>
          <w:trHeight w:val="256" w:hRule="atLeast"/>
        </w:trPr>
        <w:tc>
          <w:tcPr>
            <w:tcW w:w="730" w:type="dxa"/>
            <w:shd w:val="clear" w:color="auto" w:fill="auto"/>
            <w:vAlign w:val="bottom"/>
          </w:tcPr>
          <w:p>
            <w:pPr>
              <w:rPr>
                <w:rFonts w:ascii="Arial" w:hAnsi="Arial" w:cs="Arial"/>
                <w:color w:val="000000"/>
                <w:sz w:val="10"/>
                <w:szCs w:val="10"/>
              </w:rPr>
            </w:pPr>
          </w:p>
        </w:tc>
        <w:tc>
          <w:tcPr>
            <w:tcW w:w="730" w:type="dxa"/>
            <w:shd w:val="clear" w:color="auto" w:fill="auto"/>
            <w:vAlign w:val="bottom"/>
          </w:tcPr>
          <w:p>
            <w:pPr>
              <w:rPr>
                <w:rFonts w:ascii="Arial" w:hAnsi="Arial" w:cs="Arial"/>
                <w:color w:val="000000"/>
                <w:sz w:val="10"/>
                <w:szCs w:val="10"/>
              </w:rPr>
            </w:pPr>
          </w:p>
        </w:tc>
        <w:tc>
          <w:tcPr>
            <w:tcW w:w="789" w:type="dxa"/>
            <w:gridSpan w:val="2"/>
            <w:shd w:val="clear" w:color="auto" w:fill="auto"/>
            <w:vAlign w:val="bottom"/>
          </w:tcPr>
          <w:p>
            <w:pPr>
              <w:rPr>
                <w:rFonts w:ascii="Arial" w:hAnsi="Arial" w:cs="Arial"/>
                <w:color w:val="000000"/>
                <w:sz w:val="10"/>
                <w:szCs w:val="10"/>
              </w:rPr>
            </w:pPr>
          </w:p>
        </w:tc>
        <w:tc>
          <w:tcPr>
            <w:tcW w:w="1305" w:type="dxa"/>
            <w:gridSpan w:val="2"/>
            <w:shd w:val="clear" w:color="auto" w:fill="auto"/>
            <w:vAlign w:val="bottom"/>
          </w:tcPr>
          <w:p>
            <w:pPr>
              <w:rPr>
                <w:rFonts w:ascii="Arial" w:hAnsi="Arial" w:cs="Arial"/>
                <w:color w:val="000000"/>
                <w:sz w:val="10"/>
                <w:szCs w:val="10"/>
              </w:rPr>
            </w:pPr>
          </w:p>
        </w:tc>
        <w:tc>
          <w:tcPr>
            <w:tcW w:w="869" w:type="dxa"/>
            <w:gridSpan w:val="2"/>
            <w:shd w:val="clear" w:color="auto" w:fill="auto"/>
            <w:vAlign w:val="bottom"/>
          </w:tcPr>
          <w:p>
            <w:pPr>
              <w:rPr>
                <w:rFonts w:ascii="Arial" w:hAnsi="Arial" w:cs="Arial"/>
                <w:color w:val="000000"/>
                <w:sz w:val="10"/>
                <w:szCs w:val="10"/>
              </w:rPr>
            </w:pPr>
          </w:p>
        </w:tc>
        <w:tc>
          <w:tcPr>
            <w:tcW w:w="825" w:type="dxa"/>
            <w:gridSpan w:val="2"/>
            <w:shd w:val="clear" w:color="auto" w:fill="auto"/>
            <w:vAlign w:val="bottom"/>
          </w:tcPr>
          <w:p>
            <w:pPr>
              <w:rPr>
                <w:rFonts w:ascii="Arial" w:hAnsi="Arial" w:cs="Arial"/>
                <w:color w:val="000000"/>
                <w:sz w:val="10"/>
                <w:szCs w:val="10"/>
              </w:rPr>
            </w:pPr>
          </w:p>
        </w:tc>
        <w:tc>
          <w:tcPr>
            <w:tcW w:w="915" w:type="dxa"/>
            <w:gridSpan w:val="2"/>
            <w:shd w:val="clear" w:color="auto" w:fill="auto"/>
            <w:vAlign w:val="bottom"/>
          </w:tcPr>
          <w:p>
            <w:pPr>
              <w:rPr>
                <w:rFonts w:ascii="Arial" w:hAnsi="Arial" w:cs="Arial"/>
                <w:color w:val="000000"/>
                <w:sz w:val="10"/>
                <w:szCs w:val="10"/>
              </w:rPr>
            </w:pPr>
          </w:p>
        </w:tc>
        <w:tc>
          <w:tcPr>
            <w:tcW w:w="945" w:type="dxa"/>
            <w:gridSpan w:val="2"/>
            <w:shd w:val="clear" w:color="auto" w:fill="auto"/>
            <w:vAlign w:val="bottom"/>
          </w:tcPr>
          <w:p>
            <w:pPr>
              <w:rPr>
                <w:rFonts w:ascii="Arial" w:hAnsi="Arial" w:cs="Arial"/>
                <w:color w:val="000000"/>
                <w:sz w:val="10"/>
                <w:szCs w:val="10"/>
              </w:rPr>
            </w:pPr>
          </w:p>
        </w:tc>
        <w:tc>
          <w:tcPr>
            <w:tcW w:w="990" w:type="dxa"/>
            <w:gridSpan w:val="2"/>
            <w:shd w:val="clear" w:color="auto" w:fill="auto"/>
            <w:vAlign w:val="bottom"/>
          </w:tcPr>
          <w:p>
            <w:pPr>
              <w:rPr>
                <w:rFonts w:ascii="Arial" w:hAnsi="Arial" w:cs="Arial"/>
                <w:color w:val="000000"/>
                <w:sz w:val="10"/>
                <w:szCs w:val="10"/>
              </w:rPr>
            </w:pPr>
          </w:p>
        </w:tc>
        <w:tc>
          <w:tcPr>
            <w:tcW w:w="705" w:type="dxa"/>
            <w:shd w:val="clear" w:color="auto" w:fill="auto"/>
            <w:vAlign w:val="bottom"/>
          </w:tcPr>
          <w:p>
            <w:pPr>
              <w:rPr>
                <w:rFonts w:ascii="Arial" w:hAnsi="Arial" w:cs="Arial"/>
                <w:color w:val="000000"/>
                <w:sz w:val="10"/>
                <w:szCs w:val="10"/>
              </w:rPr>
            </w:pPr>
          </w:p>
        </w:tc>
      </w:tr>
      <w:tr>
        <w:tblPrEx>
          <w:tblLayout w:type="fixed"/>
          <w:tblCellMar>
            <w:top w:w="15" w:type="dxa"/>
            <w:left w:w="15" w:type="dxa"/>
            <w:bottom w:w="15" w:type="dxa"/>
            <w:right w:w="15" w:type="dxa"/>
          </w:tblCellMar>
        </w:tblPrEx>
        <w:trPr>
          <w:trHeight w:val="285" w:hRule="atLeast"/>
        </w:trPr>
        <w:tc>
          <w:tcPr>
            <w:tcW w:w="8803" w:type="dxa"/>
            <w:gridSpan w:val="17"/>
            <w:shd w:val="clear" w:color="auto" w:fill="auto"/>
            <w:vAlign w:val="bottom"/>
          </w:tcPr>
          <w:p>
            <w:pPr>
              <w:widowControl/>
              <w:jc w:val="center"/>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 3—</w:t>
            </w:r>
          </w:p>
        </w:tc>
      </w:tr>
    </w:tbl>
    <w:p/>
    <w:p/>
    <w:p/>
    <w:p/>
    <w:p/>
    <w:p/>
    <w:p/>
    <w:p/>
    <w:p/>
    <w:p/>
    <w:p/>
    <w:p/>
    <w:tbl>
      <w:tblPr>
        <w:tblStyle w:val="14"/>
        <w:tblW w:w="8205" w:type="dxa"/>
        <w:tblInd w:w="0" w:type="dxa"/>
        <w:tblLayout w:type="fixed"/>
        <w:tblCellMar>
          <w:top w:w="15" w:type="dxa"/>
          <w:left w:w="15" w:type="dxa"/>
          <w:bottom w:w="15" w:type="dxa"/>
          <w:right w:w="15" w:type="dxa"/>
        </w:tblCellMar>
      </w:tblPr>
      <w:tblGrid>
        <w:gridCol w:w="1454"/>
        <w:gridCol w:w="173"/>
        <w:gridCol w:w="442"/>
        <w:gridCol w:w="765"/>
        <w:gridCol w:w="907"/>
        <w:gridCol w:w="833"/>
        <w:gridCol w:w="235"/>
        <w:gridCol w:w="305"/>
        <w:gridCol w:w="137"/>
        <w:gridCol w:w="643"/>
        <w:gridCol w:w="269"/>
        <w:gridCol w:w="912"/>
        <w:gridCol w:w="1130"/>
      </w:tblGrid>
      <w:tr>
        <w:tblPrEx>
          <w:tblLayout w:type="fixed"/>
          <w:tblCellMar>
            <w:top w:w="15" w:type="dxa"/>
            <w:left w:w="15" w:type="dxa"/>
            <w:bottom w:w="15" w:type="dxa"/>
            <w:right w:w="15" w:type="dxa"/>
          </w:tblCellMar>
        </w:tblPrEx>
        <w:trPr>
          <w:trHeight w:val="564" w:hRule="atLeast"/>
        </w:trPr>
        <w:tc>
          <w:tcPr>
            <w:tcW w:w="8205" w:type="dxa"/>
            <w:gridSpan w:val="13"/>
            <w:shd w:val="clear" w:color="auto" w:fill="auto"/>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285" w:hRule="atLeast"/>
        </w:trPr>
        <w:tc>
          <w:tcPr>
            <w:tcW w:w="1627" w:type="dxa"/>
            <w:gridSpan w:val="2"/>
            <w:shd w:val="clear" w:color="auto" w:fill="auto"/>
            <w:vAlign w:val="bottom"/>
          </w:tcPr>
          <w:p>
            <w:pPr>
              <w:rPr>
                <w:rFonts w:ascii="Arial" w:hAnsi="Arial" w:cs="Arial"/>
                <w:color w:val="000000"/>
                <w:sz w:val="10"/>
                <w:szCs w:val="10"/>
              </w:rPr>
            </w:pPr>
          </w:p>
        </w:tc>
        <w:tc>
          <w:tcPr>
            <w:tcW w:w="442" w:type="dxa"/>
            <w:shd w:val="clear" w:color="auto" w:fill="auto"/>
            <w:vAlign w:val="bottom"/>
          </w:tcPr>
          <w:p>
            <w:pPr>
              <w:rPr>
                <w:rFonts w:ascii="Arial" w:hAnsi="Arial" w:cs="Arial"/>
                <w:color w:val="000000"/>
                <w:sz w:val="10"/>
                <w:szCs w:val="10"/>
              </w:rPr>
            </w:pPr>
          </w:p>
        </w:tc>
        <w:tc>
          <w:tcPr>
            <w:tcW w:w="1672" w:type="dxa"/>
            <w:gridSpan w:val="2"/>
            <w:shd w:val="clear" w:color="auto" w:fill="auto"/>
            <w:vAlign w:val="bottom"/>
          </w:tcPr>
          <w:p>
            <w:pPr>
              <w:rPr>
                <w:rFonts w:ascii="Arial" w:hAnsi="Arial" w:cs="Arial"/>
                <w:color w:val="000000"/>
                <w:sz w:val="10"/>
                <w:szCs w:val="10"/>
              </w:rPr>
            </w:pPr>
          </w:p>
        </w:tc>
        <w:tc>
          <w:tcPr>
            <w:tcW w:w="1068" w:type="dxa"/>
            <w:gridSpan w:val="2"/>
            <w:shd w:val="clear" w:color="auto" w:fill="auto"/>
            <w:vAlign w:val="bottom"/>
          </w:tcPr>
          <w:p>
            <w:pPr>
              <w:rPr>
                <w:rFonts w:ascii="Arial" w:hAnsi="Arial" w:cs="Arial"/>
                <w:color w:val="000000"/>
                <w:sz w:val="10"/>
                <w:szCs w:val="10"/>
              </w:rPr>
            </w:pPr>
          </w:p>
        </w:tc>
        <w:tc>
          <w:tcPr>
            <w:tcW w:w="442" w:type="dxa"/>
            <w:gridSpan w:val="2"/>
            <w:shd w:val="clear" w:color="auto" w:fill="auto"/>
            <w:vAlign w:val="bottom"/>
          </w:tcPr>
          <w:p>
            <w:pPr>
              <w:rPr>
                <w:rFonts w:ascii="Arial" w:hAnsi="Arial" w:cs="Arial"/>
                <w:color w:val="000000"/>
                <w:sz w:val="10"/>
                <w:szCs w:val="10"/>
              </w:rPr>
            </w:pPr>
          </w:p>
        </w:tc>
        <w:tc>
          <w:tcPr>
            <w:tcW w:w="912" w:type="dxa"/>
            <w:gridSpan w:val="2"/>
            <w:shd w:val="clear" w:color="auto" w:fill="auto"/>
            <w:vAlign w:val="bottom"/>
          </w:tcPr>
          <w:p>
            <w:pPr>
              <w:rPr>
                <w:rFonts w:ascii="Arial" w:hAnsi="Arial" w:cs="Arial"/>
                <w:color w:val="000000"/>
                <w:sz w:val="10"/>
                <w:szCs w:val="10"/>
              </w:rPr>
            </w:pPr>
          </w:p>
        </w:tc>
        <w:tc>
          <w:tcPr>
            <w:tcW w:w="912" w:type="dxa"/>
            <w:shd w:val="clear" w:color="auto" w:fill="auto"/>
            <w:vAlign w:val="bottom"/>
          </w:tcPr>
          <w:p>
            <w:pPr>
              <w:rPr>
                <w:rFonts w:ascii="Arial" w:hAnsi="Arial" w:cs="Arial"/>
                <w:color w:val="000000"/>
                <w:sz w:val="10"/>
                <w:szCs w:val="10"/>
              </w:rPr>
            </w:pPr>
          </w:p>
        </w:tc>
        <w:tc>
          <w:tcPr>
            <w:tcW w:w="1130" w:type="dxa"/>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公开04表</w:t>
            </w:r>
          </w:p>
        </w:tc>
      </w:tr>
      <w:tr>
        <w:tblPrEx>
          <w:tblLayout w:type="fixed"/>
          <w:tblCellMar>
            <w:top w:w="15" w:type="dxa"/>
            <w:left w:w="15" w:type="dxa"/>
            <w:bottom w:w="15" w:type="dxa"/>
            <w:right w:w="15" w:type="dxa"/>
          </w:tblCellMar>
        </w:tblPrEx>
        <w:trPr>
          <w:trHeight w:val="270" w:hRule="atLeast"/>
        </w:trPr>
        <w:tc>
          <w:tcPr>
            <w:tcW w:w="4809" w:type="dxa"/>
            <w:gridSpan w:val="7"/>
            <w:shd w:val="clear" w:color="auto" w:fill="auto"/>
            <w:vAlign w:val="bottom"/>
          </w:tcPr>
          <w:p>
            <w:pPr>
              <w:rPr>
                <w:rFonts w:ascii="Arial" w:hAnsi="Arial" w:cs="Arial"/>
                <w:color w:val="000000"/>
                <w:sz w:val="10"/>
                <w:szCs w:val="10"/>
              </w:rPr>
            </w:pPr>
            <w:r>
              <w:rPr>
                <w:rFonts w:hint="eastAsia" w:ascii="宋体" w:hAnsi="宋体" w:eastAsia="宋体" w:cs="宋体"/>
                <w:color w:val="000000"/>
                <w:kern w:val="0"/>
                <w:sz w:val="10"/>
                <w:szCs w:val="10"/>
              </w:rPr>
              <w:t>部门：河南省南阳市卧龙区陆营镇人民政府</w:t>
            </w:r>
          </w:p>
        </w:tc>
        <w:tc>
          <w:tcPr>
            <w:tcW w:w="442" w:type="dxa"/>
            <w:gridSpan w:val="2"/>
            <w:shd w:val="clear" w:color="auto" w:fill="auto"/>
            <w:vAlign w:val="bottom"/>
          </w:tcPr>
          <w:p>
            <w:pPr>
              <w:rPr>
                <w:rFonts w:ascii="Arial" w:hAnsi="Arial" w:cs="Arial"/>
                <w:color w:val="000000"/>
                <w:sz w:val="10"/>
                <w:szCs w:val="10"/>
              </w:rPr>
            </w:pPr>
          </w:p>
        </w:tc>
        <w:tc>
          <w:tcPr>
            <w:tcW w:w="912" w:type="dxa"/>
            <w:gridSpan w:val="2"/>
            <w:shd w:val="clear" w:color="auto" w:fill="auto"/>
            <w:vAlign w:val="bottom"/>
          </w:tcPr>
          <w:p>
            <w:pPr>
              <w:rPr>
                <w:rFonts w:ascii="Arial" w:hAnsi="Arial" w:cs="Arial"/>
                <w:color w:val="000000"/>
                <w:sz w:val="10"/>
                <w:szCs w:val="10"/>
              </w:rPr>
            </w:pPr>
          </w:p>
        </w:tc>
        <w:tc>
          <w:tcPr>
            <w:tcW w:w="912" w:type="dxa"/>
            <w:shd w:val="clear" w:color="auto" w:fill="auto"/>
            <w:vAlign w:val="bottom"/>
          </w:tcPr>
          <w:p>
            <w:pPr>
              <w:rPr>
                <w:rFonts w:ascii="Arial" w:hAnsi="Arial" w:cs="Arial"/>
                <w:color w:val="000000"/>
                <w:sz w:val="10"/>
                <w:szCs w:val="10"/>
              </w:rPr>
            </w:pPr>
          </w:p>
        </w:tc>
        <w:tc>
          <w:tcPr>
            <w:tcW w:w="1130" w:type="dxa"/>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单位：万元</w:t>
            </w:r>
          </w:p>
        </w:tc>
      </w:tr>
      <w:tr>
        <w:tblPrEx>
          <w:tblLayout w:type="fixed"/>
          <w:tblCellMar>
            <w:top w:w="15" w:type="dxa"/>
            <w:left w:w="15" w:type="dxa"/>
            <w:bottom w:w="15" w:type="dxa"/>
            <w:right w:w="15" w:type="dxa"/>
          </w:tblCellMar>
        </w:tblPrEx>
        <w:trPr>
          <w:trHeight w:val="300" w:hRule="atLeast"/>
        </w:trPr>
        <w:tc>
          <w:tcPr>
            <w:tcW w:w="2834" w:type="dxa"/>
            <w:gridSpan w:val="4"/>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收入</w:t>
            </w:r>
          </w:p>
        </w:tc>
        <w:tc>
          <w:tcPr>
            <w:tcW w:w="5371" w:type="dxa"/>
            <w:gridSpan w:val="9"/>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支出</w:t>
            </w:r>
          </w:p>
        </w:tc>
      </w:tr>
      <w:tr>
        <w:tblPrEx>
          <w:tblLayout w:type="fixed"/>
          <w:tblCellMar>
            <w:top w:w="15" w:type="dxa"/>
            <w:left w:w="15" w:type="dxa"/>
            <w:bottom w:w="15" w:type="dxa"/>
            <w:right w:w="15" w:type="dxa"/>
          </w:tblCellMar>
        </w:tblPrEx>
        <w:trPr>
          <w:trHeight w:val="317" w:hRule="atLeast"/>
        </w:trPr>
        <w:tc>
          <w:tcPr>
            <w:tcW w:w="1454"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w:t>
            </w:r>
          </w:p>
        </w:tc>
        <w:tc>
          <w:tcPr>
            <w:tcW w:w="615"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行次</w:t>
            </w:r>
          </w:p>
        </w:tc>
        <w:tc>
          <w:tcPr>
            <w:tcW w:w="765"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金额</w:t>
            </w:r>
          </w:p>
        </w:tc>
        <w:tc>
          <w:tcPr>
            <w:tcW w:w="1740"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w:t>
            </w:r>
          </w:p>
        </w:tc>
        <w:tc>
          <w:tcPr>
            <w:tcW w:w="540"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行次</w:t>
            </w:r>
          </w:p>
        </w:tc>
        <w:tc>
          <w:tcPr>
            <w:tcW w:w="780"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合计</w:t>
            </w:r>
          </w:p>
        </w:tc>
        <w:tc>
          <w:tcPr>
            <w:tcW w:w="1181"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一般公共预算财政拨款</w:t>
            </w:r>
          </w:p>
        </w:tc>
        <w:tc>
          <w:tcPr>
            <w:tcW w:w="1130"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政府性基金预算财政拨款</w:t>
            </w:r>
          </w:p>
        </w:tc>
      </w:tr>
      <w:tr>
        <w:tblPrEx>
          <w:tblLayout w:type="fixed"/>
          <w:tblCellMar>
            <w:top w:w="15" w:type="dxa"/>
            <w:left w:w="15" w:type="dxa"/>
            <w:bottom w:w="15" w:type="dxa"/>
            <w:right w:w="15" w:type="dxa"/>
          </w:tblCellMar>
        </w:tblPrEx>
        <w:trPr>
          <w:trHeight w:val="317" w:hRule="atLeast"/>
        </w:trPr>
        <w:tc>
          <w:tcPr>
            <w:tcW w:w="1454"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615"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740"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540"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80"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181"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13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栏次</w:t>
            </w: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6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w:t>
            </w: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栏次</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8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w:t>
            </w:r>
          </w:p>
        </w:tc>
        <w:tc>
          <w:tcPr>
            <w:tcW w:w="1181"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w:t>
            </w:r>
          </w:p>
        </w:tc>
        <w:tc>
          <w:tcPr>
            <w:tcW w:w="113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一、一般公共预算财政拨款</w:t>
            </w: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w:t>
            </w:r>
          </w:p>
        </w:tc>
        <w:tc>
          <w:tcPr>
            <w:tcW w:w="7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一、一般公共服务支出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699.20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699.20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二、政府性基金预算财政拨款</w:t>
            </w: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w:t>
            </w:r>
          </w:p>
        </w:tc>
        <w:tc>
          <w:tcPr>
            <w:tcW w:w="7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二、外交支出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32</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三、国防支出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33</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四、公共安全支出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34</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五、教育支出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35</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61.12</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61.12</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六、科学技术支出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36</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七、文化体育与传媒支出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37</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八、社会保障和就业支出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38</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15.59</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15.59</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九、医疗卫生与计划生育支出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39</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十、节能环保支出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40</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十一、城乡社区支出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41</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100.87</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100.87</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12</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十二、农林水支出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42</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739.14</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739.14</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13</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十三、交通运输支出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43</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14</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十四、资源勘探信息等支出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44</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十五、商业服务业等支出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45</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16</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十六、金融支出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46</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十七、援助其他地区支出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47</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18</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十八、国土海洋气象等支出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48</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19</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十九、住房保障支出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49</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二十、粮油物资储备支出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二十一、其他支出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二十二、债务还本支出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52</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23</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二十三、债务付息支出</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53</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24</w:t>
            </w:r>
          </w:p>
        </w:tc>
        <w:tc>
          <w:tcPr>
            <w:tcW w:w="765"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54</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81"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3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本年收入合计</w:t>
            </w: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w:t>
            </w:r>
          </w:p>
        </w:tc>
        <w:tc>
          <w:tcPr>
            <w:tcW w:w="7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本年支出合计</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55</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年初财政拨款结转和结余</w:t>
            </w: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26</w:t>
            </w:r>
          </w:p>
        </w:tc>
        <w:tc>
          <w:tcPr>
            <w:tcW w:w="7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年末财政拨款结转和结余</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56</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一般公共预算财政拨款</w:t>
            </w: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27</w:t>
            </w:r>
          </w:p>
        </w:tc>
        <w:tc>
          <w:tcPr>
            <w:tcW w:w="7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57</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81"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3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政府性基金预算财政拨款</w:t>
            </w: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28</w:t>
            </w:r>
          </w:p>
        </w:tc>
        <w:tc>
          <w:tcPr>
            <w:tcW w:w="7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58</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81"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3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145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总计</w:t>
            </w:r>
          </w:p>
        </w:tc>
        <w:tc>
          <w:tcPr>
            <w:tcW w:w="615"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w:t>
            </w:r>
          </w:p>
        </w:tc>
        <w:tc>
          <w:tcPr>
            <w:tcW w:w="7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7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总计</w:t>
            </w:r>
          </w:p>
        </w:tc>
        <w:tc>
          <w:tcPr>
            <w:tcW w:w="540"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60</w:t>
            </w:r>
          </w:p>
        </w:tc>
        <w:tc>
          <w:tcPr>
            <w:tcW w:w="78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181"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13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8205" w:type="dxa"/>
            <w:gridSpan w:val="13"/>
            <w:tcBorders>
              <w:left w:val="single" w:color="000000" w:sz="12"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注：本表反映部门本年度一般公共预算财政拨款和政府性基金预算财政拨款的总收支和年末结转结余情况。</w:t>
            </w:r>
          </w:p>
        </w:tc>
      </w:tr>
      <w:tr>
        <w:tblPrEx>
          <w:tblLayout w:type="fixed"/>
          <w:tblCellMar>
            <w:top w:w="15" w:type="dxa"/>
            <w:left w:w="15" w:type="dxa"/>
            <w:bottom w:w="15" w:type="dxa"/>
            <w:right w:w="15" w:type="dxa"/>
          </w:tblCellMar>
        </w:tblPrEx>
        <w:trPr>
          <w:trHeight w:val="286" w:hRule="atLeast"/>
        </w:trPr>
        <w:tc>
          <w:tcPr>
            <w:tcW w:w="8205" w:type="dxa"/>
            <w:gridSpan w:val="13"/>
            <w:shd w:val="clear" w:color="auto" w:fill="auto"/>
            <w:vAlign w:val="bottom"/>
          </w:tcPr>
          <w:p>
            <w:pPr>
              <w:jc w:val="center"/>
              <w:rPr>
                <w:rFonts w:ascii="Arial" w:hAnsi="Arial" w:cs="Arial"/>
                <w:color w:val="000000"/>
                <w:sz w:val="10"/>
                <w:szCs w:val="10"/>
              </w:rPr>
            </w:pPr>
            <w:r>
              <w:rPr>
                <w:rFonts w:hint="eastAsia" w:ascii="宋体" w:hAnsi="宋体" w:eastAsia="宋体" w:cs="宋体"/>
                <w:color w:val="000000"/>
                <w:kern w:val="0"/>
                <w:sz w:val="10"/>
                <w:szCs w:val="10"/>
              </w:rPr>
              <w:t>— 4 —</w:t>
            </w:r>
          </w:p>
        </w:tc>
      </w:tr>
    </w:tbl>
    <w:p/>
    <w:tbl>
      <w:tblPr>
        <w:tblStyle w:val="14"/>
        <w:tblW w:w="8189" w:type="dxa"/>
        <w:tblInd w:w="0" w:type="dxa"/>
        <w:tblLayout w:type="fixed"/>
        <w:tblCellMar>
          <w:top w:w="15" w:type="dxa"/>
          <w:left w:w="15" w:type="dxa"/>
          <w:bottom w:w="15" w:type="dxa"/>
          <w:right w:w="15" w:type="dxa"/>
        </w:tblCellMar>
      </w:tblPr>
      <w:tblGrid>
        <w:gridCol w:w="730"/>
        <w:gridCol w:w="730"/>
        <w:gridCol w:w="789"/>
        <w:gridCol w:w="1635"/>
        <w:gridCol w:w="735"/>
        <w:gridCol w:w="510"/>
        <w:gridCol w:w="60"/>
        <w:gridCol w:w="465"/>
        <w:gridCol w:w="435"/>
        <w:gridCol w:w="135"/>
        <w:gridCol w:w="1965"/>
      </w:tblGrid>
      <w:tr>
        <w:tblPrEx>
          <w:tblLayout w:type="fixed"/>
          <w:tblCellMar>
            <w:top w:w="15" w:type="dxa"/>
            <w:left w:w="15" w:type="dxa"/>
            <w:bottom w:w="15" w:type="dxa"/>
            <w:right w:w="15" w:type="dxa"/>
          </w:tblCellMar>
        </w:tblPrEx>
        <w:trPr>
          <w:trHeight w:val="390" w:hRule="atLeast"/>
        </w:trPr>
        <w:tc>
          <w:tcPr>
            <w:tcW w:w="8189" w:type="dxa"/>
            <w:gridSpan w:val="11"/>
            <w:shd w:val="clear" w:color="auto" w:fill="auto"/>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730" w:type="dxa"/>
            <w:shd w:val="clear" w:color="auto" w:fill="auto"/>
            <w:vAlign w:val="bottom"/>
          </w:tcPr>
          <w:p>
            <w:pPr>
              <w:rPr>
                <w:rFonts w:ascii="Arial" w:hAnsi="Arial" w:cs="Arial"/>
                <w:color w:val="000000"/>
                <w:sz w:val="10"/>
                <w:szCs w:val="10"/>
              </w:rPr>
            </w:pPr>
          </w:p>
        </w:tc>
        <w:tc>
          <w:tcPr>
            <w:tcW w:w="730" w:type="dxa"/>
            <w:shd w:val="clear" w:color="auto" w:fill="auto"/>
            <w:vAlign w:val="bottom"/>
          </w:tcPr>
          <w:p>
            <w:pPr>
              <w:rPr>
                <w:rFonts w:ascii="Arial" w:hAnsi="Arial" w:cs="Arial"/>
                <w:color w:val="000000"/>
                <w:sz w:val="10"/>
                <w:szCs w:val="10"/>
              </w:rPr>
            </w:pPr>
          </w:p>
        </w:tc>
        <w:tc>
          <w:tcPr>
            <w:tcW w:w="789" w:type="dxa"/>
            <w:shd w:val="clear" w:color="auto" w:fill="auto"/>
            <w:vAlign w:val="bottom"/>
          </w:tcPr>
          <w:p>
            <w:pPr>
              <w:rPr>
                <w:rFonts w:ascii="Arial" w:hAnsi="Arial" w:cs="Arial"/>
                <w:color w:val="000000"/>
                <w:sz w:val="10"/>
                <w:szCs w:val="10"/>
              </w:rPr>
            </w:pPr>
          </w:p>
        </w:tc>
        <w:tc>
          <w:tcPr>
            <w:tcW w:w="1635" w:type="dxa"/>
            <w:shd w:val="clear" w:color="auto" w:fill="auto"/>
            <w:vAlign w:val="bottom"/>
          </w:tcPr>
          <w:p>
            <w:pPr>
              <w:rPr>
                <w:rFonts w:ascii="Arial" w:hAnsi="Arial" w:cs="Arial"/>
                <w:color w:val="000000"/>
                <w:sz w:val="10"/>
                <w:szCs w:val="10"/>
              </w:rPr>
            </w:pPr>
          </w:p>
        </w:tc>
        <w:tc>
          <w:tcPr>
            <w:tcW w:w="1305" w:type="dxa"/>
            <w:gridSpan w:val="3"/>
            <w:shd w:val="clear" w:color="auto" w:fill="auto"/>
            <w:vAlign w:val="bottom"/>
          </w:tcPr>
          <w:p>
            <w:pPr>
              <w:rPr>
                <w:rFonts w:ascii="Arial" w:hAnsi="Arial" w:cs="Arial"/>
                <w:color w:val="000000"/>
                <w:sz w:val="10"/>
                <w:szCs w:val="10"/>
              </w:rPr>
            </w:pPr>
          </w:p>
        </w:tc>
        <w:tc>
          <w:tcPr>
            <w:tcW w:w="1035" w:type="dxa"/>
            <w:gridSpan w:val="3"/>
            <w:shd w:val="clear" w:color="auto" w:fill="auto"/>
            <w:vAlign w:val="bottom"/>
          </w:tcPr>
          <w:p>
            <w:pPr>
              <w:rPr>
                <w:rFonts w:ascii="Arial" w:hAnsi="Arial" w:cs="Arial"/>
                <w:color w:val="000000"/>
                <w:sz w:val="10"/>
                <w:szCs w:val="10"/>
              </w:rPr>
            </w:pPr>
          </w:p>
        </w:tc>
        <w:tc>
          <w:tcPr>
            <w:tcW w:w="1965" w:type="dxa"/>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公开05表</w:t>
            </w:r>
          </w:p>
        </w:tc>
      </w:tr>
      <w:tr>
        <w:tblPrEx>
          <w:tblLayout w:type="fixed"/>
          <w:tblCellMar>
            <w:top w:w="15" w:type="dxa"/>
            <w:left w:w="15" w:type="dxa"/>
            <w:bottom w:w="15" w:type="dxa"/>
            <w:right w:w="15" w:type="dxa"/>
          </w:tblCellMar>
        </w:tblPrEx>
        <w:trPr>
          <w:trHeight w:val="270" w:hRule="atLeast"/>
        </w:trPr>
        <w:tc>
          <w:tcPr>
            <w:tcW w:w="5189" w:type="dxa"/>
            <w:gridSpan w:val="7"/>
            <w:shd w:val="clear" w:color="auto" w:fill="auto"/>
            <w:vAlign w:val="bottom"/>
          </w:tcPr>
          <w:p>
            <w:pPr>
              <w:widowControl/>
              <w:jc w:val="lef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部门：河南省南阳市卧龙区陆营镇人民政府</w:t>
            </w:r>
          </w:p>
        </w:tc>
        <w:tc>
          <w:tcPr>
            <w:tcW w:w="1035" w:type="dxa"/>
            <w:gridSpan w:val="3"/>
            <w:shd w:val="clear" w:color="auto" w:fill="auto"/>
            <w:vAlign w:val="bottom"/>
          </w:tcPr>
          <w:p>
            <w:pPr>
              <w:rPr>
                <w:rFonts w:ascii="Arial" w:hAnsi="Arial" w:cs="Arial"/>
                <w:color w:val="000000"/>
                <w:sz w:val="10"/>
                <w:szCs w:val="10"/>
              </w:rPr>
            </w:pPr>
          </w:p>
        </w:tc>
        <w:tc>
          <w:tcPr>
            <w:tcW w:w="1965" w:type="dxa"/>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单位：万元</w:t>
            </w:r>
          </w:p>
        </w:tc>
      </w:tr>
      <w:tr>
        <w:tblPrEx>
          <w:tblLayout w:type="fixed"/>
          <w:tblCellMar>
            <w:top w:w="15" w:type="dxa"/>
            <w:left w:w="15" w:type="dxa"/>
            <w:bottom w:w="15" w:type="dxa"/>
            <w:right w:w="15" w:type="dxa"/>
          </w:tblCellMar>
        </w:tblPrEx>
        <w:trPr>
          <w:trHeight w:val="300" w:hRule="atLeast"/>
        </w:trPr>
        <w:tc>
          <w:tcPr>
            <w:tcW w:w="3884" w:type="dxa"/>
            <w:gridSpan w:val="4"/>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w:t>
            </w:r>
          </w:p>
        </w:tc>
        <w:tc>
          <w:tcPr>
            <w:tcW w:w="1305" w:type="dxa"/>
            <w:gridSpan w:val="3"/>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本年支出合计</w:t>
            </w:r>
          </w:p>
        </w:tc>
        <w:tc>
          <w:tcPr>
            <w:tcW w:w="1035" w:type="dxa"/>
            <w:gridSpan w:val="3"/>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基本支出</w:t>
            </w:r>
          </w:p>
        </w:tc>
        <w:tc>
          <w:tcPr>
            <w:tcW w:w="1965"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项目支出</w:t>
            </w:r>
          </w:p>
        </w:tc>
      </w:tr>
      <w:tr>
        <w:tblPrEx>
          <w:tblLayout w:type="fixed"/>
          <w:tblCellMar>
            <w:top w:w="15" w:type="dxa"/>
            <w:left w:w="15" w:type="dxa"/>
            <w:bottom w:w="15" w:type="dxa"/>
            <w:right w:w="15" w:type="dxa"/>
          </w:tblCellMar>
        </w:tblPrEx>
        <w:trPr>
          <w:trHeight w:val="317" w:hRule="atLeast"/>
        </w:trPr>
        <w:tc>
          <w:tcPr>
            <w:tcW w:w="1460" w:type="dxa"/>
            <w:gridSpan w:val="2"/>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功能分类科目编码</w:t>
            </w:r>
          </w:p>
        </w:tc>
        <w:tc>
          <w:tcPr>
            <w:tcW w:w="2424"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科目名称</w:t>
            </w:r>
          </w:p>
        </w:tc>
        <w:tc>
          <w:tcPr>
            <w:tcW w:w="1305" w:type="dxa"/>
            <w:gridSpan w:val="3"/>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035" w:type="dxa"/>
            <w:gridSpan w:val="3"/>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96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17" w:hRule="atLeast"/>
        </w:trPr>
        <w:tc>
          <w:tcPr>
            <w:tcW w:w="1460" w:type="dxa"/>
            <w:gridSpan w:val="2"/>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2424"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305" w:type="dxa"/>
            <w:gridSpan w:val="3"/>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035" w:type="dxa"/>
            <w:gridSpan w:val="3"/>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96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17" w:hRule="atLeast"/>
        </w:trPr>
        <w:tc>
          <w:tcPr>
            <w:tcW w:w="1460" w:type="dxa"/>
            <w:gridSpan w:val="2"/>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2424"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305" w:type="dxa"/>
            <w:gridSpan w:val="3"/>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035" w:type="dxa"/>
            <w:gridSpan w:val="3"/>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96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3884"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栏次</w:t>
            </w:r>
          </w:p>
        </w:tc>
        <w:tc>
          <w:tcPr>
            <w:tcW w:w="1305" w:type="dxa"/>
            <w:gridSpan w:val="3"/>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w:t>
            </w:r>
          </w:p>
        </w:tc>
        <w:tc>
          <w:tcPr>
            <w:tcW w:w="1035" w:type="dxa"/>
            <w:gridSpan w:val="3"/>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w:t>
            </w:r>
          </w:p>
        </w:tc>
        <w:tc>
          <w:tcPr>
            <w:tcW w:w="196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w:t>
            </w:r>
          </w:p>
        </w:tc>
      </w:tr>
      <w:tr>
        <w:tblPrEx>
          <w:tblLayout w:type="fixed"/>
          <w:tblCellMar>
            <w:top w:w="15" w:type="dxa"/>
            <w:left w:w="15" w:type="dxa"/>
            <w:bottom w:w="15" w:type="dxa"/>
            <w:right w:w="15" w:type="dxa"/>
          </w:tblCellMar>
        </w:tblPrEx>
        <w:trPr>
          <w:trHeight w:val="300" w:hRule="atLeast"/>
        </w:trPr>
        <w:tc>
          <w:tcPr>
            <w:tcW w:w="3884"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合计</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1,741.25</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815.21</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926.04</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一般公共服务支出</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699.20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699.20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20103</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政府办公厅（室）及相关机构事务</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671.14</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671.14</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2010301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647.92</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647.92</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2010308</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信访事务</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23.22</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23.22</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20106</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财政事务</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2010601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10.54</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20132</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组织事务</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2013299</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其他组织事务支出</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17.52</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教育支出</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61.12</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20502</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普通教育</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2050202</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小学教育</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11.12</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20507</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特殊教育</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2050701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特殊学校教育</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207</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文化体育与传媒支出</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20701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文化</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2070101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社会保障和就业支出</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15.59</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15.59</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20802</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民政管理事务</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2080201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5.91</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20808</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抚恤</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2080802</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伤残抚恤</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20899</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其他社会保障和就业支出</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2089901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其他社会保障和就业支出</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7.68</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节能环保支出</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21103</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污染防治</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2110307</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排污费安排的支出</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21104</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自然生态保护</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2110402</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农村环境保护</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21105</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天然林保护</w:t>
            </w:r>
          </w:p>
        </w:tc>
        <w:tc>
          <w:tcPr>
            <w:tcW w:w="130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196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2110599</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其他天然林保护支出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21199</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其他节能环保支出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2119901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其他节能环保支出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城乡社区支出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100.87</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城乡社区管理事务</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2120101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行政运行</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25.30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21203</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城乡社区公共设施</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2120303</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小城镇基础设施建设</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75.57</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农林水支出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739.14</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739.14</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农业</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2130199</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其他农业支出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107.33</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21302</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林业</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2130205</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森林培育</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153.81</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21303</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水利</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171.80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171.80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2130316</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农田水利</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120.00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120.00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2130332</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砂石资源费支出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51.80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51.80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21307</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农村综合改革</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306.20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306.20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2130701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对村级一事一议的补助</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99.97</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99.97</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2130705</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对村民委员会和村党支部的补助</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206.23</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206.23</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220</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国土海洋气象等支出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22001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国土资源事务</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2200199</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其他国土资源事务支出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住房保障支出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22101</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保障性安居工程支出</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r>
      <w:tr>
        <w:tblPrEx>
          <w:tblLayout w:type="fixed"/>
          <w:tblCellMar>
            <w:top w:w="15" w:type="dxa"/>
            <w:left w:w="15" w:type="dxa"/>
            <w:bottom w:w="15" w:type="dxa"/>
            <w:right w:w="15" w:type="dxa"/>
          </w:tblCellMar>
        </w:tblPrEx>
        <w:trPr>
          <w:trHeight w:val="300" w:hRule="atLeast"/>
        </w:trPr>
        <w:tc>
          <w:tcPr>
            <w:tcW w:w="146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2210105</w:t>
            </w:r>
          </w:p>
        </w:tc>
        <w:tc>
          <w:tcPr>
            <w:tcW w:w="2424" w:type="dxa"/>
            <w:gridSpan w:val="2"/>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农村危房改造</w:t>
            </w:r>
          </w:p>
        </w:tc>
        <w:tc>
          <w:tcPr>
            <w:tcW w:w="7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c>
          <w:tcPr>
            <w:tcW w:w="10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2535" w:type="dxa"/>
            <w:gridSpan w:val="3"/>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61.33</w:t>
            </w:r>
          </w:p>
        </w:tc>
      </w:tr>
      <w:tr>
        <w:tblPrEx>
          <w:tblLayout w:type="fixed"/>
          <w:tblCellMar>
            <w:top w:w="15" w:type="dxa"/>
            <w:left w:w="15" w:type="dxa"/>
            <w:bottom w:w="15" w:type="dxa"/>
            <w:right w:w="15" w:type="dxa"/>
          </w:tblCellMar>
        </w:tblPrEx>
        <w:trPr>
          <w:trHeight w:val="300" w:hRule="atLeast"/>
        </w:trPr>
        <w:tc>
          <w:tcPr>
            <w:tcW w:w="8189" w:type="dxa"/>
            <w:gridSpan w:val="11"/>
            <w:tcBorders>
              <w:left w:val="single" w:color="000000" w:sz="12"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注：本表反映部门本年度一般公共预算财政拨款实际支出情况。   </w:t>
            </w:r>
          </w:p>
        </w:tc>
      </w:tr>
      <w:tr>
        <w:tblPrEx>
          <w:tblLayout w:type="fixed"/>
          <w:tblCellMar>
            <w:top w:w="15" w:type="dxa"/>
            <w:left w:w="15" w:type="dxa"/>
            <w:bottom w:w="15" w:type="dxa"/>
            <w:right w:w="15" w:type="dxa"/>
          </w:tblCellMar>
        </w:tblPrEx>
        <w:trPr>
          <w:trHeight w:val="256" w:hRule="atLeast"/>
        </w:trPr>
        <w:tc>
          <w:tcPr>
            <w:tcW w:w="730" w:type="dxa"/>
            <w:shd w:val="clear" w:color="auto" w:fill="auto"/>
            <w:vAlign w:val="bottom"/>
          </w:tcPr>
          <w:p>
            <w:pPr>
              <w:rPr>
                <w:rFonts w:ascii="Arial" w:hAnsi="Arial" w:cs="Arial"/>
                <w:color w:val="000000"/>
                <w:sz w:val="10"/>
                <w:szCs w:val="10"/>
              </w:rPr>
            </w:pPr>
          </w:p>
        </w:tc>
        <w:tc>
          <w:tcPr>
            <w:tcW w:w="730" w:type="dxa"/>
            <w:shd w:val="clear" w:color="auto" w:fill="auto"/>
            <w:vAlign w:val="bottom"/>
          </w:tcPr>
          <w:p>
            <w:pPr>
              <w:rPr>
                <w:rFonts w:ascii="Arial" w:hAnsi="Arial" w:cs="Arial"/>
                <w:color w:val="000000"/>
                <w:sz w:val="10"/>
                <w:szCs w:val="10"/>
              </w:rPr>
            </w:pPr>
          </w:p>
        </w:tc>
        <w:tc>
          <w:tcPr>
            <w:tcW w:w="789" w:type="dxa"/>
            <w:shd w:val="clear" w:color="auto" w:fill="auto"/>
            <w:vAlign w:val="bottom"/>
          </w:tcPr>
          <w:p>
            <w:pPr>
              <w:rPr>
                <w:rFonts w:ascii="Arial" w:hAnsi="Arial" w:cs="Arial"/>
                <w:color w:val="000000"/>
                <w:sz w:val="10"/>
                <w:szCs w:val="10"/>
              </w:rPr>
            </w:pPr>
          </w:p>
        </w:tc>
        <w:tc>
          <w:tcPr>
            <w:tcW w:w="1635" w:type="dxa"/>
            <w:shd w:val="clear" w:color="auto" w:fill="auto"/>
            <w:vAlign w:val="bottom"/>
          </w:tcPr>
          <w:p>
            <w:pPr>
              <w:rPr>
                <w:rFonts w:ascii="Arial" w:hAnsi="Arial" w:cs="Arial"/>
                <w:color w:val="000000"/>
                <w:sz w:val="10"/>
                <w:szCs w:val="10"/>
              </w:rPr>
            </w:pPr>
          </w:p>
        </w:tc>
        <w:tc>
          <w:tcPr>
            <w:tcW w:w="1245" w:type="dxa"/>
            <w:gridSpan w:val="2"/>
            <w:shd w:val="clear" w:color="auto" w:fill="auto"/>
            <w:vAlign w:val="bottom"/>
          </w:tcPr>
          <w:p>
            <w:pPr>
              <w:rPr>
                <w:rFonts w:ascii="Arial" w:hAnsi="Arial" w:cs="Arial"/>
                <w:color w:val="000000"/>
                <w:sz w:val="10"/>
                <w:szCs w:val="10"/>
              </w:rPr>
            </w:pPr>
          </w:p>
        </w:tc>
        <w:tc>
          <w:tcPr>
            <w:tcW w:w="960" w:type="dxa"/>
            <w:gridSpan w:val="3"/>
            <w:shd w:val="clear" w:color="auto" w:fill="auto"/>
            <w:vAlign w:val="bottom"/>
          </w:tcPr>
          <w:p>
            <w:pPr>
              <w:rPr>
                <w:rFonts w:ascii="Arial" w:hAnsi="Arial" w:cs="Arial"/>
                <w:color w:val="000000"/>
                <w:sz w:val="10"/>
                <w:szCs w:val="10"/>
              </w:rPr>
            </w:pPr>
          </w:p>
        </w:tc>
        <w:tc>
          <w:tcPr>
            <w:tcW w:w="2100" w:type="dxa"/>
            <w:gridSpan w:val="2"/>
            <w:shd w:val="clear" w:color="auto" w:fill="auto"/>
            <w:vAlign w:val="bottom"/>
          </w:tcPr>
          <w:p>
            <w:pPr>
              <w:rPr>
                <w:rFonts w:ascii="Arial" w:hAnsi="Arial" w:cs="Arial"/>
                <w:color w:val="000000"/>
                <w:sz w:val="10"/>
                <w:szCs w:val="10"/>
              </w:rPr>
            </w:pPr>
          </w:p>
        </w:tc>
      </w:tr>
      <w:tr>
        <w:tblPrEx>
          <w:tblLayout w:type="fixed"/>
          <w:tblCellMar>
            <w:top w:w="15" w:type="dxa"/>
            <w:left w:w="15" w:type="dxa"/>
            <w:bottom w:w="15" w:type="dxa"/>
            <w:right w:w="15" w:type="dxa"/>
          </w:tblCellMar>
        </w:tblPrEx>
        <w:trPr>
          <w:trHeight w:val="286" w:hRule="atLeast"/>
        </w:trPr>
        <w:tc>
          <w:tcPr>
            <w:tcW w:w="8189" w:type="dxa"/>
            <w:gridSpan w:val="11"/>
            <w:shd w:val="clear" w:color="auto" w:fill="auto"/>
            <w:vAlign w:val="bottom"/>
          </w:tcPr>
          <w:p>
            <w:pPr>
              <w:jc w:val="center"/>
              <w:rPr>
                <w:rFonts w:ascii="Arial" w:hAnsi="Arial" w:cs="Arial"/>
                <w:color w:val="000000"/>
                <w:sz w:val="10"/>
                <w:szCs w:val="10"/>
              </w:rPr>
            </w:pPr>
            <w:r>
              <w:rPr>
                <w:rFonts w:hint="eastAsia" w:ascii="宋体" w:hAnsi="宋体" w:eastAsia="宋体" w:cs="宋体"/>
                <w:color w:val="000000"/>
                <w:kern w:val="0"/>
                <w:sz w:val="10"/>
                <w:szCs w:val="10"/>
              </w:rPr>
              <w:t>— 5—</w:t>
            </w:r>
          </w:p>
        </w:tc>
      </w:tr>
    </w:tbl>
    <w:p/>
    <w:p/>
    <w:p/>
    <w:p/>
    <w:p/>
    <w:p/>
    <w:p/>
    <w:p/>
    <w:p/>
    <w:p/>
    <w:p/>
    <w:p/>
    <w:p/>
    <w:tbl>
      <w:tblPr>
        <w:tblStyle w:val="14"/>
        <w:tblW w:w="8324" w:type="dxa"/>
        <w:tblInd w:w="0" w:type="dxa"/>
        <w:tblLayout w:type="fixed"/>
        <w:tblCellMar>
          <w:top w:w="15" w:type="dxa"/>
          <w:left w:w="15" w:type="dxa"/>
          <w:bottom w:w="15" w:type="dxa"/>
          <w:right w:w="15" w:type="dxa"/>
        </w:tblCellMar>
      </w:tblPr>
      <w:tblGrid>
        <w:gridCol w:w="735"/>
        <w:gridCol w:w="1710"/>
        <w:gridCol w:w="314"/>
        <w:gridCol w:w="586"/>
        <w:gridCol w:w="329"/>
        <w:gridCol w:w="331"/>
        <w:gridCol w:w="1109"/>
        <w:gridCol w:w="751"/>
        <w:gridCol w:w="1139"/>
        <w:gridCol w:w="1305"/>
        <w:gridCol w:w="15"/>
      </w:tblGrid>
      <w:tr>
        <w:tblPrEx>
          <w:tblLayout w:type="fixed"/>
          <w:tblCellMar>
            <w:top w:w="15" w:type="dxa"/>
            <w:left w:w="15" w:type="dxa"/>
            <w:bottom w:w="15" w:type="dxa"/>
            <w:right w:w="15" w:type="dxa"/>
          </w:tblCellMar>
        </w:tblPrEx>
        <w:trPr>
          <w:gridAfter w:val="1"/>
          <w:wAfter w:w="15" w:type="dxa"/>
          <w:trHeight w:val="390" w:hRule="atLeast"/>
        </w:trPr>
        <w:tc>
          <w:tcPr>
            <w:tcW w:w="8309" w:type="dxa"/>
            <w:gridSpan w:val="10"/>
            <w:shd w:val="clear" w:color="auto" w:fill="auto"/>
            <w:vAlign w:val="bottom"/>
          </w:tcPr>
          <w:p>
            <w:pPr>
              <w:jc w:val="center"/>
              <w:rPr>
                <w:rFonts w:ascii="Arial" w:hAnsi="Arial" w:cs="Arial"/>
                <w:color w:val="000000"/>
                <w:sz w:val="20"/>
                <w:szCs w:val="20"/>
              </w:rPr>
            </w:pPr>
            <w:r>
              <w:rPr>
                <w:rFonts w:hint="eastAsia" w:ascii="宋体" w:hAnsi="宋体" w:eastAsia="宋体" w:cs="宋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gridAfter w:val="1"/>
          <w:wAfter w:w="15" w:type="dxa"/>
          <w:trHeight w:val="285" w:hRule="atLeast"/>
        </w:trPr>
        <w:tc>
          <w:tcPr>
            <w:tcW w:w="735" w:type="dxa"/>
            <w:shd w:val="clear" w:color="auto" w:fill="auto"/>
            <w:vAlign w:val="bottom"/>
          </w:tcPr>
          <w:p>
            <w:pPr>
              <w:rPr>
                <w:rFonts w:ascii="Arial" w:hAnsi="Arial" w:cs="Arial"/>
                <w:color w:val="000000"/>
                <w:sz w:val="10"/>
                <w:szCs w:val="10"/>
              </w:rPr>
            </w:pPr>
          </w:p>
        </w:tc>
        <w:tc>
          <w:tcPr>
            <w:tcW w:w="1710" w:type="dxa"/>
            <w:shd w:val="clear" w:color="auto" w:fill="auto"/>
            <w:vAlign w:val="bottom"/>
          </w:tcPr>
          <w:p>
            <w:pPr>
              <w:rPr>
                <w:rFonts w:ascii="Arial" w:hAnsi="Arial" w:cs="Arial"/>
                <w:color w:val="000000"/>
                <w:sz w:val="10"/>
                <w:szCs w:val="10"/>
              </w:rPr>
            </w:pPr>
          </w:p>
        </w:tc>
        <w:tc>
          <w:tcPr>
            <w:tcW w:w="900" w:type="dxa"/>
            <w:gridSpan w:val="2"/>
            <w:shd w:val="clear" w:color="auto" w:fill="auto"/>
            <w:vAlign w:val="bottom"/>
          </w:tcPr>
          <w:p>
            <w:pPr>
              <w:rPr>
                <w:rFonts w:ascii="Arial" w:hAnsi="Arial" w:cs="Arial"/>
                <w:color w:val="000000"/>
                <w:sz w:val="10"/>
                <w:szCs w:val="10"/>
              </w:rPr>
            </w:pPr>
          </w:p>
        </w:tc>
        <w:tc>
          <w:tcPr>
            <w:tcW w:w="660" w:type="dxa"/>
            <w:gridSpan w:val="2"/>
            <w:shd w:val="clear" w:color="auto" w:fill="auto"/>
            <w:vAlign w:val="bottom"/>
          </w:tcPr>
          <w:p>
            <w:pPr>
              <w:rPr>
                <w:rFonts w:ascii="Arial" w:hAnsi="Arial" w:cs="Arial"/>
                <w:color w:val="000000"/>
                <w:sz w:val="10"/>
                <w:szCs w:val="10"/>
              </w:rPr>
            </w:pPr>
          </w:p>
        </w:tc>
        <w:tc>
          <w:tcPr>
            <w:tcW w:w="1860" w:type="dxa"/>
            <w:gridSpan w:val="2"/>
            <w:shd w:val="clear" w:color="auto" w:fill="auto"/>
            <w:vAlign w:val="bottom"/>
          </w:tcPr>
          <w:p>
            <w:pPr>
              <w:rPr>
                <w:rFonts w:ascii="Arial" w:hAnsi="Arial" w:cs="Arial"/>
                <w:color w:val="000000"/>
                <w:sz w:val="10"/>
                <w:szCs w:val="10"/>
              </w:rPr>
            </w:pPr>
          </w:p>
        </w:tc>
        <w:tc>
          <w:tcPr>
            <w:tcW w:w="2444" w:type="dxa"/>
            <w:gridSpan w:val="2"/>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公开06表</w:t>
            </w:r>
          </w:p>
        </w:tc>
      </w:tr>
      <w:tr>
        <w:tblPrEx>
          <w:tblLayout w:type="fixed"/>
          <w:tblCellMar>
            <w:top w:w="15" w:type="dxa"/>
            <w:left w:w="15" w:type="dxa"/>
            <w:bottom w:w="15" w:type="dxa"/>
            <w:right w:w="15" w:type="dxa"/>
          </w:tblCellMar>
        </w:tblPrEx>
        <w:trPr>
          <w:gridAfter w:val="1"/>
          <w:wAfter w:w="15" w:type="dxa"/>
          <w:trHeight w:val="270" w:hRule="atLeast"/>
        </w:trPr>
        <w:tc>
          <w:tcPr>
            <w:tcW w:w="4005" w:type="dxa"/>
            <w:gridSpan w:val="6"/>
            <w:shd w:val="clear" w:color="auto" w:fill="auto"/>
            <w:vAlign w:val="bottom"/>
          </w:tcPr>
          <w:p>
            <w:pPr>
              <w:rPr>
                <w:rFonts w:ascii="Arial" w:hAnsi="Arial" w:cs="Arial"/>
                <w:color w:val="000000"/>
                <w:sz w:val="10"/>
                <w:szCs w:val="10"/>
              </w:rPr>
            </w:pPr>
            <w:r>
              <w:rPr>
                <w:rFonts w:hint="eastAsia" w:ascii="宋体" w:hAnsi="宋体" w:eastAsia="宋体" w:cs="宋体"/>
                <w:color w:val="000000"/>
                <w:kern w:val="0"/>
                <w:sz w:val="10"/>
                <w:szCs w:val="10"/>
              </w:rPr>
              <w:t>部门：河南省南阳市卧龙区陆营镇人民政府</w:t>
            </w:r>
          </w:p>
        </w:tc>
        <w:tc>
          <w:tcPr>
            <w:tcW w:w="1860" w:type="dxa"/>
            <w:gridSpan w:val="2"/>
            <w:shd w:val="clear" w:color="auto" w:fill="auto"/>
            <w:vAlign w:val="bottom"/>
          </w:tcPr>
          <w:p>
            <w:pPr>
              <w:rPr>
                <w:rFonts w:ascii="Arial" w:hAnsi="Arial" w:cs="Arial"/>
                <w:color w:val="000000"/>
                <w:sz w:val="10"/>
                <w:szCs w:val="10"/>
              </w:rPr>
            </w:pPr>
          </w:p>
        </w:tc>
        <w:tc>
          <w:tcPr>
            <w:tcW w:w="2444" w:type="dxa"/>
            <w:gridSpan w:val="2"/>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单位：万元</w:t>
            </w:r>
          </w:p>
        </w:tc>
      </w:tr>
      <w:tr>
        <w:tblPrEx>
          <w:tblLayout w:type="fixed"/>
          <w:tblCellMar>
            <w:top w:w="15" w:type="dxa"/>
            <w:left w:w="15" w:type="dxa"/>
            <w:bottom w:w="15" w:type="dxa"/>
            <w:right w:w="15" w:type="dxa"/>
          </w:tblCellMar>
        </w:tblPrEx>
        <w:trPr>
          <w:gridAfter w:val="1"/>
          <w:wAfter w:w="15" w:type="dxa"/>
          <w:trHeight w:val="300" w:hRule="atLeast"/>
        </w:trPr>
        <w:tc>
          <w:tcPr>
            <w:tcW w:w="3674" w:type="dxa"/>
            <w:gridSpan w:val="5"/>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人员经费</w:t>
            </w:r>
          </w:p>
        </w:tc>
        <w:tc>
          <w:tcPr>
            <w:tcW w:w="4635" w:type="dxa"/>
            <w:gridSpan w:val="5"/>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公用经费</w:t>
            </w:r>
          </w:p>
        </w:tc>
      </w:tr>
      <w:tr>
        <w:tblPrEx>
          <w:tblLayout w:type="fixed"/>
          <w:tblCellMar>
            <w:top w:w="15" w:type="dxa"/>
            <w:left w:w="15" w:type="dxa"/>
            <w:bottom w:w="15" w:type="dxa"/>
            <w:right w:w="15" w:type="dxa"/>
          </w:tblCellMar>
        </w:tblPrEx>
        <w:trPr>
          <w:gridAfter w:val="1"/>
          <w:wAfter w:w="15" w:type="dxa"/>
          <w:trHeight w:val="317" w:hRule="atLeast"/>
        </w:trPr>
        <w:tc>
          <w:tcPr>
            <w:tcW w:w="735"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经济分类科目编码</w:t>
            </w:r>
          </w:p>
        </w:tc>
        <w:tc>
          <w:tcPr>
            <w:tcW w:w="2024"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科目名称</w:t>
            </w:r>
          </w:p>
        </w:tc>
        <w:tc>
          <w:tcPr>
            <w:tcW w:w="915"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金额</w:t>
            </w:r>
          </w:p>
        </w:tc>
        <w:tc>
          <w:tcPr>
            <w:tcW w:w="1440"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经济分类科目编码</w:t>
            </w:r>
          </w:p>
        </w:tc>
        <w:tc>
          <w:tcPr>
            <w:tcW w:w="1890"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科目名称</w:t>
            </w:r>
          </w:p>
        </w:tc>
        <w:tc>
          <w:tcPr>
            <w:tcW w:w="1305"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金额</w:t>
            </w:r>
          </w:p>
        </w:tc>
      </w:tr>
      <w:tr>
        <w:tblPrEx>
          <w:tblLayout w:type="fixed"/>
          <w:tblCellMar>
            <w:top w:w="15" w:type="dxa"/>
            <w:left w:w="15" w:type="dxa"/>
            <w:bottom w:w="15" w:type="dxa"/>
            <w:right w:w="15" w:type="dxa"/>
          </w:tblCellMar>
        </w:tblPrEx>
        <w:trPr>
          <w:gridAfter w:val="1"/>
          <w:wAfter w:w="15" w:type="dxa"/>
          <w:trHeight w:val="317" w:hRule="atLeast"/>
        </w:trPr>
        <w:tc>
          <w:tcPr>
            <w:tcW w:w="735"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2024"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15"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440"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890"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30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301</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工资福利支出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374.96</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302</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商品和服务支出</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250.65</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30101</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基本工资</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204.08</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30201</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办公费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72.91</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30102</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津贴补贴</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142.56</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30202</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印刷费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4.97</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30103</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奖金</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9.90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30203</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咨询费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30104</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其他社会保障缴费</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18.43</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30204</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手续费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30106</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伙食补助费</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30205</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水费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30107</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绩效工资</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30206</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电费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12.51</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30108</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机关事业单位基本养老保险缴费</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30207</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邮电费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1.91</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30109</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职业年金缴费</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30208</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取暖费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30199</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其他工资福利支出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30209</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物业管理费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303</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对个人和家庭的补助</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189.59</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30211</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差旅费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23.71</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30301</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离休费</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30212</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因公出国（境）费用</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30302</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退休费</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156.00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30213</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维修(护)费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87.70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30303</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退职（役）费</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30214</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租赁费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30304</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抚恤金</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28.43</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30215</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会议费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30305</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生活补助</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0.48</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30216</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培训费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1.93</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30306</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救济费</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30217</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公务接待费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19.50</w:t>
            </w:r>
          </w:p>
        </w:tc>
      </w:tr>
      <w:tr>
        <w:tblPrEx>
          <w:tblLayout w:type="fixed"/>
          <w:tblCellMar>
            <w:top w:w="15" w:type="dxa"/>
            <w:left w:w="15" w:type="dxa"/>
            <w:bottom w:w="15" w:type="dxa"/>
            <w:right w:w="15" w:type="dxa"/>
          </w:tblCellMar>
        </w:tblPrEx>
        <w:trPr>
          <w:gridAfter w:val="1"/>
          <w:wAfter w:w="15" w:type="dxa"/>
          <w:trHeight w:val="33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30307</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医疗费</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30218</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专用材料费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30308</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助学金</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30224</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被装购置费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30309</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奖励金</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30225</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专用燃料费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30310</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生产补贴</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30226</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劳务费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2.70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30311</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住房公积金</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30227</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委托业务费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30312</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提租补贴</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30228</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工会经费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30313</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购房补贴</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30229</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福利费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0.42</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30314</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采暖补贴</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30231</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公务用车运行维护费</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11.48</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30315</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物业服务补贴</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30239</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其他交通费用</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0.60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30399</w:t>
            </w: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其他对个人和家庭的补助支出</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4.68</w:t>
            </w: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30240</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税金及附加费用</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30299</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其他商品和服务支出</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7.32</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310</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其他资本性支出</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31001</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房屋建筑物购建</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31002</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办公设备购置</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gridAfter w:val="1"/>
          <w:wAfter w:w="15" w:type="dxa"/>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31003</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专用设备购置</w:t>
            </w:r>
          </w:p>
        </w:tc>
        <w:tc>
          <w:tcPr>
            <w:tcW w:w="130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31005</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基础设施建设</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31006</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大型修缮</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31007</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信息网络及软件购置更新</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31008</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物资储备</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31009</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土地补偿</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31010</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安置补助</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31011</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地上附着物和青苗补偿</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31012</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拆迁补偿</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31013</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公务用车购置</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31019</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其他交通工具购置</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31020</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产权参股</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31099</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其他资本性支出</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304</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对企事业单位的补贴</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30401</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企业政策性补贴</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30402</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事业单位补贴</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30403</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财政贴息</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30499</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其他对企事业单位的补贴</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307</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债务利息支出</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30701</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国内债务付息</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30707</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国外债务付息</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399</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其他支出</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2024" w:type="dxa"/>
            <w:gridSpan w:val="2"/>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宋体"/>
                <w:color w:val="000000"/>
                <w:sz w:val="10"/>
                <w:szCs w:val="10"/>
              </w:rPr>
            </w:pPr>
          </w:p>
        </w:tc>
        <w:tc>
          <w:tcPr>
            <w:tcW w:w="915"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44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39906</w:t>
            </w:r>
          </w:p>
        </w:tc>
        <w:tc>
          <w:tcPr>
            <w:tcW w:w="1890" w:type="dxa"/>
            <w:gridSpan w:val="2"/>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  赠与</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r>
      <w:tr>
        <w:tblPrEx>
          <w:tblLayout w:type="fixed"/>
          <w:tblCellMar>
            <w:top w:w="15" w:type="dxa"/>
            <w:left w:w="15" w:type="dxa"/>
            <w:bottom w:w="15" w:type="dxa"/>
            <w:right w:w="15" w:type="dxa"/>
          </w:tblCellMar>
        </w:tblPrEx>
        <w:trPr>
          <w:trHeight w:val="300" w:hRule="atLeast"/>
        </w:trPr>
        <w:tc>
          <w:tcPr>
            <w:tcW w:w="2759" w:type="dxa"/>
            <w:gridSpan w:val="3"/>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人员经费合计</w:t>
            </w:r>
          </w:p>
        </w:tc>
        <w:tc>
          <w:tcPr>
            <w:tcW w:w="915"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564.56</w:t>
            </w:r>
          </w:p>
        </w:tc>
        <w:tc>
          <w:tcPr>
            <w:tcW w:w="3330" w:type="dxa"/>
            <w:gridSpan w:val="4"/>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b/>
                <w:color w:val="000000"/>
                <w:sz w:val="10"/>
                <w:szCs w:val="10"/>
              </w:rPr>
            </w:pPr>
            <w:r>
              <w:rPr>
                <w:rFonts w:hint="eastAsia" w:ascii="宋体" w:hAnsi="宋体" w:eastAsia="宋体" w:cs="宋体"/>
                <w:b/>
                <w:color w:val="000000"/>
                <w:kern w:val="0"/>
                <w:sz w:val="10"/>
                <w:szCs w:val="10"/>
              </w:rPr>
              <w:t>公用经费合计</w:t>
            </w:r>
          </w:p>
        </w:tc>
        <w:tc>
          <w:tcPr>
            <w:tcW w:w="1320" w:type="dxa"/>
            <w:gridSpan w:val="2"/>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250.65</w:t>
            </w:r>
          </w:p>
        </w:tc>
      </w:tr>
      <w:tr>
        <w:tblPrEx>
          <w:tblLayout w:type="fixed"/>
          <w:tblCellMar>
            <w:top w:w="15" w:type="dxa"/>
            <w:left w:w="15" w:type="dxa"/>
            <w:bottom w:w="15" w:type="dxa"/>
            <w:right w:w="15" w:type="dxa"/>
          </w:tblCellMar>
        </w:tblPrEx>
        <w:trPr>
          <w:trHeight w:val="300" w:hRule="atLeast"/>
        </w:trPr>
        <w:tc>
          <w:tcPr>
            <w:tcW w:w="8324" w:type="dxa"/>
            <w:gridSpan w:val="11"/>
            <w:tcBorders>
              <w:left w:val="single" w:color="000000" w:sz="12"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 xml:space="preserve">注：本表反映部门本年度一般公共预算财政拨款基本支出明细情况。 </w:t>
            </w:r>
          </w:p>
        </w:tc>
      </w:tr>
      <w:tr>
        <w:tblPrEx>
          <w:tblLayout w:type="fixed"/>
          <w:tblCellMar>
            <w:top w:w="15" w:type="dxa"/>
            <w:left w:w="15" w:type="dxa"/>
            <w:bottom w:w="15" w:type="dxa"/>
            <w:right w:w="15" w:type="dxa"/>
          </w:tblCellMar>
        </w:tblPrEx>
        <w:trPr>
          <w:trHeight w:val="256" w:hRule="atLeast"/>
        </w:trPr>
        <w:tc>
          <w:tcPr>
            <w:tcW w:w="735" w:type="dxa"/>
            <w:shd w:val="clear" w:color="auto" w:fill="auto"/>
            <w:vAlign w:val="bottom"/>
          </w:tcPr>
          <w:p>
            <w:pPr>
              <w:rPr>
                <w:rFonts w:ascii="Arial" w:hAnsi="Arial" w:cs="Arial"/>
                <w:color w:val="000000"/>
                <w:sz w:val="10"/>
                <w:szCs w:val="10"/>
              </w:rPr>
            </w:pPr>
          </w:p>
        </w:tc>
        <w:tc>
          <w:tcPr>
            <w:tcW w:w="1710" w:type="dxa"/>
            <w:shd w:val="clear" w:color="auto" w:fill="auto"/>
            <w:vAlign w:val="bottom"/>
          </w:tcPr>
          <w:p>
            <w:pPr>
              <w:rPr>
                <w:rFonts w:ascii="Arial" w:hAnsi="Arial" w:cs="Arial"/>
                <w:color w:val="000000"/>
                <w:sz w:val="10"/>
                <w:szCs w:val="10"/>
              </w:rPr>
            </w:pPr>
          </w:p>
        </w:tc>
        <w:tc>
          <w:tcPr>
            <w:tcW w:w="900" w:type="dxa"/>
            <w:gridSpan w:val="2"/>
            <w:shd w:val="clear" w:color="auto" w:fill="auto"/>
            <w:vAlign w:val="bottom"/>
          </w:tcPr>
          <w:p>
            <w:pPr>
              <w:rPr>
                <w:rFonts w:ascii="Arial" w:hAnsi="Arial" w:cs="Arial"/>
                <w:color w:val="000000"/>
                <w:sz w:val="10"/>
                <w:szCs w:val="10"/>
              </w:rPr>
            </w:pPr>
          </w:p>
        </w:tc>
        <w:tc>
          <w:tcPr>
            <w:tcW w:w="660" w:type="dxa"/>
            <w:gridSpan w:val="2"/>
            <w:shd w:val="clear" w:color="auto" w:fill="auto"/>
            <w:vAlign w:val="bottom"/>
          </w:tcPr>
          <w:p>
            <w:pPr>
              <w:rPr>
                <w:rFonts w:ascii="Arial" w:hAnsi="Arial" w:cs="Arial"/>
                <w:color w:val="000000"/>
                <w:sz w:val="10"/>
                <w:szCs w:val="10"/>
              </w:rPr>
            </w:pPr>
          </w:p>
        </w:tc>
        <w:tc>
          <w:tcPr>
            <w:tcW w:w="1860" w:type="dxa"/>
            <w:gridSpan w:val="2"/>
            <w:shd w:val="clear" w:color="auto" w:fill="auto"/>
            <w:vAlign w:val="bottom"/>
          </w:tcPr>
          <w:p>
            <w:pPr>
              <w:rPr>
                <w:rFonts w:ascii="Arial" w:hAnsi="Arial" w:cs="Arial"/>
                <w:color w:val="000000"/>
                <w:sz w:val="10"/>
                <w:szCs w:val="10"/>
              </w:rPr>
            </w:pPr>
          </w:p>
        </w:tc>
        <w:tc>
          <w:tcPr>
            <w:tcW w:w="2459" w:type="dxa"/>
            <w:gridSpan w:val="3"/>
            <w:shd w:val="clear" w:color="auto" w:fill="auto"/>
            <w:vAlign w:val="bottom"/>
          </w:tcPr>
          <w:p>
            <w:pPr>
              <w:rPr>
                <w:rFonts w:ascii="Arial" w:hAnsi="Arial" w:cs="Arial"/>
                <w:color w:val="000000"/>
                <w:sz w:val="10"/>
                <w:szCs w:val="10"/>
              </w:rPr>
            </w:pPr>
          </w:p>
        </w:tc>
      </w:tr>
      <w:tr>
        <w:tblPrEx>
          <w:tblLayout w:type="fixed"/>
          <w:tblCellMar>
            <w:top w:w="15" w:type="dxa"/>
            <w:left w:w="15" w:type="dxa"/>
            <w:bottom w:w="15" w:type="dxa"/>
            <w:right w:w="15" w:type="dxa"/>
          </w:tblCellMar>
        </w:tblPrEx>
        <w:trPr>
          <w:trHeight w:val="286" w:hRule="atLeast"/>
        </w:trPr>
        <w:tc>
          <w:tcPr>
            <w:tcW w:w="8324" w:type="dxa"/>
            <w:gridSpan w:val="11"/>
            <w:shd w:val="clear" w:color="auto" w:fill="auto"/>
            <w:vAlign w:val="bottom"/>
          </w:tcPr>
          <w:p>
            <w:pPr>
              <w:jc w:val="center"/>
              <w:rPr>
                <w:rFonts w:ascii="Arial" w:hAnsi="Arial" w:cs="Arial"/>
                <w:color w:val="000000"/>
                <w:sz w:val="10"/>
                <w:szCs w:val="10"/>
              </w:rPr>
            </w:pPr>
            <w:r>
              <w:rPr>
                <w:rFonts w:hint="eastAsia" w:ascii="宋体" w:hAnsi="宋体" w:eastAsia="宋体" w:cs="宋体"/>
                <w:color w:val="000000"/>
                <w:kern w:val="0"/>
                <w:sz w:val="10"/>
                <w:szCs w:val="10"/>
              </w:rPr>
              <w:t>— 6 —</w:t>
            </w:r>
          </w:p>
        </w:tc>
      </w:tr>
    </w:tbl>
    <w:p>
      <w:pPr>
        <w:rPr>
          <w:sz w:val="10"/>
          <w:szCs w:val="10"/>
        </w:rPr>
      </w:pPr>
    </w:p>
    <w:p/>
    <w:p/>
    <w:p/>
    <w:p/>
    <w:p/>
    <w:p/>
    <w:p/>
    <w:p/>
    <w:p/>
    <w:p/>
    <w:p/>
    <w:p/>
    <w:p/>
    <w:p/>
    <w:tbl>
      <w:tblPr>
        <w:tblStyle w:val="14"/>
        <w:tblW w:w="8670" w:type="dxa"/>
        <w:tblInd w:w="0" w:type="dxa"/>
        <w:tblLayout w:type="fixed"/>
        <w:tblCellMar>
          <w:top w:w="15" w:type="dxa"/>
          <w:left w:w="15" w:type="dxa"/>
          <w:bottom w:w="15" w:type="dxa"/>
          <w:right w:w="15" w:type="dxa"/>
        </w:tblCellMar>
      </w:tblPr>
      <w:tblGrid>
        <w:gridCol w:w="827"/>
        <w:gridCol w:w="724"/>
        <w:gridCol w:w="582"/>
        <w:gridCol w:w="628"/>
        <w:gridCol w:w="585"/>
        <w:gridCol w:w="827"/>
        <w:gridCol w:w="912"/>
        <w:gridCol w:w="692"/>
        <w:gridCol w:w="672"/>
        <w:gridCol w:w="629"/>
        <w:gridCol w:w="769"/>
        <w:gridCol w:w="823"/>
      </w:tblGrid>
      <w:tr>
        <w:tblPrEx>
          <w:tblLayout w:type="fixed"/>
          <w:tblCellMar>
            <w:top w:w="15" w:type="dxa"/>
            <w:left w:w="15" w:type="dxa"/>
            <w:bottom w:w="15" w:type="dxa"/>
            <w:right w:w="15" w:type="dxa"/>
          </w:tblCellMar>
        </w:tblPrEx>
        <w:trPr>
          <w:trHeight w:val="540" w:hRule="atLeast"/>
        </w:trPr>
        <w:tc>
          <w:tcPr>
            <w:tcW w:w="8670" w:type="dxa"/>
            <w:gridSpan w:val="12"/>
            <w:shd w:val="clear" w:color="auto" w:fill="auto"/>
            <w:vAlign w:val="bottom"/>
          </w:tcPr>
          <w:p>
            <w:pPr>
              <w:jc w:val="center"/>
              <w:rPr>
                <w:rFonts w:ascii="Arial" w:hAnsi="Arial" w:cs="Arial"/>
                <w:color w:val="000000"/>
                <w:sz w:val="28"/>
                <w:szCs w:val="28"/>
              </w:rPr>
            </w:pPr>
            <w:r>
              <w:rPr>
                <w:rFonts w:hint="eastAsia" w:ascii="宋体" w:hAnsi="宋体" w:eastAsia="宋体" w:cs="宋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827" w:type="dxa"/>
            <w:shd w:val="clear" w:color="auto" w:fill="auto"/>
            <w:vAlign w:val="bottom"/>
          </w:tcPr>
          <w:p>
            <w:pPr>
              <w:rPr>
                <w:rFonts w:ascii="Arial" w:hAnsi="Arial" w:cs="Arial"/>
                <w:color w:val="000000"/>
                <w:sz w:val="10"/>
                <w:szCs w:val="10"/>
              </w:rPr>
            </w:pPr>
          </w:p>
        </w:tc>
        <w:tc>
          <w:tcPr>
            <w:tcW w:w="724" w:type="dxa"/>
            <w:shd w:val="clear" w:color="auto" w:fill="auto"/>
            <w:vAlign w:val="bottom"/>
          </w:tcPr>
          <w:p>
            <w:pPr>
              <w:rPr>
                <w:rFonts w:ascii="Arial" w:hAnsi="Arial" w:cs="Arial"/>
                <w:color w:val="000000"/>
                <w:sz w:val="10"/>
                <w:szCs w:val="10"/>
              </w:rPr>
            </w:pPr>
          </w:p>
        </w:tc>
        <w:tc>
          <w:tcPr>
            <w:tcW w:w="582" w:type="dxa"/>
            <w:shd w:val="clear" w:color="auto" w:fill="auto"/>
            <w:vAlign w:val="bottom"/>
          </w:tcPr>
          <w:p>
            <w:pPr>
              <w:rPr>
                <w:rFonts w:ascii="Arial" w:hAnsi="Arial" w:cs="Arial"/>
                <w:color w:val="000000"/>
                <w:sz w:val="10"/>
                <w:szCs w:val="10"/>
              </w:rPr>
            </w:pPr>
          </w:p>
        </w:tc>
        <w:tc>
          <w:tcPr>
            <w:tcW w:w="628" w:type="dxa"/>
            <w:shd w:val="clear" w:color="auto" w:fill="auto"/>
            <w:vAlign w:val="bottom"/>
          </w:tcPr>
          <w:p>
            <w:pPr>
              <w:rPr>
                <w:rFonts w:ascii="Arial" w:hAnsi="Arial" w:cs="Arial"/>
                <w:color w:val="000000"/>
                <w:sz w:val="10"/>
                <w:szCs w:val="10"/>
              </w:rPr>
            </w:pPr>
          </w:p>
        </w:tc>
        <w:tc>
          <w:tcPr>
            <w:tcW w:w="585" w:type="dxa"/>
            <w:shd w:val="clear" w:color="auto" w:fill="auto"/>
            <w:vAlign w:val="bottom"/>
          </w:tcPr>
          <w:p>
            <w:pPr>
              <w:rPr>
                <w:rFonts w:ascii="Arial" w:hAnsi="Arial" w:cs="Arial"/>
                <w:color w:val="000000"/>
                <w:sz w:val="10"/>
                <w:szCs w:val="10"/>
              </w:rPr>
            </w:pPr>
          </w:p>
        </w:tc>
        <w:tc>
          <w:tcPr>
            <w:tcW w:w="827" w:type="dxa"/>
            <w:shd w:val="clear" w:color="auto" w:fill="auto"/>
            <w:vAlign w:val="bottom"/>
          </w:tcPr>
          <w:p>
            <w:pPr>
              <w:rPr>
                <w:rFonts w:ascii="Arial" w:hAnsi="Arial" w:cs="Arial"/>
                <w:color w:val="000000"/>
                <w:sz w:val="10"/>
                <w:szCs w:val="10"/>
              </w:rPr>
            </w:pPr>
          </w:p>
        </w:tc>
        <w:tc>
          <w:tcPr>
            <w:tcW w:w="912" w:type="dxa"/>
            <w:shd w:val="clear" w:color="auto" w:fill="auto"/>
            <w:vAlign w:val="bottom"/>
          </w:tcPr>
          <w:p>
            <w:pPr>
              <w:rPr>
                <w:rFonts w:ascii="Arial" w:hAnsi="Arial" w:cs="Arial"/>
                <w:color w:val="000000"/>
                <w:sz w:val="10"/>
                <w:szCs w:val="10"/>
              </w:rPr>
            </w:pPr>
          </w:p>
        </w:tc>
        <w:tc>
          <w:tcPr>
            <w:tcW w:w="692" w:type="dxa"/>
            <w:shd w:val="clear" w:color="auto" w:fill="auto"/>
            <w:vAlign w:val="bottom"/>
          </w:tcPr>
          <w:p>
            <w:pPr>
              <w:rPr>
                <w:rFonts w:ascii="Arial" w:hAnsi="Arial" w:cs="Arial"/>
                <w:color w:val="000000"/>
                <w:sz w:val="10"/>
                <w:szCs w:val="10"/>
              </w:rPr>
            </w:pPr>
          </w:p>
        </w:tc>
        <w:tc>
          <w:tcPr>
            <w:tcW w:w="672" w:type="dxa"/>
            <w:shd w:val="clear" w:color="auto" w:fill="auto"/>
            <w:vAlign w:val="bottom"/>
          </w:tcPr>
          <w:p>
            <w:pPr>
              <w:rPr>
                <w:rFonts w:ascii="Arial" w:hAnsi="Arial" w:cs="Arial"/>
                <w:color w:val="000000"/>
                <w:sz w:val="10"/>
                <w:szCs w:val="10"/>
              </w:rPr>
            </w:pPr>
          </w:p>
        </w:tc>
        <w:tc>
          <w:tcPr>
            <w:tcW w:w="629" w:type="dxa"/>
            <w:shd w:val="clear" w:color="auto" w:fill="auto"/>
            <w:vAlign w:val="bottom"/>
          </w:tcPr>
          <w:p>
            <w:pPr>
              <w:rPr>
                <w:rFonts w:ascii="Arial" w:hAnsi="Arial" w:cs="Arial"/>
                <w:color w:val="000000"/>
                <w:sz w:val="10"/>
                <w:szCs w:val="10"/>
              </w:rPr>
            </w:pPr>
          </w:p>
        </w:tc>
        <w:tc>
          <w:tcPr>
            <w:tcW w:w="769" w:type="dxa"/>
            <w:shd w:val="clear" w:color="auto" w:fill="auto"/>
            <w:vAlign w:val="bottom"/>
          </w:tcPr>
          <w:p>
            <w:pPr>
              <w:rPr>
                <w:rFonts w:ascii="Arial" w:hAnsi="Arial" w:cs="Arial"/>
                <w:color w:val="000000"/>
                <w:sz w:val="10"/>
                <w:szCs w:val="10"/>
              </w:rPr>
            </w:pPr>
          </w:p>
        </w:tc>
        <w:tc>
          <w:tcPr>
            <w:tcW w:w="823" w:type="dxa"/>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公开07表</w:t>
            </w:r>
          </w:p>
        </w:tc>
      </w:tr>
      <w:tr>
        <w:tblPrEx>
          <w:tblLayout w:type="fixed"/>
          <w:tblCellMar>
            <w:top w:w="15" w:type="dxa"/>
            <w:left w:w="15" w:type="dxa"/>
            <w:bottom w:w="15" w:type="dxa"/>
            <w:right w:w="15" w:type="dxa"/>
          </w:tblCellMar>
        </w:tblPrEx>
        <w:trPr>
          <w:trHeight w:val="270" w:hRule="atLeast"/>
        </w:trPr>
        <w:tc>
          <w:tcPr>
            <w:tcW w:w="5085" w:type="dxa"/>
            <w:gridSpan w:val="7"/>
            <w:shd w:val="clear" w:color="auto" w:fill="auto"/>
            <w:vAlign w:val="bottom"/>
          </w:tcPr>
          <w:p>
            <w:pPr>
              <w:rPr>
                <w:rFonts w:ascii="Arial" w:hAnsi="Arial" w:cs="Arial"/>
                <w:color w:val="000000"/>
                <w:sz w:val="10"/>
                <w:szCs w:val="10"/>
              </w:rPr>
            </w:pPr>
            <w:r>
              <w:rPr>
                <w:rFonts w:hint="eastAsia" w:ascii="宋体" w:hAnsi="宋体" w:eastAsia="宋体" w:cs="宋体"/>
                <w:color w:val="000000"/>
                <w:kern w:val="0"/>
                <w:sz w:val="10"/>
                <w:szCs w:val="10"/>
              </w:rPr>
              <w:t>部门：河南省南阳市卧龙区陆营镇人民政府</w:t>
            </w:r>
          </w:p>
        </w:tc>
        <w:tc>
          <w:tcPr>
            <w:tcW w:w="692" w:type="dxa"/>
            <w:shd w:val="clear" w:color="auto" w:fill="auto"/>
            <w:vAlign w:val="bottom"/>
          </w:tcPr>
          <w:p>
            <w:pPr>
              <w:rPr>
                <w:rFonts w:ascii="Arial" w:hAnsi="Arial" w:cs="Arial"/>
                <w:color w:val="000000"/>
                <w:sz w:val="10"/>
                <w:szCs w:val="10"/>
              </w:rPr>
            </w:pPr>
          </w:p>
        </w:tc>
        <w:tc>
          <w:tcPr>
            <w:tcW w:w="672" w:type="dxa"/>
            <w:shd w:val="clear" w:color="auto" w:fill="auto"/>
            <w:vAlign w:val="bottom"/>
          </w:tcPr>
          <w:p>
            <w:pPr>
              <w:rPr>
                <w:rFonts w:ascii="Arial" w:hAnsi="Arial" w:cs="Arial"/>
                <w:color w:val="000000"/>
                <w:sz w:val="10"/>
                <w:szCs w:val="10"/>
              </w:rPr>
            </w:pPr>
          </w:p>
        </w:tc>
        <w:tc>
          <w:tcPr>
            <w:tcW w:w="629" w:type="dxa"/>
            <w:shd w:val="clear" w:color="auto" w:fill="auto"/>
            <w:vAlign w:val="bottom"/>
          </w:tcPr>
          <w:p>
            <w:pPr>
              <w:rPr>
                <w:rFonts w:ascii="Arial" w:hAnsi="Arial" w:cs="Arial"/>
                <w:color w:val="000000"/>
                <w:sz w:val="10"/>
                <w:szCs w:val="10"/>
              </w:rPr>
            </w:pPr>
          </w:p>
        </w:tc>
        <w:tc>
          <w:tcPr>
            <w:tcW w:w="769" w:type="dxa"/>
            <w:shd w:val="clear" w:color="auto" w:fill="auto"/>
            <w:vAlign w:val="bottom"/>
          </w:tcPr>
          <w:p>
            <w:pPr>
              <w:rPr>
                <w:rFonts w:ascii="Arial" w:hAnsi="Arial" w:cs="Arial"/>
                <w:color w:val="000000"/>
                <w:sz w:val="10"/>
                <w:szCs w:val="10"/>
              </w:rPr>
            </w:pPr>
          </w:p>
        </w:tc>
        <w:tc>
          <w:tcPr>
            <w:tcW w:w="823" w:type="dxa"/>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单位：万元</w:t>
            </w:r>
          </w:p>
        </w:tc>
      </w:tr>
      <w:tr>
        <w:tblPrEx>
          <w:tblLayout w:type="fixed"/>
          <w:tblCellMar>
            <w:top w:w="15" w:type="dxa"/>
            <w:left w:w="15" w:type="dxa"/>
            <w:bottom w:w="15" w:type="dxa"/>
            <w:right w:w="15" w:type="dxa"/>
          </w:tblCellMar>
        </w:tblPrEx>
        <w:trPr>
          <w:trHeight w:val="300" w:hRule="atLeast"/>
        </w:trPr>
        <w:tc>
          <w:tcPr>
            <w:tcW w:w="4173" w:type="dxa"/>
            <w:gridSpan w:val="6"/>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2016年度预算数</w:t>
            </w:r>
          </w:p>
        </w:tc>
        <w:tc>
          <w:tcPr>
            <w:tcW w:w="4497" w:type="dxa"/>
            <w:gridSpan w:val="6"/>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2016年度决算数</w:t>
            </w:r>
          </w:p>
        </w:tc>
      </w:tr>
      <w:tr>
        <w:tblPrEx>
          <w:tblLayout w:type="fixed"/>
          <w:tblCellMar>
            <w:top w:w="15" w:type="dxa"/>
            <w:left w:w="15" w:type="dxa"/>
            <w:bottom w:w="15" w:type="dxa"/>
            <w:right w:w="15" w:type="dxa"/>
          </w:tblCellMar>
        </w:tblPrEx>
        <w:trPr>
          <w:trHeight w:val="300" w:hRule="atLeast"/>
        </w:trPr>
        <w:tc>
          <w:tcPr>
            <w:tcW w:w="827"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合计</w:t>
            </w:r>
          </w:p>
        </w:tc>
        <w:tc>
          <w:tcPr>
            <w:tcW w:w="724"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因公出国（境）费</w:t>
            </w:r>
          </w:p>
        </w:tc>
        <w:tc>
          <w:tcPr>
            <w:tcW w:w="1795" w:type="dxa"/>
            <w:gridSpan w:val="3"/>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公务用车购置及运行费</w:t>
            </w:r>
          </w:p>
        </w:tc>
        <w:tc>
          <w:tcPr>
            <w:tcW w:w="827"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公务接待费</w:t>
            </w:r>
          </w:p>
        </w:tc>
        <w:tc>
          <w:tcPr>
            <w:tcW w:w="912"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合计</w:t>
            </w:r>
          </w:p>
        </w:tc>
        <w:tc>
          <w:tcPr>
            <w:tcW w:w="692"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因公出国（境）费</w:t>
            </w:r>
          </w:p>
        </w:tc>
        <w:tc>
          <w:tcPr>
            <w:tcW w:w="2070" w:type="dxa"/>
            <w:gridSpan w:val="3"/>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公务用车购置及运行费</w:t>
            </w:r>
          </w:p>
        </w:tc>
        <w:tc>
          <w:tcPr>
            <w:tcW w:w="823"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公务接待费</w:t>
            </w:r>
          </w:p>
        </w:tc>
      </w:tr>
      <w:tr>
        <w:tblPrEx>
          <w:tblLayout w:type="fixed"/>
          <w:tblCellMar>
            <w:top w:w="15" w:type="dxa"/>
            <w:left w:w="15" w:type="dxa"/>
            <w:bottom w:w="15" w:type="dxa"/>
            <w:right w:w="15" w:type="dxa"/>
          </w:tblCellMar>
        </w:tblPrEx>
        <w:trPr>
          <w:trHeight w:val="300" w:hRule="atLeast"/>
        </w:trPr>
        <w:tc>
          <w:tcPr>
            <w:tcW w:w="827"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2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58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小计</w:t>
            </w:r>
          </w:p>
        </w:tc>
        <w:tc>
          <w:tcPr>
            <w:tcW w:w="628"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公务用车购置费</w:t>
            </w:r>
          </w:p>
        </w:tc>
        <w:tc>
          <w:tcPr>
            <w:tcW w:w="58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公务用车运行费</w:t>
            </w:r>
          </w:p>
        </w:tc>
        <w:tc>
          <w:tcPr>
            <w:tcW w:w="82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1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69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67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小计</w:t>
            </w:r>
          </w:p>
        </w:tc>
        <w:tc>
          <w:tcPr>
            <w:tcW w:w="62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公务用车购置费</w:t>
            </w:r>
          </w:p>
        </w:tc>
        <w:tc>
          <w:tcPr>
            <w:tcW w:w="76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公务用车运行费</w:t>
            </w:r>
          </w:p>
        </w:tc>
        <w:tc>
          <w:tcPr>
            <w:tcW w:w="82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827"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w:t>
            </w:r>
          </w:p>
        </w:tc>
        <w:tc>
          <w:tcPr>
            <w:tcW w:w="724"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w:t>
            </w:r>
          </w:p>
        </w:tc>
        <w:tc>
          <w:tcPr>
            <w:tcW w:w="58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w:t>
            </w:r>
          </w:p>
        </w:tc>
        <w:tc>
          <w:tcPr>
            <w:tcW w:w="628"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w:t>
            </w:r>
          </w:p>
        </w:tc>
        <w:tc>
          <w:tcPr>
            <w:tcW w:w="58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w:t>
            </w:r>
          </w:p>
        </w:tc>
        <w:tc>
          <w:tcPr>
            <w:tcW w:w="827"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w:t>
            </w:r>
          </w:p>
        </w:tc>
        <w:tc>
          <w:tcPr>
            <w:tcW w:w="91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7</w:t>
            </w:r>
          </w:p>
        </w:tc>
        <w:tc>
          <w:tcPr>
            <w:tcW w:w="69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8</w:t>
            </w:r>
          </w:p>
        </w:tc>
        <w:tc>
          <w:tcPr>
            <w:tcW w:w="67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9</w:t>
            </w:r>
          </w:p>
        </w:tc>
        <w:tc>
          <w:tcPr>
            <w:tcW w:w="62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10</w:t>
            </w:r>
          </w:p>
        </w:tc>
        <w:tc>
          <w:tcPr>
            <w:tcW w:w="76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w:t>
            </w:r>
          </w:p>
        </w:tc>
        <w:tc>
          <w:tcPr>
            <w:tcW w:w="823"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12</w:t>
            </w:r>
          </w:p>
        </w:tc>
      </w:tr>
      <w:tr>
        <w:tblPrEx>
          <w:tblLayout w:type="fixed"/>
          <w:tblCellMar>
            <w:top w:w="15" w:type="dxa"/>
            <w:left w:w="15" w:type="dxa"/>
            <w:bottom w:w="15" w:type="dxa"/>
            <w:right w:w="15" w:type="dxa"/>
          </w:tblCellMar>
        </w:tblPrEx>
        <w:trPr>
          <w:trHeight w:val="300" w:hRule="atLeast"/>
        </w:trPr>
        <w:tc>
          <w:tcPr>
            <w:tcW w:w="82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30.97</w:t>
            </w:r>
          </w:p>
        </w:tc>
        <w:tc>
          <w:tcPr>
            <w:tcW w:w="724"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58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11.48</w:t>
            </w:r>
          </w:p>
        </w:tc>
        <w:tc>
          <w:tcPr>
            <w:tcW w:w="6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5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11.48</w:t>
            </w:r>
          </w:p>
        </w:tc>
        <w:tc>
          <w:tcPr>
            <w:tcW w:w="8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19.50</w:t>
            </w:r>
          </w:p>
        </w:tc>
        <w:tc>
          <w:tcPr>
            <w:tcW w:w="91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30.97</w:t>
            </w:r>
          </w:p>
        </w:tc>
        <w:tc>
          <w:tcPr>
            <w:tcW w:w="69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67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11.48</w:t>
            </w:r>
          </w:p>
        </w:tc>
        <w:tc>
          <w:tcPr>
            <w:tcW w:w="62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0.00</w:t>
            </w:r>
          </w:p>
        </w:tc>
        <w:tc>
          <w:tcPr>
            <w:tcW w:w="76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11.48</w:t>
            </w:r>
          </w:p>
        </w:tc>
        <w:tc>
          <w:tcPr>
            <w:tcW w:w="823"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19.50</w:t>
            </w:r>
          </w:p>
        </w:tc>
      </w:tr>
      <w:tr>
        <w:tblPrEx>
          <w:tblLayout w:type="fixed"/>
          <w:tblCellMar>
            <w:top w:w="15" w:type="dxa"/>
            <w:left w:w="15" w:type="dxa"/>
            <w:bottom w:w="15" w:type="dxa"/>
            <w:right w:w="15" w:type="dxa"/>
          </w:tblCellMar>
        </w:tblPrEx>
        <w:trPr>
          <w:trHeight w:val="300" w:hRule="atLeast"/>
        </w:trPr>
        <w:tc>
          <w:tcPr>
            <w:tcW w:w="8670" w:type="dxa"/>
            <w:gridSpan w:val="12"/>
            <w:tcBorders>
              <w:left w:val="single" w:color="000000" w:sz="12"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注：本表反映部门本年度“三公”经费支出预决算情况。其中，2016年度预算数为“三公”经费年初预算数，决算数是包括当年一般公共预算财政拨款和以前年度结转资金安排的实际支出。</w:t>
            </w:r>
          </w:p>
        </w:tc>
      </w:tr>
    </w:tbl>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tbl>
      <w:tblPr>
        <w:tblStyle w:val="14"/>
        <w:tblW w:w="8324" w:type="dxa"/>
        <w:tblInd w:w="0" w:type="dxa"/>
        <w:tblLayout w:type="fixed"/>
        <w:tblCellMar>
          <w:top w:w="15" w:type="dxa"/>
          <w:left w:w="15" w:type="dxa"/>
          <w:bottom w:w="15" w:type="dxa"/>
          <w:right w:w="15" w:type="dxa"/>
        </w:tblCellMar>
      </w:tblPr>
      <w:tblGrid>
        <w:gridCol w:w="432"/>
        <w:gridCol w:w="909"/>
        <w:gridCol w:w="909"/>
        <w:gridCol w:w="945"/>
        <w:gridCol w:w="750"/>
        <w:gridCol w:w="690"/>
        <w:gridCol w:w="209"/>
        <w:gridCol w:w="556"/>
        <w:gridCol w:w="690"/>
        <w:gridCol w:w="810"/>
        <w:gridCol w:w="344"/>
        <w:gridCol w:w="1080"/>
      </w:tblGrid>
      <w:tr>
        <w:tblPrEx>
          <w:tblLayout w:type="fixed"/>
          <w:tblCellMar>
            <w:top w:w="15" w:type="dxa"/>
            <w:left w:w="15" w:type="dxa"/>
            <w:bottom w:w="15" w:type="dxa"/>
            <w:right w:w="15" w:type="dxa"/>
          </w:tblCellMar>
        </w:tblPrEx>
        <w:trPr>
          <w:trHeight w:val="390" w:hRule="atLeast"/>
        </w:trPr>
        <w:tc>
          <w:tcPr>
            <w:tcW w:w="8324" w:type="dxa"/>
            <w:gridSpan w:val="12"/>
            <w:shd w:val="clear" w:color="auto" w:fill="auto"/>
            <w:vAlign w:val="bottom"/>
          </w:tcPr>
          <w:p>
            <w:pPr>
              <w:jc w:val="center"/>
              <w:rPr>
                <w:rFonts w:ascii="Arial" w:hAnsi="Arial" w:cs="Arial"/>
                <w:color w:val="000000"/>
                <w:sz w:val="28"/>
                <w:szCs w:val="28"/>
              </w:rPr>
            </w:pPr>
            <w:r>
              <w:rPr>
                <w:rFonts w:hint="eastAsia" w:ascii="宋体" w:hAnsi="宋体" w:eastAsia="宋体" w:cs="宋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432" w:type="dxa"/>
            <w:shd w:val="clear" w:color="auto" w:fill="auto"/>
            <w:vAlign w:val="bottom"/>
          </w:tcPr>
          <w:p>
            <w:pPr>
              <w:rPr>
                <w:rFonts w:ascii="Arial" w:hAnsi="Arial" w:cs="Arial"/>
                <w:color w:val="000000"/>
                <w:sz w:val="10"/>
                <w:szCs w:val="10"/>
              </w:rPr>
            </w:pPr>
          </w:p>
        </w:tc>
        <w:tc>
          <w:tcPr>
            <w:tcW w:w="909" w:type="dxa"/>
            <w:shd w:val="clear" w:color="auto" w:fill="auto"/>
            <w:vAlign w:val="bottom"/>
          </w:tcPr>
          <w:p>
            <w:pPr>
              <w:rPr>
                <w:rFonts w:ascii="Arial" w:hAnsi="Arial" w:cs="Arial"/>
                <w:color w:val="000000"/>
                <w:sz w:val="10"/>
                <w:szCs w:val="10"/>
              </w:rPr>
            </w:pPr>
          </w:p>
        </w:tc>
        <w:tc>
          <w:tcPr>
            <w:tcW w:w="909" w:type="dxa"/>
            <w:shd w:val="clear" w:color="auto" w:fill="auto"/>
            <w:vAlign w:val="bottom"/>
          </w:tcPr>
          <w:p>
            <w:pPr>
              <w:rPr>
                <w:rFonts w:ascii="Arial" w:hAnsi="Arial" w:cs="Arial"/>
                <w:color w:val="000000"/>
                <w:sz w:val="10"/>
                <w:szCs w:val="10"/>
              </w:rPr>
            </w:pPr>
          </w:p>
        </w:tc>
        <w:tc>
          <w:tcPr>
            <w:tcW w:w="945" w:type="dxa"/>
            <w:shd w:val="clear" w:color="auto" w:fill="auto"/>
            <w:vAlign w:val="bottom"/>
          </w:tcPr>
          <w:p>
            <w:pPr>
              <w:rPr>
                <w:rFonts w:ascii="Arial" w:hAnsi="Arial" w:cs="Arial"/>
                <w:color w:val="000000"/>
                <w:sz w:val="10"/>
                <w:szCs w:val="10"/>
              </w:rPr>
            </w:pPr>
          </w:p>
        </w:tc>
        <w:tc>
          <w:tcPr>
            <w:tcW w:w="750" w:type="dxa"/>
            <w:shd w:val="clear" w:color="auto" w:fill="auto"/>
            <w:vAlign w:val="bottom"/>
          </w:tcPr>
          <w:p>
            <w:pPr>
              <w:rPr>
                <w:rFonts w:ascii="Arial" w:hAnsi="Arial" w:cs="Arial"/>
                <w:color w:val="000000"/>
                <w:sz w:val="10"/>
                <w:szCs w:val="10"/>
              </w:rPr>
            </w:pPr>
          </w:p>
        </w:tc>
        <w:tc>
          <w:tcPr>
            <w:tcW w:w="899" w:type="dxa"/>
            <w:gridSpan w:val="2"/>
            <w:shd w:val="clear" w:color="auto" w:fill="auto"/>
            <w:vAlign w:val="bottom"/>
          </w:tcPr>
          <w:p>
            <w:pPr>
              <w:rPr>
                <w:rFonts w:ascii="Arial" w:hAnsi="Arial" w:cs="Arial"/>
                <w:color w:val="000000"/>
                <w:sz w:val="10"/>
                <w:szCs w:val="10"/>
              </w:rPr>
            </w:pPr>
          </w:p>
        </w:tc>
        <w:tc>
          <w:tcPr>
            <w:tcW w:w="556" w:type="dxa"/>
            <w:shd w:val="clear" w:color="auto" w:fill="auto"/>
            <w:vAlign w:val="bottom"/>
          </w:tcPr>
          <w:p>
            <w:pPr>
              <w:rPr>
                <w:rFonts w:ascii="Arial" w:hAnsi="Arial" w:cs="Arial"/>
                <w:color w:val="000000"/>
                <w:sz w:val="10"/>
                <w:szCs w:val="10"/>
              </w:rPr>
            </w:pPr>
          </w:p>
        </w:tc>
        <w:tc>
          <w:tcPr>
            <w:tcW w:w="690" w:type="dxa"/>
            <w:shd w:val="clear" w:color="auto" w:fill="auto"/>
            <w:vAlign w:val="bottom"/>
          </w:tcPr>
          <w:p>
            <w:pPr>
              <w:rPr>
                <w:rFonts w:ascii="Arial" w:hAnsi="Arial" w:cs="Arial"/>
                <w:color w:val="000000"/>
                <w:sz w:val="10"/>
                <w:szCs w:val="10"/>
              </w:rPr>
            </w:pPr>
          </w:p>
        </w:tc>
        <w:tc>
          <w:tcPr>
            <w:tcW w:w="1154" w:type="dxa"/>
            <w:gridSpan w:val="2"/>
            <w:shd w:val="clear" w:color="auto" w:fill="auto"/>
            <w:vAlign w:val="bottom"/>
          </w:tcPr>
          <w:p>
            <w:pPr>
              <w:rPr>
                <w:rFonts w:ascii="Arial" w:hAnsi="Arial" w:cs="Arial"/>
                <w:color w:val="000000"/>
                <w:sz w:val="10"/>
                <w:szCs w:val="10"/>
              </w:rPr>
            </w:pPr>
          </w:p>
        </w:tc>
        <w:tc>
          <w:tcPr>
            <w:tcW w:w="1080" w:type="dxa"/>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公开08表</w:t>
            </w:r>
          </w:p>
        </w:tc>
      </w:tr>
      <w:tr>
        <w:tblPrEx>
          <w:tblLayout w:type="fixed"/>
          <w:tblCellMar>
            <w:top w:w="15" w:type="dxa"/>
            <w:left w:w="15" w:type="dxa"/>
            <w:bottom w:w="15" w:type="dxa"/>
            <w:right w:w="15" w:type="dxa"/>
          </w:tblCellMar>
        </w:tblPrEx>
        <w:trPr>
          <w:trHeight w:val="270" w:hRule="atLeast"/>
        </w:trPr>
        <w:tc>
          <w:tcPr>
            <w:tcW w:w="4844" w:type="dxa"/>
            <w:gridSpan w:val="7"/>
            <w:shd w:val="clear" w:color="auto" w:fill="auto"/>
            <w:vAlign w:val="bottom"/>
          </w:tcPr>
          <w:p>
            <w:pPr>
              <w:rPr>
                <w:rFonts w:ascii="Arial" w:hAnsi="Arial" w:cs="Arial"/>
                <w:color w:val="000000"/>
                <w:sz w:val="10"/>
                <w:szCs w:val="10"/>
              </w:rPr>
            </w:pPr>
            <w:r>
              <w:rPr>
                <w:rFonts w:hint="eastAsia" w:ascii="宋体" w:hAnsi="宋体" w:eastAsia="宋体" w:cs="宋体"/>
                <w:color w:val="000000"/>
                <w:kern w:val="0"/>
                <w:sz w:val="10"/>
                <w:szCs w:val="10"/>
              </w:rPr>
              <w:t>部门：河南省南阳市卧龙区陆营镇人民政府</w:t>
            </w:r>
          </w:p>
        </w:tc>
        <w:tc>
          <w:tcPr>
            <w:tcW w:w="556" w:type="dxa"/>
            <w:shd w:val="clear" w:color="auto" w:fill="auto"/>
            <w:vAlign w:val="bottom"/>
          </w:tcPr>
          <w:p>
            <w:pPr>
              <w:rPr>
                <w:rFonts w:ascii="Arial" w:hAnsi="Arial" w:cs="Arial"/>
                <w:color w:val="000000"/>
                <w:sz w:val="10"/>
                <w:szCs w:val="10"/>
              </w:rPr>
            </w:pPr>
          </w:p>
        </w:tc>
        <w:tc>
          <w:tcPr>
            <w:tcW w:w="690" w:type="dxa"/>
            <w:shd w:val="clear" w:color="auto" w:fill="auto"/>
            <w:vAlign w:val="bottom"/>
          </w:tcPr>
          <w:p>
            <w:pPr>
              <w:rPr>
                <w:rFonts w:ascii="Arial" w:hAnsi="Arial" w:cs="Arial"/>
                <w:color w:val="000000"/>
                <w:sz w:val="10"/>
                <w:szCs w:val="10"/>
              </w:rPr>
            </w:pPr>
          </w:p>
        </w:tc>
        <w:tc>
          <w:tcPr>
            <w:tcW w:w="1154" w:type="dxa"/>
            <w:gridSpan w:val="2"/>
            <w:shd w:val="clear" w:color="auto" w:fill="auto"/>
            <w:vAlign w:val="bottom"/>
          </w:tcPr>
          <w:p>
            <w:pPr>
              <w:rPr>
                <w:rFonts w:ascii="Arial" w:hAnsi="Arial" w:cs="Arial"/>
                <w:color w:val="000000"/>
                <w:sz w:val="10"/>
                <w:szCs w:val="10"/>
              </w:rPr>
            </w:pPr>
          </w:p>
        </w:tc>
        <w:tc>
          <w:tcPr>
            <w:tcW w:w="1080" w:type="dxa"/>
            <w:shd w:val="clear" w:color="auto" w:fill="auto"/>
            <w:vAlign w:val="bottom"/>
          </w:tcPr>
          <w:p>
            <w:pPr>
              <w:widowControl/>
              <w:jc w:val="right"/>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单位：万元</w:t>
            </w:r>
          </w:p>
        </w:tc>
      </w:tr>
      <w:tr>
        <w:tblPrEx>
          <w:tblLayout w:type="fixed"/>
          <w:tblCellMar>
            <w:top w:w="15" w:type="dxa"/>
            <w:left w:w="15" w:type="dxa"/>
            <w:bottom w:w="15" w:type="dxa"/>
            <w:right w:w="15" w:type="dxa"/>
          </w:tblCellMar>
        </w:tblPrEx>
        <w:trPr>
          <w:trHeight w:val="300" w:hRule="atLeast"/>
        </w:trPr>
        <w:tc>
          <w:tcPr>
            <w:tcW w:w="3195" w:type="dxa"/>
            <w:gridSpan w:val="4"/>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w:t>
            </w:r>
          </w:p>
        </w:tc>
        <w:tc>
          <w:tcPr>
            <w:tcW w:w="75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年初结转和结余</w:t>
            </w:r>
          </w:p>
        </w:tc>
        <w:tc>
          <w:tcPr>
            <w:tcW w:w="899" w:type="dxa"/>
            <w:gridSpan w:val="2"/>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本年收入</w:t>
            </w:r>
          </w:p>
        </w:tc>
        <w:tc>
          <w:tcPr>
            <w:tcW w:w="2400" w:type="dxa"/>
            <w:gridSpan w:val="4"/>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本年支出</w:t>
            </w:r>
          </w:p>
        </w:tc>
        <w:tc>
          <w:tcPr>
            <w:tcW w:w="108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年末结转和结余</w:t>
            </w:r>
          </w:p>
        </w:tc>
      </w:tr>
      <w:tr>
        <w:tblPrEx>
          <w:tblLayout w:type="fixed"/>
          <w:tblCellMar>
            <w:top w:w="15" w:type="dxa"/>
            <w:left w:w="15" w:type="dxa"/>
            <w:bottom w:w="15" w:type="dxa"/>
            <w:right w:w="15" w:type="dxa"/>
          </w:tblCellMar>
        </w:tblPrEx>
        <w:trPr>
          <w:trHeight w:val="317" w:hRule="atLeast"/>
        </w:trPr>
        <w:tc>
          <w:tcPr>
            <w:tcW w:w="2250" w:type="dxa"/>
            <w:gridSpan w:val="3"/>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功能分类科目编码</w:t>
            </w:r>
          </w:p>
        </w:tc>
        <w:tc>
          <w:tcPr>
            <w:tcW w:w="945"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科目名称</w:t>
            </w:r>
          </w:p>
        </w:tc>
        <w:tc>
          <w:tcPr>
            <w:tcW w:w="75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99"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556"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小计</w:t>
            </w:r>
          </w:p>
        </w:tc>
        <w:tc>
          <w:tcPr>
            <w:tcW w:w="690"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基本支出</w:t>
            </w:r>
          </w:p>
        </w:tc>
        <w:tc>
          <w:tcPr>
            <w:tcW w:w="1154" w:type="dxa"/>
            <w:gridSpan w:val="2"/>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项目支出</w:t>
            </w:r>
          </w:p>
        </w:tc>
        <w:tc>
          <w:tcPr>
            <w:tcW w:w="10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17"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4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5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99"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55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6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154"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0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615"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94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75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899" w:type="dxa"/>
            <w:gridSpan w:val="2"/>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55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6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154"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c>
          <w:tcPr>
            <w:tcW w:w="10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3195"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栏次</w:t>
            </w:r>
          </w:p>
        </w:tc>
        <w:tc>
          <w:tcPr>
            <w:tcW w:w="75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1</w:t>
            </w:r>
          </w:p>
        </w:tc>
        <w:tc>
          <w:tcPr>
            <w:tcW w:w="899"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2</w:t>
            </w:r>
          </w:p>
        </w:tc>
        <w:tc>
          <w:tcPr>
            <w:tcW w:w="55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3</w:t>
            </w:r>
          </w:p>
        </w:tc>
        <w:tc>
          <w:tcPr>
            <w:tcW w:w="69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4</w:t>
            </w:r>
          </w:p>
        </w:tc>
        <w:tc>
          <w:tcPr>
            <w:tcW w:w="1154"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5</w:t>
            </w:r>
          </w:p>
        </w:tc>
        <w:tc>
          <w:tcPr>
            <w:tcW w:w="108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6</w:t>
            </w:r>
          </w:p>
        </w:tc>
      </w:tr>
      <w:tr>
        <w:tblPrEx>
          <w:tblLayout w:type="fixed"/>
          <w:tblCellMar>
            <w:top w:w="15" w:type="dxa"/>
            <w:left w:w="15" w:type="dxa"/>
            <w:bottom w:w="15" w:type="dxa"/>
            <w:right w:w="15" w:type="dxa"/>
          </w:tblCellMar>
        </w:tblPrEx>
        <w:trPr>
          <w:trHeight w:val="300" w:hRule="atLeast"/>
        </w:trPr>
        <w:tc>
          <w:tcPr>
            <w:tcW w:w="3195"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合计</w:t>
            </w: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899"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5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69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54"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0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945"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899"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5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69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54"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0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945"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899"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5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69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54"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0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945"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899"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5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69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54"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0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945"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899"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5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69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54"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0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945"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899"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5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69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54"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0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945"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0"/>
                <w:szCs w:val="10"/>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899"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5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69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154"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c>
          <w:tcPr>
            <w:tcW w:w="10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0"/>
                <w:szCs w:val="10"/>
              </w:rPr>
            </w:pPr>
          </w:p>
        </w:tc>
      </w:tr>
      <w:tr>
        <w:tblPrEx>
          <w:tblLayout w:type="fixed"/>
          <w:tblCellMar>
            <w:top w:w="15" w:type="dxa"/>
            <w:left w:w="15" w:type="dxa"/>
            <w:bottom w:w="15" w:type="dxa"/>
            <w:right w:w="15" w:type="dxa"/>
          </w:tblCellMar>
        </w:tblPrEx>
        <w:trPr>
          <w:trHeight w:val="300" w:hRule="atLeast"/>
        </w:trPr>
        <w:tc>
          <w:tcPr>
            <w:tcW w:w="8324" w:type="dxa"/>
            <w:gridSpan w:val="12"/>
            <w:tcBorders>
              <w:left w:val="single" w:color="000000" w:sz="12"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1005" w:hRule="atLeast"/>
        </w:trPr>
        <w:tc>
          <w:tcPr>
            <w:tcW w:w="8324" w:type="dxa"/>
            <w:gridSpan w:val="12"/>
            <w:tcBorders>
              <w:left w:val="single" w:color="000000" w:sz="12" w:space="0"/>
            </w:tcBorders>
            <w:shd w:val="clear" w:color="auto" w:fill="auto"/>
            <w:vAlign w:val="center"/>
          </w:tcPr>
          <w:p>
            <w:pPr>
              <w:widowControl/>
              <w:jc w:val="left"/>
              <w:textAlignment w:val="center"/>
              <w:rPr>
                <w:rFonts w:ascii="宋体" w:hAnsi="宋体" w:eastAsia="宋体" w:cs="宋体"/>
                <w:color w:val="000000"/>
                <w:sz w:val="10"/>
                <w:szCs w:val="10"/>
              </w:rPr>
            </w:pPr>
            <w:r>
              <w:rPr>
                <w:rFonts w:hint="eastAsia" w:ascii="宋体" w:hAnsi="宋体" w:eastAsia="宋体" w:cs="宋体"/>
                <w:color w:val="000000"/>
                <w:kern w:val="0"/>
                <w:sz w:val="10"/>
                <w:szCs w:val="10"/>
              </w:rPr>
              <w:t>说明：陆营镇没有政府性基金收入，也没有使用政府性基金安排的支出，故本表无数据。</w:t>
            </w:r>
          </w:p>
        </w:tc>
      </w:tr>
      <w:tr>
        <w:tblPrEx>
          <w:tblLayout w:type="fixed"/>
          <w:tblCellMar>
            <w:top w:w="15" w:type="dxa"/>
            <w:left w:w="15" w:type="dxa"/>
            <w:bottom w:w="15" w:type="dxa"/>
            <w:right w:w="15" w:type="dxa"/>
          </w:tblCellMar>
        </w:tblPrEx>
        <w:trPr>
          <w:trHeight w:val="256" w:hRule="atLeast"/>
        </w:trPr>
        <w:tc>
          <w:tcPr>
            <w:tcW w:w="432" w:type="dxa"/>
            <w:shd w:val="clear" w:color="auto" w:fill="auto"/>
            <w:vAlign w:val="bottom"/>
          </w:tcPr>
          <w:p>
            <w:pPr>
              <w:rPr>
                <w:rFonts w:ascii="Arial" w:hAnsi="Arial" w:cs="Arial"/>
                <w:color w:val="000000"/>
                <w:sz w:val="10"/>
                <w:szCs w:val="10"/>
              </w:rPr>
            </w:pPr>
          </w:p>
        </w:tc>
        <w:tc>
          <w:tcPr>
            <w:tcW w:w="909" w:type="dxa"/>
            <w:shd w:val="clear" w:color="auto" w:fill="auto"/>
            <w:vAlign w:val="bottom"/>
          </w:tcPr>
          <w:p>
            <w:pPr>
              <w:rPr>
                <w:rFonts w:ascii="Arial" w:hAnsi="Arial" w:cs="Arial"/>
                <w:color w:val="000000"/>
                <w:sz w:val="10"/>
                <w:szCs w:val="10"/>
              </w:rPr>
            </w:pPr>
          </w:p>
        </w:tc>
        <w:tc>
          <w:tcPr>
            <w:tcW w:w="909" w:type="dxa"/>
            <w:shd w:val="clear" w:color="auto" w:fill="auto"/>
            <w:vAlign w:val="bottom"/>
          </w:tcPr>
          <w:p>
            <w:pPr>
              <w:rPr>
                <w:rFonts w:ascii="Arial" w:hAnsi="Arial" w:cs="Arial"/>
                <w:color w:val="000000"/>
                <w:sz w:val="10"/>
                <w:szCs w:val="10"/>
              </w:rPr>
            </w:pPr>
          </w:p>
        </w:tc>
        <w:tc>
          <w:tcPr>
            <w:tcW w:w="945" w:type="dxa"/>
            <w:shd w:val="clear" w:color="auto" w:fill="auto"/>
            <w:vAlign w:val="bottom"/>
          </w:tcPr>
          <w:p>
            <w:pPr>
              <w:rPr>
                <w:rFonts w:ascii="Arial" w:hAnsi="Arial" w:cs="Arial"/>
                <w:color w:val="000000"/>
                <w:sz w:val="10"/>
                <w:szCs w:val="10"/>
              </w:rPr>
            </w:pPr>
          </w:p>
        </w:tc>
        <w:tc>
          <w:tcPr>
            <w:tcW w:w="750" w:type="dxa"/>
            <w:shd w:val="clear" w:color="auto" w:fill="auto"/>
            <w:vAlign w:val="bottom"/>
          </w:tcPr>
          <w:p>
            <w:pPr>
              <w:rPr>
                <w:rFonts w:ascii="Arial" w:hAnsi="Arial" w:cs="Arial"/>
                <w:color w:val="000000"/>
                <w:sz w:val="10"/>
                <w:szCs w:val="10"/>
              </w:rPr>
            </w:pPr>
          </w:p>
        </w:tc>
        <w:tc>
          <w:tcPr>
            <w:tcW w:w="690" w:type="dxa"/>
            <w:shd w:val="clear" w:color="auto" w:fill="auto"/>
            <w:vAlign w:val="bottom"/>
          </w:tcPr>
          <w:p>
            <w:pPr>
              <w:rPr>
                <w:rFonts w:ascii="Arial" w:hAnsi="Arial" w:cs="Arial"/>
                <w:color w:val="000000"/>
                <w:sz w:val="10"/>
                <w:szCs w:val="10"/>
              </w:rPr>
            </w:pPr>
          </w:p>
        </w:tc>
        <w:tc>
          <w:tcPr>
            <w:tcW w:w="765" w:type="dxa"/>
            <w:gridSpan w:val="2"/>
            <w:shd w:val="clear" w:color="auto" w:fill="auto"/>
            <w:vAlign w:val="bottom"/>
          </w:tcPr>
          <w:p>
            <w:pPr>
              <w:rPr>
                <w:rFonts w:ascii="Arial" w:hAnsi="Arial" w:cs="Arial"/>
                <w:color w:val="000000"/>
                <w:sz w:val="10"/>
                <w:szCs w:val="10"/>
              </w:rPr>
            </w:pPr>
          </w:p>
        </w:tc>
        <w:tc>
          <w:tcPr>
            <w:tcW w:w="690" w:type="dxa"/>
            <w:shd w:val="clear" w:color="auto" w:fill="auto"/>
            <w:vAlign w:val="bottom"/>
          </w:tcPr>
          <w:p>
            <w:pPr>
              <w:rPr>
                <w:rFonts w:ascii="Arial" w:hAnsi="Arial" w:cs="Arial"/>
                <w:color w:val="000000"/>
                <w:sz w:val="10"/>
                <w:szCs w:val="10"/>
              </w:rPr>
            </w:pPr>
          </w:p>
        </w:tc>
        <w:tc>
          <w:tcPr>
            <w:tcW w:w="810" w:type="dxa"/>
            <w:shd w:val="clear" w:color="auto" w:fill="auto"/>
            <w:vAlign w:val="bottom"/>
          </w:tcPr>
          <w:p>
            <w:pPr>
              <w:rPr>
                <w:rFonts w:ascii="Arial" w:hAnsi="Arial" w:cs="Arial"/>
                <w:color w:val="000000"/>
                <w:sz w:val="10"/>
                <w:szCs w:val="10"/>
              </w:rPr>
            </w:pPr>
          </w:p>
        </w:tc>
        <w:tc>
          <w:tcPr>
            <w:tcW w:w="1424" w:type="dxa"/>
            <w:gridSpan w:val="2"/>
            <w:shd w:val="clear" w:color="auto" w:fill="auto"/>
            <w:vAlign w:val="bottom"/>
          </w:tcPr>
          <w:p>
            <w:pPr>
              <w:rPr>
                <w:rFonts w:ascii="Arial" w:hAnsi="Arial" w:cs="Arial"/>
                <w:color w:val="000000"/>
                <w:sz w:val="10"/>
                <w:szCs w:val="10"/>
              </w:rPr>
            </w:pPr>
          </w:p>
        </w:tc>
      </w:tr>
      <w:tr>
        <w:tblPrEx>
          <w:tblLayout w:type="fixed"/>
          <w:tblCellMar>
            <w:top w:w="15" w:type="dxa"/>
            <w:left w:w="15" w:type="dxa"/>
            <w:bottom w:w="15" w:type="dxa"/>
            <w:right w:w="15" w:type="dxa"/>
          </w:tblCellMar>
        </w:tblPrEx>
        <w:trPr>
          <w:trHeight w:val="286" w:hRule="atLeast"/>
        </w:trPr>
        <w:tc>
          <w:tcPr>
            <w:tcW w:w="432" w:type="dxa"/>
            <w:shd w:val="clear" w:color="auto" w:fill="auto"/>
            <w:vAlign w:val="bottom"/>
          </w:tcPr>
          <w:p>
            <w:pPr>
              <w:rPr>
                <w:rFonts w:ascii="Arial" w:hAnsi="Arial" w:cs="Arial"/>
                <w:color w:val="000000"/>
                <w:sz w:val="10"/>
                <w:szCs w:val="10"/>
              </w:rPr>
            </w:pPr>
          </w:p>
        </w:tc>
        <w:tc>
          <w:tcPr>
            <w:tcW w:w="909" w:type="dxa"/>
            <w:shd w:val="clear" w:color="auto" w:fill="auto"/>
            <w:vAlign w:val="bottom"/>
          </w:tcPr>
          <w:p>
            <w:pPr>
              <w:rPr>
                <w:rFonts w:ascii="Arial" w:hAnsi="Arial" w:cs="Arial"/>
                <w:color w:val="000000"/>
                <w:sz w:val="10"/>
                <w:szCs w:val="10"/>
              </w:rPr>
            </w:pPr>
          </w:p>
        </w:tc>
        <w:tc>
          <w:tcPr>
            <w:tcW w:w="909" w:type="dxa"/>
            <w:shd w:val="clear" w:color="auto" w:fill="auto"/>
            <w:vAlign w:val="bottom"/>
          </w:tcPr>
          <w:p>
            <w:pPr>
              <w:rPr>
                <w:rFonts w:ascii="Arial" w:hAnsi="Arial" w:cs="Arial"/>
                <w:color w:val="000000"/>
                <w:sz w:val="10"/>
                <w:szCs w:val="10"/>
              </w:rPr>
            </w:pPr>
          </w:p>
        </w:tc>
        <w:tc>
          <w:tcPr>
            <w:tcW w:w="945" w:type="dxa"/>
            <w:shd w:val="clear" w:color="auto" w:fill="auto"/>
            <w:vAlign w:val="bottom"/>
          </w:tcPr>
          <w:p>
            <w:pPr>
              <w:rPr>
                <w:rFonts w:ascii="Arial" w:hAnsi="Arial" w:cs="Arial"/>
                <w:color w:val="000000"/>
                <w:sz w:val="10"/>
                <w:szCs w:val="10"/>
              </w:rPr>
            </w:pPr>
          </w:p>
        </w:tc>
        <w:tc>
          <w:tcPr>
            <w:tcW w:w="750" w:type="dxa"/>
            <w:shd w:val="clear" w:color="auto" w:fill="auto"/>
            <w:vAlign w:val="bottom"/>
          </w:tcPr>
          <w:p>
            <w:pPr>
              <w:rPr>
                <w:rFonts w:ascii="Arial" w:hAnsi="Arial" w:cs="Arial"/>
                <w:color w:val="000000"/>
                <w:sz w:val="10"/>
                <w:szCs w:val="10"/>
              </w:rPr>
            </w:pPr>
          </w:p>
        </w:tc>
        <w:tc>
          <w:tcPr>
            <w:tcW w:w="690" w:type="dxa"/>
            <w:shd w:val="clear" w:color="auto" w:fill="auto"/>
            <w:vAlign w:val="bottom"/>
          </w:tcPr>
          <w:p>
            <w:pPr>
              <w:widowControl/>
              <w:jc w:val="center"/>
              <w:textAlignment w:val="bottom"/>
              <w:rPr>
                <w:rFonts w:ascii="宋体" w:hAnsi="宋体" w:eastAsia="宋体" w:cs="宋体"/>
                <w:color w:val="000000"/>
                <w:sz w:val="10"/>
                <w:szCs w:val="10"/>
              </w:rPr>
            </w:pPr>
            <w:r>
              <w:rPr>
                <w:rFonts w:hint="eastAsia" w:ascii="宋体" w:hAnsi="宋体" w:eastAsia="宋体" w:cs="宋体"/>
                <w:color w:val="000000"/>
                <w:kern w:val="0"/>
                <w:sz w:val="10"/>
                <w:szCs w:val="10"/>
              </w:rPr>
              <w:t>— 8 —</w:t>
            </w:r>
          </w:p>
        </w:tc>
        <w:tc>
          <w:tcPr>
            <w:tcW w:w="765" w:type="dxa"/>
            <w:gridSpan w:val="2"/>
            <w:shd w:val="clear" w:color="auto" w:fill="auto"/>
            <w:vAlign w:val="bottom"/>
          </w:tcPr>
          <w:p>
            <w:pPr>
              <w:rPr>
                <w:rFonts w:ascii="Arial" w:hAnsi="Arial" w:cs="Arial"/>
                <w:color w:val="000000"/>
                <w:sz w:val="10"/>
                <w:szCs w:val="10"/>
              </w:rPr>
            </w:pPr>
          </w:p>
        </w:tc>
        <w:tc>
          <w:tcPr>
            <w:tcW w:w="690" w:type="dxa"/>
            <w:shd w:val="clear" w:color="auto" w:fill="auto"/>
            <w:vAlign w:val="bottom"/>
          </w:tcPr>
          <w:p>
            <w:pPr>
              <w:rPr>
                <w:rFonts w:ascii="Arial" w:hAnsi="Arial" w:cs="Arial"/>
                <w:color w:val="000000"/>
                <w:sz w:val="10"/>
                <w:szCs w:val="10"/>
              </w:rPr>
            </w:pPr>
          </w:p>
        </w:tc>
        <w:tc>
          <w:tcPr>
            <w:tcW w:w="810" w:type="dxa"/>
            <w:shd w:val="clear" w:color="auto" w:fill="auto"/>
            <w:vAlign w:val="bottom"/>
          </w:tcPr>
          <w:p>
            <w:pPr>
              <w:rPr>
                <w:rFonts w:ascii="Arial" w:hAnsi="Arial" w:cs="Arial"/>
                <w:color w:val="000000"/>
                <w:sz w:val="10"/>
                <w:szCs w:val="10"/>
              </w:rPr>
            </w:pPr>
          </w:p>
        </w:tc>
        <w:tc>
          <w:tcPr>
            <w:tcW w:w="1424" w:type="dxa"/>
            <w:gridSpan w:val="2"/>
            <w:shd w:val="clear" w:color="auto" w:fill="auto"/>
            <w:vAlign w:val="bottom"/>
          </w:tcPr>
          <w:p>
            <w:pPr>
              <w:rPr>
                <w:rFonts w:ascii="Arial" w:hAnsi="Arial" w:cs="Arial"/>
                <w:color w:val="000000"/>
                <w:sz w:val="10"/>
                <w:szCs w:val="10"/>
              </w:rPr>
            </w:pPr>
          </w:p>
        </w:tc>
      </w:tr>
    </w:tbl>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陆营镇政府2016年度部门决算情况说明</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2016年度收入总计1741.25万元，支出总计1741.25万元，与2015年相比，收、支总计各增加680.25万元，增长64%。</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收入合计1741.25万元，其中：财政拨款收入1741.25万元，占100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2016年度支出合计1741.25万元，其中：基本支出815.21万元，占46.81</w:t>
      </w:r>
      <w:r>
        <w:rPr>
          <w:rFonts w:ascii="仿宋_GB2312" w:hAnsi="宋体" w:eastAsia="仿宋_GB2312" w:cs="Courier New"/>
          <w:sz w:val="32"/>
          <w:szCs w:val="32"/>
        </w:rPr>
        <w:t>%</w:t>
      </w:r>
      <w:r>
        <w:rPr>
          <w:rFonts w:hint="eastAsia" w:ascii="仿宋_GB2312" w:hAnsi="宋体" w:eastAsia="仿宋_GB2312" w:cs="Courier New"/>
          <w:sz w:val="32"/>
          <w:szCs w:val="32"/>
        </w:rPr>
        <w:t>；项目支出926.04万元，占53.18%。</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2016年财政拨款收支总决算1741.25万元。与2015年相比，财政拨款收、支总计各增加680.25万元，增长64%。</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2016年一般公共预算财政拨款支出1741.25万元，占支出合计的100%。与2015年相比，一般公共预算财政拨款支出增加（减少）680.25万元，增长64%。</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2016年度一般公共预算财政拨款支出1741.25万元，主要用于以下方面：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支出699.2万元，占40.15%；</w:t>
      </w:r>
      <w:r>
        <w:rPr>
          <w:rFonts w:hint="eastAsia" w:ascii="仿宋_GB2312" w:hAnsi="宋体" w:eastAsia="仿宋_GB2312" w:cs="Courier New"/>
          <w:b/>
          <w:bCs/>
          <w:sz w:val="32"/>
          <w:szCs w:val="32"/>
        </w:rPr>
        <w:t>教育支出</w:t>
      </w:r>
      <w:r>
        <w:rPr>
          <w:rFonts w:hint="eastAsia" w:ascii="仿宋_GB2312" w:hAnsi="宋体" w:eastAsia="仿宋_GB2312" w:cs="Courier New"/>
          <w:sz w:val="32"/>
          <w:szCs w:val="32"/>
        </w:rPr>
        <w:t>61.12万元，占3.51%支出；文化体育与传媒支出3万元，占0.17%；社会就业支出15.59万元，占0.89%；节能环保支出51万元，占2.92%；城乡社区支出100.87万元，占5.79%；农林水支出739.14万元，占42.44%；国土海洋气象等支出10万元，占0.57%；住房保障支出61.33万元，占3.52%；</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2016年度一般公共预算财政拨款支出年初预算为1741.25万元，支出决算为1741.25万元，完成年初预算的100%。</w:t>
      </w:r>
    </w:p>
    <w:p>
      <w:pPr>
        <w:numPr>
          <w:ilvl w:val="0"/>
          <w:numId w:val="8"/>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一般公共服务（类）政府办公厅及相关机构事务（款）行政运行（项）。</w:t>
      </w:r>
      <w:r>
        <w:rPr>
          <w:rFonts w:hint="eastAsia" w:ascii="仿宋_GB2312" w:hAnsi="宋体" w:eastAsia="仿宋_GB2312" w:cs="Courier New"/>
          <w:sz w:val="32"/>
          <w:szCs w:val="32"/>
        </w:rPr>
        <w:t>年初预算为699.2万元，支出决算为699.2万元，完成年初预算的100%。</w:t>
      </w:r>
      <w:r>
        <w:rPr>
          <w:rFonts w:hint="eastAsia" w:ascii="仿宋_GB2312" w:hAnsi="宋体" w:eastAsia="仿宋_GB2312" w:cs="Courier New"/>
          <w:b/>
          <w:bCs/>
          <w:sz w:val="32"/>
          <w:szCs w:val="32"/>
        </w:rPr>
        <w:t>一般公共服务（类）政府办公厅及相关机构事务（款）信访事务（项）。</w:t>
      </w:r>
      <w:r>
        <w:rPr>
          <w:rFonts w:hint="eastAsia" w:ascii="仿宋_GB2312" w:hAnsi="宋体" w:eastAsia="仿宋_GB2312" w:cs="Courier New"/>
          <w:sz w:val="32"/>
          <w:szCs w:val="32"/>
        </w:rPr>
        <w:t>年初预算为23.22万元，支出决算为23.22万元，完成年初预算的100%。</w:t>
      </w: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年初预算为10.54万元，支出决算为10.54万元，完成年初预算的100%。</w:t>
      </w:r>
      <w:r>
        <w:rPr>
          <w:rFonts w:hint="eastAsia" w:ascii="仿宋_GB2312" w:hAnsi="宋体" w:eastAsia="仿宋_GB2312" w:cs="Courier New"/>
          <w:b/>
          <w:bCs/>
          <w:sz w:val="32"/>
          <w:szCs w:val="32"/>
        </w:rPr>
        <w:t>一般公共服务（类）组织事务（款）其他组织事务支出（项）。</w:t>
      </w:r>
      <w:r>
        <w:rPr>
          <w:rFonts w:hint="eastAsia" w:ascii="仿宋_GB2312" w:hAnsi="宋体" w:eastAsia="仿宋_GB2312" w:cs="Courier New"/>
          <w:sz w:val="32"/>
          <w:szCs w:val="32"/>
        </w:rPr>
        <w:t>年初预算为17.52万元，支出决算为17.52万元，完成年初预算的100%。教育支出</w:t>
      </w:r>
      <w:r>
        <w:rPr>
          <w:rFonts w:hint="eastAsia" w:ascii="仿宋_GB2312" w:hAnsi="宋体" w:eastAsia="仿宋_GB2312" w:cs="Courier New"/>
          <w:b/>
          <w:bCs/>
          <w:sz w:val="32"/>
          <w:szCs w:val="32"/>
        </w:rPr>
        <w:t>（类）普通教育（款）小学教育（项）。</w:t>
      </w:r>
      <w:r>
        <w:rPr>
          <w:rFonts w:hint="eastAsia" w:ascii="仿宋_GB2312" w:hAnsi="宋体" w:eastAsia="仿宋_GB2312" w:cs="Courier New"/>
          <w:sz w:val="32"/>
          <w:szCs w:val="32"/>
        </w:rPr>
        <w:t>年初预算为11.12万元，支出决算为11.12万元，完成年初预算的100%。</w:t>
      </w:r>
      <w:r>
        <w:rPr>
          <w:rFonts w:hint="eastAsia" w:ascii="仿宋_GB2312" w:hAnsi="宋体" w:eastAsia="仿宋_GB2312" w:cs="Courier New"/>
          <w:b/>
          <w:bCs/>
          <w:sz w:val="32"/>
          <w:szCs w:val="32"/>
        </w:rPr>
        <w:t>教育支出（类）特殊教育（款）特殊学校教育（项）。</w:t>
      </w:r>
      <w:r>
        <w:rPr>
          <w:rFonts w:hint="eastAsia" w:ascii="仿宋_GB2312" w:hAnsi="宋体" w:eastAsia="仿宋_GB2312" w:cs="Courier New"/>
          <w:sz w:val="32"/>
          <w:szCs w:val="32"/>
        </w:rPr>
        <w:t>年初预算为50万元，支出决算为50万元，完成年初预算的100%。</w:t>
      </w:r>
      <w:r>
        <w:rPr>
          <w:rFonts w:hint="eastAsia" w:ascii="仿宋_GB2312" w:hAnsi="宋体" w:eastAsia="仿宋_GB2312" w:cs="Courier New"/>
          <w:b/>
          <w:bCs/>
          <w:sz w:val="32"/>
          <w:szCs w:val="32"/>
        </w:rPr>
        <w:t>文化体育与传媒支出（类）文化（款）行政运行（项）。</w:t>
      </w:r>
      <w:r>
        <w:rPr>
          <w:rFonts w:hint="eastAsia" w:ascii="仿宋_GB2312" w:hAnsi="宋体" w:eastAsia="仿宋_GB2312" w:cs="Courier New"/>
          <w:sz w:val="32"/>
          <w:szCs w:val="32"/>
        </w:rPr>
        <w:t>年初预算为3万元，支出决算为3万元，完成年初预算的100%。</w:t>
      </w:r>
      <w:r>
        <w:rPr>
          <w:rFonts w:hint="eastAsia" w:ascii="仿宋_GB2312" w:hAnsi="宋体" w:eastAsia="仿宋_GB2312" w:cs="Courier New"/>
          <w:b/>
          <w:bCs/>
          <w:sz w:val="32"/>
          <w:szCs w:val="32"/>
        </w:rPr>
        <w:t>社会保障和就业支出（类）民政管理事务（款）行政运行（项）。</w:t>
      </w:r>
      <w:r>
        <w:rPr>
          <w:rFonts w:hint="eastAsia" w:ascii="仿宋_GB2312" w:hAnsi="宋体" w:eastAsia="仿宋_GB2312" w:cs="Courier New"/>
          <w:sz w:val="32"/>
          <w:szCs w:val="32"/>
        </w:rPr>
        <w:t>年初预算为5.91万元，支出决算为5.91万元，完成年初预算的100%。</w:t>
      </w:r>
      <w:r>
        <w:rPr>
          <w:rFonts w:hint="eastAsia" w:ascii="仿宋_GB2312" w:hAnsi="宋体" w:eastAsia="仿宋_GB2312" w:cs="Courier New"/>
          <w:b/>
          <w:bCs/>
          <w:sz w:val="32"/>
          <w:szCs w:val="32"/>
        </w:rPr>
        <w:t>社会保障和就业支出（类）抚恤（款）伤残抚恤（项）。</w:t>
      </w:r>
      <w:r>
        <w:rPr>
          <w:rFonts w:hint="eastAsia" w:ascii="仿宋_GB2312" w:hAnsi="宋体" w:eastAsia="仿宋_GB2312" w:cs="Courier New"/>
          <w:sz w:val="32"/>
          <w:szCs w:val="32"/>
        </w:rPr>
        <w:t>年初预算为2万元，支出决算为2万元，完成年初预算的100%。</w:t>
      </w:r>
      <w:r>
        <w:rPr>
          <w:rFonts w:hint="eastAsia" w:ascii="仿宋_GB2312" w:hAnsi="宋体" w:eastAsia="仿宋_GB2312" w:cs="Courier New"/>
          <w:b/>
          <w:bCs/>
          <w:sz w:val="32"/>
          <w:szCs w:val="32"/>
        </w:rPr>
        <w:t>社会保障和就业支出（类）其他社会保障和就业支出（款）其他社会保障和就业支出（项）。</w:t>
      </w:r>
      <w:r>
        <w:rPr>
          <w:rFonts w:hint="eastAsia" w:ascii="仿宋_GB2312" w:hAnsi="宋体" w:eastAsia="仿宋_GB2312" w:cs="Courier New"/>
          <w:sz w:val="32"/>
          <w:szCs w:val="32"/>
        </w:rPr>
        <w:t>年初预算为7.68万元，支出决算为7.68万元，完成年初预算的100%。</w:t>
      </w:r>
      <w:r>
        <w:rPr>
          <w:rFonts w:hint="eastAsia" w:ascii="仿宋_GB2312" w:hAnsi="宋体" w:eastAsia="仿宋_GB2312" w:cs="Courier New"/>
          <w:b/>
          <w:bCs/>
          <w:sz w:val="32"/>
          <w:szCs w:val="32"/>
        </w:rPr>
        <w:t>节能环保支出（类）污染防治（款）排污费安排的支出（项）。</w:t>
      </w:r>
      <w:r>
        <w:rPr>
          <w:rFonts w:hint="eastAsia" w:ascii="仿宋_GB2312" w:hAnsi="宋体" w:eastAsia="仿宋_GB2312" w:cs="Courier New"/>
          <w:sz w:val="32"/>
          <w:szCs w:val="32"/>
        </w:rPr>
        <w:t>年初预算为3万元，支出决算为3万元，完成年初预算的100%。</w:t>
      </w:r>
      <w:r>
        <w:rPr>
          <w:rFonts w:hint="eastAsia" w:ascii="仿宋_GB2312" w:hAnsi="宋体" w:eastAsia="仿宋_GB2312" w:cs="Courier New"/>
          <w:b/>
          <w:bCs/>
          <w:sz w:val="32"/>
          <w:szCs w:val="32"/>
        </w:rPr>
        <w:t>节能环保支出（类）自然生态保护（款）农村环境保护（项）。</w:t>
      </w:r>
      <w:r>
        <w:rPr>
          <w:rFonts w:hint="eastAsia" w:ascii="仿宋_GB2312" w:hAnsi="宋体" w:eastAsia="仿宋_GB2312" w:cs="Courier New"/>
          <w:sz w:val="32"/>
          <w:szCs w:val="32"/>
        </w:rPr>
        <w:t>年初预算为25万元，支出决算为25万元，完成年初预算的100%。</w:t>
      </w:r>
      <w:r>
        <w:rPr>
          <w:rFonts w:hint="eastAsia" w:ascii="仿宋_GB2312" w:hAnsi="宋体" w:eastAsia="仿宋_GB2312" w:cs="Courier New"/>
          <w:b/>
          <w:bCs/>
          <w:sz w:val="32"/>
          <w:szCs w:val="32"/>
        </w:rPr>
        <w:t>节能环保支出（类）农村环境保护（款）天然林保护（项）。</w:t>
      </w:r>
      <w:r>
        <w:rPr>
          <w:rFonts w:hint="eastAsia" w:ascii="仿宋_GB2312" w:hAnsi="宋体" w:eastAsia="仿宋_GB2312" w:cs="Courier New"/>
          <w:sz w:val="32"/>
          <w:szCs w:val="32"/>
        </w:rPr>
        <w:t>年初预算为15万元，支出决算为15万元，完成年初预算的100%。</w:t>
      </w:r>
      <w:r>
        <w:rPr>
          <w:rFonts w:hint="eastAsia" w:ascii="仿宋_GB2312" w:hAnsi="宋体" w:eastAsia="仿宋_GB2312" w:cs="Courier New"/>
          <w:b/>
          <w:bCs/>
          <w:sz w:val="32"/>
          <w:szCs w:val="32"/>
        </w:rPr>
        <w:t>节能环保支</w:t>
      </w:r>
      <w:bookmarkStart w:id="0" w:name="_GoBack"/>
      <w:bookmarkEnd w:id="0"/>
      <w:r>
        <w:rPr>
          <w:rFonts w:hint="eastAsia" w:ascii="仿宋_GB2312" w:hAnsi="宋体" w:eastAsia="仿宋_GB2312" w:cs="Courier New"/>
          <w:b/>
          <w:bCs/>
          <w:sz w:val="32"/>
          <w:szCs w:val="32"/>
        </w:rPr>
        <w:t>出（类）其他节能环保支出（款）其他节能环保支出（项）。</w:t>
      </w:r>
      <w:r>
        <w:rPr>
          <w:rFonts w:hint="eastAsia" w:ascii="仿宋_GB2312" w:hAnsi="宋体" w:eastAsia="仿宋_GB2312" w:cs="Courier New"/>
          <w:sz w:val="32"/>
          <w:szCs w:val="32"/>
        </w:rPr>
        <w:t>年初预算为8万元，支出决算为8万元，完成年初预算的100%。</w:t>
      </w:r>
      <w:r>
        <w:rPr>
          <w:rFonts w:hint="eastAsia" w:ascii="仿宋_GB2312" w:hAnsi="宋体" w:eastAsia="仿宋_GB2312" w:cs="Courier New"/>
          <w:b/>
          <w:bCs/>
          <w:sz w:val="32"/>
          <w:szCs w:val="32"/>
        </w:rPr>
        <w:t>城乡社区支出（类）城乡社区管理事务（款）行政运行（项）。</w:t>
      </w:r>
      <w:r>
        <w:rPr>
          <w:rFonts w:hint="eastAsia" w:ascii="仿宋_GB2312" w:hAnsi="宋体" w:eastAsia="仿宋_GB2312" w:cs="Courier New"/>
          <w:sz w:val="32"/>
          <w:szCs w:val="32"/>
        </w:rPr>
        <w:t>年初预算为25.3万元，支出决算为25.3万元，完成年初预算的100%。</w:t>
      </w:r>
      <w:r>
        <w:rPr>
          <w:rFonts w:hint="eastAsia" w:ascii="仿宋_GB2312" w:hAnsi="宋体" w:eastAsia="仿宋_GB2312" w:cs="Courier New"/>
          <w:b/>
          <w:bCs/>
          <w:sz w:val="32"/>
          <w:szCs w:val="32"/>
        </w:rPr>
        <w:t>城乡社区支出（类）城乡社区公共设施（款）小城镇基础设施建设（项）。</w:t>
      </w:r>
      <w:r>
        <w:rPr>
          <w:rFonts w:hint="eastAsia" w:ascii="仿宋_GB2312" w:hAnsi="宋体" w:eastAsia="仿宋_GB2312" w:cs="Courier New"/>
          <w:sz w:val="32"/>
          <w:szCs w:val="32"/>
        </w:rPr>
        <w:t>年初预算为75.57万元，支出决算为75.57万元，完成年初预算的100%。</w:t>
      </w:r>
      <w:r>
        <w:rPr>
          <w:rFonts w:hint="eastAsia" w:ascii="仿宋_GB2312" w:hAnsi="宋体" w:eastAsia="仿宋_GB2312" w:cs="Courier New"/>
          <w:b/>
          <w:bCs/>
          <w:sz w:val="32"/>
          <w:szCs w:val="32"/>
        </w:rPr>
        <w:t>农林水支出（类）农业（款）其他农业支出（项）。</w:t>
      </w:r>
      <w:r>
        <w:rPr>
          <w:rFonts w:hint="eastAsia" w:ascii="仿宋_GB2312" w:hAnsi="宋体" w:eastAsia="仿宋_GB2312" w:cs="Courier New"/>
          <w:sz w:val="32"/>
          <w:szCs w:val="32"/>
        </w:rPr>
        <w:t>年初预算为107.33万元，支出决算为107.33万元，完成年初预算的100%。</w:t>
      </w:r>
      <w:r>
        <w:rPr>
          <w:rFonts w:hint="eastAsia" w:ascii="仿宋_GB2312" w:hAnsi="宋体" w:eastAsia="仿宋_GB2312" w:cs="Courier New"/>
          <w:b/>
          <w:bCs/>
          <w:sz w:val="32"/>
          <w:szCs w:val="32"/>
        </w:rPr>
        <w:t>农林水支出（类）林业（款）森林培育（项）。</w:t>
      </w:r>
      <w:r>
        <w:rPr>
          <w:rFonts w:hint="eastAsia" w:ascii="仿宋_GB2312" w:hAnsi="宋体" w:eastAsia="仿宋_GB2312" w:cs="Courier New"/>
          <w:sz w:val="32"/>
          <w:szCs w:val="32"/>
        </w:rPr>
        <w:t>年初预算为153.81万元，支出决算为153.81万元，完成年初预算的100%。</w:t>
      </w:r>
      <w:r>
        <w:rPr>
          <w:rFonts w:hint="eastAsia" w:ascii="仿宋_GB2312" w:hAnsi="宋体" w:eastAsia="仿宋_GB2312" w:cs="Courier New"/>
          <w:b/>
          <w:bCs/>
          <w:sz w:val="32"/>
          <w:szCs w:val="32"/>
        </w:rPr>
        <w:t>农林水支出（类）水利（款）砂石资源费支出（项）。</w:t>
      </w:r>
      <w:r>
        <w:rPr>
          <w:rFonts w:hint="eastAsia" w:ascii="仿宋_GB2312" w:hAnsi="宋体" w:eastAsia="仿宋_GB2312" w:cs="Courier New"/>
          <w:sz w:val="32"/>
          <w:szCs w:val="32"/>
        </w:rPr>
        <w:t>年初预算为51.8万元，支出决算为51.8万元，完成年初预算的100%。</w:t>
      </w:r>
      <w:r>
        <w:rPr>
          <w:rFonts w:hint="eastAsia" w:ascii="仿宋_GB2312" w:hAnsi="宋体" w:eastAsia="仿宋_GB2312" w:cs="Courier New"/>
          <w:b/>
          <w:bCs/>
          <w:sz w:val="32"/>
          <w:szCs w:val="32"/>
        </w:rPr>
        <w:t>农村综合改革（类）对村级一事一议的补助（款）对村民委员会和村党支部的补助（项）。</w:t>
      </w:r>
      <w:r>
        <w:rPr>
          <w:rFonts w:hint="eastAsia" w:ascii="仿宋_GB2312" w:hAnsi="宋体" w:eastAsia="仿宋_GB2312" w:cs="Courier New"/>
          <w:sz w:val="32"/>
          <w:szCs w:val="32"/>
        </w:rPr>
        <w:t>年初预算为206.23万元，支出决算为206.23万元，完成年初预算的100%。</w:t>
      </w:r>
      <w:r>
        <w:rPr>
          <w:rFonts w:hint="eastAsia" w:ascii="仿宋_GB2312" w:hAnsi="宋体" w:eastAsia="仿宋_GB2312" w:cs="Courier New"/>
          <w:b/>
          <w:bCs/>
          <w:sz w:val="32"/>
          <w:szCs w:val="32"/>
        </w:rPr>
        <w:t>国土海洋气象等支出（类）国土资源事务（款）其他国土资源事务（项）。</w:t>
      </w:r>
      <w:r>
        <w:rPr>
          <w:rFonts w:hint="eastAsia" w:ascii="仿宋_GB2312" w:hAnsi="宋体" w:eastAsia="仿宋_GB2312" w:cs="Courier New"/>
          <w:sz w:val="32"/>
          <w:szCs w:val="32"/>
        </w:rPr>
        <w:t>年初预算为10万元，支出决算为10万元，完成年初预算的100%。</w:t>
      </w:r>
      <w:r>
        <w:rPr>
          <w:rFonts w:hint="eastAsia" w:ascii="仿宋_GB2312" w:hAnsi="宋体" w:eastAsia="仿宋_GB2312" w:cs="Courier New"/>
          <w:b/>
          <w:bCs/>
          <w:sz w:val="32"/>
          <w:szCs w:val="32"/>
        </w:rPr>
        <w:t>住房保障支出（类）保障性安居工程支出（款）农村危房改造（项）。</w:t>
      </w:r>
      <w:r>
        <w:rPr>
          <w:rFonts w:hint="eastAsia" w:ascii="仿宋_GB2312" w:hAnsi="宋体" w:eastAsia="仿宋_GB2312" w:cs="Courier New"/>
          <w:sz w:val="32"/>
          <w:szCs w:val="32"/>
        </w:rPr>
        <w:t>年初预算为61.33万元，支出决算为61.33万元，完成年初预算的100%。</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2016年一般公共预算财政拨款基本支出1741.25万元，其中：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564.55</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主要包括：基本工资204.08万元、津贴补贴142.56万元、奖金9.9万元，其他社保缴费18.43万元，退休费156万元，抚恤金28.43万元，其他对个人和家庭的补助支出4.68万元；</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250.65万元</w:t>
      </w:r>
      <w:r>
        <w:rPr>
          <w:rFonts w:hint="eastAsia" w:ascii="仿宋_GB2312" w:hAnsi="宋体" w:eastAsia="仿宋_GB2312" w:cs="Courier New"/>
          <w:sz w:val="32"/>
          <w:szCs w:val="32"/>
        </w:rPr>
        <w:t>，主要包括：办公费72.91万元，印刷费4.97万元，电费12.51万元，邮电费1.91万元，物业管理费3万元，差旅费23.71万元，维修费87.7万元，培训费1.93万元，公务接待费19.5万元，劳务费2.7万元，福利费0.42万元，公务用车运行维护费11.48万元，其他交通费用0.6万元，其他商品和服务支出7.32万元。</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52万元，支出决算为31.56万元，完成预算的60%，其中：因公出国（境）费支出为0；公务用车购置及运行费支出决算为12.07万元，完成预算的603%；公务接待费支出决算为19.49万元，完成预算的38%。2016年度“三公”经费支出决算数大于（小于）预算数的主要原因是公务用车运行费超支，公务用车运行费主要用于双创、秸杆焚烧、扶贫、高铁等主要工作频繁下村用车及租车。</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减少77.14万元，下降70%，其中：因公出国（境）费支出为0；公务用车购置及运行费支出决算减少25.68万元，下降68%；公务接待费支出决算减少51.46万元，下降72.52%。公务用车购置及运行费支出减少的主要原因是大力压缩开支；公务接待费支出减少的主要原因是大力压缩开支。</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2016年度“三公”经费财政拨款支出决算中，因公出国（境）费支出决算0万元；公务用车购置及运行费支出决算12.07万元，占38.24%；公务接待费支出决算19.49万元，占61.75%。</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支出0万元。全年安排厅单位因公出国（境）团组0个，累计0人次。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支出12.07万元。其中：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支出12.07万元。主要用于扶贫、秸杆焚烧、双创等主要工作的频繁下村租车支出。2016年期末，陆营镇政府开支财政拨款的公务用车保有量为3量。</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公务接待费支出19.49万元。</w:t>
      </w:r>
      <w:r>
        <w:rPr>
          <w:rFonts w:hint="eastAsia" w:ascii="仿宋_GB2312" w:hAnsi="宋体" w:eastAsia="仿宋_GB2312" w:cs="Courier New"/>
          <w:sz w:val="32"/>
          <w:szCs w:val="32"/>
        </w:rPr>
        <w:t>主要用于公务灶支出。</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根据财政预算管理要求，陆营镇政府对2016年度一般公共预算项目支出全面开展绩效自评。其中，一级项目1个，二级项目3个，共涉及预算资金100余万元，自评覆盖率达到100%。</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2016年度政府性基金预算财政拨款支出年初预算为0万元，支出决算为0万元，完成年初预算的0%。</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2016年度机关运行经费支出250.65万元，比2015年减少30万元，下降10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2016年期末，陆营镇政府共有车辆3辆，其中：一般公务用车1辆、一般执法执勤用车1辆、特种专业技术用车1辆，无其他用车；单价50万元以上通用设备0台（套），单位价值100万元以上专用设备0台（套）。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五、年末结转和结余：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指在基本支出之外为完成特定行政任务的支出。</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八“三公”经费：</w:t>
      </w:r>
      <w:r>
        <w:rPr>
          <w:rFonts w:hint="eastAsia" w:ascii="仿宋_GB2312" w:hAnsi="宋体" w:eastAsia="仿宋_GB2312" w:cs="Courier New"/>
          <w:sz w:val="32"/>
          <w:szCs w:val="32"/>
        </w:rPr>
        <w:t>纳入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九、机关运行经费：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BF7C"/>
    <w:multiLevelType w:val="singleLevel"/>
    <w:tmpl w:val="5971BF7C"/>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5">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7">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8">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9">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10">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1">
    <w:nsid w:val="5971EDEF"/>
    <w:multiLevelType w:val="singleLevel"/>
    <w:tmpl w:val="5971EDE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A5A1F"/>
    <w:rsid w:val="000B35EC"/>
    <w:rsid w:val="005128D2"/>
    <w:rsid w:val="00522524"/>
    <w:rsid w:val="005A7C11"/>
    <w:rsid w:val="00965D75"/>
    <w:rsid w:val="00BF341E"/>
    <w:rsid w:val="01D32429"/>
    <w:rsid w:val="05DE2371"/>
    <w:rsid w:val="2A0A5A1F"/>
    <w:rsid w:val="382C540A"/>
    <w:rsid w:val="3DD61412"/>
    <w:rsid w:val="4E614348"/>
    <w:rsid w:val="52E00109"/>
    <w:rsid w:val="60315A16"/>
    <w:rsid w:val="639359AE"/>
    <w:rsid w:val="6A6E5C5C"/>
    <w:rsid w:val="6C8F056A"/>
    <w:rsid w:val="6CBD3532"/>
    <w:rsid w:val="73447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3665C3"/>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qFormat/>
    <w:uiPriority w:val="0"/>
    <w:rPr>
      <w:color w:val="3665C3"/>
      <w:u w:val="none"/>
    </w:rPr>
  </w:style>
  <w:style w:type="character" w:styleId="12">
    <w:name w:val="HTML Code"/>
    <w:basedOn w:val="5"/>
    <w:qFormat/>
    <w:uiPriority w:val="0"/>
    <w:rPr>
      <w:rFonts w:ascii="Courier New" w:hAnsi="Courier New"/>
      <w:sz w:val="20"/>
    </w:rPr>
  </w:style>
  <w:style w:type="character" w:styleId="13">
    <w:name w:val="HTML Cite"/>
    <w:basedOn w:val="5"/>
    <w:uiPriority w:val="0"/>
  </w:style>
  <w:style w:type="character" w:customStyle="1" w:styleId="15">
    <w:name w:val="页眉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28</Pages>
  <Words>2682</Words>
  <Characters>15288</Characters>
  <Lines>127</Lines>
  <Paragraphs>35</Paragraphs>
  <ScaleCrop>false</ScaleCrop>
  <LinksUpToDate>false</LinksUpToDate>
  <CharactersWithSpaces>17935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2017-09-13T03:26:00Z</dcterms:created>
  <dc:creator>Administrator</dc:creator>
  <cp:lastModifiedBy>Administrator</cp:lastModifiedBy>
  <dcterms:modified xsi:type="dcterms:W3CDTF">2017-09-14T02:13:36Z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