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AA9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lang w:val="en-US" w:eastAsia="zh-CN"/>
        </w:rPr>
        <w:t>卧龙区农业农村局</w:t>
      </w:r>
    </w:p>
    <w:p w14:paraId="761DDF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lang w:val="en-US" w:eastAsia="zh-CN"/>
        </w:rPr>
        <w:t>2024年度法治政府建设情况报告</w:t>
      </w:r>
    </w:p>
    <w:p w14:paraId="5398E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4045BD8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区农业农村</w:t>
      </w:r>
      <w:r>
        <w:rPr>
          <w:rFonts w:hint="eastAsia" w:ascii="仿宋" w:hAnsi="仿宋" w:eastAsia="仿宋" w:cs="仿宋"/>
          <w:sz w:val="32"/>
          <w:szCs w:val="32"/>
        </w:rPr>
        <w:t>局坚持以习近平新时代中国特色社会主义思想为引领，深入学习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贯彻习近平法治思想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贯彻党的二十大精神及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依法治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领导小组对法治建设工作的要求和部署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加强法治机关建设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加大普法宣传力度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强化法治思维意识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提升依法行政能力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农业农村工作重点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法治建设取得了积极成效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仿宋"/>
          <w:sz w:val="32"/>
          <w:szCs w:val="32"/>
        </w:rPr>
        <w:t>汇报如下：</w:t>
      </w:r>
    </w:p>
    <w:p w14:paraId="36F9254D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年法治政府建设工作情况</w:t>
      </w:r>
    </w:p>
    <w:p w14:paraId="6BA013CC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  （一）强化组织领导，完善法治工作机制</w:t>
      </w:r>
    </w:p>
    <w:p w14:paraId="75247A78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一是领导高度重视。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农业农村局全面贯彻落实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区委政府</w:t>
      </w:r>
      <w:r>
        <w:rPr>
          <w:rFonts w:hint="eastAsia" w:ascii="仿宋" w:hAnsi="仿宋" w:eastAsia="仿宋" w:cs="仿宋"/>
          <w:sz w:val="32"/>
          <w:szCs w:val="32"/>
        </w:rPr>
        <w:t>关于法治建设的决策部署，结合工作实际，将法治建设摆在全局工作的重要位置。二是完善组织机构。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及时成立卧龙区农业农村局</w:t>
      </w:r>
      <w:r>
        <w:rPr>
          <w:rFonts w:hint="eastAsia" w:ascii="仿宋" w:hAnsi="仿宋" w:eastAsia="仿宋" w:cs="仿宋"/>
          <w:sz w:val="32"/>
          <w:szCs w:val="32"/>
        </w:rPr>
        <w:t>法治政府工作领导小组，由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主要领导任组长，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领导任</w:t>
      </w:r>
      <w:r>
        <w:rPr>
          <w:rFonts w:hint="eastAsia" w:ascii="仿宋" w:hAnsi="仿宋" w:eastAsia="仿宋" w:cs="仿宋"/>
          <w:sz w:val="32"/>
          <w:szCs w:val="32"/>
        </w:rPr>
        <w:t>副组长，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属各单位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股室负责人为成员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的法治建设工作领导小组，局主要领导</w:t>
      </w:r>
      <w:r>
        <w:rPr>
          <w:rFonts w:hint="eastAsia" w:ascii="仿宋" w:hAnsi="仿宋" w:eastAsia="仿宋" w:cs="仿宋"/>
          <w:sz w:val="32"/>
          <w:szCs w:val="32"/>
        </w:rPr>
        <w:t>对法治建设重要工作亲自部署、重大问题亲自过问、重点环节亲自协调、重要任务亲自督办，切实履行推进法治政府建设第一责任人职责。三是科学民主决策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为规范行政决策行为，提高决策质量和效率，农业农村局严格执行重大行政决策法定程序，对涉及的重大行政决策事项和“三重一大”事项中的重大行政决策事项，严格规定其范围和程序。</w:t>
      </w:r>
    </w:p>
    <w:p w14:paraId="208D9213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（二）强化学习培训，深入学习宣传贯彻落实习近平法治思想</w:t>
      </w:r>
    </w:p>
    <w:p w14:paraId="764A72D8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贯彻落实习近平法治思想、依法治国思想和中央全面依法治国工作会议精神，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纳入</w:t>
      </w:r>
      <w:r>
        <w:rPr>
          <w:rFonts w:hint="eastAsia" w:ascii="仿宋" w:hAnsi="仿宋" w:eastAsia="仿宋" w:cs="仿宋"/>
          <w:sz w:val="32"/>
          <w:szCs w:val="32"/>
        </w:rPr>
        <w:t>我局党组理论学习中心组集体学习的重点内容，单位“一把手”率先示范，带头学习，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激发</w:t>
      </w:r>
      <w:r>
        <w:rPr>
          <w:rFonts w:hint="eastAsia" w:ascii="仿宋" w:hAnsi="仿宋" w:eastAsia="仿宋" w:cs="仿宋"/>
          <w:sz w:val="32"/>
          <w:szCs w:val="32"/>
        </w:rPr>
        <w:t>广大干部职工深入学习贯彻习近平法治思想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的激情</w:t>
      </w:r>
      <w:r>
        <w:rPr>
          <w:rFonts w:hint="eastAsia" w:ascii="仿宋" w:hAnsi="仿宋" w:eastAsia="仿宋" w:cs="仿宋"/>
          <w:sz w:val="32"/>
          <w:szCs w:val="32"/>
        </w:rPr>
        <w:t>。二是根据《202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年度法治卧龙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法治政府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建设考核实施方案》的工作要求，我局党组切实提高认识，认真推进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</w:t>
      </w:r>
      <w:r>
        <w:rPr>
          <w:rFonts w:hint="eastAsia" w:ascii="仿宋" w:hAnsi="仿宋" w:eastAsia="仿宋" w:cs="仿宋"/>
          <w:sz w:val="32"/>
          <w:szCs w:val="32"/>
        </w:rPr>
        <w:t>学习贯彻工作。建立完善局党组中心组学法制度，组织学习了《习近平法治思想学习纲要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习近平法治思想学习问答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》《中华人民共和国乡村振兴促进法》《</w:t>
      </w:r>
      <w:r>
        <w:rPr>
          <w:rFonts w:hint="eastAsia" w:ascii="仿宋" w:hAnsi="仿宋" w:eastAsia="仿宋" w:cs="仿宋"/>
          <w:sz w:val="32"/>
          <w:szCs w:val="32"/>
        </w:rPr>
        <w:t>中国共产党宣传工作条例》等内容。同时，我局全面落实法治建设第一责任人职责，及时履行述法履职报告义务。三是加强学习培训，充分利用局党组会、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等时机，深入学习法治政府建设各项政策文件和涉农有关法律法规，健全完善领导干部学习培训、考核考试等制度，着力提高领导干部运用法治思维和法治方式深化改革、化解矛盾、推动发展能力。认真组织本单位干部职工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工作人员统一学法考试工作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考试合格率均为100%。组织行政执法人员参加线上培训32人次。结合党组理论学习中心组、干部职工会以及各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室自学等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多种</w:t>
      </w:r>
      <w:r>
        <w:rPr>
          <w:rFonts w:hint="eastAsia" w:ascii="仿宋" w:hAnsi="仿宋" w:eastAsia="仿宋" w:cs="仿宋"/>
          <w:sz w:val="32"/>
          <w:szCs w:val="32"/>
        </w:rPr>
        <w:t>形式学习法律法规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筛选优秀执法队员积极参与省、市、区大练兵活动3次，参与人员10人次；参加全市业务知识竞赛4人次；参加市区各类法律法规知识培训20余人次，起到了个体带动全局的良好效果。全年组织学习了《中华人民共和国宪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中华人民共和国民法典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中华人民共和国安全生产法》等多部法律法规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切实增强全体干部职工法治意识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提高法治思维和依法行政能力。</w:t>
      </w:r>
    </w:p>
    <w:p w14:paraId="4E802012"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规范行政决策机制，科学民主合法决策</w:t>
      </w:r>
    </w:p>
    <w:p w14:paraId="29D2CD30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一是加强对规章、规范性文件的备案审查，提高规范性文件制定水平。</w:t>
      </w:r>
      <w:r>
        <w:rPr>
          <w:rFonts w:hint="eastAsia" w:ascii="仿宋" w:hAnsi="仿宋" w:eastAsia="仿宋" w:cs="仿宋"/>
          <w:sz w:val="32"/>
          <w:szCs w:val="32"/>
        </w:rPr>
        <w:t>严格执行上级关于规范性文件的管理指导意见，定期对规范性文件进行清理。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二是严格依法依规决策，执行重大决策法定程序。</w:t>
      </w:r>
      <w:r>
        <w:rPr>
          <w:rFonts w:hint="eastAsia" w:ascii="仿宋" w:hAnsi="仿宋" w:eastAsia="仿宋" w:cs="仿宋"/>
          <w:sz w:val="32"/>
          <w:szCs w:val="32"/>
        </w:rPr>
        <w:t>坚持民主集中制，严格执行“三重一大”事项议事规则和决策程序，凡涉及局重大改革事项、重要工作、重大项目、大额资金的使用等事项，须召开党组会议或班子会议集体讨论研究。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三是落实法律顾问制度，全面深入推进依法行政。</w:t>
      </w:r>
      <w:r>
        <w:rPr>
          <w:rFonts w:hint="eastAsia" w:ascii="仿宋" w:hAnsi="仿宋" w:eastAsia="仿宋" w:cs="仿宋"/>
          <w:sz w:val="32"/>
          <w:szCs w:val="32"/>
        </w:rPr>
        <w:t>聘请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南阳市宛英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名律师担任我局法律顾问，为我局重大事项、重大决策、政策文件、合同协议、行政复议诉讼等提供法律服务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及时帮助解决复杂疑难矛盾纠纷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推进我局各项重大决策部署合法合规。</w:t>
      </w:r>
    </w:p>
    <w:p w14:paraId="78318AA2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坚持依法行政，行政权力运行规范</w:t>
      </w:r>
    </w:p>
    <w:p w14:paraId="3810A344"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一是推进职能转变。</w:t>
      </w:r>
      <w:r>
        <w:rPr>
          <w:rFonts w:hint="eastAsia" w:ascii="仿宋" w:hAnsi="仿宋" w:eastAsia="仿宋" w:cs="仿宋"/>
          <w:sz w:val="32"/>
          <w:szCs w:val="32"/>
        </w:rPr>
        <w:t>持续做好行政审批和公共服务事项及“放管服”改革，进驻行政服务中心行政审批和公共服务事项共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项，进驻率100%。落实减证便民审批提速行动，优化行政审批和公共服务事项流程，即办件均在1个工作日内办理完结，进一步压缩办结时限。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二是推进行政执法责任制落实。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</w:rPr>
        <w:t>监管，推行联合执法，推动严格规范公正文明执法。持续开展好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行政执法行风规范活动，积极推进服务型行政执法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严厉查处有制度不落实、有案不查等违规行为，净化执法队伍。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加大执法办案力度。</w:t>
      </w:r>
      <w:r>
        <w:rPr>
          <w:rFonts w:hint="eastAsia" w:ascii="仿宋" w:hAnsi="仿宋" w:eastAsia="仿宋" w:cs="仿宋"/>
          <w:sz w:val="32"/>
          <w:szCs w:val="32"/>
        </w:rPr>
        <w:t>对执法监督发现、专项整治、群众举报、媒体曝光、上级交办的案件线索，一律严查严办，一查到底，对符合移送标准的坚决移送，发挥司法震慑力。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四是强化执法联动、部门协作机制。</w:t>
      </w:r>
      <w:r>
        <w:rPr>
          <w:rFonts w:hint="eastAsia" w:ascii="仿宋" w:hAnsi="仿宋" w:eastAsia="仿宋" w:cs="仿宋"/>
          <w:sz w:val="32"/>
          <w:szCs w:val="32"/>
        </w:rPr>
        <w:t>加强与商务、食安、卫生、质监、工商、公安等部门的协调配合，形成监管合力，发现问题果断处理，绝不姑息。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五是开展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农业综合执法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通过群众举报、检查发现、上级交办等途径，先后出动车辆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00余台次，执法人员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00余人次，踏实做好春秋、冬春农资打假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次专项行动，持续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中国渔政专项执法行动，全年依法行政立案7起，办结行政处罚案件4起。其中、涉及农资类案件3起，涉及渔业类案件1起，没收违法渔船1艘。通过几起案件的查处，在农业执法领域形成了一定震慑，有效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维护了农资市场经营秩序和农业生产秩序。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分工协作，解决民生热点。</w:t>
      </w:r>
      <w:r>
        <w:rPr>
          <w:rFonts w:hint="eastAsia" w:ascii="仿宋" w:hAnsi="仿宋" w:eastAsia="仿宋" w:cs="仿宋"/>
          <w:sz w:val="32"/>
          <w:szCs w:val="32"/>
        </w:rPr>
        <w:t>一是协助局农产品质量安全监管股室完成种子、农药、农产品、水产品抽样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0余次，完成样品抽检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0余个；二是配合上级进入各类养殖场站进行执法检查10余次；出动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00余人次，配合相关股室进行农产品加工场所现场检查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0余次、农产品种植场所现场检查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0余次；三是配合其他部门做好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</w:rPr>
        <w:t>抽查30余家次。四是重视群众权益维护，出动执法人员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00余人次，主办或配合相关相关股室完成群众投诉查处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0余起次，协调解决群众纠纷诉求30余起，达成调解金额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万余元。</w:t>
      </w:r>
    </w:p>
    <w:p w14:paraId="45F68426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全面实施“八五”普法规划，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促进农村社会和谐稳定</w:t>
      </w:r>
    </w:p>
    <w:p w14:paraId="1E938D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开展春秋两季放心农资下乡进村活动和冬春农资打假专项治理活动。活动期间大队先后出动执法人员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90人次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累计检查执法对象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38户次，制作横幅过街联30余幅，展板20余块，印发《中华人民共和国种子法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农药管理条例》以及《农资防假识假知识》等方面宣传资料20余项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万余份，组织农业科技专家现场答疑，受理群众现场咨询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万余人次，帮助群众就地解决实际问题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余个，提高了广大农民对假冒伪劣农资的辨识能力和维权意识。在秋季农资打假专项治理行动中，积极配合市支队在全市开展了农资专项执法交叉检查行动，对我区种子、农药、肥料等农资生产经营情况进行检查和指导，提供案件线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起。</w:t>
      </w:r>
    </w:p>
    <w:p w14:paraId="541DC6BD">
      <w:pPr>
        <w:bidi w:val="0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     二、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存在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问题</w:t>
      </w:r>
    </w:p>
    <w:p w14:paraId="03985B8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一是法治建设的宣传力度需进一步提高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对法治建设的学习不够深入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对法律法规的学习掌握与实际应用存在差距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A22BA1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二是农业综合执法队伍力量薄弱，人员少，工作量大，任务重，无法满足正常监督执法任务需要，做到区域内全覆盖有难度。</w:t>
      </w:r>
    </w:p>
    <w:p w14:paraId="1B89D3E0">
      <w:pPr>
        <w:bidi w:val="0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    三、下一步工作计划</w:t>
      </w:r>
    </w:p>
    <w:p w14:paraId="6C7CD51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我局将继续以习近平法治思想和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党的二十大精神</w:t>
      </w:r>
      <w:r>
        <w:rPr>
          <w:rFonts w:hint="eastAsia" w:ascii="仿宋" w:hAnsi="仿宋" w:eastAsia="仿宋" w:cs="仿宋"/>
          <w:sz w:val="32"/>
          <w:szCs w:val="32"/>
        </w:rPr>
        <w:t>为指引，认真贯彻落实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区政府</w:t>
      </w:r>
      <w:r>
        <w:rPr>
          <w:rFonts w:hint="eastAsia" w:ascii="仿宋" w:hAnsi="仿宋" w:eastAsia="仿宋" w:cs="仿宋"/>
          <w:sz w:val="32"/>
          <w:szCs w:val="32"/>
        </w:rPr>
        <w:t>关于法治政府建设的各项部署和要求，加强学习和宣传，不断增强法治观念，进一步提高执法人员的法律意识和素养；加强制度建设，严格落实责任，做到“执法权限法定化、执法责任明晰化、执法程序公开化、执法行为规范化、执法监督制度化”，使依法行政落到实处；加强队伍建设，努力提高法治水平，真正做到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有法必依、执法必严、违法必究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；强化对行政权力的监督，加大对规范性文件的合法性审查，加大对行政许可、行政处罚等政务信息公开的审核，依法规范行政行为。</w:t>
      </w:r>
    </w:p>
    <w:p w14:paraId="7A17E88C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特此报告</w:t>
      </w:r>
    </w:p>
    <w:p w14:paraId="0B8CCE70"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1461BD"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卧龙区农业农村局</w:t>
      </w:r>
    </w:p>
    <w:p w14:paraId="55DC837B">
      <w:pPr>
        <w:bidi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mYwYTNlMzcwYTgxNjJlMGYwNzM2YmEyYzlhODcifQ=="/>
  </w:docVars>
  <w:rsids>
    <w:rsidRoot w:val="00000000"/>
    <w:rsid w:val="0DE133F9"/>
    <w:rsid w:val="0F5E31D2"/>
    <w:rsid w:val="118570C2"/>
    <w:rsid w:val="16B47ACA"/>
    <w:rsid w:val="1A276F9C"/>
    <w:rsid w:val="1B181042"/>
    <w:rsid w:val="23D701FC"/>
    <w:rsid w:val="2755075A"/>
    <w:rsid w:val="323321AC"/>
    <w:rsid w:val="3A2D6D9A"/>
    <w:rsid w:val="3B016DDE"/>
    <w:rsid w:val="410829B2"/>
    <w:rsid w:val="4BCB44CE"/>
    <w:rsid w:val="4D4B1D6D"/>
    <w:rsid w:val="581211E7"/>
    <w:rsid w:val="5AC951E3"/>
    <w:rsid w:val="64C07904"/>
    <w:rsid w:val="6547021A"/>
    <w:rsid w:val="66CB20A7"/>
    <w:rsid w:val="67E90497"/>
    <w:rsid w:val="68427951"/>
    <w:rsid w:val="686B6029"/>
    <w:rsid w:val="71F50AF8"/>
    <w:rsid w:val="73A40C5F"/>
    <w:rsid w:val="7AB22E3E"/>
    <w:rsid w:val="7B734D0D"/>
    <w:rsid w:val="7F9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2963</Words>
  <Characters>3021</Characters>
  <Lines>0</Lines>
  <Paragraphs>0</Paragraphs>
  <TotalTime>59</TotalTime>
  <ScaleCrop>false</ScaleCrop>
  <LinksUpToDate>false</LinksUpToDate>
  <CharactersWithSpaces>3056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2023-02-09T04:47:00Z</dcterms:created>
  <dc:creator>1</dc:creator>
  <cp:lastModifiedBy>淼</cp:lastModifiedBy>
  <cp:lastPrinted>2024-12-16T03:16:00Z</cp:lastPrinted>
  <dcterms:modified xsi:type="dcterms:W3CDTF">2025-03-21T03:21:38Z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5DF8DE47D1F34752AC9B3A1004214101</vt:lpwstr>
  </property>
  <property fmtid="{D5CDD505-2E9C-101B-9397-08002B2CF9AE}" pid="4" name="KSOTemplateDocerSaveRecord">
    <vt:lpwstr>eyJoZGlkIjoiMWMyYTA2MmQzZGMwOTJkYTJiMDI0ZjZmMDYyZWRiMjAiLCJ1c2VySWQiOiIxMjE2NTk1MzcwIn0=</vt:lpwstr>
  </property>
</Properties>
</file>