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0"/>
        <w:rPr>
          <w:rFonts w:hint="eastAsia" w:ascii="黑体" w:hAnsi="黑体" w:eastAsia="黑体"/>
          <w:b/>
          <w:bCs/>
          <w:snapToGrid w:val="0"/>
          <w:sz w:val="30"/>
          <w:szCs w:val="30"/>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b/>
          <w:bCs/>
          <w:snapToGrid w:val="0"/>
          <w:sz w:val="30"/>
          <w:szCs w:val="30"/>
          <w:lang w:eastAsia="zh-CN"/>
        </w:rPr>
        <w:drawing>
          <wp:inline distT="0" distB="0" distL="114300" distR="114300">
            <wp:extent cx="5615305" cy="7942580"/>
            <wp:effectExtent l="0" t="0" r="4445" b="1270"/>
            <wp:docPr id="108" name="图片 108" descr="01封面、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1封面、资质_00"/>
                    <pic:cNvPicPr>
                      <a:picLocks noChangeAspect="1"/>
                    </pic:cNvPicPr>
                  </pic:nvPicPr>
                  <pic:blipFill>
                    <a:blip r:embed="rId6"/>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7" name="图片 107" descr="01封面、资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1封面、资质_01"/>
                    <pic:cNvPicPr>
                      <a:picLocks noChangeAspect="1"/>
                    </pic:cNvPicPr>
                  </pic:nvPicPr>
                  <pic:blipFill>
                    <a:blip r:embed="rId7"/>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6" name="图片 106" descr="01封面、资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01封面、资质_02"/>
                    <pic:cNvPicPr>
                      <a:picLocks noChangeAspect="1"/>
                    </pic:cNvPicPr>
                  </pic:nvPicPr>
                  <pic:blipFill>
                    <a:blip r:embed="rId8"/>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5" name="图片 105" descr="01封面、资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01封面、资质_03"/>
                    <pic:cNvPicPr>
                      <a:picLocks noChangeAspect="1"/>
                    </pic:cNvPicPr>
                  </pic:nvPicPr>
                  <pic:blipFill>
                    <a:blip r:embed="rId9"/>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4" name="图片 104" descr="01封面、资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1封面、资质_04"/>
                    <pic:cNvPicPr>
                      <a:picLocks noChangeAspect="1"/>
                    </pic:cNvPicPr>
                  </pic:nvPicPr>
                  <pic:blipFill>
                    <a:blip r:embed="rId10"/>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3" name="图片 103" descr="01封面、资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01封面、资质_05"/>
                    <pic:cNvPicPr>
                      <a:picLocks noChangeAspect="1"/>
                    </pic:cNvPicPr>
                  </pic:nvPicPr>
                  <pic:blipFill>
                    <a:blip r:embed="rId11"/>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2" name="图片 102" descr="01封面、资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01封面、资质_06"/>
                    <pic:cNvPicPr>
                      <a:picLocks noChangeAspect="1"/>
                    </pic:cNvPicPr>
                  </pic:nvPicPr>
                  <pic:blipFill>
                    <a:blip r:embed="rId12"/>
                    <a:stretch>
                      <a:fillRect/>
                    </a:stretch>
                  </pic:blipFill>
                  <pic:spPr>
                    <a:xfrm>
                      <a:off x="0" y="0"/>
                      <a:ext cx="5615305" cy="7942580"/>
                    </a:xfrm>
                    <a:prstGeom prst="rect">
                      <a:avLst/>
                    </a:prstGeom>
                  </pic:spPr>
                </pic:pic>
              </a:graphicData>
            </a:graphic>
          </wp:inline>
        </w:drawing>
      </w:r>
      <w:r>
        <w:rPr>
          <w:rFonts w:hint="eastAsia" w:ascii="黑体" w:hAnsi="黑体" w:eastAsia="黑体"/>
          <w:b/>
          <w:bCs/>
          <w:snapToGrid w:val="0"/>
          <w:sz w:val="30"/>
          <w:szCs w:val="30"/>
          <w:lang w:eastAsia="zh-CN"/>
        </w:rPr>
        <w:drawing>
          <wp:inline distT="0" distB="0" distL="114300" distR="114300">
            <wp:extent cx="5615305" cy="7942580"/>
            <wp:effectExtent l="0" t="0" r="4445" b="1270"/>
            <wp:docPr id="101" name="图片 101" descr="01封面、资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1封面、资质_07"/>
                    <pic:cNvPicPr>
                      <a:picLocks noChangeAspect="1"/>
                    </pic:cNvPicPr>
                  </pic:nvPicPr>
                  <pic:blipFill>
                    <a:blip r:embed="rId13"/>
                    <a:stretch>
                      <a:fillRect/>
                    </a:stretch>
                  </pic:blipFill>
                  <pic:spPr>
                    <a:xfrm>
                      <a:off x="0" y="0"/>
                      <a:ext cx="5615305" cy="7942580"/>
                    </a:xfrm>
                    <a:prstGeom prst="rect">
                      <a:avLst/>
                    </a:prstGeom>
                  </pic:spPr>
                </pic:pic>
              </a:graphicData>
            </a:graphic>
          </wp:inline>
        </w:drawing>
      </w:r>
    </w:p>
    <w:p>
      <w:pPr>
        <w:jc w:val="center"/>
        <w:outlineLvl w:val="0"/>
        <w:rPr>
          <w:rFonts w:hint="eastAsia" w:ascii="黑体" w:hAnsi="黑体" w:eastAsia="黑体"/>
          <w:b/>
          <w:bCs/>
          <w:snapToGrid w:val="0"/>
          <w:sz w:val="30"/>
          <w:szCs w:val="30"/>
        </w:rPr>
      </w:pPr>
      <w:r>
        <w:rPr>
          <w:rFonts w:hint="eastAsia" w:ascii="黑体" w:hAnsi="黑体" w:eastAsia="黑体"/>
          <w:b/>
          <w:bCs/>
          <w:snapToGrid w:val="0"/>
          <w:sz w:val="30"/>
          <w:szCs w:val="30"/>
        </w:rPr>
        <w:t>一、建设项目基本情况</w:t>
      </w:r>
    </w:p>
    <w:tbl>
      <w:tblPr>
        <w:tblStyle w:val="26"/>
        <w:tblW w:w="1002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70"/>
        <w:gridCol w:w="3012"/>
        <w:gridCol w:w="1793"/>
        <w:gridCol w:w="37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731"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建设项目名称</w:t>
            </w:r>
          </w:p>
        </w:tc>
        <w:tc>
          <w:tcPr>
            <w:tcW w:w="8557" w:type="dxa"/>
            <w:gridSpan w:val="3"/>
            <w:noWrap w:val="0"/>
            <w:vAlign w:val="center"/>
          </w:tcPr>
          <w:p>
            <w:pPr>
              <w:adjustRightInd w:val="0"/>
              <w:snapToGrid w:val="0"/>
              <w:jc w:val="center"/>
              <w:rPr>
                <w:rFonts w:hint="default" w:ascii="Times New Roman" w:hAnsi="Times New Roman" w:eastAsia="宋体" w:cs="Times New Roman"/>
                <w:sz w:val="24"/>
                <w:szCs w:val="24"/>
              </w:rPr>
            </w:pPr>
            <w:r>
              <w:rPr>
                <w:rFonts w:hint="eastAsia"/>
                <w:kern w:val="0"/>
                <w:sz w:val="24"/>
                <w:lang w:val="en-US" w:eastAsia="zh-CN"/>
              </w:rPr>
              <w:t>烯旺科技（河南）有限公司石墨烯发热新材料项目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669"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项目代码</w:t>
            </w:r>
          </w:p>
        </w:tc>
        <w:tc>
          <w:tcPr>
            <w:tcW w:w="8557" w:type="dxa"/>
            <w:gridSpan w:val="3"/>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kern w:val="0"/>
                <w:sz w:val="24"/>
                <w:lang w:val="en-US" w:eastAsia="zh-CN"/>
              </w:rPr>
              <w:t>2410-411303-04-01-310728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263"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建设单位联系人</w:t>
            </w:r>
          </w:p>
        </w:tc>
        <w:tc>
          <w:tcPr>
            <w:tcW w:w="3012" w:type="dxa"/>
            <w:noWrap w:val="0"/>
            <w:vAlign w:val="center"/>
          </w:tcPr>
          <w:p>
            <w:pPr>
              <w:adjustRightInd w:val="0"/>
              <w:snapToGrid w:val="0"/>
              <w:jc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王林慧</w:t>
            </w:r>
          </w:p>
        </w:tc>
        <w:tc>
          <w:tcPr>
            <w:tcW w:w="1793" w:type="dxa"/>
            <w:noWrap w:val="0"/>
            <w:vAlign w:val="center"/>
          </w:tcPr>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联系方式</w:t>
            </w:r>
          </w:p>
        </w:tc>
        <w:tc>
          <w:tcPr>
            <w:tcW w:w="3752" w:type="dxa"/>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156</w:t>
            </w:r>
            <w:r>
              <w:rPr>
                <w:rFonts w:hint="eastAsia" w:cs="Times New Roman"/>
                <w:sz w:val="24"/>
                <w:szCs w:val="24"/>
                <w:lang w:val="en-US" w:eastAsia="zh-CN"/>
              </w:rPr>
              <w:t>*****</w:t>
            </w:r>
            <w:r>
              <w:rPr>
                <w:rFonts w:hint="eastAsia" w:ascii="Times New Roman" w:hAnsi="Times New Roman" w:eastAsia="宋体" w:cs="Times New Roman"/>
                <w:sz w:val="24"/>
                <w:szCs w:val="24"/>
                <w:lang w:val="en-US" w:eastAsia="zh-CN"/>
              </w:rPr>
              <w:t>311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93"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建设地点</w:t>
            </w:r>
          </w:p>
        </w:tc>
        <w:tc>
          <w:tcPr>
            <w:tcW w:w="8557" w:type="dxa"/>
            <w:gridSpan w:val="3"/>
            <w:noWrap w:val="0"/>
            <w:vAlign w:val="center"/>
          </w:tcPr>
          <w:p>
            <w:pPr>
              <w:adjustRightInd w:val="0"/>
              <w:snapToGrid w:val="0"/>
              <w:jc w:val="center"/>
              <w:rPr>
                <w:rFonts w:hint="default" w:ascii="Times New Roman" w:hAnsi="Times New Roman" w:eastAsia="宋体" w:cs="Times New Roman"/>
                <w:sz w:val="24"/>
                <w:szCs w:val="24"/>
                <w:lang w:val="en-US" w:eastAsia="zh-CN"/>
              </w:rPr>
            </w:pPr>
            <w:r>
              <w:rPr>
                <w:rFonts w:hint="eastAsia"/>
                <w:kern w:val="52"/>
                <w:sz w:val="24"/>
                <w:lang w:eastAsia="zh-CN"/>
              </w:rPr>
              <w:t>河南省南阳市卧龙区蒲山镇卧龙艾草产业园</w:t>
            </w:r>
            <w:r>
              <w:rPr>
                <w:rFonts w:hint="eastAsia" w:cs="Times New Roman"/>
                <w:sz w:val="24"/>
                <w:szCs w:val="24"/>
                <w:u w:val="none"/>
                <w:lang w:val="en-US" w:eastAsia="zh-CN"/>
              </w:rPr>
              <w:t>E5</w:t>
            </w:r>
            <w:r>
              <w:rPr>
                <w:rFonts w:hint="eastAsia"/>
                <w:kern w:val="52"/>
                <w:sz w:val="24"/>
                <w:u w:val="none" w:color="auto"/>
                <w:lang w:eastAsia="zh-CN"/>
              </w:rPr>
              <w:t>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63"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地理坐标</w:t>
            </w:r>
          </w:p>
        </w:tc>
        <w:tc>
          <w:tcPr>
            <w:tcW w:w="8557" w:type="dxa"/>
            <w:gridSpan w:val="3"/>
            <w:noWrap w:val="0"/>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112</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 xml:space="preserve"> </w:t>
            </w:r>
            <w:r>
              <w:rPr>
                <w:rFonts w:hint="eastAsia" w:cs="Times New Roman"/>
                <w:color w:val="auto"/>
                <w:sz w:val="24"/>
                <w:szCs w:val="24"/>
                <w:u w:val="single"/>
                <w:lang w:val="en-US" w:eastAsia="zh-CN"/>
              </w:rPr>
              <w:t>35</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 xml:space="preserve"> </w:t>
            </w:r>
            <w:r>
              <w:rPr>
                <w:rFonts w:hint="eastAsia" w:cs="Times New Roman"/>
                <w:color w:val="auto"/>
                <w:sz w:val="24"/>
                <w:szCs w:val="24"/>
                <w:u w:val="single"/>
                <w:lang w:val="en-US" w:eastAsia="zh-CN"/>
              </w:rPr>
              <w:t>5.514</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秒，</w:t>
            </w:r>
            <w:r>
              <w:rPr>
                <w:rFonts w:hint="default" w:ascii="Times New Roman" w:hAnsi="Times New Roman" w:eastAsia="宋体" w:cs="Times New Roman"/>
                <w:color w:val="auto"/>
                <w:sz w:val="24"/>
                <w:szCs w:val="24"/>
                <w:u w:val="single"/>
              </w:rPr>
              <w:t xml:space="preserve"> </w:t>
            </w:r>
            <w:r>
              <w:rPr>
                <w:rFonts w:hint="eastAsia" w:ascii="Times New Roman" w:hAnsi="Times New Roman" w:eastAsia="宋体" w:cs="Times New Roman"/>
                <w:color w:val="auto"/>
                <w:sz w:val="24"/>
                <w:szCs w:val="24"/>
                <w:u w:val="single"/>
                <w:lang w:val="en-US" w:eastAsia="zh-CN"/>
              </w:rPr>
              <w:t>33</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 xml:space="preserve"> </w:t>
            </w:r>
            <w:r>
              <w:rPr>
                <w:rFonts w:hint="eastAsia" w:cs="Times New Roman"/>
                <w:color w:val="auto"/>
                <w:sz w:val="24"/>
                <w:szCs w:val="24"/>
                <w:u w:val="single"/>
                <w:lang w:val="en-US" w:eastAsia="zh-CN"/>
              </w:rPr>
              <w:t>8</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 xml:space="preserve"> </w:t>
            </w:r>
            <w:r>
              <w:rPr>
                <w:rFonts w:hint="eastAsia" w:cs="Times New Roman"/>
                <w:color w:val="auto"/>
                <w:sz w:val="24"/>
                <w:szCs w:val="24"/>
                <w:u w:val="single"/>
                <w:lang w:val="en-US" w:eastAsia="zh-CN"/>
              </w:rPr>
              <w:t>22.234</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576"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国民经济</w:t>
            </w:r>
          </w:p>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行业类别</w:t>
            </w:r>
          </w:p>
        </w:tc>
        <w:tc>
          <w:tcPr>
            <w:tcW w:w="3012"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w:t>
            </w:r>
            <w:r>
              <w:rPr>
                <w:rFonts w:hint="eastAsia" w:ascii="Times New Roman" w:hAnsi="Times New Roman" w:eastAsia="宋体" w:cs="Times New Roman"/>
                <w:color w:val="auto"/>
                <w:sz w:val="24"/>
                <w:szCs w:val="24"/>
                <w:lang w:val="en-US" w:eastAsia="zh-CN"/>
              </w:rPr>
              <w:t>2770</w:t>
            </w:r>
            <w:r>
              <w:rPr>
                <w:rFonts w:hint="default" w:ascii="Times New Roman" w:hAnsi="Times New Roman" w:eastAsia="宋体" w:cs="Times New Roman"/>
                <w:color w:val="auto"/>
                <w:sz w:val="24"/>
                <w:szCs w:val="24"/>
                <w:lang w:val="en-US" w:eastAsia="zh-CN"/>
              </w:rPr>
              <w:t>卫生材料及医药用品制造</w:t>
            </w:r>
          </w:p>
        </w:tc>
        <w:tc>
          <w:tcPr>
            <w:tcW w:w="1793" w:type="dxa"/>
            <w:noWrap w:val="0"/>
            <w:vAlign w:val="center"/>
          </w:tcPr>
          <w:p>
            <w:pPr>
              <w:adjustRightInd w:val="0"/>
              <w:snapToGrid w:val="0"/>
              <w:jc w:val="center"/>
              <w:rPr>
                <w:rFonts w:hint="default" w:ascii="Times New Roman" w:hAnsi="Times New Roman" w:eastAsia="宋体" w:cs="Times New Roman"/>
                <w:b/>
                <w:bCs/>
                <w:color w:val="auto"/>
                <w:sz w:val="24"/>
                <w:szCs w:val="24"/>
              </w:rPr>
            </w:pPr>
            <w:bookmarkStart w:id="0" w:name="_Hlk49843745"/>
            <w:r>
              <w:rPr>
                <w:rFonts w:hint="default" w:ascii="Times New Roman" w:hAnsi="Times New Roman" w:eastAsia="宋体" w:cs="Times New Roman"/>
                <w:b/>
                <w:bCs/>
                <w:color w:val="auto"/>
                <w:sz w:val="24"/>
                <w:szCs w:val="24"/>
              </w:rPr>
              <w:t>建设项目</w:t>
            </w:r>
          </w:p>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行业类别</w:t>
            </w:r>
            <w:bookmarkEnd w:id="0"/>
          </w:p>
        </w:tc>
        <w:tc>
          <w:tcPr>
            <w:tcW w:w="3752"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“二十四、医药制造业”中</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49、卫生材料及医药用品制造277</w:t>
            </w:r>
            <w:r>
              <w:rPr>
                <w:rFonts w:hint="eastAsia" w:ascii="Times New Roman" w:hAnsi="Times New Roman" w:eastAsia="宋体" w:cs="Times New Roman"/>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648"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建设性质</w:t>
            </w:r>
          </w:p>
        </w:tc>
        <w:tc>
          <w:tcPr>
            <w:tcW w:w="3012" w:type="dxa"/>
            <w:noWrap w:val="0"/>
            <w:vAlign w:val="center"/>
          </w:tcPr>
          <w:p>
            <w:pPr>
              <w:jc w:val="left"/>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新建（迁建）</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□改建</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□扩建</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□技术改造</w:t>
            </w:r>
          </w:p>
        </w:tc>
        <w:tc>
          <w:tcPr>
            <w:tcW w:w="1793" w:type="dxa"/>
            <w:noWrap w:val="0"/>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建设项目</w:t>
            </w:r>
          </w:p>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申报情形</w:t>
            </w:r>
          </w:p>
        </w:tc>
        <w:tc>
          <w:tcPr>
            <w:tcW w:w="3752" w:type="dxa"/>
            <w:noWrap w:val="0"/>
            <w:vAlign w:val="center"/>
          </w:tcPr>
          <w:p>
            <w:pPr>
              <w:jc w:val="left"/>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 xml:space="preserve">首次申报项目             </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□不予批准后再次申报项目</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□超五年重新审核项目     </w:t>
            </w:r>
          </w:p>
          <w:p>
            <w:pPr>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062"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项目审批（核准/备案）</w:t>
            </w:r>
          </w:p>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部门</w:t>
            </w:r>
          </w:p>
        </w:tc>
        <w:tc>
          <w:tcPr>
            <w:tcW w:w="3012" w:type="dxa"/>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南阳市</w:t>
            </w:r>
            <w:r>
              <w:rPr>
                <w:rFonts w:hint="eastAsia" w:ascii="Times New Roman" w:hAnsi="Times New Roman" w:eastAsia="宋体" w:cs="Times New Roman"/>
                <w:color w:val="auto"/>
                <w:sz w:val="24"/>
                <w:szCs w:val="24"/>
                <w:lang w:eastAsia="zh-CN"/>
              </w:rPr>
              <w:t>卧龙区</w:t>
            </w:r>
            <w:r>
              <w:rPr>
                <w:rFonts w:hint="default" w:ascii="Times New Roman" w:hAnsi="Times New Roman" w:eastAsia="宋体" w:cs="Times New Roman"/>
                <w:color w:val="auto"/>
                <w:sz w:val="24"/>
                <w:szCs w:val="24"/>
              </w:rPr>
              <w:t>发展和改革</w:t>
            </w:r>
          </w:p>
          <w:p>
            <w:pPr>
              <w:adjustRightInd w:val="0"/>
              <w:snapToGrid w:val="0"/>
              <w:jc w:val="center"/>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委员会</w:t>
            </w:r>
          </w:p>
        </w:tc>
        <w:tc>
          <w:tcPr>
            <w:tcW w:w="1793" w:type="dxa"/>
            <w:noWrap w:val="0"/>
            <w:vAlign w:val="center"/>
          </w:tcPr>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项目审批（核准/</w:t>
            </w:r>
          </w:p>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备案）文号（选填）</w:t>
            </w:r>
          </w:p>
        </w:tc>
        <w:tc>
          <w:tcPr>
            <w:tcW w:w="3752" w:type="dxa"/>
            <w:noWrap w:val="0"/>
            <w:vAlign w:val="center"/>
          </w:tcPr>
          <w:p>
            <w:pPr>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kern w:val="0"/>
                <w:sz w:val="24"/>
                <w:lang w:val="en-US" w:eastAsia="zh-CN"/>
              </w:rPr>
              <w:t>2410-411303-04-01-310728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689"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总投资</w:t>
            </w:r>
          </w:p>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（万元）</w:t>
            </w:r>
          </w:p>
        </w:tc>
        <w:tc>
          <w:tcPr>
            <w:tcW w:w="3012" w:type="dxa"/>
            <w:noWrap w:val="0"/>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2000</w:t>
            </w:r>
          </w:p>
        </w:tc>
        <w:tc>
          <w:tcPr>
            <w:tcW w:w="1793"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环保投资</w:t>
            </w:r>
          </w:p>
          <w:p>
            <w:pPr>
              <w:adjustRightInd w:val="0"/>
              <w:snapToGrid w:val="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（万元）</w:t>
            </w:r>
          </w:p>
        </w:tc>
        <w:tc>
          <w:tcPr>
            <w:tcW w:w="3752" w:type="dxa"/>
            <w:noWrap w:val="0"/>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796"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环保投资占比（%）</w:t>
            </w:r>
          </w:p>
        </w:tc>
        <w:tc>
          <w:tcPr>
            <w:tcW w:w="3012"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p>
        </w:tc>
        <w:tc>
          <w:tcPr>
            <w:tcW w:w="1793"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施工工期</w:t>
            </w:r>
          </w:p>
        </w:tc>
        <w:tc>
          <w:tcPr>
            <w:tcW w:w="3752"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54" w:hRule="atLeast"/>
          <w:jc w:val="center"/>
        </w:trPr>
        <w:tc>
          <w:tcPr>
            <w:tcW w:w="147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是否开工建设</w:t>
            </w:r>
          </w:p>
        </w:tc>
        <w:tc>
          <w:tcPr>
            <w:tcW w:w="3012" w:type="dxa"/>
            <w:noWrap w:val="0"/>
            <w:vAlign w:val="center"/>
          </w:tcPr>
          <w:p>
            <w:pPr>
              <w:adjustRightInd w:val="0"/>
              <w:snapToGrid w:val="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否</w:t>
            </w:r>
          </w:p>
          <w:p>
            <w:pPr>
              <w:adjustRightInd w:val="0"/>
              <w:snapToGrid w:val="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是：</w:t>
            </w:r>
            <w:r>
              <w:rPr>
                <w:rFonts w:hint="eastAsia" w:ascii="Times New Roman" w:hAnsi="Times New Roman" w:eastAsia="宋体" w:cs="Times New Roman"/>
                <w:color w:val="auto"/>
                <w:sz w:val="24"/>
                <w:szCs w:val="24"/>
                <w:u w:val="single"/>
                <w:lang w:val="en-US" w:eastAsia="zh-CN"/>
              </w:rPr>
              <w:t xml:space="preserve">  </w:t>
            </w:r>
            <w:r>
              <w:rPr>
                <w:rFonts w:hint="eastAsia" w:cs="Times New Roman"/>
                <w:color w:val="auto"/>
                <w:sz w:val="24"/>
                <w:szCs w:val="24"/>
                <w:u w:val="single"/>
                <w:lang w:val="en-US" w:eastAsia="zh-CN"/>
              </w:rPr>
              <w:t>/</w:t>
            </w:r>
            <w:r>
              <w:rPr>
                <w:rFonts w:hint="eastAsia" w:ascii="Times New Roman" w:hAnsi="Times New Roman" w:eastAsia="宋体" w:cs="Times New Roman"/>
                <w:color w:val="auto"/>
                <w:sz w:val="24"/>
                <w:szCs w:val="24"/>
                <w:u w:val="single"/>
                <w:lang w:val="en-US" w:eastAsia="zh-CN"/>
              </w:rPr>
              <w:t xml:space="preserve">  </w:t>
            </w:r>
          </w:p>
        </w:tc>
        <w:tc>
          <w:tcPr>
            <w:tcW w:w="1793"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6"/>
                <w:sz w:val="24"/>
                <w:szCs w:val="24"/>
              </w:rPr>
              <w:t>用地面积（m</w:t>
            </w:r>
            <w:r>
              <w:rPr>
                <w:rFonts w:hint="default" w:ascii="Times New Roman" w:hAnsi="Times New Roman" w:eastAsia="宋体" w:cs="Times New Roman"/>
                <w:b/>
                <w:bCs/>
                <w:color w:val="auto"/>
                <w:spacing w:val="-6"/>
                <w:sz w:val="24"/>
                <w:szCs w:val="24"/>
                <w:vertAlign w:val="superscript"/>
              </w:rPr>
              <w:t>2</w:t>
            </w:r>
            <w:r>
              <w:rPr>
                <w:rFonts w:hint="default" w:ascii="Times New Roman" w:hAnsi="Times New Roman" w:eastAsia="宋体" w:cs="Times New Roman"/>
                <w:b/>
                <w:bCs/>
                <w:color w:val="auto"/>
                <w:spacing w:val="-6"/>
                <w:sz w:val="24"/>
                <w:szCs w:val="24"/>
              </w:rPr>
              <w:t>）</w:t>
            </w:r>
          </w:p>
        </w:tc>
        <w:tc>
          <w:tcPr>
            <w:tcW w:w="3752" w:type="dxa"/>
            <w:noWrap w:val="0"/>
            <w:vAlign w:val="center"/>
          </w:tcPr>
          <w:p>
            <w:pPr>
              <w:adjustRightInd w:val="0"/>
              <w:snapToGrid w:val="0"/>
              <w:jc w:val="center"/>
              <w:rPr>
                <w:rFonts w:hint="default" w:ascii="Times New Roman" w:hAnsi="Times New Roman" w:eastAsia="宋体" w:cs="Times New Roman"/>
                <w:color w:val="auto"/>
                <w:sz w:val="24"/>
                <w:szCs w:val="24"/>
                <w:vertAlign w:val="superscript"/>
                <w:lang w:val="en-US" w:eastAsia="zh-CN"/>
              </w:rPr>
            </w:pPr>
            <w:r>
              <w:rPr>
                <w:rFonts w:hint="eastAsia"/>
                <w:color w:val="auto"/>
                <w:kern w:val="52"/>
                <w:sz w:val="24"/>
                <w:lang w:val="en-US" w:eastAsia="zh-CN"/>
              </w:rPr>
              <w:t>1225</w:t>
            </w:r>
            <w:r>
              <w:rPr>
                <w:rFonts w:hint="eastAsia" w:cs="Times New Roman"/>
                <w:color w:val="auto"/>
                <w:sz w:val="24"/>
                <w:szCs w:val="24"/>
                <w:lang w:val="en-US" w:eastAsia="zh-CN"/>
              </w:rPr>
              <w:t>m</w:t>
            </w:r>
            <w:r>
              <w:rPr>
                <w:rFonts w:hint="eastAsia" w:cs="Times New Roman"/>
                <w:color w:val="auto"/>
                <w:sz w:val="24"/>
                <w:szCs w:val="24"/>
                <w:vertAlign w:val="superscript"/>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65" w:hRule="atLeast"/>
          <w:jc w:val="center"/>
        </w:trPr>
        <w:tc>
          <w:tcPr>
            <w:tcW w:w="1470" w:type="dxa"/>
            <w:noWrap w:val="0"/>
            <w:vAlign w:val="center"/>
          </w:tcPr>
          <w:p>
            <w:pPr>
              <w:autoSpaceDE w:val="0"/>
              <w:autoSpaceDN w:val="0"/>
              <w:adjustRightInd w:val="0"/>
              <w:snapToGrid w:val="0"/>
              <w:spacing w:line="240" w:lineRule="auto"/>
              <w:jc w:val="center"/>
              <w:rPr>
                <w:rFonts w:hint="default" w:ascii="Times New Roman" w:hAnsi="Times New Roman" w:eastAsia="宋体" w:cs="Times New Roman"/>
                <w:b/>
                <w:bCs/>
                <w:kern w:val="0"/>
                <w:sz w:val="24"/>
                <w:szCs w:val="24"/>
              </w:rPr>
            </w:pPr>
            <w:r>
              <w:rPr>
                <w:rFonts w:hint="default" w:ascii="Times New Roman" w:hAnsi="Times New Roman" w:eastAsia="宋体" w:cs="Times New Roman"/>
                <w:b/>
                <w:bCs/>
                <w:kern w:val="0"/>
                <w:sz w:val="24"/>
                <w:szCs w:val="24"/>
              </w:rPr>
              <w:t>专项评价设置情况</w:t>
            </w:r>
          </w:p>
        </w:tc>
        <w:tc>
          <w:tcPr>
            <w:tcW w:w="8557" w:type="dxa"/>
            <w:gridSpan w:val="3"/>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jc w:val="center"/>
        </w:trPr>
        <w:tc>
          <w:tcPr>
            <w:tcW w:w="1470" w:type="dxa"/>
            <w:noWrap w:val="0"/>
            <w:vAlign w:val="center"/>
          </w:tcPr>
          <w:p>
            <w:pPr>
              <w:autoSpaceDE w:val="0"/>
              <w:autoSpaceDN w:val="0"/>
              <w:adjustRightInd w:val="0"/>
              <w:snapToGrid w:val="0"/>
              <w:spacing w:line="240" w:lineRule="auto"/>
              <w:jc w:val="center"/>
              <w:rPr>
                <w:rFonts w:hint="eastAsia" w:ascii="宋体" w:hAnsi="宋体" w:cs="宋体"/>
                <w:kern w:val="0"/>
                <w:sz w:val="24"/>
                <w:szCs w:val="24"/>
              </w:rPr>
            </w:pPr>
            <w:r>
              <w:rPr>
                <w:rFonts w:hint="eastAsia" w:ascii="宋体" w:hAnsi="宋体" w:cs="宋体"/>
                <w:b/>
                <w:bCs/>
                <w:kern w:val="0"/>
                <w:sz w:val="24"/>
                <w:szCs w:val="24"/>
              </w:rPr>
              <w:t>规划情况</w:t>
            </w:r>
          </w:p>
        </w:tc>
        <w:tc>
          <w:tcPr>
            <w:tcW w:w="8557" w:type="dxa"/>
            <w:gridSpan w:val="3"/>
            <w:noWrap w:val="0"/>
            <w:vAlign w:val="center"/>
          </w:tcPr>
          <w:p>
            <w:pPr>
              <w:autoSpaceDE w:val="0"/>
              <w:autoSpaceDN w:val="0"/>
              <w:adjustRightInd w:val="0"/>
              <w:snapToGrid w:val="0"/>
              <w:spacing w:line="360" w:lineRule="auto"/>
              <w:jc w:val="center"/>
              <w:rPr>
                <w:rFonts w:hint="default" w:ascii="宋体" w:hAnsi="宋体" w:cs="宋体"/>
                <w:kern w:val="0"/>
                <w:sz w:val="24"/>
                <w:szCs w:val="24"/>
                <w:lang w:val="en-US" w:eastAsia="zh-CN"/>
              </w:rPr>
            </w:pPr>
            <w:r>
              <w:rPr>
                <w:rFonts w:hint="default"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15" w:hRule="atLeast"/>
          <w:jc w:val="center"/>
        </w:trPr>
        <w:tc>
          <w:tcPr>
            <w:tcW w:w="1470" w:type="dxa"/>
            <w:noWrap w:val="0"/>
            <w:vAlign w:val="center"/>
          </w:tcPr>
          <w:p>
            <w:pPr>
              <w:autoSpaceDE w:val="0"/>
              <w:autoSpaceDN w:val="0"/>
              <w:adjustRightInd w:val="0"/>
              <w:snapToGrid w:val="0"/>
              <w:spacing w:line="240" w:lineRule="auto"/>
              <w:jc w:val="center"/>
              <w:rPr>
                <w:rFonts w:hint="eastAsia" w:ascii="宋体" w:hAnsi="宋体" w:cs="宋体"/>
                <w:kern w:val="0"/>
                <w:sz w:val="24"/>
                <w:szCs w:val="24"/>
              </w:rPr>
            </w:pPr>
            <w:r>
              <w:rPr>
                <w:rFonts w:hint="eastAsia" w:ascii="宋体" w:hAnsi="宋体" w:cs="宋体"/>
                <w:b/>
                <w:bCs/>
                <w:kern w:val="0"/>
                <w:sz w:val="24"/>
                <w:szCs w:val="24"/>
              </w:rPr>
              <w:t>规划环境影响评价情况</w:t>
            </w:r>
          </w:p>
        </w:tc>
        <w:tc>
          <w:tcPr>
            <w:tcW w:w="8557" w:type="dxa"/>
            <w:gridSpan w:val="3"/>
            <w:noWrap w:val="0"/>
            <w:vAlign w:val="center"/>
          </w:tcPr>
          <w:p>
            <w:pPr>
              <w:autoSpaceDE w:val="0"/>
              <w:autoSpaceDN w:val="0"/>
              <w:adjustRightInd w:val="0"/>
              <w:snapToGrid w:val="0"/>
              <w:spacing w:line="360" w:lineRule="auto"/>
              <w:jc w:val="center"/>
              <w:rPr>
                <w:rFonts w:hint="eastAsia" w:ascii="宋体" w:hAnsi="宋体" w:cs="宋体"/>
                <w:kern w:val="0"/>
                <w:sz w:val="24"/>
                <w:szCs w:val="24"/>
                <w:lang w:eastAsia="zh-CN"/>
              </w:rPr>
            </w:pPr>
            <w:r>
              <w:rPr>
                <w:rFonts w:hint="default"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470" w:type="dxa"/>
            <w:noWrap w:val="0"/>
            <w:vAlign w:val="center"/>
          </w:tcPr>
          <w:p>
            <w:pPr>
              <w:autoSpaceDE w:val="0"/>
              <w:autoSpaceDN w:val="0"/>
              <w:adjustRightInd w:val="0"/>
              <w:snapToGrid w:val="0"/>
              <w:jc w:val="center"/>
              <w:rPr>
                <w:rFonts w:ascii="宋体" w:hAnsi="宋体" w:cs="宋体"/>
                <w:kern w:val="0"/>
                <w:sz w:val="24"/>
                <w:szCs w:val="24"/>
              </w:rPr>
            </w:pPr>
            <w:r>
              <w:rPr>
                <w:rFonts w:hint="eastAsia" w:ascii="宋体" w:hAnsi="宋体" w:cs="宋体"/>
                <w:b/>
                <w:bCs/>
                <w:kern w:val="0"/>
                <w:sz w:val="24"/>
                <w:szCs w:val="24"/>
              </w:rPr>
              <w:t>规划及规划环境影响评价符合性分析</w:t>
            </w:r>
          </w:p>
        </w:tc>
        <w:tc>
          <w:tcPr>
            <w:tcW w:w="8557" w:type="dxa"/>
            <w:gridSpan w:val="3"/>
            <w:noWrap w:val="0"/>
            <w:vAlign w:val="center"/>
          </w:tcPr>
          <w:p>
            <w:pPr>
              <w:pStyle w:val="65"/>
              <w:keepNext w:val="0"/>
              <w:keepLines w:val="0"/>
              <w:pageBreakBefore w:val="0"/>
              <w:kinsoku/>
              <w:wordWrap/>
              <w:overflowPunct/>
              <w:topLinePunct w:val="0"/>
              <w:bidi w:val="0"/>
              <w:snapToGrid w:val="0"/>
              <w:ind w:left="0" w:leftChars="0" w:firstLine="0" w:firstLineChars="0"/>
              <w:rPr>
                <w:rFonts w:hint="default" w:ascii="Times New Roman" w:hAnsi="Times New Roman" w:cs="Times New Roman"/>
                <w:b/>
                <w:color w:val="auto"/>
              </w:rPr>
            </w:pPr>
            <w:r>
              <w:rPr>
                <w:rFonts w:hint="default" w:ascii="Times New Roman" w:hAnsi="Times New Roman" w:cs="Times New Roman"/>
                <w:b/>
                <w:bCs/>
                <w:kern w:val="0"/>
                <w:sz w:val="24"/>
                <w:szCs w:val="24"/>
                <w:lang w:val="en-US" w:eastAsia="zh-CN"/>
              </w:rPr>
              <w:t>1、</w:t>
            </w:r>
            <w:r>
              <w:rPr>
                <w:rFonts w:hint="default" w:ascii="Times New Roman" w:hAnsi="Times New Roman" w:cs="Times New Roman"/>
                <w:b/>
                <w:color w:val="auto"/>
              </w:rPr>
              <w:t>项目建设与</w:t>
            </w:r>
            <w:r>
              <w:rPr>
                <w:rFonts w:hint="default" w:ascii="Times New Roman" w:hAnsi="Times New Roman" w:cs="Times New Roman"/>
                <w:b/>
                <w:color w:val="auto"/>
                <w:lang w:eastAsia="zh-CN"/>
              </w:rPr>
              <w:t>《</w:t>
            </w:r>
            <w:r>
              <w:rPr>
                <w:rFonts w:hint="default" w:ascii="Times New Roman" w:hAnsi="Times New Roman" w:cs="Times New Roman"/>
                <w:b/>
                <w:bCs/>
                <w:sz w:val="24"/>
              </w:rPr>
              <w:t>南阳市</w:t>
            </w:r>
            <w:r>
              <w:rPr>
                <w:rFonts w:hint="default" w:ascii="Times New Roman" w:hAnsi="Times New Roman" w:cs="Times New Roman"/>
                <w:b/>
                <w:bCs/>
                <w:sz w:val="24"/>
                <w:lang w:eastAsia="zh-CN"/>
              </w:rPr>
              <w:t>国土空间</w:t>
            </w:r>
            <w:r>
              <w:rPr>
                <w:rFonts w:hint="default" w:ascii="Times New Roman" w:hAnsi="Times New Roman" w:cs="Times New Roman"/>
                <w:b/>
                <w:bCs/>
                <w:sz w:val="24"/>
              </w:rPr>
              <w:t>总体规划</w:t>
            </w:r>
            <w:r>
              <w:rPr>
                <w:rFonts w:hint="default" w:ascii="Times New Roman" w:hAnsi="Times New Roman" w:cs="Times New Roman"/>
                <w:b/>
                <w:bCs/>
                <w:sz w:val="24"/>
                <w:lang w:eastAsia="zh-CN"/>
              </w:rPr>
              <w:t>（</w:t>
            </w:r>
            <w:r>
              <w:rPr>
                <w:rFonts w:hint="default" w:ascii="Times New Roman" w:hAnsi="Times New Roman" w:cs="Times New Roman"/>
                <w:b/>
                <w:bCs/>
                <w:sz w:val="24"/>
                <w:lang w:val="en-US" w:eastAsia="zh-CN"/>
              </w:rPr>
              <w:t>2021-2035年</w:t>
            </w:r>
            <w:r>
              <w:rPr>
                <w:rFonts w:hint="default" w:ascii="Times New Roman" w:hAnsi="Times New Roman" w:cs="Times New Roman"/>
                <w:b/>
                <w:bCs/>
                <w:sz w:val="24"/>
                <w:lang w:eastAsia="zh-CN"/>
              </w:rPr>
              <w:t>）》</w:t>
            </w:r>
            <w:r>
              <w:rPr>
                <w:rFonts w:hint="default" w:ascii="Times New Roman" w:hAnsi="Times New Roman" w:cs="Times New Roman"/>
                <w:b/>
                <w:bCs/>
                <w:sz w:val="24"/>
              </w:rPr>
              <w:t>的相符性</w:t>
            </w:r>
            <w:r>
              <w:rPr>
                <w:rFonts w:hint="default" w:ascii="Times New Roman" w:hAnsi="Times New Roman" w:cs="Times New Roman"/>
                <w:b/>
                <w:color w:val="auto"/>
              </w:rPr>
              <w:t>分析</w:t>
            </w:r>
          </w:p>
          <w:p>
            <w:pPr>
              <w:keepNext w:val="0"/>
              <w:keepLines w:val="0"/>
              <w:pageBreakBefore w:val="0"/>
              <w:widowControl/>
              <w:kinsoku/>
              <w:wordWrap/>
              <w:overflowPunct/>
              <w:topLinePunct w:val="0"/>
              <w:bidi w:val="0"/>
              <w:adjustRightInd w:val="0"/>
              <w:snapToGrid w:val="0"/>
              <w:spacing w:line="360" w:lineRule="auto"/>
              <w:ind w:firstLine="482" w:firstLineChars="200"/>
              <w:jc w:val="left"/>
              <w:rPr>
                <w:rFonts w:hint="default" w:ascii="Times New Roman" w:hAnsi="Times New Roman" w:cs="Times New Roman"/>
                <w:bCs/>
                <w:sz w:val="24"/>
              </w:rPr>
            </w:pPr>
            <w:r>
              <w:rPr>
                <w:rFonts w:hint="default" w:ascii="Times New Roman" w:hAnsi="Times New Roman" w:cs="Times New Roman"/>
                <w:b/>
                <w:bCs w:val="0"/>
                <w:sz w:val="24"/>
                <w:lang w:val="en-US" w:eastAsia="zh-CN"/>
              </w:rPr>
              <w:t>1.1</w:t>
            </w:r>
            <w:r>
              <w:rPr>
                <w:rFonts w:hint="default" w:ascii="Times New Roman" w:hAnsi="Times New Roman" w:cs="Times New Roman"/>
                <w:b/>
                <w:bCs w:val="0"/>
                <w:sz w:val="24"/>
              </w:rPr>
              <w:t>规划内容</w:t>
            </w:r>
          </w:p>
          <w:p>
            <w:pPr>
              <w:keepNext w:val="0"/>
              <w:keepLines w:val="0"/>
              <w:pageBreakBefore w:val="0"/>
              <w:kinsoku/>
              <w:wordWrap/>
              <w:overflowPunct/>
              <w:topLinePunct w:val="0"/>
              <w:bidi w:val="0"/>
              <w:spacing w:line="360" w:lineRule="auto"/>
              <w:ind w:firstLine="482" w:firstLineChars="200"/>
              <w:jc w:val="both"/>
              <w:rPr>
                <w:rFonts w:hint="default" w:ascii="Times New Roman" w:hAnsi="Times New Roman" w:eastAsia="宋体" w:cs="Times New Roman"/>
                <w:b/>
                <w:bCs/>
                <w:sz w:val="24"/>
                <w:szCs w:val="24"/>
                <w:u w:val="none"/>
                <w:lang w:eastAsia="zh-CN"/>
              </w:rPr>
            </w:pPr>
            <w:r>
              <w:rPr>
                <w:rFonts w:hint="default" w:ascii="Times New Roman" w:hAnsi="Times New Roman" w:eastAsia="宋体" w:cs="Times New Roman"/>
                <w:b/>
                <w:bCs/>
                <w:sz w:val="24"/>
                <w:szCs w:val="24"/>
                <w:u w:val="none"/>
              </w:rPr>
              <w:t>（1）规划</w:t>
            </w:r>
            <w:r>
              <w:rPr>
                <w:rFonts w:hint="default" w:ascii="Times New Roman" w:hAnsi="Times New Roman" w:cs="Times New Roman"/>
                <w:b/>
                <w:bCs/>
                <w:sz w:val="24"/>
                <w:szCs w:val="24"/>
                <w:u w:val="none"/>
                <w:lang w:eastAsia="zh-CN"/>
              </w:rPr>
              <w:t>期限</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规划期限为2021—2035年</w:t>
            </w:r>
            <w:r>
              <w:rPr>
                <w:rFonts w:hint="default"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近期到2025年</w:t>
            </w:r>
            <w:r>
              <w:rPr>
                <w:rFonts w:hint="default"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远景展望至2050年。</w:t>
            </w:r>
          </w:p>
          <w:p>
            <w:pPr>
              <w:keepNext w:val="0"/>
              <w:keepLines w:val="0"/>
              <w:pageBreakBefore w:val="0"/>
              <w:kinsoku/>
              <w:wordWrap/>
              <w:overflowPunct/>
              <w:topLinePunct w:val="0"/>
              <w:bidi w:val="0"/>
              <w:spacing w:before="0" w:after="0" w:line="360" w:lineRule="auto"/>
              <w:ind w:firstLine="482" w:firstLineChars="200"/>
              <w:jc w:val="both"/>
              <w:rPr>
                <w:rFonts w:hint="default" w:ascii="Times New Roman" w:hAnsi="Times New Roman" w:eastAsia="宋体" w:cs="Times New Roman"/>
                <w:b/>
                <w:bCs/>
                <w:sz w:val="24"/>
                <w:szCs w:val="24"/>
                <w:u w:val="none"/>
                <w:lang w:eastAsia="zh-CN"/>
              </w:rPr>
            </w:pPr>
            <w:r>
              <w:rPr>
                <w:rFonts w:hint="default" w:ascii="Times New Roman" w:hAnsi="Times New Roman" w:cs="Times New Roman"/>
                <w:b/>
                <w:bCs/>
                <w:sz w:val="24"/>
                <w:szCs w:val="24"/>
                <w:u w:val="none"/>
                <w:lang w:eastAsia="zh-CN"/>
              </w:rPr>
              <w:t>（</w:t>
            </w:r>
            <w:r>
              <w:rPr>
                <w:rFonts w:hint="default" w:ascii="Times New Roman" w:hAnsi="Times New Roman" w:cs="Times New Roman"/>
                <w:b/>
                <w:bCs/>
                <w:sz w:val="24"/>
                <w:szCs w:val="24"/>
                <w:u w:val="none"/>
                <w:lang w:val="en-US" w:eastAsia="zh-CN"/>
              </w:rPr>
              <w:t>2</w:t>
            </w:r>
            <w:r>
              <w:rPr>
                <w:rFonts w:hint="default" w:ascii="Times New Roman" w:hAnsi="Times New Roman" w:cs="Times New Roman"/>
                <w:b/>
                <w:bCs/>
                <w:sz w:val="24"/>
                <w:szCs w:val="24"/>
                <w:u w:val="none"/>
                <w:lang w:eastAsia="zh-CN"/>
              </w:rPr>
              <w:t>）规划范围</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南阳市市域行政区划范围，总面积2.66平方公里。包含：宛城区、卧龙区、高新区、城乡一体化示范区、综合保税区、官庄工区、职教园区、南召县、方城县、西峡县、镇平县、内乡县、淅川县、社旗县、唐河县、新野县、桐柏县、邓州市。</w:t>
            </w:r>
          </w:p>
          <w:p>
            <w:pPr>
              <w:keepNext w:val="0"/>
              <w:keepLines w:val="0"/>
              <w:pageBreakBefore w:val="0"/>
              <w:kinsoku/>
              <w:wordWrap/>
              <w:overflowPunct/>
              <w:topLinePunct w:val="0"/>
              <w:bidi w:val="0"/>
              <w:spacing w:before="0" w:after="0" w:line="360" w:lineRule="auto"/>
              <w:ind w:firstLine="482" w:firstLineChars="200"/>
              <w:jc w:val="both"/>
              <w:rPr>
                <w:rFonts w:hint="default" w:ascii="Times New Roman" w:hAnsi="Times New Roman" w:eastAsia="宋体" w:cs="Times New Roman"/>
                <w:b/>
                <w:bCs/>
                <w:sz w:val="24"/>
                <w:szCs w:val="24"/>
                <w:u w:val="none"/>
                <w:lang w:eastAsia="zh-CN"/>
              </w:rPr>
            </w:pPr>
            <w:r>
              <w:rPr>
                <w:rFonts w:hint="default" w:ascii="Times New Roman" w:hAnsi="Times New Roman" w:cs="Times New Roman"/>
                <w:b/>
                <w:bCs/>
                <w:sz w:val="24"/>
                <w:szCs w:val="24"/>
                <w:u w:val="none"/>
                <w:lang w:eastAsia="zh-CN"/>
              </w:rPr>
              <w:t>（</w:t>
            </w:r>
            <w:r>
              <w:rPr>
                <w:rFonts w:hint="default" w:ascii="Times New Roman" w:hAnsi="Times New Roman" w:cs="Times New Roman"/>
                <w:b/>
                <w:bCs/>
                <w:sz w:val="24"/>
                <w:szCs w:val="24"/>
                <w:u w:val="none"/>
                <w:lang w:val="en-US" w:eastAsia="zh-CN"/>
              </w:rPr>
              <w:t>3</w:t>
            </w:r>
            <w:r>
              <w:rPr>
                <w:rFonts w:hint="default" w:ascii="Times New Roman" w:hAnsi="Times New Roman" w:cs="Times New Roman"/>
                <w:b/>
                <w:bCs/>
                <w:sz w:val="24"/>
                <w:szCs w:val="24"/>
                <w:u w:val="none"/>
                <w:lang w:eastAsia="zh-CN"/>
              </w:rPr>
              <w:t>）发展目标</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cs="Times New Roman"/>
                <w:sz w:val="24"/>
                <w:szCs w:val="24"/>
                <w:u w:val="none"/>
                <w:lang w:val="en-US" w:eastAsia="zh-CN"/>
              </w:rPr>
              <w:t>①发挥省域副中心城市的辐射带动作用</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cs="Times New Roman"/>
                <w:sz w:val="24"/>
                <w:szCs w:val="24"/>
                <w:u w:val="none"/>
                <w:lang w:val="en-US" w:eastAsia="zh-CN"/>
              </w:rPr>
              <w:t>②夯实农业发展基础</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cs="Times New Roman"/>
                <w:sz w:val="24"/>
                <w:szCs w:val="24"/>
                <w:u w:val="none"/>
                <w:lang w:val="en-US" w:eastAsia="zh-CN"/>
              </w:rPr>
              <w:t>③坚持大流域生态安全保护</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cs="Times New Roman"/>
                <w:sz w:val="24"/>
                <w:szCs w:val="24"/>
                <w:u w:val="none"/>
                <w:lang w:val="en-US" w:eastAsia="zh-CN"/>
              </w:rPr>
              <w:t>④打造生态经济引领的产业发展新高地</w:t>
            </w:r>
          </w:p>
          <w:p>
            <w:pPr>
              <w:keepNext w:val="0"/>
              <w:keepLines w:val="0"/>
              <w:pageBreakBefore w:val="0"/>
              <w:kinsoku/>
              <w:wordWrap/>
              <w:overflowPunct/>
              <w:topLinePunct w:val="0"/>
              <w:bidi w:val="0"/>
              <w:spacing w:before="0" w:after="0" w:line="360" w:lineRule="auto"/>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cs="Times New Roman"/>
                <w:sz w:val="24"/>
                <w:szCs w:val="24"/>
                <w:u w:val="none"/>
                <w:lang w:val="en-US" w:eastAsia="zh-CN"/>
              </w:rPr>
              <w:t>⑤谋划宜居宜业的大城市美好蓝图</w:t>
            </w:r>
          </w:p>
          <w:p>
            <w:pPr>
              <w:keepNext w:val="0"/>
              <w:keepLines w:val="0"/>
              <w:pageBreakBefore w:val="0"/>
              <w:kinsoku/>
              <w:wordWrap/>
              <w:overflowPunct/>
              <w:topLinePunct w:val="0"/>
              <w:bidi w:val="0"/>
              <w:spacing w:before="0" w:after="0" w:line="360" w:lineRule="auto"/>
              <w:ind w:firstLine="482" w:firstLineChars="200"/>
              <w:jc w:val="both"/>
              <w:rPr>
                <w:rFonts w:hint="eastAsia" w:ascii="Times New Roman" w:hAnsi="Times New Roman" w:eastAsia="宋体" w:cs="Times New Roman"/>
                <w:b/>
                <w:bCs/>
                <w:sz w:val="24"/>
                <w:szCs w:val="24"/>
                <w:u w:val="none"/>
                <w:lang w:eastAsia="zh-CN"/>
              </w:rPr>
            </w:pPr>
            <w:r>
              <w:rPr>
                <w:rFonts w:hint="eastAsia" w:ascii="Times New Roman" w:hAnsi="Times New Roman" w:cs="Times New Roman"/>
                <w:b/>
                <w:bCs/>
                <w:sz w:val="24"/>
                <w:szCs w:val="24"/>
                <w:u w:val="none"/>
                <w:lang w:eastAsia="zh-CN"/>
              </w:rPr>
              <w:t>（</w:t>
            </w:r>
            <w:r>
              <w:rPr>
                <w:rFonts w:hint="eastAsia" w:ascii="Times New Roman" w:hAnsi="Times New Roman" w:cs="Times New Roman"/>
                <w:b/>
                <w:bCs/>
                <w:sz w:val="24"/>
                <w:szCs w:val="24"/>
                <w:u w:val="none"/>
                <w:lang w:val="en-US" w:eastAsia="zh-CN"/>
              </w:rPr>
              <w:t>4</w:t>
            </w:r>
            <w:r>
              <w:rPr>
                <w:rFonts w:hint="eastAsia" w:ascii="Times New Roman" w:hAnsi="Times New Roman" w:cs="Times New Roman"/>
                <w:b/>
                <w:bCs/>
                <w:sz w:val="24"/>
                <w:szCs w:val="24"/>
                <w:u w:val="none"/>
                <w:lang w:eastAsia="zh-CN"/>
              </w:rPr>
              <w:t>）优化国土空间总体格局</w:t>
            </w:r>
          </w:p>
          <w:p>
            <w:pPr>
              <w:keepNext w:val="0"/>
              <w:keepLines w:val="0"/>
              <w:pageBreakBefore w:val="0"/>
              <w:kinsoku/>
              <w:wordWrap/>
              <w:overflowPunct/>
              <w:topLinePunct w:val="0"/>
              <w:bidi w:val="0"/>
              <w:spacing w:before="0" w:after="0" w:line="360" w:lineRule="auto"/>
              <w:ind w:firstLine="480" w:firstLineChars="200"/>
              <w:jc w:val="both"/>
              <w:rPr>
                <w:rFonts w:hint="eastAsia" w:ascii="Times New Roman" w:hAnsi="Times New Roman" w:eastAsia="宋体" w:cs="Times New Roman"/>
                <w:sz w:val="24"/>
                <w:szCs w:val="24"/>
                <w:u w:val="none"/>
                <w:lang w:eastAsia="zh-CN"/>
              </w:rPr>
            </w:pPr>
            <w:r>
              <w:rPr>
                <w:rFonts w:hint="default" w:ascii="Times New Roman" w:hAnsi="Times New Roman" w:eastAsia="宋体" w:cs="Times New Roman"/>
                <w:sz w:val="24"/>
                <w:szCs w:val="24"/>
                <w:u w:val="none"/>
              </w:rPr>
              <w:t>一核两轴、一区两屏</w:t>
            </w:r>
            <w:r>
              <w:rPr>
                <w:rFonts w:hint="eastAsia"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一核</w:t>
            </w:r>
            <w:r>
              <w:rPr>
                <w:rFonts w:hint="eastAsia" w:ascii="Times New Roman" w:hAnsi="Times New Roman" w:cs="Times New Roman"/>
                <w:sz w:val="24"/>
                <w:szCs w:val="24"/>
                <w:u w:val="none"/>
                <w:lang w:eastAsia="zh-CN"/>
              </w:rPr>
              <w:t>：南阳市中心城区；两轴：郑渝发展轴，沪陕发展轴；一区：中部平原农业区；</w:t>
            </w:r>
            <w:r>
              <w:rPr>
                <w:rFonts w:hint="default" w:ascii="Times New Roman" w:hAnsi="Times New Roman" w:eastAsia="宋体" w:cs="Times New Roman"/>
                <w:sz w:val="24"/>
                <w:szCs w:val="24"/>
                <w:u w:val="none"/>
              </w:rPr>
              <w:t>两屏</w:t>
            </w:r>
            <w:r>
              <w:rPr>
                <w:rFonts w:hint="eastAsia" w:ascii="Times New Roman" w:hAnsi="Times New Roman" w:cs="Times New Roman"/>
                <w:sz w:val="24"/>
                <w:szCs w:val="24"/>
                <w:u w:val="none"/>
                <w:lang w:eastAsia="zh-CN"/>
              </w:rPr>
              <w:t>：西部伏牛山-丹江口生态区、东部淮源生态区</w:t>
            </w:r>
            <w:r>
              <w:rPr>
                <w:rFonts w:hint="eastAsia" w:cs="Times New Roman"/>
                <w:sz w:val="24"/>
                <w:szCs w:val="24"/>
                <w:u w:val="none"/>
                <w:lang w:eastAsia="zh-CN"/>
              </w:rPr>
              <w:t>。</w:t>
            </w:r>
          </w:p>
          <w:p>
            <w:pPr>
              <w:keepNext w:val="0"/>
              <w:keepLines w:val="0"/>
              <w:pageBreakBefore w:val="0"/>
              <w:kinsoku/>
              <w:wordWrap/>
              <w:overflowPunct/>
              <w:topLinePunct w:val="0"/>
              <w:bidi w:val="0"/>
              <w:spacing w:before="0" w:after="0" w:line="360" w:lineRule="auto"/>
              <w:ind w:firstLine="482" w:firstLineChars="200"/>
              <w:jc w:val="both"/>
              <w:rPr>
                <w:rFonts w:hint="eastAsia" w:ascii="Times New Roman" w:hAnsi="Times New Roman" w:eastAsia="宋体" w:cs="Times New Roman"/>
                <w:b/>
                <w:bCs/>
                <w:sz w:val="24"/>
                <w:szCs w:val="24"/>
                <w:u w:val="none"/>
                <w:lang w:eastAsia="zh-CN"/>
              </w:rPr>
            </w:pPr>
            <w:r>
              <w:rPr>
                <w:rFonts w:hint="eastAsia" w:ascii="Times New Roman" w:hAnsi="Times New Roman" w:cs="Times New Roman"/>
                <w:b/>
                <w:bCs/>
                <w:sz w:val="24"/>
                <w:szCs w:val="24"/>
                <w:u w:val="none"/>
                <w:lang w:eastAsia="zh-CN"/>
              </w:rPr>
              <w:t>（</w:t>
            </w:r>
            <w:r>
              <w:rPr>
                <w:rFonts w:hint="eastAsia" w:ascii="Times New Roman" w:hAnsi="Times New Roman" w:cs="Times New Roman"/>
                <w:b/>
                <w:bCs/>
                <w:sz w:val="24"/>
                <w:szCs w:val="24"/>
                <w:u w:val="none"/>
                <w:lang w:val="en-US" w:eastAsia="zh-CN"/>
              </w:rPr>
              <w:t>5</w:t>
            </w:r>
            <w:r>
              <w:rPr>
                <w:rFonts w:hint="eastAsia" w:ascii="Times New Roman" w:hAnsi="Times New Roman" w:cs="Times New Roman"/>
                <w:b/>
                <w:bCs/>
                <w:sz w:val="24"/>
                <w:szCs w:val="24"/>
                <w:u w:val="none"/>
                <w:lang w:eastAsia="zh-CN"/>
              </w:rPr>
              <w:t>）明确主体功能布局</w:t>
            </w:r>
          </w:p>
          <w:p>
            <w:pPr>
              <w:keepNext w:val="0"/>
              <w:keepLines w:val="0"/>
              <w:pageBreakBefore w:val="0"/>
              <w:widowControl/>
              <w:kinsoku/>
              <w:wordWrap/>
              <w:overflowPunct/>
              <w:topLinePunct w:val="0"/>
              <w:bidi w:val="0"/>
              <w:adjustRightInd w:val="0"/>
              <w:snapToGrid w:val="0"/>
              <w:spacing w:line="360" w:lineRule="auto"/>
              <w:ind w:firstLine="480" w:firstLineChars="200"/>
              <w:jc w:val="left"/>
              <w:rPr>
                <w:rFonts w:hint="default" w:ascii="Times New Roman" w:hAnsi="Times New Roman" w:cs="Times New Roman"/>
                <w:bCs/>
                <w:color w:val="auto"/>
                <w:sz w:val="24"/>
                <w:szCs w:val="24"/>
                <w:u w:val="none"/>
              </w:rPr>
            </w:pPr>
            <w:r>
              <w:rPr>
                <w:rFonts w:hint="default" w:ascii="Times New Roman" w:hAnsi="Times New Roman" w:eastAsia="宋体" w:cs="Times New Roman"/>
                <w:sz w:val="24"/>
                <w:szCs w:val="24"/>
                <w:u w:val="none"/>
              </w:rPr>
              <w:t>城市化地区</w:t>
            </w:r>
            <w:r>
              <w:rPr>
                <w:rFonts w:hint="eastAsia" w:ascii="Times New Roman" w:hAnsi="Times New Roman" w:cs="Times New Roman"/>
                <w:sz w:val="24"/>
                <w:szCs w:val="24"/>
                <w:u w:val="none"/>
                <w:lang w:eastAsia="zh-CN"/>
              </w:rPr>
              <w:t>，南阳市辖区，镇平县；农产品主产区，邓州市、新野县、社旗县、方城县、唐河县；生态功能区，南召县、西峡县、淅川县、内乡县、桐柏县；能源资源富集区，桐柏县叠加省级能源矿产资源区功能。</w:t>
            </w:r>
          </w:p>
          <w:p>
            <w:pPr>
              <w:keepNext w:val="0"/>
              <w:keepLines w:val="0"/>
              <w:pageBreakBefore w:val="0"/>
              <w:widowControl/>
              <w:kinsoku/>
              <w:wordWrap/>
              <w:overflowPunct/>
              <w:topLinePunct w:val="0"/>
              <w:bidi w:val="0"/>
              <w:adjustRightInd w:val="0"/>
              <w:snapToGrid w:val="0"/>
              <w:spacing w:line="360" w:lineRule="auto"/>
              <w:ind w:firstLine="482" w:firstLineChars="200"/>
              <w:jc w:val="left"/>
              <w:rPr>
                <w:rFonts w:hint="default" w:ascii="Times New Roman" w:hAnsi="Times New Roman" w:cs="Times New Roman"/>
                <w:b/>
                <w:bCs w:val="0"/>
                <w:color w:val="000000"/>
                <w:sz w:val="24"/>
                <w:szCs w:val="24"/>
              </w:rPr>
            </w:pPr>
            <w:r>
              <w:rPr>
                <w:rFonts w:hint="eastAsia" w:ascii="Times New Roman" w:hAnsi="Times New Roman" w:cs="Times New Roman"/>
                <w:b/>
                <w:bCs w:val="0"/>
                <w:color w:val="000000"/>
                <w:sz w:val="24"/>
                <w:szCs w:val="24"/>
                <w:lang w:val="en-US" w:eastAsia="zh-CN"/>
              </w:rPr>
              <w:t>1.2</w:t>
            </w:r>
            <w:r>
              <w:rPr>
                <w:rFonts w:hint="default" w:ascii="Times New Roman" w:hAnsi="Times New Roman" w:cs="Times New Roman"/>
                <w:b/>
                <w:bCs w:val="0"/>
                <w:color w:val="000000"/>
                <w:sz w:val="24"/>
                <w:szCs w:val="24"/>
              </w:rPr>
              <w:t>项目与南阳市城市总体规划相符性分析</w:t>
            </w:r>
          </w:p>
          <w:p>
            <w:pPr>
              <w:keepNext w:val="0"/>
              <w:keepLines w:val="0"/>
              <w:pageBreakBefore w:val="0"/>
              <w:widowControl/>
              <w:numPr>
                <w:ilvl w:val="0"/>
                <w:numId w:val="0"/>
              </w:numPr>
              <w:kinsoku/>
              <w:wordWrap/>
              <w:overflowPunct/>
              <w:topLinePunct w:val="0"/>
              <w:bidi w:val="0"/>
              <w:spacing w:line="360" w:lineRule="auto"/>
              <w:ind w:firstLine="480" w:firstLineChars="200"/>
              <w:jc w:val="left"/>
              <w:rPr>
                <w:rFonts w:hint="default" w:ascii="Times New Roman" w:hAnsi="Times New Roman" w:cs="Times New Roman"/>
                <w:color w:val="000000"/>
                <w:kern w:val="0"/>
                <w:sz w:val="24"/>
                <w:szCs w:val="24"/>
                <w:u w:val="none"/>
                <w:lang w:val="en-US" w:eastAsia="zh-CN"/>
              </w:rPr>
            </w:pPr>
            <w:r>
              <w:rPr>
                <w:rFonts w:hint="default" w:ascii="Times New Roman" w:hAnsi="Times New Roman" w:eastAsia="宋体" w:cs="Times New Roman"/>
                <w:color w:val="000000"/>
                <w:sz w:val="24"/>
                <w:szCs w:val="24"/>
                <w:u w:val="none"/>
              </w:rPr>
              <w:t>该项目位于</w:t>
            </w:r>
            <w:r>
              <w:rPr>
                <w:rFonts w:hint="default" w:ascii="Times New Roman" w:hAnsi="Times New Roman" w:cs="Times New Roman"/>
                <w:color w:val="000000"/>
                <w:sz w:val="24"/>
                <w:szCs w:val="24"/>
                <w:u w:val="none"/>
                <w:lang w:eastAsia="zh-CN"/>
              </w:rPr>
              <w:t>南阳市卧龙区蒲山镇</w:t>
            </w:r>
            <w:r>
              <w:rPr>
                <w:rFonts w:hint="eastAsia" w:ascii="宋体" w:hAnsi="宋体" w:eastAsia="宋体" w:cs="宋体"/>
                <w:b w:val="0"/>
                <w:bCs w:val="0"/>
                <w:color w:val="auto"/>
                <w:sz w:val="24"/>
                <w:szCs w:val="24"/>
                <w:u w:val="none"/>
                <w:lang w:eastAsia="zh-CN"/>
              </w:rPr>
              <w:t>卧龙艾草产业园内</w:t>
            </w:r>
            <w:r>
              <w:rPr>
                <w:rFonts w:hint="default" w:ascii="Times New Roman" w:hAnsi="Times New Roman" w:eastAsia="宋体" w:cs="Times New Roman"/>
                <w:color w:val="000000"/>
                <w:sz w:val="24"/>
                <w:szCs w:val="24"/>
                <w:u w:val="none"/>
              </w:rPr>
              <w:t>，</w:t>
            </w:r>
            <w:r>
              <w:rPr>
                <w:rFonts w:hint="default" w:ascii="Times New Roman" w:hAnsi="Times New Roman" w:cs="Times New Roman"/>
                <w:color w:val="000000"/>
                <w:sz w:val="24"/>
                <w:szCs w:val="24"/>
                <w:highlight w:val="none"/>
                <w:u w:val="none"/>
              </w:rPr>
              <w:t>经对比</w:t>
            </w:r>
            <w:r>
              <w:rPr>
                <w:rFonts w:hint="default" w:ascii="Times New Roman" w:hAnsi="Times New Roman" w:eastAsia="宋体" w:cs="Times New Roman"/>
                <w:sz w:val="24"/>
                <w:szCs w:val="24"/>
                <w:u w:val="none"/>
              </w:rPr>
              <w:t>《南阳市国土空间总体规划（2021</w:t>
            </w:r>
            <w:r>
              <w:rPr>
                <w:rFonts w:hint="eastAsia" w:cs="Times New Roman"/>
                <w:sz w:val="24"/>
                <w:szCs w:val="24"/>
                <w:u w:val="none"/>
                <w:lang w:val="en-US" w:eastAsia="zh-CN"/>
              </w:rPr>
              <w:t>-</w:t>
            </w:r>
            <w:r>
              <w:rPr>
                <w:rFonts w:hint="default" w:ascii="Times New Roman" w:hAnsi="Times New Roman" w:eastAsia="宋体" w:cs="Times New Roman"/>
                <w:sz w:val="24"/>
                <w:szCs w:val="24"/>
                <w:u w:val="none"/>
              </w:rPr>
              <w:t>2035年）》</w:t>
            </w:r>
            <w:r>
              <w:rPr>
                <w:rFonts w:hint="default" w:ascii="Times New Roman" w:hAnsi="Times New Roman" w:cs="Times New Roman"/>
                <w:color w:val="000000"/>
                <w:sz w:val="24"/>
                <w:szCs w:val="24"/>
                <w:highlight w:val="none"/>
                <w:u w:val="none"/>
              </w:rPr>
              <w:t>，项目选址不在南阳市城市总体规划范围内</w:t>
            </w:r>
            <w:r>
              <w:rPr>
                <w:rFonts w:hint="eastAsia" w:ascii="Times New Roman" w:hAnsi="Times New Roman" w:cs="Times New Roman"/>
                <w:color w:val="000000"/>
                <w:sz w:val="24"/>
                <w:szCs w:val="24"/>
                <w:highlight w:val="none"/>
                <w:u w:val="none"/>
                <w:lang w:eastAsia="zh-CN"/>
              </w:rPr>
              <w:t>。</w:t>
            </w:r>
            <w:r>
              <w:rPr>
                <w:rFonts w:hint="default" w:ascii="Times New Roman" w:hAnsi="Times New Roman" w:cs="Times New Roman"/>
                <w:color w:val="000000"/>
                <w:sz w:val="24"/>
                <w:szCs w:val="24"/>
                <w:u w:val="none"/>
                <w:lang w:eastAsia="zh-CN"/>
              </w:rPr>
              <w:t>根据南阳市卧龙区</w:t>
            </w:r>
            <w:r>
              <w:rPr>
                <w:rFonts w:hint="eastAsia" w:ascii="Times New Roman" w:hAnsi="Times New Roman" w:cs="Times New Roman"/>
                <w:color w:val="000000"/>
                <w:sz w:val="24"/>
                <w:szCs w:val="24"/>
                <w:u w:val="none"/>
                <w:lang w:eastAsia="zh-CN"/>
              </w:rPr>
              <w:t>自然</w:t>
            </w:r>
            <w:r>
              <w:rPr>
                <w:rFonts w:hint="default" w:ascii="Times New Roman" w:hAnsi="Times New Roman" w:cs="Times New Roman"/>
                <w:color w:val="000000"/>
                <w:sz w:val="24"/>
                <w:szCs w:val="24"/>
                <w:u w:val="none"/>
                <w:lang w:eastAsia="zh-CN"/>
              </w:rPr>
              <w:t>资源局蒲山国土资源所出具的</w:t>
            </w:r>
            <w:r>
              <w:rPr>
                <w:rFonts w:hint="eastAsia" w:ascii="Times New Roman" w:hAnsi="Times New Roman" w:cs="Times New Roman"/>
                <w:color w:val="000000"/>
                <w:sz w:val="24"/>
                <w:szCs w:val="24"/>
                <w:u w:val="none"/>
                <w:lang w:eastAsia="zh-CN"/>
              </w:rPr>
              <w:t>建设用地规划许可</w:t>
            </w:r>
            <w:r>
              <w:rPr>
                <w:rFonts w:hint="default" w:ascii="Times New Roman" w:hAnsi="Times New Roman" w:cs="Times New Roman"/>
                <w:color w:val="000000"/>
                <w:sz w:val="24"/>
                <w:szCs w:val="24"/>
                <w:u w:val="none"/>
                <w:lang w:eastAsia="zh-CN"/>
              </w:rPr>
              <w:t>证可知，该项目用地为</w:t>
            </w:r>
            <w:r>
              <w:rPr>
                <w:rFonts w:hint="eastAsia" w:ascii="Times New Roman" w:hAnsi="Times New Roman" w:cs="Times New Roman"/>
                <w:color w:val="000000"/>
                <w:sz w:val="24"/>
                <w:szCs w:val="24"/>
                <w:u w:val="none"/>
                <w:lang w:eastAsia="zh-CN"/>
              </w:rPr>
              <w:t>工业</w:t>
            </w:r>
            <w:r>
              <w:rPr>
                <w:rFonts w:hint="default" w:ascii="Times New Roman" w:hAnsi="Times New Roman" w:cs="Times New Roman"/>
                <w:color w:val="000000"/>
                <w:sz w:val="24"/>
                <w:szCs w:val="24"/>
                <w:u w:val="none"/>
                <w:lang w:eastAsia="zh-CN"/>
              </w:rPr>
              <w:t>用地，符合蒲山镇土地利用规划</w:t>
            </w:r>
            <w:r>
              <w:rPr>
                <w:rFonts w:hint="default" w:ascii="Times New Roman" w:hAnsi="Times New Roman" w:cs="Times New Roman"/>
                <w:color w:val="000000"/>
                <w:kern w:val="0"/>
                <w:sz w:val="24"/>
                <w:szCs w:val="24"/>
                <w:u w:val="none"/>
                <w:lang w:val="en-US" w:eastAsia="zh-CN"/>
              </w:rPr>
              <w:t>。</w:t>
            </w:r>
          </w:p>
          <w:p>
            <w:pPr>
              <w:keepNext w:val="0"/>
              <w:keepLines w:val="0"/>
              <w:pageBreakBefore w:val="0"/>
              <w:widowControl/>
              <w:numPr>
                <w:ilvl w:val="0"/>
                <w:numId w:val="0"/>
              </w:numPr>
              <w:kinsoku/>
              <w:wordWrap/>
              <w:overflowPunct/>
              <w:topLinePunct w:val="0"/>
              <w:bidi w:val="0"/>
              <w:spacing w:line="360" w:lineRule="auto"/>
              <w:jc w:val="left"/>
              <w:rPr>
                <w:rFonts w:hint="default" w:ascii="Times New Roman" w:hAnsi="Times New Roman" w:eastAsia="宋体" w:cs="Times New Roman"/>
                <w:b/>
                <w:bCs/>
                <w:color w:val="auto"/>
                <w:sz w:val="24"/>
                <w:szCs w:val="24"/>
                <w:u w:val="none"/>
              </w:rPr>
            </w:pPr>
            <w:r>
              <w:rPr>
                <w:rFonts w:hint="eastAsia" w:ascii="Times New Roman" w:hAnsi="Times New Roman" w:eastAsia="宋体" w:cs="Times New Roman"/>
                <w:b/>
                <w:bCs/>
                <w:color w:val="auto"/>
                <w:sz w:val="24"/>
                <w:szCs w:val="24"/>
                <w:u w:val="none"/>
                <w:lang w:val="en-US" w:eastAsia="zh-CN"/>
              </w:rPr>
              <w:t>2</w:t>
            </w:r>
            <w:r>
              <w:rPr>
                <w:rFonts w:hint="default" w:ascii="Times New Roman" w:hAnsi="Times New Roman" w:eastAsia="宋体" w:cs="Times New Roman"/>
                <w:b/>
                <w:bCs/>
                <w:color w:val="auto"/>
                <w:sz w:val="24"/>
                <w:szCs w:val="24"/>
                <w:u w:val="none"/>
                <w:lang w:eastAsia="zh-CN"/>
              </w:rPr>
              <w:t>、</w:t>
            </w:r>
            <w:r>
              <w:rPr>
                <w:rFonts w:hint="default" w:ascii="Times New Roman" w:hAnsi="Times New Roman" w:eastAsia="宋体" w:cs="Times New Roman"/>
                <w:b/>
                <w:bCs/>
                <w:color w:val="auto"/>
                <w:sz w:val="24"/>
                <w:szCs w:val="24"/>
                <w:u w:val="none"/>
              </w:rPr>
              <w:t>项目建设与《</w:t>
            </w:r>
            <w:r>
              <w:rPr>
                <w:rFonts w:hint="eastAsia" w:ascii="Times New Roman" w:hAnsi="Times New Roman" w:eastAsia="宋体" w:cs="Times New Roman"/>
                <w:b/>
                <w:bCs/>
                <w:color w:val="auto"/>
                <w:sz w:val="24"/>
                <w:szCs w:val="24"/>
                <w:u w:val="none"/>
                <w:lang w:eastAsia="zh-CN"/>
              </w:rPr>
              <w:t>南阳市卧龙区</w:t>
            </w:r>
            <w:r>
              <w:rPr>
                <w:rFonts w:hint="default" w:ascii="Times New Roman" w:hAnsi="Times New Roman" w:eastAsia="宋体" w:cs="Times New Roman"/>
                <w:b/>
                <w:bCs/>
                <w:color w:val="auto"/>
                <w:sz w:val="24"/>
                <w:szCs w:val="24"/>
                <w:u w:val="none"/>
              </w:rPr>
              <w:t>蒲山镇总体规划（2013-2030）》的相符性分析</w:t>
            </w:r>
          </w:p>
          <w:p>
            <w:pPr>
              <w:keepNext w:val="0"/>
              <w:keepLines w:val="0"/>
              <w:pageBreakBefore w:val="0"/>
              <w:widowControl/>
              <w:kinsoku/>
              <w:wordWrap/>
              <w:overflowPunct/>
              <w:topLinePunct w:val="0"/>
              <w:bidi w:val="0"/>
              <w:spacing w:line="360" w:lineRule="auto"/>
              <w:ind w:firstLine="480"/>
              <w:jc w:val="left"/>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color="auto"/>
              </w:rPr>
              <w:t>（1）</w:t>
            </w:r>
            <w:r>
              <w:rPr>
                <w:rFonts w:hint="default" w:ascii="Times New Roman" w:hAnsi="Times New Roman" w:eastAsia="宋体" w:cs="Times New Roman"/>
                <w:b/>
                <w:bCs/>
                <w:color w:val="auto"/>
                <w:sz w:val="24"/>
                <w:szCs w:val="24"/>
                <w:u w:val="none"/>
              </w:rPr>
              <w:t>规划内容</w:t>
            </w:r>
          </w:p>
          <w:p>
            <w:pPr>
              <w:widowControl/>
              <w:spacing w:line="360" w:lineRule="auto"/>
              <w:ind w:firstLine="48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1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①</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规划期限</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近期2013－2020年，远期2021－2030 年</w:t>
            </w:r>
          </w:p>
          <w:p>
            <w:pPr>
              <w:widowControl/>
              <w:spacing w:line="360" w:lineRule="auto"/>
              <w:ind w:firstLine="48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2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②</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规划区界定</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本次规划镇域范围为蒲山镇行政辖区范围，包括31个行政村,2个社区，总面积139.7平方公里。</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镇区规划范围：北到蒲山店村、南到南水北调中线运河北、西到焦柳铁路、东到省道231，规划用地面积为8.19平方公里。</w:t>
            </w:r>
          </w:p>
          <w:p>
            <w:pPr>
              <w:widowControl/>
              <w:spacing w:line="360" w:lineRule="auto"/>
              <w:ind w:firstLine="48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3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③</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总体发展目标</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把蒲山镇建设成为南阳市周边的卫星镇；以发展新型建材、商贸物流和旅游为主的综合型小城镇。</w:t>
            </w:r>
          </w:p>
          <w:p>
            <w:pPr>
              <w:widowControl/>
              <w:spacing w:line="360" w:lineRule="auto"/>
              <w:ind w:firstLine="48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4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④</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产业发展原则</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城乡一体化原则；促进资源合理配置和有效利用原则；促进可持续发展原则；促进产业结构调整原则。</w:t>
            </w:r>
          </w:p>
          <w:p>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5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⑤</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形成中心镇区－中心村－基层村三级体系。</w:t>
            </w:r>
          </w:p>
          <w:p>
            <w:pPr>
              <w:widowControl/>
              <w:spacing w:line="360" w:lineRule="auto"/>
              <w:ind w:firstLine="48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6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⑥</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镇域道路交通规划</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规划镇域公路网建设以通过改造提高现有公路技术等级和公路网密度，逐步构建以镇区为中心，干支结合，辐射各村，连接镇区及外围乡镇的四通八达的镇域公路交通格局。</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 7 \* GB3 \* MERGEFORMAT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t>⑦</w:t>
            </w:r>
            <w:r>
              <w:rPr>
                <w:rFonts w:hint="default" w:ascii="Times New Roman" w:hAnsi="Times New Roman" w:eastAsia="宋体" w:cs="Times New Roman"/>
                <w:color w:val="auto"/>
                <w:sz w:val="24"/>
                <w:szCs w:val="24"/>
                <w:u w:val="none" w:color="auto"/>
              </w:rPr>
              <w:fldChar w:fldCharType="end"/>
            </w:r>
            <w:r>
              <w:rPr>
                <w:rFonts w:hint="default" w:ascii="Times New Roman" w:hAnsi="Times New Roman" w:eastAsia="宋体" w:cs="Times New Roman"/>
                <w:color w:val="auto"/>
                <w:sz w:val="24"/>
                <w:szCs w:val="24"/>
                <w:u w:val="none" w:color="auto"/>
              </w:rPr>
              <w:t>镇域</w:t>
            </w:r>
            <w:r>
              <w:rPr>
                <w:rFonts w:hint="eastAsia" w:ascii="Times New Roman" w:hAnsi="Times New Roman" w:eastAsia="宋体" w:cs="Times New Roman"/>
                <w:color w:val="auto"/>
                <w:sz w:val="24"/>
                <w:szCs w:val="24"/>
                <w:u w:val="none" w:color="auto"/>
                <w:lang w:eastAsia="zh-CN"/>
              </w:rPr>
              <w:t>经济分区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rPr>
              <w:t>根据经济发展战略和镇域空间经济结构，以及中心城区与镇区的带动影响，规划将镇域划分为6个经济区域和2个具体产业片区</w:t>
            </w:r>
            <w:r>
              <w:rPr>
                <w:rFonts w:hint="eastAsia" w:ascii="Times New Roman" w:hAnsi="Times New Roman"/>
                <w:sz w:val="24"/>
                <w:u w:val="none"/>
              </w:rPr>
              <w:t>。</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1）</w:t>
            </w:r>
            <w:r>
              <w:rPr>
                <w:rFonts w:hint="eastAsia" w:ascii="Times New Roman" w:hAnsi="Times New Roman"/>
                <w:sz w:val="24"/>
                <w:u w:val="none"/>
              </w:rPr>
              <w:t>东部滨河观光产业区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以省道231（东改线）为交通依托，利用白河生态湿地和南阳市打造的从云阳到城区的百亩花卉长廊，在保持农业生产的基础地位同时，应重点发展特色产业，并可结合特色农业、自然环境等有利条件，发展花卉种植、观光农业、休闲度假等富有特色的现代观光园区。在巩固农业基础地位同时应当加快农业产业化，大力发展第三产业，开发以农业资源为基础的特色产业，使产业结构更趋合理化，带动该经济区的发展。</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2）</w:t>
            </w:r>
            <w:r>
              <w:rPr>
                <w:rFonts w:hint="eastAsia" w:ascii="Times New Roman" w:hAnsi="Times New Roman"/>
                <w:sz w:val="24"/>
                <w:u w:val="none"/>
              </w:rPr>
              <w:t>中部经济发展核心区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以蒲山镇区为核心，包括姚亮村、李彩庄村、蒲山店村、马营村。</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中部经济发展核心区区域包括的村数量比较多，村庄分布相对比较集中，利于协同合作，产生集聚效应。</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该区是镇域内经济最发达地区，是发展工业、乡镇企业重点地区，发挥原有的基础工业优火力发展第二、三产业，依托交通区位优势，大力发展第三产业，利用自身特点发展建材贸易，形成一定的集贸集散地。</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重点发展镇区，加快城镇化进程，进一步加强其在全镇经济、文化、科技、教育、信息和交通中心的地位；强化中心城镇的同时要积极引导其它中心村发挥优势、潜力，使重点城镇和中心村的发展紧密结合，从而形成镇域内核心经济区，辐射带动西部经济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规划经济区以镇区、中心村为中心布置建设道路交通与供电、邮电、文化、教育、卫生等基础设施和公共设施，以便服务区域经济发展。各中心村之间紧密联系、相互协调、相辅相承,共同发展。在区域发展层次方面，应以中心经济区为主，其他经济区为辅，重点发展中心镇、辐射带动中心村，争取在规划期末形成全面发展，人民生活水平有很大提高的局面。</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u w:val="none"/>
              </w:rPr>
            </w:pPr>
            <w:r>
              <w:rPr>
                <w:rFonts w:hint="eastAsia" w:ascii="Times New Roman" w:hAnsi="Times New Roman"/>
                <w:sz w:val="24"/>
                <w:u w:val="none" w:color="auto"/>
                <w:lang w:val="en-US" w:eastAsia="zh-CN"/>
              </w:rPr>
              <w:t>3）</w:t>
            </w:r>
            <w:r>
              <w:rPr>
                <w:rFonts w:hint="eastAsia" w:ascii="Times New Roman" w:hAnsi="Times New Roman"/>
                <w:sz w:val="24"/>
                <w:u w:val="none"/>
              </w:rPr>
              <w:t>河南新区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南水北调中线工程和南阳北绕城高速以及东改线之间形成的区域。此区域利用南水北调的自然优势和南阳绕城高速的交通优势可以发展商贸物流。</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4）</w:t>
            </w:r>
            <w:r>
              <w:rPr>
                <w:rFonts w:hint="eastAsia" w:ascii="Times New Roman" w:hAnsi="Times New Roman"/>
                <w:sz w:val="24"/>
                <w:u w:val="none"/>
              </w:rPr>
              <w:t>西部依托紫山和麒麟湖形成的生态观光养老休闲区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以龙祥路为道路轴线，包括丁庄村、赵官庄村、周后王村、师杨庄村、小赵庄村、清泉村、和顺园村。</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该区内依托紫山的自然资源，结合现有的几个养殖基地和特色农家乐，大力发展第三产业，形成镇域西部的一条“十里画廊农游带”，打造南阳的“后花园”。</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5）</w:t>
            </w:r>
            <w:r>
              <w:rPr>
                <w:rFonts w:hint="eastAsia" w:ascii="Times New Roman" w:hAnsi="Times New Roman"/>
                <w:sz w:val="24"/>
                <w:u w:val="none"/>
              </w:rPr>
              <w:t>北部畜牧养殖、生态农业区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主要包括倪家洼村、刁沟村、汪寨村、靳岗村、田营村、宋营村、帅庄村、泉东村、李湾村、刘家堙村、黄渠河村、高庄村、杨营村。</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该区是镇域内耕地资源最好的地区，坚持以农业为基础，主要发展经济作物、蔬菜种植和畜牧养殖，打造南阳市的“菜篮子"。</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6）</w:t>
            </w:r>
            <w:r>
              <w:rPr>
                <w:rFonts w:hint="eastAsia" w:ascii="Times New Roman" w:hAnsi="Times New Roman"/>
                <w:sz w:val="24"/>
                <w:u w:val="none"/>
              </w:rPr>
              <w:t>南部南阳城区发展控制区</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rPr>
              <w:t>该区是南阳市城市总体规划确定的城区发展备用地，位于南阳绕城高速环内。</w:t>
            </w:r>
          </w:p>
          <w:p>
            <w:pPr>
              <w:keepNext w:val="0"/>
              <w:keepLines w:val="0"/>
              <w:pageBreakBefore w:val="0"/>
              <w:kinsoku/>
              <w:wordWrap/>
              <w:overflowPunct/>
              <w:topLinePunct w:val="0"/>
              <w:autoSpaceDE w:val="0"/>
              <w:autoSpaceDN w:val="0"/>
              <w:bidi w:val="0"/>
              <w:spacing w:line="360" w:lineRule="auto"/>
              <w:ind w:firstLine="480" w:firstLineChars="200"/>
              <w:jc w:val="left"/>
              <w:rPr>
                <w:rFonts w:hint="eastAsia" w:ascii="Times New Roman" w:hAnsi="Times New Roman"/>
                <w:sz w:val="24"/>
                <w:u w:val="none"/>
              </w:rPr>
            </w:pPr>
            <w:r>
              <w:rPr>
                <w:rFonts w:hint="eastAsia" w:ascii="Times New Roman" w:hAnsi="Times New Roman"/>
                <w:sz w:val="24"/>
                <w:u w:val="none" w:color="auto"/>
                <w:lang w:val="en-US" w:eastAsia="zh-CN"/>
              </w:rPr>
              <w:t>7）</w:t>
            </w:r>
            <w:r>
              <w:rPr>
                <w:rFonts w:hint="eastAsia" w:ascii="Times New Roman" w:hAnsi="Times New Roman"/>
                <w:sz w:val="24"/>
                <w:u w:val="none"/>
              </w:rPr>
              <w:t>电厂工业仓储区和田营钙粉工业片区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u w:val="none"/>
              </w:rPr>
            </w:pPr>
            <w:r>
              <w:rPr>
                <w:rFonts w:hint="eastAsia" w:ascii="Times New Roman" w:hAnsi="Times New Roman"/>
                <w:sz w:val="24"/>
                <w:u w:val="none"/>
              </w:rPr>
              <w:t>电厂工业片区主要以火电厂和华中油库为主，周围还有几个石材加工企业，加以引导形成一个产业片区；田营钙粉片区主要以钙粉厂为主，形成规模化产业。</w:t>
            </w:r>
          </w:p>
          <w:p>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b/>
                <w:bCs/>
                <w:u w:val="none"/>
              </w:rPr>
            </w:pPr>
            <w:r>
              <w:rPr>
                <w:rFonts w:hint="default" w:ascii="Times New Roman" w:hAnsi="Times New Roman" w:eastAsia="宋体" w:cs="Times New Roman"/>
                <w:b/>
                <w:bCs/>
                <w:color w:val="auto"/>
                <w:sz w:val="24"/>
                <w:szCs w:val="24"/>
                <w:u w:val="none" w:color="auto"/>
              </w:rPr>
              <w:t>（2）相符性分析</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b w:val="0"/>
                <w:bCs w:val="0"/>
                <w:sz w:val="24"/>
                <w:u w:val="none"/>
              </w:rPr>
            </w:pPr>
            <w:r>
              <w:rPr>
                <w:rFonts w:hint="eastAsia" w:ascii="Times New Roman" w:hAnsi="Times New Roman"/>
                <w:sz w:val="24"/>
                <w:u w:val="none"/>
              </w:rPr>
              <w:t>本项目位于卧龙区蒲山镇</w:t>
            </w:r>
            <w:r>
              <w:rPr>
                <w:rFonts w:hint="eastAsia" w:ascii="宋体" w:hAnsi="宋体" w:eastAsia="宋体" w:cs="宋体"/>
                <w:b w:val="0"/>
                <w:bCs w:val="0"/>
                <w:color w:val="auto"/>
                <w:sz w:val="24"/>
                <w:szCs w:val="24"/>
                <w:u w:val="none"/>
                <w:lang w:eastAsia="zh-CN"/>
              </w:rPr>
              <w:t>卧龙艾草产业园内</w:t>
            </w:r>
            <w:r>
              <w:rPr>
                <w:rFonts w:hint="eastAsia" w:ascii="Times New Roman" w:hAnsi="Times New Roman"/>
                <w:sz w:val="24"/>
                <w:u w:val="none"/>
              </w:rPr>
              <w:t>，该区原规划为钙粉片区，随着近年来市场政策的不断调整，区域目前已经规划布局为艾草片区。</w:t>
            </w:r>
            <w:r>
              <w:rPr>
                <w:rFonts w:hint="default" w:ascii="Times New Roman" w:hAnsi="Times New Roman" w:cs="Times New Roman"/>
                <w:color w:val="000000"/>
                <w:sz w:val="24"/>
                <w:szCs w:val="24"/>
                <w:u w:val="none"/>
                <w:lang w:eastAsia="zh-CN"/>
              </w:rPr>
              <w:t>根据南阳市卧龙区</w:t>
            </w:r>
            <w:r>
              <w:rPr>
                <w:rFonts w:hint="eastAsia" w:ascii="Times New Roman" w:hAnsi="Times New Roman" w:cs="Times New Roman"/>
                <w:color w:val="000000"/>
                <w:sz w:val="24"/>
                <w:szCs w:val="24"/>
                <w:u w:val="none"/>
                <w:lang w:eastAsia="zh-CN"/>
              </w:rPr>
              <w:t>自然</w:t>
            </w:r>
            <w:r>
              <w:rPr>
                <w:rFonts w:hint="default" w:ascii="Times New Roman" w:hAnsi="Times New Roman" w:cs="Times New Roman"/>
                <w:color w:val="000000"/>
                <w:sz w:val="24"/>
                <w:szCs w:val="24"/>
                <w:u w:val="none"/>
                <w:lang w:eastAsia="zh-CN"/>
              </w:rPr>
              <w:t>资源局蒲山国土资源所出具的</w:t>
            </w:r>
            <w:r>
              <w:rPr>
                <w:rFonts w:hint="eastAsia" w:ascii="Times New Roman" w:hAnsi="Times New Roman" w:cs="Times New Roman"/>
                <w:color w:val="000000"/>
                <w:sz w:val="24"/>
                <w:szCs w:val="24"/>
                <w:u w:val="none"/>
                <w:lang w:eastAsia="zh-CN"/>
              </w:rPr>
              <w:t>建设用地规划许可</w:t>
            </w:r>
            <w:r>
              <w:rPr>
                <w:rFonts w:hint="default" w:ascii="Times New Roman" w:hAnsi="Times New Roman" w:cs="Times New Roman"/>
                <w:color w:val="000000"/>
                <w:sz w:val="24"/>
                <w:szCs w:val="24"/>
                <w:u w:val="none"/>
                <w:lang w:eastAsia="zh-CN"/>
              </w:rPr>
              <w:t>证可知</w:t>
            </w:r>
            <w:r>
              <w:rPr>
                <w:rFonts w:hint="eastAsia" w:ascii="宋体" w:hAnsi="宋体" w:eastAsia="宋体" w:cs="宋体"/>
                <w:b w:val="0"/>
                <w:bCs w:val="0"/>
                <w:sz w:val="24"/>
                <w:u w:val="none"/>
              </w:rPr>
              <w:t>，项目占地为工业用地，与蒲山镇产业发展相符，本评价认为项目的建设符合当地土地利用政策。</w:t>
            </w:r>
          </w:p>
          <w:p>
            <w:pPr>
              <w:pStyle w:val="65"/>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textAlignment w:val="baseline"/>
              <w:outlineLvl w:val="9"/>
              <w:rPr>
                <w:rFonts w:hint="eastAsia" w:ascii="Times New Roman"/>
                <w:b/>
                <w:color w:val="auto"/>
                <w:u w:val="none" w:color="auto"/>
              </w:rPr>
            </w:pPr>
            <w:r>
              <w:rPr>
                <w:rFonts w:hint="eastAsia" w:ascii="Times New Roman" w:hAnsi="Times New Roman" w:eastAsia="宋体" w:cs="Times New Roman"/>
                <w:b/>
                <w:color w:val="auto"/>
                <w:kern w:val="0"/>
                <w:sz w:val="24"/>
                <w:szCs w:val="20"/>
                <w:u w:val="none" w:color="auto"/>
                <w:lang w:val="en-US" w:eastAsia="zh-CN" w:bidi="ar-SA"/>
              </w:rPr>
              <w:t>3、</w:t>
            </w:r>
            <w:r>
              <w:rPr>
                <w:rFonts w:ascii="Times New Roman"/>
                <w:b/>
                <w:color w:val="auto"/>
                <w:u w:val="none" w:color="auto"/>
              </w:rPr>
              <w:t>项目建设与</w:t>
            </w:r>
            <w:r>
              <w:rPr>
                <w:rFonts w:hint="eastAsia"/>
                <w:b/>
                <w:bCs/>
                <w:sz w:val="24"/>
                <w:u w:val="none" w:color="auto"/>
              </w:rPr>
              <w:t>卧龙艾草产业园的相符性</w:t>
            </w:r>
            <w:r>
              <w:rPr>
                <w:rFonts w:hint="eastAsia" w:ascii="Times New Roman"/>
                <w:b/>
                <w:color w:val="auto"/>
                <w:u w:val="none" w:color="auto"/>
              </w:rPr>
              <w:t>分析</w:t>
            </w:r>
          </w:p>
          <w:p>
            <w:pPr>
              <w:pStyle w:val="65"/>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textAlignment w:val="baseline"/>
              <w:outlineLvl w:val="9"/>
              <w:rPr>
                <w:rFonts w:hint="eastAsia" w:ascii="Times New Roman"/>
                <w:b w:val="0"/>
                <w:bCs/>
                <w:color w:val="auto"/>
                <w:u w:val="none" w:color="auto"/>
                <w:lang w:val="en-US" w:eastAsia="zh-CN"/>
              </w:rPr>
            </w:pPr>
            <w:r>
              <w:rPr>
                <w:rFonts w:hint="eastAsia" w:ascii="Times New Roman"/>
                <w:b w:val="0"/>
                <w:bCs/>
                <w:color w:val="auto"/>
                <w:u w:val="none" w:color="auto"/>
                <w:lang w:val="en-US" w:eastAsia="zh-CN"/>
              </w:rPr>
              <w:t>2022年2月，河南正珩环保科技有限公司编制完成了《卧龙艾草产业园（一期）建设项目环境影响报告表》，南阳市生态环境局卧龙分局于2022年2月7日对《卧龙艾草产业园（一期）建设项目环境影响报告表》进行了审批，批复文号：宛龙环审【2022】5号。</w:t>
            </w:r>
          </w:p>
          <w:tbl>
            <w:tblPr>
              <w:tblStyle w:val="27"/>
              <w:tblW w:w="83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53"/>
              <w:gridCol w:w="2463"/>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53" w:type="dxa"/>
                  <w:vAlign w:val="center"/>
                </w:tcPr>
                <w:p>
                  <w:pPr>
                    <w:jc w:val="center"/>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cs="Times New Roman"/>
                      <w:b/>
                      <w:bCs/>
                      <w:sz w:val="21"/>
                      <w:szCs w:val="21"/>
                      <w:u w:val="none" w:color="auto"/>
                    </w:rPr>
                    <w:t>卧龙艾草产业园具体内容</w:t>
                  </w:r>
                </w:p>
              </w:tc>
              <w:tc>
                <w:tcPr>
                  <w:tcW w:w="2463" w:type="dxa"/>
                  <w:vAlign w:val="center"/>
                </w:tcPr>
                <w:p>
                  <w:pPr>
                    <w:jc w:val="center"/>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cs="Times New Roman"/>
                      <w:b/>
                      <w:bCs/>
                      <w:sz w:val="21"/>
                      <w:szCs w:val="21"/>
                      <w:u w:val="none" w:color="auto"/>
                    </w:rPr>
                    <w:t>本项目建设情况</w:t>
                  </w:r>
                </w:p>
              </w:tc>
              <w:tc>
                <w:tcPr>
                  <w:tcW w:w="913" w:type="dxa"/>
                  <w:vAlign w:val="center"/>
                </w:tcPr>
                <w:p>
                  <w:pPr>
                    <w:jc w:val="center"/>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cs="Times New Roman"/>
                      <w:b/>
                      <w:bCs/>
                      <w:sz w:val="21"/>
                      <w:szCs w:val="21"/>
                      <w:u w:val="none" w:color="auto"/>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53" w:type="dxa"/>
                  <w:vAlign w:val="center"/>
                </w:tcPr>
                <w:p>
                  <w:pPr>
                    <w:keepNext w:val="0"/>
                    <w:keepLines w:val="0"/>
                    <w:pageBreakBefore w:val="0"/>
                    <w:widowControl/>
                    <w:kinsoku/>
                    <w:wordWrap/>
                    <w:overflowPunct/>
                    <w:topLinePunct w:val="0"/>
                    <w:autoSpaceDE/>
                    <w:autoSpaceDN/>
                    <w:bidi w:val="0"/>
                    <w:adjustRightInd w:val="0"/>
                    <w:snapToGrid w:val="0"/>
                    <w:spacing w:line="336"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u w:val="none" w:color="auto"/>
                      <w:vertAlign w:val="baseline"/>
                    </w:rPr>
                    <w:t>卧龙艾草产业园（一期）总用地面积227547.7</w:t>
                  </w:r>
                  <w:r>
                    <w:rPr>
                      <w:rFonts w:hint="default" w:ascii="Times New Roman" w:hAnsi="Times New Roman" w:cs="Times New Roman"/>
                      <w:b w:val="0"/>
                      <w:bCs w:val="0"/>
                      <w:sz w:val="21"/>
                      <w:szCs w:val="21"/>
                      <w:u w:val="none" w:color="auto"/>
                      <w:vertAlign w:val="baseline"/>
                      <w:lang w:val="en-US" w:eastAsia="zh-CN"/>
                    </w:rPr>
                    <w:t>㎡</w:t>
                  </w:r>
                  <w:r>
                    <w:rPr>
                      <w:rFonts w:hint="default" w:ascii="Times New Roman" w:hAnsi="Times New Roman" w:eastAsia="宋体" w:cs="Times New Roman"/>
                      <w:b w:val="0"/>
                      <w:bCs w:val="0"/>
                      <w:sz w:val="21"/>
                      <w:szCs w:val="21"/>
                      <w:u w:val="none" w:color="auto"/>
                      <w:vertAlign w:val="baseline"/>
                    </w:rPr>
                    <w:t>（341.3亩），总建筑面积257110.43</w:t>
                  </w:r>
                  <w:r>
                    <w:rPr>
                      <w:rFonts w:hint="default" w:ascii="Times New Roman" w:hAnsi="Times New Roman" w:cs="Times New Roman"/>
                      <w:b w:val="0"/>
                      <w:bCs w:val="0"/>
                      <w:sz w:val="21"/>
                      <w:szCs w:val="21"/>
                      <w:u w:val="none" w:color="auto"/>
                      <w:vertAlign w:val="baseline"/>
                      <w:lang w:val="en-US" w:eastAsia="zh-CN"/>
                    </w:rPr>
                    <w:t>㎡</w:t>
                  </w:r>
                  <w:r>
                    <w:rPr>
                      <w:rFonts w:hint="default" w:ascii="Times New Roman" w:hAnsi="Times New Roman" w:eastAsia="宋体" w:cs="Times New Roman"/>
                      <w:b w:val="0"/>
                      <w:bCs w:val="0"/>
                      <w:sz w:val="21"/>
                      <w:szCs w:val="21"/>
                      <w:u w:val="none" w:color="auto"/>
                      <w:vertAlign w:val="baseline"/>
                    </w:rPr>
                    <w:t>，计划建设81栋标准化厂房、1栋展览中心、1栋综合服务中心、3栋人才公寓等配套附属建筑，主要分为初加工标准化厂房区、装备制造标准化厂房区、深加工标准化厂房区、精加工定制厂房区、研发办公及配套服务区5个功能区</w:t>
                  </w:r>
                </w:p>
              </w:tc>
              <w:tc>
                <w:tcPr>
                  <w:tcW w:w="2463" w:type="dxa"/>
                  <w:vAlign w:val="center"/>
                </w:tcPr>
                <w:p>
                  <w:pPr>
                    <w:keepNext w:val="0"/>
                    <w:keepLines w:val="0"/>
                    <w:pageBreakBefore w:val="0"/>
                    <w:widowControl/>
                    <w:kinsoku/>
                    <w:wordWrap/>
                    <w:overflowPunct/>
                    <w:topLinePunct w:val="0"/>
                    <w:autoSpaceDE/>
                    <w:autoSpaceDN/>
                    <w:bidi w:val="0"/>
                    <w:adjustRightInd w:val="0"/>
                    <w:snapToGrid w:val="0"/>
                    <w:spacing w:line="336"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cs="Times New Roman"/>
                      <w:b w:val="0"/>
                      <w:bCs w:val="0"/>
                      <w:sz w:val="21"/>
                      <w:szCs w:val="21"/>
                      <w:u w:val="none" w:color="auto"/>
                      <w:vertAlign w:val="baseline"/>
                      <w:lang w:val="en-US" w:eastAsia="zh-CN"/>
                    </w:rPr>
                    <w:t>本项目位于卧龙艾草产业园内</w:t>
                  </w:r>
                  <w:r>
                    <w:rPr>
                      <w:rFonts w:hint="eastAsia" w:cs="Times New Roman"/>
                      <w:b w:val="0"/>
                      <w:bCs w:val="0"/>
                      <w:sz w:val="21"/>
                      <w:szCs w:val="21"/>
                      <w:u w:val="none" w:color="auto"/>
                      <w:vertAlign w:val="baseline"/>
                      <w:lang w:val="en-US" w:eastAsia="zh-CN"/>
                    </w:rPr>
                    <w:t>E5厂房</w:t>
                  </w:r>
                  <w:r>
                    <w:rPr>
                      <w:rFonts w:hint="default" w:ascii="Times New Roman" w:hAnsi="Times New Roman" w:cs="Times New Roman"/>
                      <w:b w:val="0"/>
                      <w:bCs w:val="0"/>
                      <w:sz w:val="21"/>
                      <w:szCs w:val="21"/>
                      <w:u w:val="none" w:color="auto"/>
                      <w:vertAlign w:val="baseline"/>
                      <w:lang w:val="en-US" w:eastAsia="zh-CN"/>
                    </w:rPr>
                    <w:t>，占地面积</w:t>
                  </w:r>
                  <w:r>
                    <w:rPr>
                      <w:rFonts w:hint="eastAsia" w:cs="Times New Roman"/>
                      <w:b w:val="0"/>
                      <w:bCs w:val="0"/>
                      <w:sz w:val="21"/>
                      <w:szCs w:val="21"/>
                      <w:u w:val="none" w:color="auto"/>
                      <w:vertAlign w:val="baseline"/>
                      <w:lang w:val="en-US" w:eastAsia="zh-CN"/>
                    </w:rPr>
                    <w:t>1225</w:t>
                  </w:r>
                  <w:r>
                    <w:rPr>
                      <w:rFonts w:hint="default" w:ascii="Times New Roman" w:hAnsi="Times New Roman" w:cs="Times New Roman"/>
                      <w:b w:val="0"/>
                      <w:bCs w:val="0"/>
                      <w:sz w:val="21"/>
                      <w:szCs w:val="21"/>
                      <w:u w:val="none" w:color="auto"/>
                      <w:vertAlign w:val="baseline"/>
                      <w:lang w:val="en-US" w:eastAsia="zh-CN"/>
                    </w:rPr>
                    <w:t>㎡，</w:t>
                  </w:r>
                  <w:r>
                    <w:rPr>
                      <w:rFonts w:hint="eastAsia" w:cs="Times New Roman"/>
                      <w:b w:val="0"/>
                      <w:bCs w:val="0"/>
                      <w:sz w:val="21"/>
                      <w:szCs w:val="21"/>
                      <w:u w:val="none" w:color="auto"/>
                      <w:vertAlign w:val="baseline"/>
                      <w:lang w:val="en-US" w:eastAsia="zh-CN"/>
                    </w:rPr>
                    <w:t>共三层，总建筑面积4320</w:t>
                  </w:r>
                  <w:r>
                    <w:rPr>
                      <w:rFonts w:hint="default" w:ascii="Times New Roman" w:hAnsi="Times New Roman" w:cs="Times New Roman"/>
                      <w:b w:val="0"/>
                      <w:bCs w:val="0"/>
                      <w:sz w:val="21"/>
                      <w:szCs w:val="21"/>
                      <w:u w:val="none" w:color="auto"/>
                      <w:vertAlign w:val="baseline"/>
                      <w:lang w:val="en-US" w:eastAsia="zh-CN"/>
                    </w:rPr>
                    <w:t>㎡</w:t>
                  </w:r>
                  <w:r>
                    <w:rPr>
                      <w:rFonts w:hint="eastAsia" w:cs="Times New Roman"/>
                      <w:b w:val="0"/>
                      <w:bCs w:val="0"/>
                      <w:sz w:val="21"/>
                      <w:szCs w:val="21"/>
                      <w:u w:val="none" w:color="auto"/>
                      <w:vertAlign w:val="baseline"/>
                      <w:lang w:val="en-US" w:eastAsia="zh-CN"/>
                    </w:rPr>
                    <w:t>，一层分为配料间</w:t>
                  </w:r>
                  <w:r>
                    <w:rPr>
                      <w:rFonts w:hint="default" w:ascii="Times New Roman" w:hAnsi="Times New Roman" w:cs="Times New Roman"/>
                      <w:b w:val="0"/>
                      <w:bCs w:val="0"/>
                      <w:sz w:val="21"/>
                      <w:szCs w:val="21"/>
                      <w:u w:val="none" w:color="auto"/>
                      <w:vertAlign w:val="baseline"/>
                      <w:lang w:val="en-US" w:eastAsia="zh-CN"/>
                    </w:rPr>
                    <w:t>、生产区、成品区</w:t>
                  </w:r>
                  <w:r>
                    <w:rPr>
                      <w:rFonts w:hint="eastAsia" w:cs="Times New Roman"/>
                      <w:b w:val="0"/>
                      <w:bCs w:val="0"/>
                      <w:sz w:val="21"/>
                      <w:szCs w:val="21"/>
                      <w:u w:val="none" w:color="auto"/>
                      <w:vertAlign w:val="baseline"/>
                      <w:lang w:val="en-US" w:eastAsia="zh-CN"/>
                    </w:rPr>
                    <w:t>、办公及休息区</w:t>
                  </w:r>
                  <w:r>
                    <w:rPr>
                      <w:rFonts w:hint="default" w:ascii="Times New Roman" w:hAnsi="Times New Roman" w:cs="Times New Roman"/>
                      <w:b w:val="0"/>
                      <w:bCs w:val="0"/>
                      <w:sz w:val="21"/>
                      <w:szCs w:val="21"/>
                      <w:u w:val="none" w:color="auto"/>
                      <w:vertAlign w:val="baseline"/>
                      <w:lang w:val="en-US" w:eastAsia="zh-CN"/>
                    </w:rPr>
                    <w:t>，</w:t>
                  </w:r>
                  <w:r>
                    <w:rPr>
                      <w:rFonts w:hint="eastAsia" w:cs="Times New Roman"/>
                      <w:b w:val="0"/>
                      <w:bCs w:val="0"/>
                      <w:sz w:val="21"/>
                      <w:szCs w:val="21"/>
                      <w:u w:val="none" w:color="auto"/>
                      <w:vertAlign w:val="baseline"/>
                      <w:lang w:val="en-US" w:eastAsia="zh-CN"/>
                    </w:rPr>
                    <w:t>二层、三层为仓库。</w:t>
                  </w:r>
                </w:p>
              </w:tc>
              <w:tc>
                <w:tcPr>
                  <w:tcW w:w="913" w:type="dxa"/>
                  <w:vAlign w:val="center"/>
                </w:tcPr>
                <w:p>
                  <w:pPr>
                    <w:keepNext w:val="0"/>
                    <w:keepLines w:val="0"/>
                    <w:pageBreakBefore w:val="0"/>
                    <w:widowControl/>
                    <w:kinsoku/>
                    <w:wordWrap/>
                    <w:overflowPunct/>
                    <w:topLinePunct w:val="0"/>
                    <w:autoSpaceDE/>
                    <w:autoSpaceDN/>
                    <w:bidi w:val="0"/>
                    <w:adjustRightInd w:val="0"/>
                    <w:snapToGrid w:val="0"/>
                    <w:spacing w:line="336"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cs="Times New Roman"/>
                      <w:b w:val="0"/>
                      <w:bCs w:val="0"/>
                      <w:sz w:val="21"/>
                      <w:szCs w:val="21"/>
                      <w:u w:val="none" w:color="auto"/>
                      <w:vertAlign w:val="baseline"/>
                      <w:lang w:val="en-US" w:eastAsia="zh-CN"/>
                    </w:rPr>
                    <w:t>相符</w:t>
                  </w:r>
                </w:p>
              </w:tc>
            </w:tr>
          </w:tbl>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b w:val="0"/>
                <w:bCs w:val="0"/>
                <w:sz w:val="24"/>
                <w:u w:val="none"/>
              </w:rPr>
            </w:pP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b w:val="0"/>
                <w:bCs w:val="0"/>
                <w:sz w:val="24"/>
                <w:u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36" w:hRule="atLeast"/>
          <w:jc w:val="center"/>
        </w:trPr>
        <w:tc>
          <w:tcPr>
            <w:tcW w:w="1470"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Times New Roman" w:hAnsi="Times New Roman" w:eastAsia="宋体" w:cs="Times New Roman"/>
                <w:b/>
                <w:bCs/>
                <w:sz w:val="24"/>
              </w:rPr>
              <w:t>其他符合性分析</w:t>
            </w:r>
          </w:p>
        </w:tc>
        <w:tc>
          <w:tcPr>
            <w:tcW w:w="8557" w:type="dxa"/>
            <w:gridSpan w:val="3"/>
            <w:noWrap w:val="0"/>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val="0"/>
                <w:color w:val="auto"/>
                <w:kern w:val="0"/>
                <w:sz w:val="24"/>
                <w:szCs w:val="20"/>
                <w:lang w:val="en-US" w:eastAsia="zh-CN" w:bidi="ar-SA"/>
              </w:rPr>
            </w:pPr>
            <w:r>
              <w:rPr>
                <w:rFonts w:hint="eastAsia" w:ascii="Times New Roman" w:hAnsi="Times New Roman" w:eastAsia="宋体"/>
                <w:b/>
                <w:bCs w:val="0"/>
                <w:color w:val="auto"/>
                <w:kern w:val="0"/>
                <w:sz w:val="24"/>
                <w:szCs w:val="20"/>
                <w:lang w:val="en-US" w:eastAsia="zh-CN" w:bidi="ar-SA"/>
              </w:rPr>
              <w:t>1、产业政策相符性分析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ascii="Times New Roman" w:hAnsi="Times New Roman"/>
                <w:sz w:val="24"/>
              </w:rPr>
              <w:t>本</w:t>
            </w:r>
            <w:r>
              <w:rPr>
                <w:rFonts w:ascii="Times New Roman" w:hAnsi="Times New Roman"/>
                <w:sz w:val="24"/>
              </w:rPr>
              <w:t>项目为</w:t>
            </w:r>
            <w:r>
              <w:rPr>
                <w:rFonts w:hint="eastAsia" w:ascii="Times New Roman" w:hAnsi="Times New Roman"/>
                <w:sz w:val="24"/>
              </w:rPr>
              <w:t>C2770</w:t>
            </w:r>
            <w:r>
              <w:rPr>
                <w:rFonts w:hint="default" w:ascii="Times New Roman" w:hAnsi="Times New Roman" w:eastAsia="宋体" w:cs="Times New Roman"/>
                <w:color w:val="auto"/>
                <w:sz w:val="24"/>
                <w:szCs w:val="24"/>
                <w:lang w:val="en-US" w:eastAsia="zh-CN"/>
              </w:rPr>
              <w:t>卫生材料及医药用品制造</w:t>
            </w:r>
            <w:r>
              <w:rPr>
                <w:rFonts w:hint="eastAsia" w:ascii="Times New Roman" w:hAnsi="Times New Roman"/>
                <w:sz w:val="24"/>
                <w:lang w:eastAsia="zh-CN"/>
              </w:rPr>
              <w:t>加工生产</w:t>
            </w:r>
            <w:r>
              <w:rPr>
                <w:rFonts w:ascii="Times New Roman" w:hAnsi="Times New Roman"/>
                <w:sz w:val="24"/>
              </w:rPr>
              <w:t>项目，根据国家发展和改革委员会</w:t>
            </w:r>
            <w:r>
              <w:rPr>
                <w:rFonts w:hint="eastAsia" w:ascii="Times New Roman" w:hAnsi="Times New Roman"/>
                <w:sz w:val="24"/>
                <w:lang w:eastAsia="zh-CN"/>
              </w:rPr>
              <w:t>发布的</w:t>
            </w:r>
            <w:r>
              <w:rPr>
                <w:rFonts w:ascii="Times New Roman" w:hAnsi="Times New Roman"/>
                <w:sz w:val="24"/>
              </w:rPr>
              <w:t>《产业结构调整指导目录（20</w:t>
            </w:r>
            <w:r>
              <w:rPr>
                <w:rFonts w:hint="eastAsia" w:ascii="Times New Roman" w:hAnsi="Times New Roman"/>
                <w:sz w:val="24"/>
                <w:lang w:val="en-US" w:eastAsia="zh-CN"/>
              </w:rPr>
              <w:t>24</w:t>
            </w:r>
            <w:r>
              <w:rPr>
                <w:rFonts w:ascii="Times New Roman" w:hAnsi="Times New Roman"/>
                <w:sz w:val="24"/>
              </w:rPr>
              <w:t>年本）》，本项目不属于国家鼓励类、限制类和淘汰类的产业，为允许类项目</w:t>
            </w:r>
            <w:r>
              <w:rPr>
                <w:rFonts w:hint="eastAsia"/>
                <w:sz w:val="24"/>
                <w:lang w:eastAsia="zh-CN"/>
              </w:rPr>
              <w:t>，</w:t>
            </w:r>
            <w:r>
              <w:rPr>
                <w:rFonts w:ascii="Times New Roman" w:hAnsi="Times New Roman"/>
                <w:sz w:val="24"/>
              </w:rPr>
              <w:t>且项目已取得</w:t>
            </w:r>
            <w:r>
              <w:rPr>
                <w:rFonts w:hint="eastAsia" w:ascii="Times New Roman" w:hAnsi="Times New Roman"/>
                <w:sz w:val="24"/>
              </w:rPr>
              <w:t>卧龙区</w:t>
            </w:r>
            <w:r>
              <w:rPr>
                <w:rFonts w:ascii="Times New Roman" w:hAnsi="Times New Roman"/>
                <w:sz w:val="24"/>
              </w:rPr>
              <w:t>发展和改革委员会备案证明，项目代码：</w:t>
            </w:r>
            <w:r>
              <w:rPr>
                <w:rFonts w:hint="eastAsia" w:cs="Times New Roman"/>
                <w:kern w:val="0"/>
                <w:sz w:val="24"/>
                <w:lang w:val="en-US" w:eastAsia="zh-CN"/>
              </w:rPr>
              <w:t>2410-411303-04-01-310728</w:t>
            </w:r>
            <w:r>
              <w:rPr>
                <w:rFonts w:ascii="Times New Roman" w:hAnsi="Times New Roman"/>
                <w:sz w:val="24"/>
              </w:rPr>
              <w:t>。</w:t>
            </w:r>
            <w:r>
              <w:rPr>
                <w:sz w:val="24"/>
              </w:rPr>
              <w:t>因此，本项目符合产业政策</w:t>
            </w:r>
            <w:r>
              <w:rPr>
                <w:rFonts w:hint="eastAsia"/>
                <w:sz w:val="24"/>
              </w:rPr>
              <w:t>。</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val="0"/>
                <w:color w:val="auto"/>
                <w:kern w:val="0"/>
                <w:sz w:val="24"/>
                <w:szCs w:val="20"/>
                <w:u w:val="none"/>
                <w:lang w:val="en-US" w:eastAsia="zh-CN" w:bidi="ar-SA"/>
              </w:rPr>
            </w:pPr>
            <w:r>
              <w:rPr>
                <w:rFonts w:hint="eastAsia" w:ascii="Times New Roman" w:hAnsi="Times New Roman" w:eastAsia="宋体"/>
                <w:b/>
                <w:bCs w:val="0"/>
                <w:color w:val="auto"/>
                <w:kern w:val="0"/>
                <w:sz w:val="24"/>
                <w:szCs w:val="20"/>
                <w:u w:val="none"/>
                <w:lang w:val="en-US" w:eastAsia="zh-CN" w:bidi="ar-SA"/>
              </w:rPr>
              <w:t>2、项目建设与南阳市饮用水源保护规划相符性分析</w:t>
            </w:r>
          </w:p>
          <w:p>
            <w:pPr>
              <w:keepLines w:val="0"/>
              <w:pageBreakBefore w:val="0"/>
              <w:widowControl w:val="0"/>
              <w:kinsoku/>
              <w:wordWrap/>
              <w:topLinePunct w:val="0"/>
              <w:autoSpaceDE/>
              <w:autoSpaceDN/>
              <w:bidi w:val="0"/>
              <w:adjustRightInd w:val="0"/>
              <w:snapToGrid w:val="0"/>
              <w:spacing w:line="360" w:lineRule="auto"/>
              <w:ind w:left="0" w:firstLine="482" w:firstLineChars="200"/>
              <w:textAlignment w:val="auto"/>
              <w:rPr>
                <w:rFonts w:hint="default" w:ascii="Times New Roman" w:hAnsi="Times New Roman" w:eastAsia="宋体" w:cs="Times New Roman"/>
                <w:b/>
                <w:bCs/>
                <w:color w:val="auto"/>
                <w:sz w:val="24"/>
                <w:u w:val="none"/>
              </w:rPr>
            </w:pPr>
            <w:r>
              <w:rPr>
                <w:rFonts w:hint="eastAsia" w:ascii="Times New Roman" w:hAnsi="Times New Roman" w:eastAsia="宋体" w:cs="Times New Roman"/>
                <w:b/>
                <w:bCs/>
                <w:color w:val="auto"/>
                <w:sz w:val="24"/>
                <w:u w:val="none"/>
                <w:lang w:val="en-US" w:eastAsia="zh-CN"/>
              </w:rPr>
              <w:t>2.1</w:t>
            </w:r>
            <w:r>
              <w:rPr>
                <w:rFonts w:hint="default" w:ascii="Times New Roman" w:hAnsi="Times New Roman" w:eastAsia="宋体" w:cs="Times New Roman"/>
                <w:b/>
                <w:bCs/>
                <w:color w:val="auto"/>
                <w:sz w:val="24"/>
                <w:u w:val="none"/>
              </w:rPr>
              <w:t>南阳市城市饮用水源保护区保护区基本情况</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eastAsia" w:ascii="Times New Roman" w:hAnsi="Times New Roman" w:cs="Times New Roman" w:eastAsiaTheme="minorEastAsia"/>
                <w:color w:val="000000"/>
                <w:kern w:val="0"/>
                <w:sz w:val="24"/>
                <w:szCs w:val="24"/>
                <w:u w:val="none"/>
                <w:lang w:val="en-US" w:eastAsia="zh-CN" w:bidi="ar"/>
              </w:rPr>
              <w:t>根据</w:t>
            </w:r>
            <w:r>
              <w:rPr>
                <w:rFonts w:hint="default" w:ascii="Times New Roman" w:hAnsi="Times New Roman" w:cs="Times New Roman" w:eastAsiaTheme="minorEastAsia"/>
                <w:color w:val="000000"/>
                <w:kern w:val="0"/>
                <w:sz w:val="24"/>
                <w:szCs w:val="24"/>
                <w:u w:val="none"/>
                <w:lang w:val="en-US" w:eastAsia="zh-CN" w:bidi="ar"/>
              </w:rPr>
              <w:t>《关于印发河南省城市集中式饮用水源保护区划的通知》</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豫政办</w:t>
            </w:r>
            <w:r>
              <w:rPr>
                <w:rFonts w:hint="eastAsia" w:cs="Times New Roman" w:eastAsiaTheme="minorEastAsia"/>
                <w:color w:val="000000"/>
                <w:kern w:val="0"/>
                <w:sz w:val="24"/>
                <w:szCs w:val="24"/>
                <w:u w:val="none"/>
                <w:lang w:val="en-US" w:eastAsia="zh-CN" w:bidi="ar"/>
              </w:rPr>
              <w:t>【2007】</w:t>
            </w:r>
            <w:r>
              <w:rPr>
                <w:rFonts w:hint="default" w:ascii="Times New Roman" w:hAnsi="Times New Roman" w:cs="Times New Roman" w:eastAsiaTheme="minorEastAsia"/>
                <w:color w:val="000000"/>
                <w:kern w:val="0"/>
                <w:sz w:val="24"/>
                <w:szCs w:val="24"/>
                <w:u w:val="none"/>
                <w:lang w:val="en-US" w:eastAsia="zh-CN" w:bidi="ar"/>
              </w:rPr>
              <w:t>125号</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、《关于划定调整取消部分集中式饮用水水源保护区的通知》</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豫政文</w:t>
            </w:r>
            <w:r>
              <w:rPr>
                <w:rFonts w:hint="eastAsia" w:cs="Times New Roman" w:eastAsiaTheme="minorEastAsia"/>
                <w:color w:val="000000"/>
                <w:kern w:val="0"/>
                <w:sz w:val="24"/>
                <w:szCs w:val="24"/>
                <w:u w:val="none"/>
                <w:lang w:val="en-US" w:eastAsia="zh-CN" w:bidi="ar"/>
              </w:rPr>
              <w:t>【2021】</w:t>
            </w:r>
            <w:r>
              <w:rPr>
                <w:rFonts w:hint="default" w:ascii="Times New Roman" w:hAnsi="Times New Roman" w:cs="Times New Roman" w:eastAsiaTheme="minorEastAsia"/>
                <w:color w:val="000000"/>
                <w:kern w:val="0"/>
                <w:sz w:val="24"/>
                <w:szCs w:val="24"/>
                <w:u w:val="none"/>
                <w:lang w:val="en-US" w:eastAsia="zh-CN" w:bidi="ar"/>
              </w:rPr>
              <w:t>206号</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和河南省人民政府《关于调整取消部分集中式饮用水水源保护区的通知》</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豫政文</w:t>
            </w:r>
            <w:r>
              <w:rPr>
                <w:rFonts w:hint="eastAsia" w:cs="Times New Roman" w:eastAsiaTheme="minorEastAsia"/>
                <w:color w:val="000000"/>
                <w:kern w:val="0"/>
                <w:sz w:val="24"/>
                <w:szCs w:val="24"/>
                <w:u w:val="none"/>
                <w:lang w:val="en-US" w:eastAsia="zh-CN" w:bidi="ar"/>
              </w:rPr>
              <w:t>【2023】</w:t>
            </w:r>
            <w:r>
              <w:rPr>
                <w:rFonts w:hint="default" w:ascii="Times New Roman" w:hAnsi="Times New Roman" w:cs="Times New Roman" w:eastAsiaTheme="minorEastAsia"/>
                <w:color w:val="000000"/>
                <w:kern w:val="0"/>
                <w:sz w:val="24"/>
                <w:szCs w:val="24"/>
                <w:u w:val="none"/>
                <w:lang w:val="en-US" w:eastAsia="zh-CN" w:bidi="ar"/>
              </w:rPr>
              <w:t>8号</w:t>
            </w:r>
            <w:r>
              <w:rPr>
                <w:rFonts w:hint="eastAsia" w:cs="Times New Roman" w:eastAsiaTheme="minorEastAsia"/>
                <w:color w:val="000000"/>
                <w:kern w:val="0"/>
                <w:sz w:val="24"/>
                <w:szCs w:val="24"/>
                <w:u w:val="none"/>
                <w:lang w:val="en-US" w:eastAsia="zh-CN" w:bidi="ar"/>
              </w:rPr>
              <w:t>）</w:t>
            </w:r>
            <w:r>
              <w:rPr>
                <w:rFonts w:hint="default" w:ascii="Times New Roman" w:hAnsi="Times New Roman" w:cs="Times New Roman" w:eastAsiaTheme="minorEastAsia"/>
                <w:color w:val="000000"/>
                <w:kern w:val="0"/>
                <w:sz w:val="24"/>
                <w:szCs w:val="24"/>
                <w:u w:val="none"/>
                <w:lang w:val="en-US" w:eastAsia="zh-CN" w:bidi="ar"/>
              </w:rPr>
              <w:t>和《南阳市鸭河口水库集中式饮用水水源保护区调整技术报告》</w:t>
            </w:r>
            <w:r>
              <w:rPr>
                <w:rFonts w:hint="eastAsia" w:ascii="Times New Roman" w:hAnsi="Times New Roman" w:cs="Times New Roman" w:eastAsiaTheme="minorEastAsia"/>
                <w:color w:val="000000"/>
                <w:kern w:val="0"/>
                <w:sz w:val="24"/>
                <w:szCs w:val="24"/>
                <w:u w:val="none"/>
                <w:lang w:val="en-US" w:eastAsia="zh-CN" w:bidi="ar"/>
              </w:rPr>
              <w:t>等文件</w:t>
            </w:r>
            <w:r>
              <w:rPr>
                <w:rFonts w:hint="default" w:ascii="Times New Roman" w:hAnsi="Times New Roman" w:cs="Times New Roman" w:eastAsiaTheme="minorEastAsia"/>
                <w:color w:val="000000"/>
                <w:kern w:val="0"/>
                <w:sz w:val="24"/>
                <w:szCs w:val="24"/>
                <w:u w:val="none"/>
                <w:lang w:val="en-US" w:eastAsia="zh-CN" w:bidi="ar"/>
              </w:rPr>
              <w:t>，目前南阳市白河地下水饮用水源保护区现已取消，仅划定鸭河口水库地表水饮用水源保护区，本项目建设与饮用水源保护区规划的相符性如下：</w:t>
            </w:r>
          </w:p>
          <w:p>
            <w:pPr>
              <w:adjustRightInd w:val="0"/>
              <w:snapToGrid w:val="0"/>
              <w:spacing w:line="360" w:lineRule="auto"/>
              <w:ind w:firstLine="480" w:firstLineChars="200"/>
              <w:jc w:val="both"/>
              <w:rPr>
                <w:rFonts w:hint="default" w:ascii="Times New Roman" w:hAnsi="Times New Roman" w:cs="Times New Roman"/>
                <w:bCs/>
                <w:sz w:val="24"/>
                <w:u w:val="none"/>
                <w:lang w:val="en-US" w:eastAsia="zh-CN"/>
              </w:rPr>
            </w:pPr>
            <w:r>
              <w:rPr>
                <w:rFonts w:hint="eastAsia" w:ascii="Times New Roman" w:hAnsi="Times New Roman" w:eastAsia="宋体" w:cs="Times New Roman"/>
                <w:bCs/>
                <w:sz w:val="24"/>
                <w:u w:val="none"/>
                <w:lang w:val="en-US" w:eastAsia="zh-CN"/>
              </w:rPr>
              <w:t>1、</w:t>
            </w:r>
            <w:r>
              <w:rPr>
                <w:rFonts w:hint="default" w:ascii="Times New Roman" w:hAnsi="Times New Roman" w:cs="Times New Roman"/>
                <w:bCs/>
                <w:sz w:val="24"/>
                <w:u w:val="none"/>
                <w:lang w:val="en-US" w:eastAsia="zh-CN"/>
              </w:rPr>
              <w:t>饮用水水源地环境保护规划内容</w:t>
            </w:r>
          </w:p>
          <w:p>
            <w:pPr>
              <w:adjustRightInd w:val="0"/>
              <w:snapToGrid w:val="0"/>
              <w:spacing w:line="360" w:lineRule="auto"/>
              <w:ind w:firstLine="480" w:firstLineChars="200"/>
              <w:jc w:val="both"/>
              <w:rPr>
                <w:rFonts w:hint="default" w:ascii="Times New Roman" w:hAnsi="Times New Roman" w:cs="Times New Roman"/>
                <w:u w:val="none"/>
              </w:rPr>
            </w:pPr>
            <w:r>
              <w:rPr>
                <w:rFonts w:hint="default" w:ascii="Times New Roman" w:hAnsi="Times New Roman" w:eastAsia="宋体" w:cs="Times New Roman"/>
                <w:color w:val="000000"/>
                <w:kern w:val="0"/>
                <w:sz w:val="24"/>
                <w:szCs w:val="24"/>
                <w:u w:val="none"/>
                <w:lang w:val="en-US" w:eastAsia="zh-CN" w:bidi="ar"/>
              </w:rPr>
              <w:t xml:space="preserve">（1）规划内容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鸭河口水库一级保护区面积为120km</w:t>
            </w:r>
            <w:r>
              <w:rPr>
                <w:rFonts w:hint="default" w:ascii="Times New Roman" w:hAnsi="Times New Roman" w:cs="Times New Roman" w:eastAsiaTheme="minorEastAsia"/>
                <w:color w:val="000000"/>
                <w:kern w:val="0"/>
                <w:sz w:val="24"/>
                <w:szCs w:val="24"/>
                <w:u w:val="none"/>
                <w:vertAlign w:val="superscript"/>
                <w:lang w:val="en-US" w:eastAsia="zh-CN" w:bidi="ar"/>
              </w:rPr>
              <w:t>2</w:t>
            </w:r>
            <w:r>
              <w:rPr>
                <w:rFonts w:hint="default" w:ascii="Times New Roman" w:hAnsi="Times New Roman" w:cs="Times New Roman" w:eastAsiaTheme="minorEastAsia"/>
                <w:color w:val="000000"/>
                <w:kern w:val="0"/>
                <w:sz w:val="24"/>
                <w:szCs w:val="24"/>
                <w:u w:val="none"/>
                <w:lang w:val="en-US" w:eastAsia="zh-CN" w:bidi="ar"/>
              </w:rPr>
              <w:t>，二级保护区面积为45km</w:t>
            </w:r>
            <w:r>
              <w:rPr>
                <w:rFonts w:hint="default" w:ascii="Times New Roman" w:hAnsi="Times New Roman" w:cs="Times New Roman" w:eastAsiaTheme="minorEastAsia"/>
                <w:color w:val="000000"/>
                <w:kern w:val="0"/>
                <w:sz w:val="24"/>
                <w:szCs w:val="24"/>
                <w:u w:val="none"/>
                <w:vertAlign w:val="superscript"/>
                <w:lang w:val="en-US" w:eastAsia="zh-CN" w:bidi="ar"/>
              </w:rPr>
              <w:t>2</w:t>
            </w:r>
            <w:r>
              <w:rPr>
                <w:rFonts w:hint="default" w:ascii="Times New Roman" w:hAnsi="Times New Roman" w:cs="Times New Roman" w:eastAsiaTheme="minorEastAsia"/>
                <w:color w:val="000000"/>
                <w:kern w:val="0"/>
                <w:sz w:val="24"/>
                <w:szCs w:val="24"/>
                <w:u w:val="none"/>
                <w:lang w:val="en-US" w:eastAsia="zh-CN" w:bidi="ar"/>
              </w:rPr>
              <w:t>，准保护区面积为2768.14km</w:t>
            </w:r>
            <w:r>
              <w:rPr>
                <w:rFonts w:hint="default" w:ascii="Times New Roman" w:hAnsi="Times New Roman" w:cs="Times New Roman" w:eastAsiaTheme="minorEastAsia"/>
                <w:color w:val="000000"/>
                <w:kern w:val="0"/>
                <w:sz w:val="24"/>
                <w:szCs w:val="24"/>
                <w:u w:val="none"/>
                <w:vertAlign w:val="superscript"/>
                <w:lang w:val="en-US" w:eastAsia="zh-CN" w:bidi="ar"/>
              </w:rPr>
              <w:t>2</w:t>
            </w:r>
            <w:r>
              <w:rPr>
                <w:rFonts w:hint="default" w:ascii="Times New Roman" w:hAnsi="Times New Roman" w:cs="Times New Roman" w:eastAsiaTheme="minorEastAsia"/>
                <w:color w:val="000000"/>
                <w:kern w:val="0"/>
                <w:sz w:val="24"/>
                <w:szCs w:val="24"/>
                <w:u w:val="none"/>
                <w:lang w:val="en-US" w:eastAsia="zh-CN" w:bidi="ar"/>
              </w:rPr>
              <w:t>。具体划分情况见下表。</w:t>
            </w:r>
          </w:p>
          <w:p>
            <w:pPr>
              <w:spacing w:line="360" w:lineRule="auto"/>
              <w:jc w:val="center"/>
              <w:rPr>
                <w:rFonts w:hint="default" w:eastAsiaTheme="minorEastAsia"/>
                <w:u w:val="none"/>
                <w:lang w:val="en-US" w:eastAsia="zh-CN"/>
              </w:rPr>
            </w:pPr>
            <w:r>
              <w:rPr>
                <w:rFonts w:hint="default" w:ascii="Times New Roman" w:hAnsi="Times New Roman" w:eastAsia="宋体" w:cs="Times New Roman"/>
                <w:b/>
                <w:bCs/>
                <w:color w:val="auto"/>
                <w:sz w:val="24"/>
                <w:szCs w:val="24"/>
                <w:highlight w:val="none"/>
                <w:u w:val="none"/>
              </w:rPr>
              <w:t>表</w:t>
            </w:r>
            <w:r>
              <w:rPr>
                <w:rFonts w:hint="eastAsia" w:ascii="Times New Roman" w:hAnsi="Times New Roman" w:eastAsia="宋体" w:cs="Times New Roman"/>
                <w:b/>
                <w:bCs/>
                <w:color w:val="auto"/>
                <w:sz w:val="24"/>
                <w:szCs w:val="24"/>
                <w:highlight w:val="none"/>
                <w:u w:val="none"/>
                <w:lang w:val="en-US" w:eastAsia="zh-CN"/>
              </w:rPr>
              <w:t>1-1</w:t>
            </w:r>
            <w:r>
              <w:rPr>
                <w:rFonts w:hint="eastAsia" w:cs="Times New Roman"/>
                <w:b/>
                <w:bCs/>
                <w:color w:val="auto"/>
                <w:sz w:val="24"/>
                <w:szCs w:val="24"/>
                <w:highlight w:val="none"/>
                <w:u w:val="none"/>
                <w:lang w:val="en-US" w:eastAsia="zh-CN"/>
              </w:rPr>
              <w:t xml:space="preserve">  </w:t>
            </w:r>
            <w:r>
              <w:rPr>
                <w:rFonts w:hint="eastAsia" w:ascii="Times New Roman" w:hAnsi="Times New Roman" w:eastAsia="宋体" w:cs="Times New Roman"/>
                <w:b/>
                <w:bCs/>
                <w:color w:val="auto"/>
                <w:sz w:val="24"/>
                <w:szCs w:val="24"/>
                <w:highlight w:val="none"/>
                <w:u w:val="none"/>
                <w:lang w:val="en-US" w:eastAsia="zh-CN"/>
              </w:rPr>
              <w:t>生态功能区划方案</w:t>
            </w:r>
          </w:p>
          <w:tbl>
            <w:tblPr>
              <w:tblStyle w:val="27"/>
              <w:tblW w:w="841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904"/>
              <w:gridCol w:w="1800"/>
              <w:gridCol w:w="884"/>
              <w:gridCol w:w="1850"/>
              <w:gridCol w:w="966"/>
              <w:gridCol w:w="767"/>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4" w:type="dxa"/>
                  <w:vMerge w:val="restart"/>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序号</w:t>
                  </w:r>
                </w:p>
              </w:tc>
              <w:tc>
                <w:tcPr>
                  <w:tcW w:w="904" w:type="dxa"/>
                  <w:vMerge w:val="restart"/>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保护区名称</w:t>
                  </w:r>
                </w:p>
              </w:tc>
              <w:tc>
                <w:tcPr>
                  <w:tcW w:w="2684" w:type="dxa"/>
                  <w:gridSpan w:val="2"/>
                  <w:vAlign w:val="center"/>
                </w:tcPr>
                <w:p>
                  <w:pPr>
                    <w:jc w:val="center"/>
                    <w:rPr>
                      <w:rFonts w:hint="default" w:ascii="Times New Roman" w:hAnsi="Times New Roman" w:cs="Times New Roman"/>
                      <w:b/>
                      <w:bCs/>
                      <w:sz w:val="21"/>
                      <w:szCs w:val="21"/>
                      <w:u w:val="none" w:color="auto"/>
                    </w:rPr>
                  </w:pPr>
                  <w:r>
                    <w:rPr>
                      <w:rFonts w:hint="default" w:ascii="Times New Roman" w:hAnsi="Times New Roman" w:cs="Times New Roman"/>
                      <w:b/>
                      <w:bCs/>
                      <w:sz w:val="21"/>
                      <w:szCs w:val="21"/>
                      <w:u w:val="none" w:color="auto"/>
                      <w:lang w:val="en-US" w:eastAsia="zh-CN"/>
                    </w:rPr>
                    <w:t>一级保护区</w:t>
                  </w:r>
                </w:p>
              </w:tc>
              <w:tc>
                <w:tcPr>
                  <w:tcW w:w="2816" w:type="dxa"/>
                  <w:gridSpan w:val="2"/>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二级保护区</w:t>
                  </w:r>
                </w:p>
              </w:tc>
              <w:tc>
                <w:tcPr>
                  <w:tcW w:w="1577" w:type="dxa"/>
                  <w:gridSpan w:val="2"/>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4" w:type="dxa"/>
                  <w:vMerge w:val="continue"/>
                  <w:vAlign w:val="center"/>
                </w:tcPr>
                <w:p>
                  <w:pPr>
                    <w:jc w:val="center"/>
                    <w:rPr>
                      <w:rFonts w:hint="default" w:ascii="Times New Roman" w:hAnsi="Times New Roman" w:cs="Times New Roman"/>
                      <w:b/>
                      <w:bCs/>
                      <w:sz w:val="21"/>
                      <w:szCs w:val="21"/>
                      <w:u w:val="none" w:color="auto"/>
                    </w:rPr>
                  </w:pPr>
                </w:p>
              </w:tc>
              <w:tc>
                <w:tcPr>
                  <w:tcW w:w="904" w:type="dxa"/>
                  <w:vMerge w:val="continue"/>
                  <w:vAlign w:val="center"/>
                </w:tcPr>
                <w:p>
                  <w:pPr>
                    <w:jc w:val="center"/>
                    <w:rPr>
                      <w:rFonts w:hint="default" w:ascii="Times New Roman" w:hAnsi="Times New Roman" w:cs="Times New Roman"/>
                      <w:b/>
                      <w:bCs/>
                      <w:sz w:val="21"/>
                      <w:szCs w:val="21"/>
                      <w:u w:val="none" w:color="auto"/>
                    </w:rPr>
                  </w:pPr>
                </w:p>
              </w:tc>
              <w:tc>
                <w:tcPr>
                  <w:tcW w:w="1800" w:type="dxa"/>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范围</w:t>
                  </w:r>
                </w:p>
              </w:tc>
              <w:tc>
                <w:tcPr>
                  <w:tcW w:w="884" w:type="dxa"/>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面积</w:t>
                  </w:r>
                </w:p>
                <w:p>
                  <w:pPr>
                    <w:jc w:val="center"/>
                    <w:rPr>
                      <w:rFonts w:hint="default" w:ascii="Times New Roman" w:hAnsi="Times New Roman" w:cs="Times New Roman"/>
                      <w:b/>
                      <w:bCs/>
                      <w:sz w:val="21"/>
                      <w:szCs w:val="21"/>
                      <w:u w:val="none" w:color="auto"/>
                      <w:lang w:val="en-US" w:eastAsia="zh-CN"/>
                    </w:rPr>
                  </w:pPr>
                  <w:r>
                    <w:rPr>
                      <w:rFonts w:hint="eastAsia" w:ascii="Times New Roman" w:hAnsi="Times New Roman" w:cs="Times New Roman"/>
                      <w:b/>
                      <w:bCs/>
                      <w:sz w:val="21"/>
                      <w:szCs w:val="21"/>
                      <w:u w:val="none" w:color="auto"/>
                      <w:lang w:val="en-US" w:eastAsia="zh-CN"/>
                    </w:rPr>
                    <w:t>(</w:t>
                  </w:r>
                  <w:r>
                    <w:rPr>
                      <w:rFonts w:hint="default" w:ascii="Times New Roman" w:hAnsi="Times New Roman" w:cs="Times New Roman"/>
                      <w:b/>
                      <w:bCs/>
                      <w:sz w:val="21"/>
                      <w:szCs w:val="21"/>
                      <w:u w:val="none" w:color="auto"/>
                      <w:lang w:val="en-US" w:eastAsia="zh-CN"/>
                    </w:rPr>
                    <w:t>k</w:t>
                  </w:r>
                  <w:r>
                    <w:rPr>
                      <w:rFonts w:hint="eastAsia" w:cs="Times New Roman"/>
                      <w:b/>
                      <w:bCs/>
                      <w:sz w:val="21"/>
                      <w:szCs w:val="21"/>
                      <w:u w:val="none" w:color="auto"/>
                      <w:lang w:val="en-US" w:eastAsia="zh-CN"/>
                    </w:rPr>
                    <w:t>㎡</w:t>
                  </w:r>
                  <w:r>
                    <w:rPr>
                      <w:rFonts w:hint="eastAsia" w:ascii="Times New Roman" w:hAnsi="Times New Roman" w:cs="Times New Roman"/>
                      <w:b/>
                      <w:bCs/>
                      <w:sz w:val="21"/>
                      <w:szCs w:val="21"/>
                      <w:u w:val="none" w:color="auto"/>
                      <w:lang w:val="en-US" w:eastAsia="zh-CN"/>
                    </w:rPr>
                    <w:t>)</w:t>
                  </w:r>
                </w:p>
              </w:tc>
              <w:tc>
                <w:tcPr>
                  <w:tcW w:w="1850" w:type="dxa"/>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范围</w:t>
                  </w:r>
                </w:p>
              </w:tc>
              <w:tc>
                <w:tcPr>
                  <w:tcW w:w="966" w:type="dxa"/>
                  <w:vAlign w:val="center"/>
                </w:tcPr>
                <w:p>
                  <w:pPr>
                    <w:jc w:val="center"/>
                    <w:rPr>
                      <w:rFonts w:hint="default" w:ascii="Times New Roman" w:hAnsi="Times New Roman" w:cs="Times New Roman"/>
                      <w:b/>
                      <w:bCs/>
                      <w:sz w:val="21"/>
                      <w:szCs w:val="21"/>
                      <w:u w:val="none" w:color="auto"/>
                      <w:lang w:val="en-US" w:eastAsia="zh-CN"/>
                    </w:rPr>
                  </w:pPr>
                  <w:r>
                    <w:rPr>
                      <w:rFonts w:hint="default" w:ascii="Times New Roman" w:hAnsi="Times New Roman" w:cs="Times New Roman"/>
                      <w:b/>
                      <w:bCs/>
                      <w:sz w:val="21"/>
                      <w:szCs w:val="21"/>
                      <w:u w:val="none" w:color="auto"/>
                      <w:lang w:val="en-US" w:eastAsia="zh-CN"/>
                    </w:rPr>
                    <w:t>面积</w:t>
                  </w:r>
                </w:p>
                <w:p>
                  <w:pPr>
                    <w:jc w:val="center"/>
                    <w:rPr>
                      <w:rFonts w:hint="default" w:ascii="Times New Roman" w:hAnsi="Times New Roman" w:cs="Times New Roman"/>
                      <w:b/>
                      <w:bCs/>
                      <w:sz w:val="21"/>
                      <w:szCs w:val="21"/>
                      <w:u w:val="none" w:color="auto"/>
                      <w:lang w:val="en-US" w:eastAsia="zh-CN"/>
                    </w:rPr>
                  </w:pPr>
                  <w:r>
                    <w:rPr>
                      <w:rFonts w:hint="eastAsia" w:ascii="Times New Roman" w:hAnsi="Times New Roman" w:cs="Times New Roman"/>
                      <w:b/>
                      <w:bCs/>
                      <w:sz w:val="21"/>
                      <w:szCs w:val="21"/>
                      <w:u w:val="none" w:color="auto"/>
                      <w:lang w:val="en-US" w:eastAsia="zh-CN"/>
                    </w:rPr>
                    <w:t>(</w:t>
                  </w:r>
                  <w:r>
                    <w:rPr>
                      <w:rFonts w:hint="default" w:ascii="Times New Roman" w:hAnsi="Times New Roman" w:cs="Times New Roman"/>
                      <w:b/>
                      <w:bCs/>
                      <w:sz w:val="21"/>
                      <w:szCs w:val="21"/>
                      <w:u w:val="none" w:color="auto"/>
                      <w:lang w:val="en-US" w:eastAsia="zh-CN"/>
                    </w:rPr>
                    <w:t>k</w:t>
                  </w:r>
                  <w:r>
                    <w:rPr>
                      <w:rFonts w:hint="eastAsia" w:cs="Times New Roman"/>
                      <w:b/>
                      <w:bCs/>
                      <w:sz w:val="21"/>
                      <w:szCs w:val="21"/>
                      <w:u w:val="none" w:color="auto"/>
                      <w:lang w:val="en-US" w:eastAsia="zh-CN"/>
                    </w:rPr>
                    <w:t>㎡</w:t>
                  </w:r>
                  <w:r>
                    <w:rPr>
                      <w:rFonts w:hint="eastAsia" w:ascii="Times New Roman" w:hAnsi="Times New Roman" w:cs="Times New Roman"/>
                      <w:b/>
                      <w:bCs/>
                      <w:sz w:val="21"/>
                      <w:szCs w:val="21"/>
                      <w:u w:val="none" w:color="auto"/>
                      <w:lang w:val="en-US" w:eastAsia="zh-CN"/>
                    </w:rPr>
                    <w:t>)</w:t>
                  </w:r>
                </w:p>
              </w:tc>
              <w:tc>
                <w:tcPr>
                  <w:tcW w:w="767" w:type="dxa"/>
                  <w:vAlign w:val="center"/>
                </w:tcPr>
                <w:p>
                  <w:pPr>
                    <w:jc w:val="center"/>
                    <w:rPr>
                      <w:rFonts w:hint="default" w:ascii="Times New Roman" w:hAnsi="Times New Roman" w:cs="Times New Roman"/>
                      <w:b/>
                      <w:bCs/>
                      <w:sz w:val="21"/>
                      <w:szCs w:val="21"/>
                      <w:u w:val="none" w:color="auto"/>
                    </w:rPr>
                  </w:pPr>
                  <w:r>
                    <w:rPr>
                      <w:rFonts w:hint="default" w:ascii="Times New Roman" w:hAnsi="Times New Roman" w:cs="Times New Roman"/>
                      <w:b/>
                      <w:bCs/>
                      <w:sz w:val="21"/>
                      <w:szCs w:val="21"/>
                      <w:u w:val="none" w:color="auto"/>
                      <w:lang w:val="en-US" w:eastAsia="zh-CN"/>
                    </w:rPr>
                    <w:t>范围</w:t>
                  </w:r>
                </w:p>
              </w:tc>
              <w:tc>
                <w:tcPr>
                  <w:tcW w:w="810" w:type="dxa"/>
                  <w:vAlign w:val="center"/>
                </w:tcPr>
                <w:p>
                  <w:pPr>
                    <w:jc w:val="center"/>
                    <w:rPr>
                      <w:rFonts w:hint="default" w:ascii="Times New Roman" w:hAnsi="Times New Roman" w:cs="Times New Roman"/>
                      <w:b/>
                      <w:bCs/>
                      <w:sz w:val="21"/>
                      <w:szCs w:val="21"/>
                      <w:u w:val="none" w:color="auto"/>
                    </w:rPr>
                  </w:pPr>
                  <w:r>
                    <w:rPr>
                      <w:rFonts w:hint="default" w:ascii="Times New Roman" w:hAnsi="Times New Roman" w:cs="Times New Roman"/>
                      <w:b/>
                      <w:bCs/>
                      <w:sz w:val="21"/>
                      <w:szCs w:val="21"/>
                      <w:u w:val="none" w:color="auto"/>
                      <w:lang w:val="en-US" w:eastAsia="zh-CN"/>
                    </w:rPr>
                    <w:t>面积</w:t>
                  </w:r>
                  <w:r>
                    <w:rPr>
                      <w:rFonts w:hint="eastAsia" w:ascii="Times New Roman" w:hAnsi="Times New Roman" w:cs="Times New Roman"/>
                      <w:b/>
                      <w:bCs/>
                      <w:sz w:val="21"/>
                      <w:szCs w:val="21"/>
                      <w:u w:val="none" w:color="auto"/>
                      <w:lang w:val="en-US" w:eastAsia="zh-CN"/>
                    </w:rPr>
                    <w:t>(</w:t>
                  </w:r>
                  <w:r>
                    <w:rPr>
                      <w:rFonts w:hint="default" w:ascii="Times New Roman" w:hAnsi="Times New Roman" w:cs="Times New Roman"/>
                      <w:b/>
                      <w:bCs/>
                      <w:sz w:val="21"/>
                      <w:szCs w:val="21"/>
                      <w:u w:val="none" w:color="auto"/>
                      <w:lang w:val="en-US" w:eastAsia="zh-CN"/>
                    </w:rPr>
                    <w:t>k</w:t>
                  </w:r>
                  <w:r>
                    <w:rPr>
                      <w:rFonts w:hint="eastAsia" w:cs="Times New Roman"/>
                      <w:b/>
                      <w:bCs/>
                      <w:sz w:val="21"/>
                      <w:szCs w:val="21"/>
                      <w:u w:val="none" w:color="auto"/>
                      <w:lang w:val="en-US" w:eastAsia="zh-CN"/>
                    </w:rPr>
                    <w:t>㎡</w:t>
                  </w:r>
                  <w:r>
                    <w:rPr>
                      <w:rFonts w:hint="eastAsia" w:ascii="Times New Roman" w:hAnsi="Times New Roman" w:cs="Times New Roman"/>
                      <w:b/>
                      <w:bCs/>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4"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lang w:val="en-US" w:eastAsia="zh-CN"/>
                    </w:rPr>
                  </w:pPr>
                  <w:r>
                    <w:rPr>
                      <w:rFonts w:hint="default" w:ascii="Times New Roman" w:hAnsi="Times New Roman" w:cs="Times New Roman" w:eastAsiaTheme="minorEastAsia"/>
                      <w:sz w:val="21"/>
                      <w:szCs w:val="21"/>
                      <w:u w:val="none"/>
                      <w:vertAlign w:val="baseline"/>
                      <w:lang w:val="en-US" w:eastAsia="zh-CN"/>
                    </w:rPr>
                    <w:t>1</w:t>
                  </w:r>
                </w:p>
              </w:tc>
              <w:tc>
                <w:tcPr>
                  <w:tcW w:w="904"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rPr>
                  </w:pPr>
                  <w:r>
                    <w:rPr>
                      <w:rFonts w:hint="default" w:ascii="Times New Roman" w:hAnsi="Times New Roman" w:cs="Times New Roman" w:eastAsiaTheme="minorEastAsia"/>
                      <w:sz w:val="21"/>
                      <w:szCs w:val="21"/>
                      <w:u w:val="none"/>
                      <w:vertAlign w:val="baseline"/>
                    </w:rPr>
                    <w:t>南阳市鸭河口水库地表水饮用水源保护区</w:t>
                  </w:r>
                </w:p>
              </w:tc>
              <w:tc>
                <w:tcPr>
                  <w:tcW w:w="1800"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rPr>
                  </w:pPr>
                  <w:r>
                    <w:rPr>
                      <w:rFonts w:hint="default" w:ascii="Times New Roman" w:hAnsi="Times New Roman" w:cs="Times New Roman" w:eastAsiaTheme="minorEastAsia"/>
                      <w:sz w:val="21"/>
                      <w:szCs w:val="21"/>
                      <w:u w:val="none"/>
                      <w:vertAlign w:val="baseline"/>
                    </w:rPr>
                    <w:t>水库大坝至上游2000米、左岸输水洞上游2000米、正常水位线（177米）以内的区域及以外东至水库迁赔线（178.5米）—省道231—大坝防浪墙—环岛路—2号泄洪闸—滨湖路—赵家庄到马沟村的“村村通”道路的区域。北方红宇水厂取水口外围1000米正常水位线（177米）以内的区域及以外200米不超过第一重山脊线的区域。</w:t>
                  </w:r>
                </w:p>
              </w:tc>
              <w:tc>
                <w:tcPr>
                  <w:tcW w:w="884"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lang w:val="en-US" w:eastAsia="zh-CN"/>
                    </w:rPr>
                  </w:pPr>
                  <w:r>
                    <w:rPr>
                      <w:rFonts w:hint="default" w:ascii="Times New Roman" w:hAnsi="Times New Roman" w:cs="Times New Roman" w:eastAsiaTheme="minorEastAsia"/>
                      <w:sz w:val="21"/>
                      <w:szCs w:val="21"/>
                      <w:u w:val="none"/>
                      <w:vertAlign w:val="baseline"/>
                      <w:lang w:val="en-US" w:eastAsia="zh-CN"/>
                    </w:rPr>
                    <w:t>11.555</w:t>
                  </w:r>
                </w:p>
              </w:tc>
              <w:tc>
                <w:tcPr>
                  <w:tcW w:w="1850"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rPr>
                  </w:pPr>
                  <w:r>
                    <w:rPr>
                      <w:rFonts w:hint="default" w:ascii="Times New Roman" w:hAnsi="Times New Roman" w:cs="Times New Roman" w:eastAsiaTheme="minorEastAsia"/>
                      <w:sz w:val="21"/>
                      <w:szCs w:val="21"/>
                      <w:u w:val="none"/>
                      <w:vertAlign w:val="baseline"/>
                    </w:rPr>
                    <w:t>一级保护区外、水库正常水位线以内的区域及以外东至省道231—大坝防浪墙—1号泄洪闸—2号泄洪闸、南至滨湖路—分水岭、西至西沙沟—药王寺沟—田老庄—小漆树园—陆庄—稻谷田的“村村通”道路、北至稻谷田—上店村—杨树沟—隐士沟—下河—罗庄的“村村通”道路—乡道012—西岭—河头—葛条沟的“村村通”道路的区域。</w:t>
                  </w:r>
                </w:p>
              </w:tc>
              <w:tc>
                <w:tcPr>
                  <w:tcW w:w="966"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lang w:val="en-US" w:eastAsia="zh-CN"/>
                    </w:rPr>
                  </w:pPr>
                  <w:r>
                    <w:rPr>
                      <w:rFonts w:hint="default" w:ascii="Times New Roman" w:hAnsi="Times New Roman" w:cs="Times New Roman" w:eastAsiaTheme="minorEastAsia"/>
                      <w:sz w:val="21"/>
                      <w:szCs w:val="21"/>
                      <w:u w:val="none"/>
                      <w:vertAlign w:val="baseline"/>
                      <w:lang w:val="en-US" w:eastAsia="zh-CN"/>
                    </w:rPr>
                    <w:t>121.9251</w:t>
                  </w:r>
                </w:p>
              </w:tc>
              <w:tc>
                <w:tcPr>
                  <w:tcW w:w="767"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rPr>
                  </w:pPr>
                  <w:r>
                    <w:rPr>
                      <w:rFonts w:hint="default" w:ascii="Times New Roman" w:hAnsi="Times New Roman" w:cs="Times New Roman" w:eastAsiaTheme="minorEastAsia"/>
                      <w:sz w:val="21"/>
                      <w:szCs w:val="21"/>
                      <w:u w:val="none"/>
                      <w:vertAlign w:val="baseline"/>
                    </w:rPr>
                    <w:t>二级保护区外，水库南阳市界内汇水区域。</w:t>
                  </w:r>
                </w:p>
              </w:tc>
              <w:tc>
                <w:tcPr>
                  <w:tcW w:w="810" w:type="dxa"/>
                  <w:vAlign w:val="center"/>
                </w:tcPr>
                <w:p>
                  <w:pPr>
                    <w:pStyle w:val="8"/>
                    <w:spacing w:line="240" w:lineRule="auto"/>
                    <w:jc w:val="center"/>
                    <w:rPr>
                      <w:rFonts w:hint="default" w:ascii="Times New Roman" w:hAnsi="Times New Roman" w:cs="Times New Roman" w:eastAsiaTheme="minorEastAsia"/>
                      <w:sz w:val="21"/>
                      <w:szCs w:val="21"/>
                      <w:u w:val="none"/>
                      <w:vertAlign w:val="baseline"/>
                      <w:lang w:val="en-US" w:eastAsia="zh-CN"/>
                    </w:rPr>
                  </w:pPr>
                  <w:r>
                    <w:rPr>
                      <w:rFonts w:hint="default" w:ascii="Times New Roman" w:hAnsi="Times New Roman" w:cs="Times New Roman" w:eastAsiaTheme="minorEastAsia"/>
                      <w:sz w:val="21"/>
                      <w:szCs w:val="21"/>
                      <w:u w:val="none"/>
                      <w:vertAlign w:val="baseline"/>
                      <w:lang w:val="en-US" w:eastAsia="zh-CN"/>
                    </w:rPr>
                    <w:t>2533.0399</w:t>
                  </w:r>
                </w:p>
              </w:tc>
            </w:tr>
          </w:tbl>
          <w:p>
            <w:pPr>
              <w:keepNext w:val="0"/>
              <w:keepLines w:val="0"/>
              <w:widowControl/>
              <w:numPr>
                <w:ilvl w:val="0"/>
                <w:numId w:val="0"/>
              </w:numPr>
              <w:suppressLineNumbers w:val="0"/>
              <w:spacing w:line="360" w:lineRule="auto"/>
              <w:ind w:left="420" w:leftChars="0"/>
              <w:jc w:val="left"/>
              <w:rPr>
                <w:rFonts w:hint="default" w:ascii="Times New Roman" w:hAnsi="Times New Roman" w:cs="Times New Roman" w:eastAsiaTheme="minorEastAsia"/>
                <w:color w:val="000000"/>
                <w:kern w:val="0"/>
                <w:sz w:val="24"/>
                <w:szCs w:val="24"/>
                <w:u w:val="none"/>
                <w:lang w:val="en-US" w:eastAsia="zh-CN" w:bidi="ar"/>
              </w:rPr>
            </w:pPr>
            <w:r>
              <w:rPr>
                <w:rFonts w:hint="default" w:ascii="Times New Roman" w:hAnsi="Times New Roman" w:cs="Times New Roman" w:eastAsiaTheme="minorEastAsia"/>
                <w:color w:val="000000"/>
                <w:kern w:val="0"/>
                <w:sz w:val="24"/>
                <w:szCs w:val="24"/>
                <w:u w:val="none"/>
                <w:lang w:val="en-US" w:eastAsia="zh-CN" w:bidi="ar"/>
              </w:rPr>
              <w:t>（2）饮用水水源地环境保护管理条例</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①水源地保护区（含准保护区）内，必须遵守下列规定：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禁止一切破坏水源林、护岸林和与水源保护相关植被的活动；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向水域倾倒、堆放工业废渣、城市垃圾、粪便及其它废弃物；禁止在水体清洗存储油类或其它有毒有害物质的车辆和容器；运输有毒有害、油类、粪便的船舶和车辆一般不准进入一级、二级保护区，必须进入者应事先报请当地环保行政主管部门批准、登记，并采取可靠的防渗、防溢、防漏措施，安全行驶，防止出现因交通事故所发生的污染事故。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禁止使用剧毒和高残留农药，不得滥用化肥，不得使用炸药、毒品捕杀鱼类。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②水源一级保护区为非建设区和非旅游区，必须遵守下列规定：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禁止新建、改建、扩建除水利或供水工程以外的工程项目，禁止设置油库，禁止设置旅游景点和商业网点，禁止进行露营、野炊和设置餐饮点等可能污染水质的旅游活动和其它活动；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禁止在水域内游泳、进行水上体育项目、娱乐活动和未经当地环保行政主管部门批准的机动船只下水；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禁止向水域排放污水，已设置的排污口必须拆除；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不得设置与供水需要无关的码头，禁止停靠船舶；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禁止从事种植、放养禽畜活动，禁止直接在水域内洗刷车辆、衣物、器具及可能污染水源的其它活动，严格控制网箱养殖活动；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禁止一切与河道清障和疏浚无关的采砂、取土活动。 </w:t>
            </w:r>
          </w:p>
          <w:p>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u w:val="none"/>
              </w:rPr>
            </w:pPr>
            <w:r>
              <w:rPr>
                <w:rFonts w:hint="default" w:ascii="Times New Roman" w:hAnsi="Times New Roman" w:cs="Times New Roman" w:eastAsiaTheme="minorEastAsia"/>
                <w:color w:val="000000"/>
                <w:kern w:val="0"/>
                <w:sz w:val="24"/>
                <w:szCs w:val="24"/>
                <w:u w:val="none"/>
                <w:lang w:val="en-US" w:eastAsia="zh-CN" w:bidi="ar"/>
              </w:rPr>
              <w:t xml:space="preserve">③地表水二级保护区内不准新建、扩建的建设项目；原有及改造项目必须按总量控制要求削减污染物排放量并达到要求，对达不到总量控制要求的项目，按有关规定责令其限产限排、转产、搬迁或关闭；禁止利用不符合《农业灌溉水质标准》 的污水灌溉农田；禁止设置城市垃圾等有毒有害废弃物堆放场和转运站，已有的上述场站要限期搬迁。 </w:t>
            </w:r>
          </w:p>
          <w:p>
            <w:pPr>
              <w:keepLines w:val="0"/>
              <w:pageBreakBefore w:val="0"/>
              <w:widowControl w:val="0"/>
              <w:kinsoku/>
              <w:wordWrap/>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auto"/>
                <w:sz w:val="24"/>
                <w:u w:val="none"/>
              </w:rPr>
            </w:pPr>
            <w:r>
              <w:rPr>
                <w:rFonts w:hint="default" w:ascii="Times New Roman" w:hAnsi="Times New Roman" w:cs="Times New Roman" w:eastAsiaTheme="minorEastAsia"/>
                <w:color w:val="000000"/>
                <w:kern w:val="0"/>
                <w:sz w:val="24"/>
                <w:szCs w:val="24"/>
                <w:u w:val="none"/>
                <w:lang w:val="en-US" w:eastAsia="zh-CN" w:bidi="ar"/>
              </w:rPr>
              <w:t>④水源地准保护区内的建设项目，必须遵守国家产业政策和建设项目环境管理的规定，并不得影响水源的二级保护区水质要求。</w:t>
            </w:r>
          </w:p>
          <w:p>
            <w:pPr>
              <w:keepLines w:val="0"/>
              <w:pageBreakBefore w:val="0"/>
              <w:widowControl w:val="0"/>
              <w:kinsoku/>
              <w:wordWrap/>
              <w:topLinePunct w:val="0"/>
              <w:autoSpaceDE/>
              <w:autoSpaceDN/>
              <w:bidi w:val="0"/>
              <w:adjustRightInd w:val="0"/>
              <w:snapToGrid w:val="0"/>
              <w:spacing w:line="360" w:lineRule="auto"/>
              <w:ind w:left="0" w:firstLine="482" w:firstLineChars="200"/>
              <w:textAlignment w:val="auto"/>
              <w:rPr>
                <w:rFonts w:hint="default" w:ascii="Times New Roman" w:hAnsi="Times New Roman" w:eastAsia="宋体" w:cs="Times New Roman"/>
                <w:b/>
                <w:bCs/>
                <w:color w:val="auto"/>
                <w:sz w:val="24"/>
                <w:u w:val="none"/>
              </w:rPr>
            </w:pPr>
            <w:r>
              <w:rPr>
                <w:rFonts w:hint="eastAsia" w:ascii="Times New Roman" w:hAnsi="Times New Roman" w:eastAsia="宋体" w:cs="Times New Roman"/>
                <w:b/>
                <w:bCs/>
                <w:color w:val="auto"/>
                <w:sz w:val="24"/>
                <w:u w:val="none"/>
                <w:lang w:val="en-US" w:eastAsia="zh-CN"/>
              </w:rPr>
              <w:t>2.3</w:t>
            </w:r>
            <w:r>
              <w:rPr>
                <w:rFonts w:hint="default" w:ascii="Times New Roman" w:hAnsi="Times New Roman" w:eastAsia="宋体" w:cs="Times New Roman"/>
                <w:b/>
                <w:bCs/>
                <w:color w:val="auto"/>
                <w:sz w:val="24"/>
                <w:u w:val="none"/>
              </w:rPr>
              <w:t>项目建设与南阳市地表水饮用水源保护区规划相符性分析</w:t>
            </w:r>
          </w:p>
          <w:p>
            <w:pPr>
              <w:pStyle w:val="2"/>
              <w:keepLines w:val="0"/>
              <w:pageBreakBefore w:val="0"/>
              <w:widowControl w:val="0"/>
              <w:kinsoku/>
              <w:wordWrap/>
              <w:topLinePunct w:val="0"/>
              <w:autoSpaceDE/>
              <w:autoSpaceDN/>
              <w:bidi w:val="0"/>
              <w:spacing w:before="0" w:after="0" w:line="360" w:lineRule="auto"/>
              <w:ind w:left="0" w:firstLine="480" w:firstLineChars="200"/>
              <w:textAlignment w:val="auto"/>
              <w:rPr>
                <w:rFonts w:hint="eastAsia"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b w:val="0"/>
                <w:bCs w:val="0"/>
                <w:color w:val="auto"/>
                <w:sz w:val="24"/>
                <w:u w:val="none"/>
              </w:rPr>
              <w:t>本项目位于河南省南阳市卧龙区蒲山镇田营村卧龙艾草产业园内，经对照南阳市饮用水源保护区规划，项目不在南阳市鸭河口水库集中式饮用水源保护区范围内，</w:t>
            </w:r>
            <w:r>
              <w:rPr>
                <w:rFonts w:hint="eastAsia" w:eastAsia="宋体" w:cs="Times New Roman"/>
                <w:b w:val="0"/>
                <w:bCs w:val="0"/>
                <w:color w:val="auto"/>
                <w:sz w:val="24"/>
                <w:u w:val="none"/>
                <w:lang w:val="en-US" w:eastAsia="zh-CN"/>
              </w:rPr>
              <w:t>北</w:t>
            </w:r>
            <w:r>
              <w:rPr>
                <w:rFonts w:hint="default" w:ascii="Times New Roman" w:hAnsi="Times New Roman" w:eastAsia="宋体" w:cs="Times New Roman"/>
                <w:b w:val="0"/>
                <w:bCs w:val="0"/>
                <w:color w:val="auto"/>
                <w:sz w:val="24"/>
                <w:u w:val="none"/>
              </w:rPr>
              <w:t>侧距离饮用水源二级保护区外围最近直线距离</w:t>
            </w:r>
            <w:r>
              <w:rPr>
                <w:rFonts w:hint="eastAsia" w:eastAsia="宋体" w:cs="Times New Roman"/>
                <w:b w:val="0"/>
                <w:bCs w:val="0"/>
                <w:color w:val="auto"/>
                <w:sz w:val="24"/>
                <w:u w:val="none"/>
                <w:lang w:val="en-US" w:eastAsia="zh-CN"/>
              </w:rPr>
              <w:t>17</w:t>
            </w:r>
            <w:r>
              <w:rPr>
                <w:rFonts w:hint="default" w:ascii="Times New Roman" w:hAnsi="Times New Roman" w:eastAsia="宋体" w:cs="Times New Roman"/>
                <w:b w:val="0"/>
                <w:bCs w:val="0"/>
                <w:color w:val="auto"/>
                <w:sz w:val="24"/>
                <w:u w:val="none"/>
              </w:rPr>
              <w:t>km</w:t>
            </w:r>
            <w:r>
              <w:rPr>
                <w:rFonts w:hint="eastAsia" w:ascii="Times New Roman" w:hAnsi="Times New Roman" w:eastAsia="宋体" w:cs="Times New Roman"/>
                <w:b w:val="0"/>
                <w:bCs w:val="0"/>
                <w:color w:val="auto"/>
                <w:sz w:val="24"/>
                <w:u w:val="none"/>
                <w:lang w:eastAsia="zh-CN"/>
              </w:rPr>
              <w:t>。</w:t>
            </w:r>
            <w:r>
              <w:rPr>
                <w:rFonts w:hint="default" w:ascii="Times New Roman" w:hAnsi="Times New Roman" w:eastAsia="宋体" w:cs="Times New Roman"/>
                <w:b w:val="0"/>
                <w:bCs w:val="0"/>
                <w:color w:val="auto"/>
                <w:sz w:val="24"/>
                <w:u w:val="none"/>
              </w:rPr>
              <w:t>项目</w:t>
            </w:r>
            <w:r>
              <w:rPr>
                <w:rFonts w:hint="eastAsia" w:eastAsia="宋体" w:cs="Times New Roman"/>
                <w:b w:val="0"/>
                <w:bCs w:val="0"/>
                <w:color w:val="auto"/>
                <w:sz w:val="24"/>
                <w:u w:val="none"/>
                <w:lang w:val="en-US" w:eastAsia="zh-CN"/>
              </w:rPr>
              <w:t>无生产废水产生，</w:t>
            </w:r>
            <w:r>
              <w:rPr>
                <w:rFonts w:hint="eastAsia" w:eastAsia="宋体" w:cs="Times New Roman"/>
                <w:b w:val="0"/>
                <w:bCs w:val="0"/>
                <w:color w:val="auto"/>
                <w:sz w:val="24"/>
                <w:u w:val="none"/>
                <w:lang w:eastAsia="zh-CN"/>
              </w:rPr>
              <w:t>生活污水经园区配套的化粪池处理后</w:t>
            </w:r>
            <w:r>
              <w:rPr>
                <w:rFonts w:hint="default" w:ascii="Times New Roman" w:hAnsi="Times New Roman" w:eastAsia="宋体" w:cs="Times New Roman"/>
                <w:b w:val="0"/>
                <w:bCs w:val="0"/>
                <w:color w:val="auto"/>
                <w:sz w:val="24"/>
                <w:u w:val="none"/>
              </w:rPr>
              <w:t>，进入</w:t>
            </w:r>
            <w:r>
              <w:rPr>
                <w:rFonts w:hint="eastAsia" w:eastAsia="宋体" w:cs="Times New Roman"/>
                <w:b w:val="0"/>
                <w:bCs w:val="0"/>
                <w:color w:val="auto"/>
                <w:sz w:val="24"/>
                <w:u w:val="none"/>
                <w:lang w:eastAsia="zh-CN"/>
              </w:rPr>
              <w:t>艾草产业园污水处理设备</w:t>
            </w:r>
            <w:r>
              <w:rPr>
                <w:rFonts w:hint="default" w:ascii="Times New Roman" w:hAnsi="Times New Roman" w:eastAsia="宋体" w:cs="Times New Roman"/>
                <w:b w:val="0"/>
                <w:bCs w:val="0"/>
                <w:color w:val="auto"/>
                <w:sz w:val="24"/>
                <w:u w:val="none"/>
              </w:rPr>
              <w:t>，达标后</w:t>
            </w:r>
            <w:r>
              <w:rPr>
                <w:rFonts w:hint="eastAsia" w:eastAsia="宋体" w:cs="Times New Roman"/>
                <w:b w:val="0"/>
                <w:bCs w:val="0"/>
                <w:color w:val="auto"/>
                <w:sz w:val="24"/>
                <w:u w:val="none"/>
                <w:lang w:eastAsia="zh-CN"/>
              </w:rPr>
              <w:t>经城镇污水管网排入泗水河</w:t>
            </w:r>
            <w:r>
              <w:rPr>
                <w:rFonts w:hint="default" w:ascii="Times New Roman" w:hAnsi="Times New Roman" w:eastAsia="宋体" w:cs="Times New Roman"/>
                <w:b w:val="0"/>
                <w:bCs w:val="0"/>
                <w:color w:val="auto"/>
                <w:sz w:val="24"/>
                <w:u w:val="none"/>
              </w:rPr>
              <w:t>，对周围地表水体无明显不良影响，因此本项目建设符合南阳市鸭河口水库集中式饮用水源保护区规划符合。</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sz w:val="24"/>
                <w:szCs w:val="24"/>
              </w:rPr>
            </w:pPr>
            <w:r>
              <w:rPr>
                <w:rFonts w:hint="eastAsia" w:cs="Times New Roman"/>
                <w:b/>
                <w:sz w:val="24"/>
                <w:szCs w:val="24"/>
                <w:lang w:val="en-US" w:eastAsia="zh-CN"/>
              </w:rPr>
              <w:t>3</w:t>
            </w:r>
            <w:r>
              <w:rPr>
                <w:rFonts w:hint="default" w:ascii="Times New Roman" w:hAnsi="Times New Roman" w:eastAsia="宋体" w:cs="Times New Roman"/>
                <w:b/>
                <w:sz w:val="24"/>
                <w:szCs w:val="24"/>
              </w:rPr>
              <w:t>、项目建设与蒲山镇饮用水源保护区规划的相符性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eastAsia="宋体" w:cs="Times New Roman"/>
                <w:b w:val="0"/>
                <w:bCs w:val="0"/>
                <w:sz w:val="24"/>
                <w:szCs w:val="24"/>
                <w:u w:val="none"/>
              </w:rPr>
              <w:t>根据《河南省人民政府办公厅关于印发河南省乡镇集中式饮用水水源保护区划的通知》（豫政办</w:t>
            </w:r>
            <w:r>
              <w:rPr>
                <w:rFonts w:hint="eastAsia" w:cs="Times New Roman"/>
                <w:b w:val="0"/>
                <w:bCs w:val="0"/>
                <w:sz w:val="24"/>
                <w:szCs w:val="24"/>
                <w:u w:val="none"/>
                <w:lang w:eastAsia="zh-CN"/>
              </w:rPr>
              <w:t>【</w:t>
            </w:r>
            <w:r>
              <w:rPr>
                <w:rFonts w:hint="eastAsia" w:cs="Times New Roman"/>
                <w:b w:val="0"/>
                <w:bCs w:val="0"/>
                <w:sz w:val="24"/>
                <w:szCs w:val="24"/>
                <w:u w:val="none"/>
                <w:lang w:val="en-US" w:eastAsia="zh-CN"/>
              </w:rPr>
              <w:t>2016</w:t>
            </w:r>
            <w:r>
              <w:rPr>
                <w:rFonts w:hint="eastAsia" w:cs="Times New Roman"/>
                <w:b w:val="0"/>
                <w:bCs w:val="0"/>
                <w:sz w:val="24"/>
                <w:szCs w:val="24"/>
                <w:u w:val="none"/>
                <w:lang w:eastAsia="zh-CN"/>
              </w:rPr>
              <w:t>】</w:t>
            </w:r>
            <w:r>
              <w:rPr>
                <w:rFonts w:hint="default" w:ascii="Times New Roman" w:hAnsi="Times New Roman" w:eastAsia="宋体" w:cs="Times New Roman"/>
                <w:b w:val="0"/>
                <w:bCs w:val="0"/>
                <w:sz w:val="24"/>
                <w:szCs w:val="24"/>
                <w:u w:val="none"/>
              </w:rPr>
              <w:t>23号），蒲山镇饮用水源保护区规划内容如下：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val="0"/>
                <w:bCs w:val="0"/>
                <w:sz w:val="24"/>
                <w:szCs w:val="24"/>
                <w:u w:val="none"/>
              </w:rPr>
            </w:pPr>
            <w:r>
              <w:rPr>
                <w:rFonts w:hint="eastAsia" w:cs="Times New Roman"/>
                <w:b/>
                <w:bCs/>
                <w:sz w:val="24"/>
                <w:szCs w:val="24"/>
                <w:u w:val="none"/>
                <w:lang w:val="en-US" w:eastAsia="zh-CN"/>
              </w:rPr>
              <w:t>3</w:t>
            </w:r>
            <w:r>
              <w:rPr>
                <w:rFonts w:hint="eastAsia" w:ascii="Times New Roman" w:hAnsi="Times New Roman" w:eastAsia="宋体" w:cs="Times New Roman"/>
                <w:b/>
                <w:bCs/>
                <w:sz w:val="24"/>
                <w:szCs w:val="24"/>
                <w:u w:val="none"/>
                <w:lang w:val="en-US" w:eastAsia="zh-CN"/>
              </w:rPr>
              <w:t>.1、</w:t>
            </w:r>
            <w:r>
              <w:rPr>
                <w:rFonts w:hint="default" w:ascii="Times New Roman" w:hAnsi="Times New Roman" w:eastAsia="宋体" w:cs="Times New Roman"/>
                <w:b/>
                <w:bCs/>
                <w:sz w:val="24"/>
                <w:szCs w:val="24"/>
                <w:u w:val="none"/>
              </w:rPr>
              <w:t>南阳市卧龙区蒲山镇自来水厂地下水井群（共8眼井）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eastAsia="宋体" w:cs="Times New Roman"/>
                <w:b w:val="0"/>
                <w:bCs w:val="0"/>
                <w:sz w:val="24"/>
                <w:szCs w:val="24"/>
                <w:u w:val="none"/>
              </w:rPr>
              <w:t>一级保护区范围：井群外包线外围50米的区域。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eastAsia="宋体" w:cs="Times New Roman"/>
                <w:b w:val="0"/>
                <w:bCs w:val="0"/>
                <w:sz w:val="24"/>
                <w:szCs w:val="24"/>
                <w:u w:val="none"/>
              </w:rPr>
              <w:t>二级保护区范围：白河沿取水口上游2000米至下游200米的10年一遇洪水的水域和两侧100米的陆域。（包含在已划定的南阳市白河地下水水源地的二级保护区内）</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sz w:val="24"/>
                <w:szCs w:val="24"/>
                <w:u w:val="none"/>
              </w:rPr>
            </w:pPr>
            <w:r>
              <w:rPr>
                <w:rFonts w:hint="eastAsia" w:cs="Times New Roman"/>
                <w:b/>
                <w:bCs/>
                <w:sz w:val="24"/>
                <w:szCs w:val="24"/>
                <w:u w:val="none"/>
                <w:lang w:val="en-US" w:eastAsia="zh-CN"/>
              </w:rPr>
              <w:t>3</w:t>
            </w:r>
            <w:r>
              <w:rPr>
                <w:rFonts w:hint="eastAsia" w:ascii="Times New Roman" w:hAnsi="Times New Roman" w:eastAsia="宋体" w:cs="Times New Roman"/>
                <w:b/>
                <w:bCs/>
                <w:sz w:val="24"/>
                <w:szCs w:val="24"/>
                <w:u w:val="none"/>
                <w:lang w:val="en-US" w:eastAsia="zh-CN"/>
              </w:rPr>
              <w:t>.2、</w:t>
            </w:r>
            <w:r>
              <w:rPr>
                <w:rFonts w:hint="default" w:ascii="Times New Roman" w:hAnsi="Times New Roman" w:eastAsia="宋体" w:cs="Times New Roman"/>
                <w:b/>
                <w:bCs/>
                <w:sz w:val="24"/>
                <w:szCs w:val="24"/>
                <w:u w:val="none"/>
              </w:rPr>
              <w:t>项目建设与蒲山镇饮用水源保护区规划的相符性分析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szCs w:val="24"/>
                <w:u w:val="none"/>
              </w:rPr>
            </w:pPr>
            <w:r>
              <w:rPr>
                <w:rFonts w:hint="eastAsia"/>
                <w:color w:val="auto"/>
                <w:sz w:val="24"/>
                <w:szCs w:val="24"/>
                <w:u w:val="none"/>
              </w:rPr>
              <w:t>本项目位于南阳市卧龙区蒲山镇田营村</w:t>
            </w:r>
            <w:r>
              <w:rPr>
                <w:rFonts w:hint="eastAsia"/>
                <w:color w:val="auto"/>
                <w:sz w:val="24"/>
                <w:szCs w:val="24"/>
                <w:u w:val="none"/>
                <w:lang w:eastAsia="zh-CN"/>
              </w:rPr>
              <w:t>卧龙艾草产业园内</w:t>
            </w:r>
            <w:r>
              <w:rPr>
                <w:rFonts w:hint="eastAsia" w:ascii="宋体" w:hAnsi="宋体"/>
                <w:color w:val="auto"/>
                <w:sz w:val="24"/>
                <w:szCs w:val="24"/>
                <w:u w:val="none"/>
                <w:lang w:eastAsia="zh-CN"/>
              </w:rPr>
              <w:t>，根据卧龙区蒲山镇饮用水源保护区分布图可知，本项目位于蒲山镇自来水厂</w:t>
            </w:r>
            <w:r>
              <w:rPr>
                <w:rFonts w:hint="default" w:ascii="Times New Roman" w:hAnsi="Times New Roman" w:eastAsia="宋体" w:cs="Times New Roman"/>
                <w:b w:val="0"/>
                <w:bCs w:val="0"/>
                <w:color w:val="auto"/>
                <w:sz w:val="24"/>
                <w:u w:val="none"/>
              </w:rPr>
              <w:t>西北</w:t>
            </w:r>
            <w:r>
              <w:rPr>
                <w:rFonts w:hint="eastAsia" w:ascii="宋体" w:hAnsi="宋体"/>
                <w:color w:val="auto"/>
                <w:sz w:val="24"/>
                <w:szCs w:val="24"/>
                <w:u w:val="none"/>
                <w:lang w:eastAsia="zh-CN"/>
              </w:rPr>
              <w:t>侧</w:t>
            </w:r>
            <w:r>
              <w:rPr>
                <w:rFonts w:hint="default" w:ascii="Times New Roman" w:hAnsi="Times New Roman" w:eastAsia="宋体" w:cs="Times New Roman"/>
                <w:b w:val="0"/>
                <w:bCs w:val="0"/>
                <w:color w:val="auto"/>
                <w:sz w:val="24"/>
                <w:u w:val="none"/>
              </w:rPr>
              <w:t>2.</w:t>
            </w:r>
            <w:r>
              <w:rPr>
                <w:rFonts w:hint="eastAsia" w:eastAsia="宋体" w:cs="Times New Roman"/>
                <w:b w:val="0"/>
                <w:bCs w:val="0"/>
                <w:color w:val="auto"/>
                <w:sz w:val="24"/>
                <w:u w:val="none"/>
                <w:lang w:val="en-US" w:eastAsia="zh-CN"/>
              </w:rPr>
              <w:t>6</w:t>
            </w:r>
            <w:r>
              <w:rPr>
                <w:rFonts w:hint="default" w:ascii="Times New Roman" w:hAnsi="Times New Roman" w:eastAsia="宋体" w:cs="Times New Roman"/>
                <w:b w:val="0"/>
                <w:bCs w:val="0"/>
                <w:color w:val="auto"/>
                <w:sz w:val="24"/>
                <w:u w:val="none"/>
              </w:rPr>
              <w:t>km</w:t>
            </w:r>
            <w:r>
              <w:rPr>
                <w:rFonts w:hint="default" w:ascii="Times New Roman" w:hAnsi="Times New Roman" w:cs="Times New Roman"/>
                <w:color w:val="auto"/>
                <w:sz w:val="24"/>
                <w:szCs w:val="24"/>
                <w:u w:val="none"/>
                <w:lang w:eastAsia="zh-CN"/>
              </w:rPr>
              <w:t>，</w:t>
            </w:r>
            <w:r>
              <w:rPr>
                <w:rFonts w:hint="default" w:ascii="Times New Roman" w:hAnsi="Times New Roman" w:eastAsia="宋体" w:cs="Times New Roman"/>
                <w:b w:val="0"/>
                <w:bCs/>
                <w:sz w:val="24"/>
                <w:szCs w:val="24"/>
                <w:lang w:val="en-US" w:eastAsia="zh-CN"/>
              </w:rPr>
              <w:t>，不在南阳市卧龙区蒲山镇饮用水源保护区范围内</w:t>
            </w:r>
            <w:r>
              <w:rPr>
                <w:rFonts w:hint="eastAsia" w:cs="Times New Roman"/>
                <w:b w:val="0"/>
                <w:bCs/>
                <w:sz w:val="24"/>
                <w:szCs w:val="24"/>
                <w:lang w:val="en-US" w:eastAsia="zh-CN"/>
              </w:rPr>
              <w:t>；</w:t>
            </w:r>
            <w:r>
              <w:rPr>
                <w:rFonts w:hint="default" w:ascii="Times New Roman" w:hAnsi="Times New Roman" w:eastAsia="宋体" w:cs="Times New Roman"/>
                <w:b w:val="0"/>
                <w:bCs w:val="0"/>
                <w:color w:val="auto"/>
                <w:sz w:val="24"/>
                <w:u w:val="none"/>
              </w:rPr>
              <w:t>项目</w:t>
            </w:r>
            <w:r>
              <w:rPr>
                <w:rFonts w:hint="eastAsia" w:cs="Times New Roman"/>
                <w:b w:val="0"/>
                <w:bCs w:val="0"/>
                <w:color w:val="auto"/>
                <w:sz w:val="24"/>
                <w:u w:val="none"/>
                <w:lang w:eastAsia="zh-CN"/>
              </w:rPr>
              <w:t>生活污水经园区配套的化粪池处理后</w:t>
            </w:r>
            <w:r>
              <w:rPr>
                <w:rFonts w:hint="default" w:ascii="Times New Roman" w:hAnsi="Times New Roman" w:eastAsia="宋体" w:cs="Times New Roman"/>
                <w:b w:val="0"/>
                <w:bCs w:val="0"/>
                <w:color w:val="auto"/>
                <w:sz w:val="24"/>
                <w:u w:val="none"/>
              </w:rPr>
              <w:t>，进入</w:t>
            </w:r>
            <w:r>
              <w:rPr>
                <w:rFonts w:hint="eastAsia" w:cs="Times New Roman"/>
                <w:b w:val="0"/>
                <w:bCs w:val="0"/>
                <w:color w:val="auto"/>
                <w:sz w:val="24"/>
                <w:u w:val="none"/>
                <w:lang w:eastAsia="zh-CN"/>
              </w:rPr>
              <w:t>艾草产业园污水处理设备</w:t>
            </w:r>
            <w:r>
              <w:rPr>
                <w:rFonts w:hint="default" w:ascii="Times New Roman" w:hAnsi="Times New Roman" w:eastAsia="宋体" w:cs="Times New Roman"/>
                <w:b w:val="0"/>
                <w:bCs w:val="0"/>
                <w:color w:val="auto"/>
                <w:sz w:val="24"/>
                <w:u w:val="none"/>
              </w:rPr>
              <w:t>，达标后</w:t>
            </w:r>
            <w:r>
              <w:rPr>
                <w:rFonts w:hint="eastAsia" w:cs="Times New Roman"/>
                <w:b w:val="0"/>
                <w:bCs w:val="0"/>
                <w:color w:val="auto"/>
                <w:sz w:val="24"/>
                <w:u w:val="none"/>
                <w:lang w:eastAsia="zh-CN"/>
              </w:rPr>
              <w:t>经城镇污水管网排入泗水河</w:t>
            </w:r>
            <w:r>
              <w:rPr>
                <w:rFonts w:hint="default" w:ascii="Times New Roman" w:hAnsi="Times New Roman" w:eastAsia="宋体" w:cs="Times New Roman"/>
                <w:b w:val="0"/>
                <w:bCs/>
                <w:color w:val="auto"/>
                <w:sz w:val="24"/>
                <w:szCs w:val="24"/>
                <w:lang w:val="en-US" w:eastAsia="zh-CN"/>
              </w:rPr>
              <w:t>，对区域水环境影响较小。因此，该项目建设不会对蒲山镇饮用水源保护区造成明显影响</w:t>
            </w:r>
            <w:r>
              <w:rPr>
                <w:rFonts w:hint="eastAsia"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both"/>
              <w:rPr>
                <w:rFonts w:hint="eastAsia" w:cs="Times New Roman"/>
                <w:b/>
                <w:color w:val="000000"/>
                <w:sz w:val="24"/>
                <w:szCs w:val="20"/>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both"/>
              <w:rPr>
                <w:rFonts w:ascii="Times New Roman" w:hAnsi="Times New Roman" w:eastAsia="宋体" w:cs="Times New Roman"/>
                <w:b/>
                <w:color w:val="000000"/>
                <w:sz w:val="24"/>
                <w:szCs w:val="20"/>
              </w:rPr>
            </w:pPr>
            <w:r>
              <w:rPr>
                <w:rFonts w:hint="eastAsia" w:cs="Times New Roman"/>
                <w:b/>
                <w:color w:val="000000"/>
                <w:sz w:val="24"/>
                <w:szCs w:val="20"/>
                <w:lang w:val="en-US" w:eastAsia="zh-CN"/>
              </w:rPr>
              <w:t>4</w:t>
            </w:r>
            <w:r>
              <w:rPr>
                <w:rFonts w:ascii="Times New Roman" w:hAnsi="Times New Roman" w:eastAsia="宋体" w:cs="Times New Roman"/>
                <w:b/>
                <w:color w:val="000000"/>
                <w:sz w:val="24"/>
                <w:szCs w:val="20"/>
              </w:rPr>
              <w:t>、</w:t>
            </w:r>
            <w:r>
              <w:rPr>
                <w:rFonts w:hint="eastAsia" w:ascii="Times New Roman" w:hAnsi="Times New Roman" w:eastAsia="宋体" w:cs="Times New Roman"/>
                <w:b/>
                <w:color w:val="000000"/>
                <w:sz w:val="24"/>
                <w:szCs w:val="20"/>
              </w:rPr>
              <w:t>项目建设与南水北调中线工程规划的相符性分析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baseline"/>
              <w:rPr>
                <w:rFonts w:hint="eastAsia" w:ascii="Times New Roman" w:hAnsi="Times New Roman" w:eastAsia="宋体" w:cs="Times New Roman"/>
                <w:b/>
                <w:bCs w:val="0"/>
                <w:color w:val="000000"/>
                <w:kern w:val="0"/>
                <w:sz w:val="24"/>
                <w:szCs w:val="20"/>
              </w:rPr>
            </w:pPr>
            <w:r>
              <w:rPr>
                <w:rFonts w:hint="eastAsia" w:cs="Times New Roman"/>
                <w:b/>
                <w:bCs w:val="0"/>
                <w:color w:val="000000"/>
                <w:kern w:val="0"/>
                <w:sz w:val="24"/>
                <w:szCs w:val="20"/>
                <w:lang w:val="en-US" w:eastAsia="zh-CN"/>
              </w:rPr>
              <w:t>4</w:t>
            </w:r>
            <w:r>
              <w:rPr>
                <w:rFonts w:hint="eastAsia" w:ascii="Times New Roman" w:hAnsi="Times New Roman" w:eastAsia="宋体" w:cs="Times New Roman"/>
                <w:b/>
                <w:bCs w:val="0"/>
                <w:color w:val="000000"/>
                <w:kern w:val="0"/>
                <w:sz w:val="24"/>
                <w:szCs w:val="20"/>
                <w:lang w:val="en-US" w:eastAsia="zh-CN"/>
              </w:rPr>
              <w:t>.1、</w:t>
            </w:r>
            <w:r>
              <w:rPr>
                <w:rFonts w:hint="eastAsia" w:ascii="Times New Roman" w:hAnsi="Times New Roman" w:eastAsia="宋体" w:cs="Times New Roman"/>
                <w:b/>
                <w:bCs w:val="0"/>
                <w:color w:val="000000"/>
                <w:kern w:val="0"/>
                <w:sz w:val="24"/>
                <w:szCs w:val="20"/>
              </w:rPr>
              <w:t>方案内容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根据2018年6月28日发布的《南水北调中线一期工程总干渠（河南段）两侧饮用水水源保护区划》。</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一、水源保护区设计行政区划范围</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南水北调中线一期工程总干渠（河南段）在我省境内全长731公里，水源保护区范围涉及8个省辖市、35个县（市、区）。</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二、水源保护区范围划定</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南水北调中线一期工程总干渠在河南省境内的工程类型分为建筑物段和总干渠明渠段。 </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（一）建筑物段（渡槽、倒虹吸、暗涵、遂洞） </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一级保护区范围自总干渠管理范围边线（防护栏网）外延50m，不设二级保护区。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（二）总干渠明渠段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根据地下水水位与总干渠渠底高程的关系，分为以下几种类型：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1、地下水水位低于总干渠渠底的渠段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一级保护区范围自总干渠管理范围边线（防护栏网）外延50m。</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二级保护区范围自一级保护区边线外延150m。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2、地下水水位高于总干渠渠底的渠段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（1）微~弱透水性地层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一级保护区范围自总干渠管理范围边线（防护栏网）外延50m。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二级保护区范围自一级保护区边线外延 500m。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（2）弱~中等透水性地层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一级保护区范围自总干渠管理范围边线（防护栏网）外延100m。</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二级保护区范围自一级保护区边线外延 1000m。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（3）强透水性地层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一级保护区范围自总干渠管理范围边线（防护栏网）外延200m。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二级保护区范围自一级保护区边线外延 2000m、1500m。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三、监督与管理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南水北调中线一期工程总干渠（河南段）两侧饮用水水源保护区所在地各级政府要按照有关法律法规加强饮用水水源环境监督管理工作。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1）在饮用水水源保护区内，禁止设置排污口；禁止使用剧毒和高残留农药，不得滥用化肥；禁止利用渗坑、渗井、裂隙等排放污水和其他有害废弃物；禁止利用储水层孔隙、裂隙及废弃矿坑储存石油、放射性物质、有毒化学品、农药等。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（2）在一级保护区内，禁止新建、改建、扩建与供水设施和保护水源无关的建设项目。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 xml:space="preserve">（3）在二级保护区内，禁止新建、改建、扩建排放污染物的建设项目。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rPr>
            </w:pPr>
            <w:r>
              <w:rPr>
                <w:rFonts w:hint="eastAsia" w:ascii="Times New Roman" w:hAnsi="Times New Roman" w:eastAsia="宋体" w:cs="Times New Roman"/>
                <w:bCs/>
                <w:color w:val="000000"/>
                <w:kern w:val="0"/>
                <w:sz w:val="24"/>
                <w:szCs w:val="20"/>
              </w:rPr>
              <w:t>（4）在本区划公布前，保护区内已经建成的与法律法规不符的建设项目，各级政府要尽快组织排查并依法处置。各级政府要组织有关部门定期开展饮用水水源保护区专项执法活动，严肃查处环境违法行为，及时取缔饮用水水源保护区内违法建设项目和活动。</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baseline"/>
              <w:rPr>
                <w:rFonts w:ascii="Times New Roman" w:hAnsi="Times New Roman" w:eastAsia="宋体" w:cs="Times New Roman"/>
                <w:bCs/>
                <w:color w:val="000000"/>
                <w:kern w:val="0"/>
                <w:sz w:val="24"/>
                <w:szCs w:val="20"/>
              </w:rPr>
            </w:pPr>
            <w:r>
              <w:rPr>
                <w:rFonts w:hint="eastAsia" w:cs="Times New Roman"/>
                <w:b/>
                <w:bCs w:val="0"/>
                <w:color w:val="000000"/>
                <w:kern w:val="0"/>
                <w:sz w:val="24"/>
                <w:szCs w:val="20"/>
                <w:lang w:val="en-US" w:eastAsia="zh-CN"/>
              </w:rPr>
              <w:t>4</w:t>
            </w:r>
            <w:r>
              <w:rPr>
                <w:rFonts w:hint="eastAsia" w:ascii="Times New Roman" w:hAnsi="Times New Roman" w:eastAsia="宋体" w:cs="Times New Roman"/>
                <w:b/>
                <w:bCs w:val="0"/>
                <w:color w:val="000000"/>
                <w:kern w:val="0"/>
                <w:sz w:val="24"/>
                <w:szCs w:val="20"/>
                <w:lang w:val="en-US" w:eastAsia="zh-CN"/>
              </w:rPr>
              <w:t>.</w:t>
            </w:r>
            <w:r>
              <w:rPr>
                <w:rFonts w:hint="eastAsia" w:cs="Times New Roman"/>
                <w:b/>
                <w:bCs w:val="0"/>
                <w:color w:val="000000"/>
                <w:kern w:val="0"/>
                <w:sz w:val="24"/>
                <w:szCs w:val="20"/>
                <w:lang w:val="en-US" w:eastAsia="zh-CN"/>
              </w:rPr>
              <w:t>2</w:t>
            </w:r>
            <w:r>
              <w:rPr>
                <w:rFonts w:hint="eastAsia" w:ascii="Times New Roman" w:hAnsi="Times New Roman" w:eastAsia="宋体" w:cs="Times New Roman"/>
                <w:b/>
                <w:bCs w:val="0"/>
                <w:color w:val="000000"/>
                <w:kern w:val="0"/>
                <w:sz w:val="24"/>
                <w:szCs w:val="20"/>
                <w:lang w:val="en-US" w:eastAsia="zh-CN"/>
              </w:rPr>
              <w:t>、</w:t>
            </w:r>
            <w:r>
              <w:rPr>
                <w:rFonts w:ascii="Times New Roman" w:hAnsi="Times New Roman" w:eastAsia="宋体" w:cs="Times New Roman"/>
                <w:b/>
                <w:bCs w:val="0"/>
                <w:color w:val="000000"/>
                <w:kern w:val="0"/>
                <w:sz w:val="24"/>
                <w:szCs w:val="20"/>
              </w:rPr>
              <w:t>项目与</w:t>
            </w:r>
            <w:r>
              <w:rPr>
                <w:rFonts w:hint="eastAsia" w:ascii="Times New Roman" w:hAnsi="Times New Roman" w:eastAsia="宋体" w:cs="Times New Roman"/>
                <w:b/>
                <w:color w:val="000000"/>
                <w:sz w:val="24"/>
                <w:szCs w:val="20"/>
              </w:rPr>
              <w:t>南水北调中线工程规划的相符性分析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000000"/>
                <w:kern w:val="0"/>
                <w:sz w:val="24"/>
                <w:szCs w:val="20"/>
                <w:lang w:val="en-GB"/>
              </w:rPr>
            </w:pPr>
            <w:r>
              <w:rPr>
                <w:rFonts w:hint="default" w:ascii="Times New Roman" w:hAnsi="Times New Roman" w:eastAsia="宋体" w:cs="Times New Roman"/>
                <w:b w:val="0"/>
                <w:bCs w:val="0"/>
                <w:color w:val="auto"/>
                <w:sz w:val="24"/>
                <w:u w:val="none"/>
              </w:rPr>
              <w:t>本项目位于南阳市卧龙区</w:t>
            </w:r>
            <w:r>
              <w:rPr>
                <w:rFonts w:hint="eastAsia" w:ascii="Times New Roman" w:hAnsi="Times New Roman" w:eastAsia="宋体" w:cs="Times New Roman"/>
                <w:b w:val="0"/>
                <w:bCs w:val="0"/>
                <w:color w:val="auto"/>
                <w:sz w:val="24"/>
                <w:u w:val="none"/>
              </w:rPr>
              <w:t>蒲山镇</w:t>
            </w:r>
            <w:r>
              <w:rPr>
                <w:rFonts w:hint="eastAsia" w:ascii="Times New Roman" w:hAnsi="Times New Roman" w:eastAsia="宋体" w:cs="Times New Roman"/>
                <w:b w:val="0"/>
                <w:bCs w:val="0"/>
                <w:color w:val="auto"/>
                <w:sz w:val="24"/>
                <w:u w:val="none"/>
                <w:lang w:eastAsia="zh-CN"/>
              </w:rPr>
              <w:t>卧龙艾草产业园内</w:t>
            </w:r>
            <w:r>
              <w:rPr>
                <w:rFonts w:hint="default" w:ascii="Times New Roman" w:hAnsi="Times New Roman" w:eastAsia="宋体" w:cs="Times New Roman"/>
                <w:b w:val="0"/>
                <w:bCs w:val="0"/>
                <w:color w:val="auto"/>
                <w:sz w:val="24"/>
                <w:u w:val="none"/>
              </w:rPr>
              <w:t>，</w:t>
            </w:r>
            <w:r>
              <w:rPr>
                <w:rFonts w:hint="default" w:ascii="Times New Roman" w:hAnsi="Times New Roman" w:eastAsia="宋体" w:cs="Times New Roman"/>
                <w:b w:val="0"/>
                <w:bCs w:val="0"/>
                <w:color w:val="auto"/>
                <w:kern w:val="2"/>
                <w:sz w:val="24"/>
                <w:szCs w:val="24"/>
                <w:u w:val="none"/>
                <w:lang w:val="en-US" w:eastAsia="zh-CN" w:bidi="ar-SA"/>
              </w:rPr>
              <w:t>经测量，厂区东南侧距离南水北调中线总干渠最近直线距离约为3.</w:t>
            </w:r>
            <w:r>
              <w:rPr>
                <w:rFonts w:hint="eastAsia" w:eastAsia="宋体" w:cs="Times New Roman"/>
                <w:b w:val="0"/>
                <w:bCs w:val="0"/>
                <w:color w:val="auto"/>
                <w:kern w:val="2"/>
                <w:sz w:val="24"/>
                <w:szCs w:val="24"/>
                <w:u w:val="none"/>
                <w:lang w:val="en-US" w:eastAsia="zh-CN" w:bidi="ar-SA"/>
              </w:rPr>
              <w:t>5</w:t>
            </w:r>
            <w:r>
              <w:rPr>
                <w:rFonts w:hint="default" w:ascii="Times New Roman" w:hAnsi="Times New Roman" w:eastAsia="宋体" w:cs="Times New Roman"/>
                <w:b w:val="0"/>
                <w:bCs w:val="0"/>
                <w:color w:val="auto"/>
                <w:kern w:val="2"/>
                <w:sz w:val="24"/>
                <w:szCs w:val="24"/>
                <w:u w:val="none"/>
                <w:lang w:val="en-US" w:eastAsia="zh-CN" w:bidi="ar-SA"/>
              </w:rPr>
              <w:t>km。对照南水北调中线工程总干渠保护区规划内容，桩号TS11</w:t>
            </w:r>
            <w:r>
              <w:rPr>
                <w:rFonts w:hint="eastAsia" w:eastAsia="宋体" w:cs="Times New Roman"/>
                <w:b w:val="0"/>
                <w:bCs w:val="0"/>
                <w:color w:val="auto"/>
                <w:kern w:val="2"/>
                <w:sz w:val="24"/>
                <w:szCs w:val="24"/>
                <w:u w:val="none"/>
                <w:lang w:val="en-US" w:eastAsia="zh-CN" w:bidi="ar-SA"/>
              </w:rPr>
              <w:t>4</w:t>
            </w:r>
            <w:r>
              <w:rPr>
                <w:rFonts w:hint="default" w:ascii="Times New Roman" w:hAnsi="Times New Roman" w:eastAsia="宋体" w:cs="Times New Roman"/>
                <w:b w:val="0"/>
                <w:bCs w:val="0"/>
                <w:color w:val="auto"/>
                <w:kern w:val="2"/>
                <w:sz w:val="24"/>
                <w:szCs w:val="24"/>
                <w:u w:val="none"/>
                <w:lang w:val="en-US" w:eastAsia="zh-CN" w:bidi="ar-SA"/>
              </w:rPr>
              <w:t>+000~115+000区域内的水源二级保护区范围为总干渠管理范围边线（防护栏网）外延1100m，项目建设不在总干渠两侧水源保护区范围内</w:t>
            </w:r>
            <w:r>
              <w:rPr>
                <w:rFonts w:hint="eastAsia" w:eastAsia="宋体" w:cs="Times New Roman"/>
                <w:b w:val="0"/>
                <w:bCs w:val="0"/>
                <w:color w:val="auto"/>
                <w:kern w:val="2"/>
                <w:sz w:val="24"/>
                <w:szCs w:val="24"/>
                <w:u w:val="none"/>
                <w:lang w:val="en-US" w:eastAsia="zh-CN" w:bidi="ar-SA"/>
              </w:rPr>
              <w:t>；本项目</w:t>
            </w:r>
            <w:r>
              <w:rPr>
                <w:rFonts w:hint="eastAsia" w:cs="Times New Roman"/>
                <w:b w:val="0"/>
                <w:bCs w:val="0"/>
                <w:color w:val="auto"/>
                <w:kern w:val="2"/>
                <w:sz w:val="24"/>
                <w:szCs w:val="24"/>
                <w:u w:val="none"/>
                <w:lang w:val="en-US" w:eastAsia="zh-CN" w:bidi="ar-SA"/>
              </w:rPr>
              <w:t>生活污水经园区配套的化粪池处理后</w:t>
            </w:r>
            <w:r>
              <w:rPr>
                <w:rFonts w:hint="eastAsia" w:eastAsia="宋体" w:cs="Times New Roman"/>
                <w:b w:val="0"/>
                <w:bCs w:val="0"/>
                <w:color w:val="auto"/>
                <w:kern w:val="2"/>
                <w:sz w:val="24"/>
                <w:szCs w:val="24"/>
                <w:u w:val="none"/>
                <w:lang w:val="en-US" w:eastAsia="zh-CN" w:bidi="ar-SA"/>
              </w:rPr>
              <w:t>，进入</w:t>
            </w:r>
            <w:r>
              <w:rPr>
                <w:rFonts w:hint="eastAsia" w:cs="Times New Roman"/>
                <w:b w:val="0"/>
                <w:bCs w:val="0"/>
                <w:color w:val="auto"/>
                <w:kern w:val="2"/>
                <w:sz w:val="24"/>
                <w:szCs w:val="24"/>
                <w:u w:val="none"/>
                <w:lang w:val="en-US" w:eastAsia="zh-CN" w:bidi="ar-SA"/>
              </w:rPr>
              <w:t>艾草产业园污水处理设备</w:t>
            </w:r>
            <w:r>
              <w:rPr>
                <w:rFonts w:hint="eastAsia" w:eastAsia="宋体" w:cs="Times New Roman"/>
                <w:b w:val="0"/>
                <w:bCs w:val="0"/>
                <w:color w:val="auto"/>
                <w:kern w:val="2"/>
                <w:sz w:val="24"/>
                <w:szCs w:val="24"/>
                <w:u w:val="none"/>
                <w:lang w:val="en-US" w:eastAsia="zh-CN" w:bidi="ar-SA"/>
              </w:rPr>
              <w:t>，达标后</w:t>
            </w:r>
            <w:r>
              <w:rPr>
                <w:rFonts w:hint="eastAsia" w:cs="Times New Roman"/>
                <w:b w:val="0"/>
                <w:bCs w:val="0"/>
                <w:color w:val="auto"/>
                <w:kern w:val="2"/>
                <w:sz w:val="24"/>
                <w:szCs w:val="24"/>
                <w:u w:val="none"/>
                <w:lang w:val="en-US" w:eastAsia="zh-CN" w:bidi="ar-SA"/>
              </w:rPr>
              <w:t>经城镇污水管网排入泗水河</w:t>
            </w:r>
            <w:r>
              <w:rPr>
                <w:rFonts w:hint="eastAsia" w:eastAsia="宋体"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项目建设预计不会对南水北调总干渠的水质产生明显不良影响</w:t>
            </w:r>
            <w:r>
              <w:rPr>
                <w:rFonts w:hint="eastAsia" w:ascii="Times New Roman" w:hAnsi="Times New Roman" w:eastAsia="宋体" w:cs="Times New Roman"/>
                <w:bCs/>
                <w:color w:val="000000"/>
                <w:kern w:val="0"/>
                <w:sz w:val="24"/>
                <w:szCs w:val="20"/>
                <w:lang w:val="en-GB"/>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baseline"/>
              <w:rPr>
                <w:rFonts w:hint="eastAsia"/>
                <w:b/>
                <w:kern w:val="0"/>
                <w:sz w:val="24"/>
                <w:szCs w:val="20"/>
                <w:lang w:val="en-US" w:eastAsia="zh-CN"/>
              </w:rPr>
            </w:pPr>
            <w:r>
              <w:rPr>
                <w:rFonts w:hint="eastAsia"/>
                <w:b/>
                <w:kern w:val="0"/>
                <w:sz w:val="24"/>
                <w:szCs w:val="20"/>
                <w:lang w:val="en-US" w:eastAsia="zh-CN" w:bidi="ar-SA"/>
              </w:rPr>
              <w:t>5、</w:t>
            </w:r>
            <w:r>
              <w:rPr>
                <w:rFonts w:hint="default" w:ascii="Times New Roman" w:hAnsi="Times New Roman" w:eastAsia="宋体" w:cs="Times New Roman"/>
                <w:b/>
                <w:bCs/>
                <w:color w:val="auto"/>
                <w:sz w:val="24"/>
                <w:szCs w:val="24"/>
                <w:u w:val="none" w:color="auto"/>
                <w:lang w:val="en-US" w:eastAsia="zh-CN"/>
              </w:rPr>
              <w:t>项目建设</w:t>
            </w:r>
            <w:r>
              <w:rPr>
                <w:rFonts w:hint="eastAsia"/>
                <w:b/>
                <w:kern w:val="0"/>
                <w:sz w:val="24"/>
                <w:szCs w:val="20"/>
                <w:lang w:val="en-US" w:eastAsia="zh-CN"/>
              </w:rPr>
              <w:t>与河南省生态环境厅《关于印发河南省工业大气污染防治6个专项方案的通知》（豫环文[2019]84号）相符性分析</w:t>
            </w:r>
          </w:p>
          <w:p>
            <w:pPr>
              <w:pStyle w:val="2"/>
              <w:pageBreakBefore w:val="0"/>
              <w:widowControl w:val="0"/>
              <w:numPr>
                <w:ilvl w:val="0"/>
                <w:numId w:val="0"/>
              </w:numPr>
              <w:kinsoku/>
              <w:wordWrap/>
              <w:topLinePunct w:val="0"/>
              <w:autoSpaceDE/>
              <w:autoSpaceDN/>
              <w:bidi w:val="0"/>
              <w:spacing w:line="360" w:lineRule="auto"/>
              <w:ind w:leftChars="0"/>
              <w:rPr>
                <w:rFonts w:hint="eastAsia" w:ascii="Times New Roman" w:hAnsi="Times New Roman" w:eastAsia="宋体" w:cs="Times New Roman"/>
                <w:b/>
                <w:bCs w:val="0"/>
                <w:color w:val="000000"/>
                <w:kern w:val="0"/>
                <w:sz w:val="24"/>
                <w:szCs w:val="20"/>
                <w:lang w:val="en-US" w:eastAsia="zh-CN" w:bidi="ar-SA"/>
              </w:rPr>
            </w:pPr>
            <w:r>
              <w:rPr>
                <w:rFonts w:hint="eastAsia" w:eastAsia="宋体" w:cs="Times New Roman"/>
                <w:sz w:val="24"/>
                <w:szCs w:val="24"/>
                <w:lang w:val="en-US" w:eastAsia="zh-CN"/>
              </w:rPr>
              <w:t>5</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与《河南省</w:t>
            </w:r>
            <w:r>
              <w:rPr>
                <w:rFonts w:hint="eastAsia" w:ascii="Times New Roman" w:hAnsi="Times New Roman" w:eastAsia="宋体" w:cs="Times New Roman"/>
                <w:b/>
                <w:bCs w:val="0"/>
                <w:color w:val="000000"/>
                <w:kern w:val="0"/>
                <w:sz w:val="24"/>
                <w:szCs w:val="20"/>
                <w:lang w:val="en-US" w:eastAsia="zh-CN" w:bidi="ar-SA"/>
              </w:rPr>
              <w:t>2019年工业企业无组织排放治理方案</w:t>
            </w:r>
            <w:r>
              <w:rPr>
                <w:rFonts w:hint="default" w:ascii="Times New Roman" w:hAnsi="Times New Roman" w:eastAsia="宋体" w:cs="Times New Roman"/>
                <w:sz w:val="24"/>
                <w:szCs w:val="24"/>
              </w:rPr>
              <w:t>》相关内容相符性分析</w:t>
            </w:r>
          </w:p>
          <w:p>
            <w:pPr>
              <w:pStyle w:val="17"/>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156" w:beforeLines="50" w:line="360" w:lineRule="auto"/>
              <w:jc w:val="center"/>
              <w:textAlignment w:val="auto"/>
              <w:rPr>
                <w:rFonts w:hint="eastAsia" w:ascii="Times New Roman" w:hAnsi="Times New Roman" w:eastAsia="宋体" w:cs="Times New Roman"/>
                <w:b/>
                <w:bCs w:val="0"/>
                <w:color w:val="000000"/>
                <w:kern w:val="0"/>
                <w:sz w:val="24"/>
                <w:szCs w:val="20"/>
                <w:lang w:val="en-US" w:eastAsia="zh-CN" w:bidi="ar-SA"/>
              </w:rPr>
            </w:pPr>
            <w:r>
              <w:rPr>
                <w:rFonts w:hint="eastAsia" w:ascii="Times New Roman" w:hAnsi="Times New Roman" w:eastAsia="宋体" w:cs="Times New Roman"/>
                <w:b/>
                <w:bCs w:val="0"/>
                <w:color w:val="000000"/>
                <w:kern w:val="0"/>
                <w:sz w:val="24"/>
                <w:szCs w:val="20"/>
                <w:lang w:val="en-US" w:eastAsia="zh-CN" w:bidi="ar-SA"/>
              </w:rPr>
              <w:t>表1-</w:t>
            </w:r>
            <w:r>
              <w:rPr>
                <w:rFonts w:hint="eastAsia" w:cs="Times New Roman"/>
                <w:b/>
                <w:bCs w:val="0"/>
                <w:color w:val="000000"/>
                <w:kern w:val="0"/>
                <w:sz w:val="24"/>
                <w:szCs w:val="20"/>
                <w:lang w:val="en-US" w:eastAsia="zh-CN" w:bidi="ar-SA"/>
              </w:rPr>
              <w:t>2</w:t>
            </w:r>
            <w:r>
              <w:rPr>
                <w:rFonts w:hint="eastAsia" w:ascii="Times New Roman" w:hAnsi="Times New Roman" w:eastAsia="宋体" w:cs="Times New Roman"/>
                <w:b/>
                <w:bCs w:val="0"/>
                <w:color w:val="000000"/>
                <w:kern w:val="0"/>
                <w:sz w:val="24"/>
                <w:szCs w:val="20"/>
                <w:lang w:val="en-US" w:eastAsia="zh-CN" w:bidi="ar-SA"/>
              </w:rPr>
              <w:t xml:space="preserve"> 与《河南省2019年工业企业无组织排放治理方案》符合性分析一览表</w:t>
            </w:r>
          </w:p>
          <w:tbl>
            <w:tblPr>
              <w:tblStyle w:val="27"/>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743"/>
              <w:gridCol w:w="3005"/>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452" w:type="dxa"/>
                  <w:gridSpan w:val="2"/>
                  <w:vAlign w:val="center"/>
                </w:tcPr>
                <w:p>
                  <w:pPr>
                    <w:spacing w:line="240" w:lineRule="auto"/>
                    <w:jc w:val="center"/>
                    <w:rPr>
                      <w:rFonts w:hint="eastAsia"/>
                      <w:b/>
                      <w:bCs/>
                      <w:color w:val="auto"/>
                      <w:szCs w:val="21"/>
                      <w:u w:val="none"/>
                      <w:lang w:val="en-US" w:eastAsia="zh-CN"/>
                    </w:rPr>
                  </w:pPr>
                  <w:r>
                    <w:rPr>
                      <w:rFonts w:hint="eastAsia"/>
                      <w:b/>
                      <w:bCs/>
                      <w:color w:val="auto"/>
                      <w:szCs w:val="21"/>
                      <w:u w:val="none"/>
                      <w:lang w:val="en-US" w:eastAsia="zh-CN"/>
                    </w:rPr>
                    <w:t>通知要求</w:t>
                  </w:r>
                </w:p>
              </w:tc>
              <w:tc>
                <w:tcPr>
                  <w:tcW w:w="3005" w:type="dxa"/>
                  <w:vAlign w:val="center"/>
                </w:tcPr>
                <w:p>
                  <w:pPr>
                    <w:spacing w:line="240" w:lineRule="auto"/>
                    <w:jc w:val="center"/>
                    <w:rPr>
                      <w:rFonts w:hint="eastAsia"/>
                      <w:b/>
                      <w:bCs/>
                      <w:color w:val="auto"/>
                      <w:szCs w:val="21"/>
                      <w:u w:val="none"/>
                      <w:lang w:val="en-US" w:eastAsia="zh-CN"/>
                    </w:rPr>
                  </w:pPr>
                  <w:r>
                    <w:rPr>
                      <w:rFonts w:hint="eastAsia"/>
                      <w:b/>
                      <w:bCs/>
                      <w:color w:val="auto"/>
                      <w:szCs w:val="21"/>
                      <w:u w:val="none"/>
                      <w:lang w:val="en-US" w:eastAsia="zh-CN"/>
                    </w:rPr>
                    <w:t>本项目情况</w:t>
                  </w:r>
                </w:p>
              </w:tc>
              <w:tc>
                <w:tcPr>
                  <w:tcW w:w="866" w:type="dxa"/>
                  <w:vAlign w:val="center"/>
                </w:tcPr>
                <w:p>
                  <w:pPr>
                    <w:spacing w:line="240" w:lineRule="auto"/>
                    <w:jc w:val="center"/>
                    <w:rPr>
                      <w:rFonts w:eastAsia="宋体"/>
                      <w:color w:val="auto"/>
                      <w:sz w:val="24"/>
                      <w:vertAlign w:val="baseline"/>
                    </w:rPr>
                  </w:pPr>
                  <w:r>
                    <w:rPr>
                      <w:rFonts w:hint="eastAsia"/>
                      <w:b/>
                      <w:bCs/>
                      <w:color w:val="auto"/>
                      <w:szCs w:val="21"/>
                      <w:u w:val="no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restart"/>
                  <w:vAlign w:val="center"/>
                </w:tcPr>
                <w:p>
                  <w:pPr>
                    <w:spacing w:line="240" w:lineRule="auto"/>
                    <w:jc w:val="center"/>
                    <w:rPr>
                      <w:rFonts w:eastAsia="宋体"/>
                      <w:color w:val="auto"/>
                      <w:sz w:val="24"/>
                      <w:vertAlign w:val="baseline"/>
                    </w:rPr>
                  </w:pPr>
                  <w:r>
                    <w:rPr>
                      <w:rFonts w:hint="eastAsia"/>
                      <w:bCs/>
                      <w:color w:val="auto"/>
                      <w:kern w:val="0"/>
                      <w:szCs w:val="21"/>
                      <w:u w:val="none"/>
                      <w:lang w:val="en-US" w:eastAsia="zh-CN"/>
                    </w:rPr>
                    <w:t>料场密闭治理</w:t>
                  </w:r>
                </w:p>
              </w:tc>
              <w:tc>
                <w:tcPr>
                  <w:tcW w:w="3743"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所有物料（包括原辅料、半成品、成品）进库存放，厂界内无露天堆放物料。料场安装喷干雾抑尘设施</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本项目建设有仓库，原料及产品均入库存放，无露天堆放物料。</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车间、料库四面密闭，通道口安装卷帘门、推拉门等封闭性良好且便于开关的硬质门，在无车辆出入时将门关闭，保证空气合理流动不产生湍流</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车间四面密闭，车间仓库的出入口均安装有</w:t>
                  </w:r>
                  <w:r>
                    <w:rPr>
                      <w:rFonts w:hint="eastAsia"/>
                      <w:color w:val="auto"/>
                      <w:u w:val="none"/>
                      <w:lang w:val="en-US" w:eastAsia="zh-CN"/>
                    </w:rPr>
                    <w:t>推拉门，封闭性良好。</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所有地面完成硬化，并保证除物料堆放区域外没有明显积尘</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厂区地面硬化，</w:t>
                  </w:r>
                  <w:r>
                    <w:rPr>
                      <w:rFonts w:hint="eastAsia"/>
                      <w:color w:val="auto"/>
                      <w:u w:val="none"/>
                      <w:lang w:val="en-US" w:eastAsia="zh-CN"/>
                    </w:rPr>
                    <w:t>并保证除物料堆放区域外没有明显积尘</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厂房车间各生产工序须功能区化，各功能区安装固定的喷干雾抑尘装置</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项目一层分为配料间、成品区、生产区、办公休息区，分区明确</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厂区出口应安装车辆冲洗装置，保证出场车辆车轮车身干净、运行不起尘</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000000" w:themeColor="text1"/>
                      <w:szCs w:val="21"/>
                      <w:u w:val="none"/>
                      <w:lang w:val="en-US" w:eastAsia="zh-CN"/>
                      <w14:textFill>
                        <w14:solidFill>
                          <w14:schemeClr w14:val="tx1"/>
                        </w14:solidFill>
                      </w14:textFill>
                    </w:rPr>
                    <w:t>本项目物料均为袋装或卷装，无散装物料，无需设置洗车装置。</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restart"/>
                  <w:vAlign w:val="center"/>
                </w:tcPr>
                <w:p>
                  <w:pPr>
                    <w:spacing w:line="240" w:lineRule="auto"/>
                    <w:jc w:val="center"/>
                    <w:rPr>
                      <w:rFonts w:eastAsia="宋体"/>
                      <w:color w:val="auto"/>
                      <w:sz w:val="24"/>
                      <w:vertAlign w:val="baseline"/>
                    </w:rPr>
                  </w:pPr>
                  <w:r>
                    <w:rPr>
                      <w:rFonts w:hint="eastAsia"/>
                      <w:color w:val="auto"/>
                      <w:szCs w:val="21"/>
                      <w:u w:val="none"/>
                      <w:lang w:val="en-US" w:eastAsia="zh-CN"/>
                    </w:rPr>
                    <w:t>物料输送环节治理</w:t>
                  </w: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散状物料采用封闭式输送方式，皮带输送机受料点、卸料点应设置密闭罩，并配备除尘设施</w:t>
                  </w:r>
                </w:p>
              </w:tc>
              <w:tc>
                <w:tcPr>
                  <w:tcW w:w="3005" w:type="dxa"/>
                  <w:shd w:val="clear" w:color="auto" w:fill="auto"/>
                  <w:vAlign w:val="center"/>
                </w:tcPr>
                <w:p>
                  <w:pPr>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项目配料过程不涉及</w:t>
                  </w:r>
                  <w:r>
                    <w:rPr>
                      <w:rFonts w:hint="eastAsia"/>
                      <w:color w:val="auto"/>
                      <w:u w:val="none"/>
                      <w:lang w:val="en-US" w:eastAsia="zh-CN"/>
                    </w:rPr>
                    <w:t>皮带输送及物料提升。</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皮带输送机或物料提升机需在密闭廊道内运行，并在所有落料位置设置集尘装置及配备除尘系统</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项目配料过程不涉及</w:t>
                  </w:r>
                  <w:r>
                    <w:rPr>
                      <w:rFonts w:hint="eastAsia"/>
                      <w:color w:val="auto"/>
                      <w:u w:val="none"/>
                      <w:lang w:val="en-US" w:eastAsia="zh-CN"/>
                    </w:rPr>
                    <w:t>皮带输送及物料提升。</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运输车辆装载高度最高点不得超过车辆槽帮上沿40厘米，两侧边缘应当低于槽帮上缘10厘米，车斗应采用苫布覆盖，苫布边缘至少要遮住槽帮上沿以下15厘米，禁止厂内露天转运散状物料</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项目物料装卸在库区内进行，无散装物料的转运。</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除尘器卸灰不直接卸落到地面，卸灰区封闭。除尘灰采用气力输送、罐车等密闭方式运输；采用非密闭方式运输的，车辆应苫盖，装卸车时应采取加湿等措施抑尘</w:t>
                  </w:r>
                </w:p>
              </w:tc>
              <w:tc>
                <w:tcPr>
                  <w:tcW w:w="3005" w:type="dxa"/>
                  <w:shd w:val="clear" w:color="auto" w:fill="auto"/>
                  <w:vAlign w:val="center"/>
                </w:tcPr>
                <w:p>
                  <w:pPr>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rPr>
                    <w:t>本项目原料PE膜、艾绒布为卷装，石墨烯为袋装，配料过程在密闭配料间内进行，粉尘排放量极小；</w:t>
                  </w:r>
                  <w:r>
                    <w:rPr>
                      <w:rFonts w:hint="eastAsia"/>
                      <w:color w:val="auto"/>
                      <w:szCs w:val="21"/>
                      <w:u w:val="none"/>
                      <w:lang w:val="en-US" w:eastAsia="zh-CN"/>
                    </w:rPr>
                    <w:t>配料过程不涉及</w:t>
                  </w:r>
                  <w:r>
                    <w:rPr>
                      <w:rFonts w:hint="eastAsia"/>
                      <w:color w:val="auto"/>
                      <w:u w:val="none"/>
                      <w:lang w:val="en-US" w:eastAsia="zh-CN"/>
                    </w:rPr>
                    <w:t>皮带输送及物料提升。</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restart"/>
                  <w:vAlign w:val="center"/>
                </w:tcPr>
                <w:p>
                  <w:pPr>
                    <w:spacing w:line="240" w:lineRule="auto"/>
                    <w:jc w:val="center"/>
                    <w:rPr>
                      <w:rFonts w:eastAsia="宋体"/>
                      <w:color w:val="auto"/>
                      <w:sz w:val="24"/>
                      <w:vertAlign w:val="baseline"/>
                    </w:rPr>
                  </w:pPr>
                  <w:r>
                    <w:rPr>
                      <w:rFonts w:hint="eastAsia"/>
                      <w:color w:val="auto"/>
                      <w:szCs w:val="21"/>
                      <w:u w:val="none"/>
                      <w:lang w:val="en-US" w:eastAsia="zh-CN"/>
                    </w:rPr>
                    <w:t>生产环节治理</w:t>
                  </w: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物料上料、破碎、筛分、混料等生产过程中的产尘点应在封闭的厂房内进行二次封闭，并安装集气设施和除尘设施</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项目生产车间封闭，生产与仓库分区布设，无散装物料的</w:t>
                  </w:r>
                  <w:r>
                    <w:rPr>
                      <w:rFonts w:hint="eastAsia"/>
                      <w:color w:val="auto"/>
                      <w:u w:val="none"/>
                      <w:lang w:val="en-US" w:eastAsia="zh-CN"/>
                    </w:rPr>
                    <w:t>上料、破碎、筛分、混料等环节，</w:t>
                  </w:r>
                  <w:r>
                    <w:rPr>
                      <w:rFonts w:hint="eastAsia"/>
                      <w:color w:val="auto"/>
                      <w:szCs w:val="21"/>
                      <w:u w:val="none"/>
                      <w:lang w:val="en-US" w:eastAsia="zh-CN"/>
                    </w:rPr>
                    <w:t>配料过程不涉及</w:t>
                  </w:r>
                  <w:r>
                    <w:rPr>
                      <w:rFonts w:hint="eastAsia"/>
                      <w:color w:val="auto"/>
                      <w:u w:val="none"/>
                      <w:lang w:val="en-US" w:eastAsia="zh-CN"/>
                    </w:rPr>
                    <w:t>皮带输送及物料提升，且项目设置单独密闭配料间，粉尘排放量极小，对周边环境影响较小。</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禁止生产车间内散放原料，需采用全封闭式/地下料仓，并配备完备的废气收集和处理系统，生产环节必须在密闭良好的车间内运行</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生产车间无散放原料且车间密闭良好。</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restart"/>
                  <w:vAlign w:val="center"/>
                </w:tcPr>
                <w:p>
                  <w:pPr>
                    <w:spacing w:line="240" w:lineRule="auto"/>
                    <w:jc w:val="center"/>
                    <w:rPr>
                      <w:rFonts w:eastAsia="宋体"/>
                      <w:color w:val="auto"/>
                      <w:sz w:val="24"/>
                      <w:vertAlign w:val="baseline"/>
                    </w:rPr>
                  </w:pPr>
                  <w:r>
                    <w:rPr>
                      <w:rFonts w:hint="eastAsia"/>
                      <w:color w:val="auto"/>
                      <w:szCs w:val="21"/>
                      <w:u w:val="none"/>
                      <w:lang w:val="en-US" w:eastAsia="zh-CN"/>
                    </w:rPr>
                    <w:t>厂区、车辆治理</w:t>
                  </w: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4"/>
                      <w:u w:val="none"/>
                      <w:lang w:val="en-US" w:eastAsia="zh-CN" w:bidi="ar-SA"/>
                    </w:rPr>
                  </w:pPr>
                  <w:r>
                    <w:rPr>
                      <w:rFonts w:hint="eastAsia"/>
                      <w:color w:val="auto"/>
                      <w:u w:val="none"/>
                      <w:lang w:val="en-US" w:eastAsia="zh-CN"/>
                    </w:rPr>
                    <w:t>厂区道路硬化，平整无破损，无积尘，厂区无裸露空地，闲置裸露空地绿化</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rPr>
                    <w:t>厂区道路硬化，平整无破损，无积尘，厂区无裸露空地，闲置裸露空地绿化。</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对厂区道路定期洒水清扫</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对厂区道路定期洒水清扫</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9" w:type="dxa"/>
                  <w:vMerge w:val="continue"/>
                </w:tcPr>
                <w:p>
                  <w:pPr>
                    <w:pStyle w:val="68"/>
                    <w:spacing w:line="240" w:lineRule="auto"/>
                    <w:rPr>
                      <w:rFonts w:eastAsia="宋体"/>
                      <w:color w:val="auto"/>
                      <w:sz w:val="24"/>
                      <w:vertAlign w:val="baseline"/>
                    </w:rPr>
                  </w:pPr>
                </w:p>
              </w:tc>
              <w:tc>
                <w:tcPr>
                  <w:tcW w:w="374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企业出厂口处配备高压清洗装置对所有车辆车轮、底盘进行冲洗，严禁带泥上路。洗车平台四周应设置洗车废水收集防治设施</w:t>
                  </w:r>
                </w:p>
              </w:tc>
              <w:tc>
                <w:tcPr>
                  <w:tcW w:w="3005"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本项目物料均为袋装或者卷装，无散装物料且运输量较小，因此项目无需安装车辆清洗装置。</w:t>
                  </w:r>
                </w:p>
              </w:tc>
              <w:tc>
                <w:tcPr>
                  <w:tcW w:w="866" w:type="dxa"/>
                  <w:shd w:val="clear" w:color="auto" w:fill="auto"/>
                  <w:vAlign w:val="center"/>
                </w:tcPr>
                <w:p>
                  <w:pPr>
                    <w:spacing w:line="240" w:lineRule="auto"/>
                    <w:jc w:val="center"/>
                    <w:rPr>
                      <w:rFonts w:ascii="Times New Roman" w:hAnsi="Times New Roman" w:eastAsia="宋体" w:cs="Times New Roman"/>
                      <w:color w:val="auto"/>
                      <w:kern w:val="2"/>
                      <w:sz w:val="21"/>
                      <w:szCs w:val="21"/>
                      <w:u w:val="none"/>
                      <w:lang w:val="en-US" w:eastAsia="zh-CN" w:bidi="ar-SA"/>
                    </w:rPr>
                  </w:pPr>
                  <w:r>
                    <w:rPr>
                      <w:rFonts w:hint="eastAsia"/>
                      <w:color w:val="auto"/>
                      <w:szCs w:val="21"/>
                      <w:u w:val="none"/>
                      <w:lang w:val="en-US" w:eastAsia="zh-CN"/>
                    </w:rPr>
                    <w:t>相符</w:t>
                  </w:r>
                </w:p>
              </w:tc>
            </w:tr>
          </w:tbl>
          <w:p>
            <w:pPr>
              <w:pStyle w:val="68"/>
              <w:rPr>
                <w:rFonts w:eastAsia="宋体"/>
                <w:color w:val="auto"/>
                <w:sz w:val="24"/>
              </w:rPr>
            </w:pPr>
            <w:r>
              <w:rPr>
                <w:rFonts w:eastAsia="宋体"/>
                <w:color w:val="auto"/>
                <w:sz w:val="24"/>
              </w:rPr>
              <w:t>由</w:t>
            </w:r>
            <w:r>
              <w:rPr>
                <w:rFonts w:hint="eastAsia" w:eastAsia="宋体"/>
                <w:color w:val="auto"/>
                <w:sz w:val="24"/>
                <w:lang w:val="en-US" w:eastAsia="zh-CN"/>
              </w:rPr>
              <w:t>上表</w:t>
            </w:r>
            <w:r>
              <w:rPr>
                <w:rFonts w:eastAsia="宋体"/>
                <w:color w:val="auto"/>
                <w:sz w:val="24"/>
              </w:rPr>
              <w:t>可知，本项目符合《河南省2019年工业企业无组织排放治理方案》相关要求。</w:t>
            </w:r>
          </w:p>
          <w:p>
            <w:pPr>
              <w:spacing w:line="520" w:lineRule="exact"/>
              <w:rPr>
                <w:b/>
                <w:bCs/>
                <w:sz w:val="24"/>
                <w:szCs w:val="24"/>
              </w:rPr>
            </w:pPr>
            <w:r>
              <w:rPr>
                <w:rFonts w:hint="eastAsia"/>
                <w:b/>
                <w:bCs/>
                <w:sz w:val="24"/>
                <w:szCs w:val="24"/>
                <w:lang w:val="en-US" w:eastAsia="zh-CN"/>
              </w:rPr>
              <w:t>5.2、</w:t>
            </w:r>
            <w:r>
              <w:rPr>
                <w:rFonts w:hint="default" w:ascii="Times New Roman" w:hAnsi="Times New Roman" w:eastAsia="宋体" w:cs="Times New Roman"/>
                <w:b/>
                <w:bCs/>
                <w:color w:val="auto"/>
                <w:sz w:val="24"/>
                <w:szCs w:val="24"/>
                <w:u w:val="none" w:color="auto"/>
                <w:lang w:val="en-US" w:eastAsia="zh-CN"/>
              </w:rPr>
              <w:t>项目建设</w:t>
            </w:r>
            <w:r>
              <w:rPr>
                <w:b/>
                <w:bCs/>
                <w:sz w:val="24"/>
                <w:szCs w:val="24"/>
              </w:rPr>
              <w:t>与《河南省2019年挥发性有机物治理方案》相关内容相符性分析</w:t>
            </w:r>
          </w:p>
          <w:p>
            <w:pPr>
              <w:pStyle w:val="69"/>
              <w:spacing w:before="156"/>
              <w:rPr>
                <w:rFonts w:hint="default" w:ascii="Times New Roman" w:hAnsi="Times New Roman" w:eastAsia="宋体" w:cs="Times New Roman"/>
                <w:b/>
                <w:bCs/>
                <w:sz w:val="24"/>
              </w:rPr>
            </w:pPr>
            <w:r>
              <w:rPr>
                <w:rFonts w:hint="default" w:ascii="Times New Roman" w:hAnsi="Times New Roman" w:eastAsia="宋体" w:cs="Times New Roman"/>
                <w:b/>
                <w:bCs/>
                <w:sz w:val="24"/>
              </w:rPr>
              <w:t>表</w:t>
            </w:r>
            <w:r>
              <w:rPr>
                <w:rFonts w:hint="default" w:ascii="Times New Roman" w:hAnsi="Times New Roman" w:eastAsia="宋体" w:cs="Times New Roman"/>
                <w:b/>
                <w:bCs/>
                <w:sz w:val="24"/>
                <w:lang w:val="en-US" w:eastAsia="zh-CN"/>
              </w:rPr>
              <w:t>1-</w:t>
            </w:r>
            <w:r>
              <w:rPr>
                <w:rFonts w:hint="eastAsia" w:eastAsia="宋体" w:cs="Times New Roman"/>
                <w:b/>
                <w:bCs/>
                <w:sz w:val="24"/>
                <w:lang w:val="en-US" w:eastAsia="zh-CN"/>
              </w:rPr>
              <w:t>3</w:t>
            </w:r>
            <w:r>
              <w:rPr>
                <w:rFonts w:hint="default" w:ascii="Times New Roman" w:hAnsi="Times New Roman" w:eastAsia="宋体" w:cs="Times New Roman"/>
                <w:b/>
                <w:bCs/>
                <w:sz w:val="24"/>
              </w:rPr>
              <w:t xml:space="preserve"> 与《河南省2019年挥发性有机物治理方案》符合性分析一览表</w:t>
            </w:r>
          </w:p>
          <w:tbl>
            <w:tblPr>
              <w:tblStyle w:val="26"/>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
              <w:gridCol w:w="4376"/>
              <w:gridCol w:w="2813"/>
              <w:gridCol w:w="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433" w:type="dxa"/>
                  <w:tcBorders>
                    <w:tl2br w:val="nil"/>
                    <w:tr2bl w:val="nil"/>
                  </w:tcBorders>
                  <w:noWrap w:val="0"/>
                  <w:vAlign w:val="center"/>
                </w:tcPr>
                <w:p>
                  <w:pPr>
                    <w:pStyle w:val="55"/>
                    <w:spacing w:line="240" w:lineRule="auto"/>
                    <w:rPr>
                      <w:rFonts w:ascii="宋体" w:hAnsi="宋体"/>
                      <w:b/>
                      <w:bCs w:val="0"/>
                      <w:sz w:val="21"/>
                      <w:szCs w:val="21"/>
                    </w:rPr>
                  </w:pPr>
                  <w:r>
                    <w:rPr>
                      <w:rFonts w:ascii="宋体" w:hAnsi="宋体"/>
                      <w:b/>
                      <w:bCs w:val="0"/>
                      <w:sz w:val="21"/>
                      <w:szCs w:val="21"/>
                    </w:rPr>
                    <w:t>序号</w:t>
                  </w:r>
                </w:p>
              </w:tc>
              <w:tc>
                <w:tcPr>
                  <w:tcW w:w="4376" w:type="dxa"/>
                  <w:tcBorders>
                    <w:tl2br w:val="nil"/>
                    <w:tr2bl w:val="nil"/>
                  </w:tcBorders>
                  <w:noWrap w:val="0"/>
                  <w:vAlign w:val="center"/>
                </w:tcPr>
                <w:p>
                  <w:pPr>
                    <w:pStyle w:val="55"/>
                    <w:spacing w:line="240" w:lineRule="auto"/>
                    <w:rPr>
                      <w:rFonts w:ascii="宋体" w:hAnsi="宋体"/>
                      <w:b/>
                      <w:bCs w:val="0"/>
                      <w:sz w:val="21"/>
                      <w:szCs w:val="21"/>
                    </w:rPr>
                  </w:pPr>
                  <w:r>
                    <w:rPr>
                      <w:rFonts w:ascii="宋体" w:hAnsi="宋体"/>
                      <w:b/>
                      <w:bCs w:val="0"/>
                      <w:sz w:val="21"/>
                      <w:szCs w:val="21"/>
                    </w:rPr>
                    <w:t>方案相关内容</w:t>
                  </w:r>
                </w:p>
              </w:tc>
              <w:tc>
                <w:tcPr>
                  <w:tcW w:w="2813" w:type="dxa"/>
                  <w:tcBorders>
                    <w:tl2br w:val="nil"/>
                    <w:tr2bl w:val="nil"/>
                  </w:tcBorders>
                  <w:noWrap w:val="0"/>
                  <w:vAlign w:val="center"/>
                </w:tcPr>
                <w:p>
                  <w:pPr>
                    <w:pStyle w:val="55"/>
                    <w:spacing w:line="240" w:lineRule="auto"/>
                    <w:rPr>
                      <w:rFonts w:ascii="宋体" w:hAnsi="宋体"/>
                      <w:b/>
                      <w:bCs w:val="0"/>
                      <w:sz w:val="21"/>
                      <w:szCs w:val="21"/>
                    </w:rPr>
                  </w:pPr>
                  <w:r>
                    <w:rPr>
                      <w:rFonts w:ascii="宋体" w:hAnsi="宋体"/>
                      <w:b/>
                      <w:bCs w:val="0"/>
                      <w:sz w:val="21"/>
                      <w:szCs w:val="21"/>
                    </w:rPr>
                    <w:t>本项目情况</w:t>
                  </w:r>
                </w:p>
              </w:tc>
              <w:tc>
                <w:tcPr>
                  <w:tcW w:w="701" w:type="dxa"/>
                  <w:tcBorders>
                    <w:tl2br w:val="nil"/>
                    <w:tr2bl w:val="nil"/>
                  </w:tcBorders>
                  <w:noWrap w:val="0"/>
                  <w:vAlign w:val="center"/>
                </w:tcPr>
                <w:p>
                  <w:pPr>
                    <w:pStyle w:val="55"/>
                    <w:spacing w:line="240" w:lineRule="auto"/>
                    <w:rPr>
                      <w:rFonts w:ascii="宋体" w:hAnsi="宋体"/>
                      <w:b/>
                      <w:bCs w:val="0"/>
                      <w:sz w:val="21"/>
                      <w:szCs w:val="21"/>
                    </w:rPr>
                  </w:pPr>
                  <w:r>
                    <w:rPr>
                      <w:rFonts w:ascii="宋体" w:hAnsi="宋体"/>
                      <w:b/>
                      <w:bCs w:val="0"/>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433" w:type="dxa"/>
                  <w:tcBorders>
                    <w:tl2br w:val="nil"/>
                    <w:tr2bl w:val="nil"/>
                  </w:tcBorders>
                  <w:noWrap w:val="0"/>
                  <w:vAlign w:val="center"/>
                </w:tcPr>
                <w:p>
                  <w:pPr>
                    <w:pStyle w:val="55"/>
                    <w:spacing w:line="240" w:lineRule="auto"/>
                    <w:rPr>
                      <w:rFonts w:hint="default" w:ascii="Times New Roman" w:hAnsi="Times New Roman" w:cs="Times New Roman"/>
                      <w:bCs/>
                      <w:sz w:val="21"/>
                      <w:szCs w:val="21"/>
                    </w:rPr>
                  </w:pPr>
                  <w:r>
                    <w:rPr>
                      <w:rFonts w:hint="default" w:ascii="Times New Roman" w:hAnsi="Times New Roman" w:cs="Times New Roman"/>
                      <w:bCs/>
                      <w:sz w:val="21"/>
                      <w:szCs w:val="21"/>
                    </w:rPr>
                    <w:t>1</w:t>
                  </w:r>
                </w:p>
              </w:tc>
              <w:tc>
                <w:tcPr>
                  <w:tcW w:w="4376" w:type="dxa"/>
                  <w:tcBorders>
                    <w:tl2br w:val="nil"/>
                    <w:tr2bl w:val="nil"/>
                  </w:tcBorders>
                  <w:noWrap w:val="0"/>
                  <w:vAlign w:val="center"/>
                </w:tcPr>
                <w:p>
                  <w:pPr>
                    <w:pStyle w:val="55"/>
                    <w:spacing w:line="240" w:lineRule="auto"/>
                    <w:rPr>
                      <w:rFonts w:ascii="宋体" w:hAnsi="宋体"/>
                      <w:bCs/>
                      <w:sz w:val="21"/>
                      <w:szCs w:val="21"/>
                    </w:rPr>
                  </w:pPr>
                  <w:r>
                    <w:rPr>
                      <w:rFonts w:hint="default" w:ascii="Times New Roman" w:hAnsi="Times New Roman" w:cs="Times New Roman"/>
                      <w:bCs/>
                      <w:sz w:val="21"/>
                      <w:szCs w:val="21"/>
                    </w:rPr>
                    <w:t>2019年6月底前，全省石油化学、石油炼制、工业涂装、包装印刷、化工、制药等工业企业，全面完成 VOCs 污染治理；8月底前，全省石油化学</w:t>
                  </w:r>
                  <w:r>
                    <w:rPr>
                      <w:rFonts w:ascii="宋体" w:hAnsi="宋体"/>
                      <w:bCs/>
                      <w:sz w:val="21"/>
                      <w:szCs w:val="21"/>
                    </w:rPr>
                    <w:t>、石油炼制企</w:t>
                  </w:r>
                  <w:r>
                    <w:rPr>
                      <w:rFonts w:hint="default" w:ascii="Times New Roman" w:hAnsi="Times New Roman" w:cs="Times New Roman"/>
                      <w:bCs/>
                      <w:sz w:val="21"/>
                      <w:szCs w:val="21"/>
                    </w:rPr>
                    <w:t>业完成 VOCs 深度治理和泄漏检测与修复（LDAR）治理；12 月底前，省辖市建成区全面淘汰开启式干洗机。石油炼制企业 VOCs 排放全面达到《石油炼制工业污染物排放标准（GB31570-2015）》特别排放限值要求，石油化学企业 VOCs 排放全面达到《石油化学行业污染物排放标准（GB31571-201</w:t>
                  </w:r>
                  <w:r>
                    <w:rPr>
                      <w:rFonts w:hint="default" w:ascii="Times New Roman" w:hAnsi="Times New Roman" w:cs="Times New Roman"/>
                      <w:bCs/>
                      <w:sz w:val="21"/>
                      <w:szCs w:val="21"/>
                    </w:rPr>
                    <w:cr/>
                  </w:r>
                  <w:r>
                    <w:rPr>
                      <w:rFonts w:hint="default" w:ascii="Times New Roman" w:hAnsi="Times New Roman" w:cs="Times New Roman"/>
                      <w:bCs/>
                      <w:sz w:val="21"/>
                      <w:szCs w:val="21"/>
                    </w:rPr>
                    <w:t>）》特别排放限值要求，其他行</w:t>
                  </w:r>
                  <w:r>
                    <w:rPr>
                      <w:rFonts w:hint="default" w:ascii="Times New Roman" w:hAnsi="Times New Roman" w:cs="Times New Roman"/>
                      <w:bCs/>
                      <w:sz w:val="21"/>
                      <w:szCs w:val="21"/>
                    </w:rPr>
                    <w:cr/>
                  </w:r>
                  <w:r>
                    <w:rPr>
                      <w:rFonts w:hint="default" w:ascii="Times New Roman" w:hAnsi="Times New Roman" w:cs="Times New Roman"/>
                      <w:bCs/>
                      <w:sz w:val="21"/>
                      <w:szCs w:val="21"/>
                    </w:rPr>
                    <w:t xml:space="preserve"> VOCs 排放全面达到《河南省污染</w:t>
                  </w:r>
                  <w:r>
                    <w:rPr>
                      <w:rFonts w:hint="default" w:ascii="Times New Roman" w:hAnsi="Times New Roman" w:cs="Times New Roman"/>
                      <w:bCs/>
                      <w:sz w:val="21"/>
                      <w:szCs w:val="21"/>
                    </w:rPr>
                    <w:cr/>
                  </w:r>
                  <w:r>
                    <w:rPr>
                      <w:rFonts w:hint="default" w:ascii="Times New Roman" w:hAnsi="Times New Roman" w:cs="Times New Roman"/>
                      <w:bCs/>
                      <w:sz w:val="21"/>
                      <w:szCs w:val="21"/>
                    </w:rPr>
                    <w:t>治攻坚战领导小组办公室关于全省开展工业企业挥发性有机物专项治理工作中排放</w:t>
                  </w:r>
                  <w:r>
                    <w:rPr>
                      <w:rFonts w:hint="default" w:ascii="Times New Roman" w:hAnsi="Times New Roman" w:cs="Times New Roman"/>
                      <w:bCs/>
                      <w:sz w:val="21"/>
                      <w:szCs w:val="21"/>
                    </w:rPr>
                    <w:cr/>
                  </w:r>
                  <w:r>
                    <w:rPr>
                      <w:rFonts w:hint="default" w:ascii="Times New Roman" w:hAnsi="Times New Roman" w:cs="Times New Roman"/>
                      <w:bCs/>
                      <w:sz w:val="21"/>
                      <w:szCs w:val="21"/>
                    </w:rPr>
                    <w:t>议值的通知》（豫环攻坚办〔2017〕162 号）要求。</w:t>
                  </w:r>
                </w:p>
              </w:tc>
              <w:tc>
                <w:tcPr>
                  <w:tcW w:w="2813" w:type="dxa"/>
                  <w:tcBorders>
                    <w:tl2br w:val="nil"/>
                    <w:tr2bl w:val="nil"/>
                  </w:tcBorders>
                  <w:noWrap w:val="0"/>
                  <w:vAlign w:val="center"/>
                </w:tcPr>
                <w:p>
                  <w:pPr>
                    <w:pStyle w:val="55"/>
                    <w:spacing w:line="240" w:lineRule="auto"/>
                    <w:jc w:val="distribute"/>
                    <w:rPr>
                      <w:rFonts w:ascii="宋体" w:hAnsi="宋体"/>
                      <w:bCs/>
                      <w:sz w:val="21"/>
                      <w:szCs w:val="21"/>
                    </w:rPr>
                  </w:pPr>
                  <w:r>
                    <w:rPr>
                      <w:rFonts w:hint="eastAsia" w:ascii="宋体" w:hAnsi="宋体"/>
                      <w:bCs/>
                      <w:color w:val="000000" w:themeColor="text1"/>
                      <w:sz w:val="21"/>
                      <w:szCs w:val="21"/>
                      <w14:textFill>
                        <w14:solidFill>
                          <w14:schemeClr w14:val="tx1"/>
                        </w14:solidFill>
                      </w14:textFill>
                    </w:rPr>
                    <w:t>本项目涂布机、干复机工作台以上进行二次密闭，</w:t>
                  </w:r>
                  <w:r>
                    <w:rPr>
                      <w:rFonts w:hint="eastAsia" w:ascii="宋体" w:hAnsi="宋体"/>
                      <w:bCs/>
                      <w:color w:val="000000" w:themeColor="text1"/>
                      <w:sz w:val="21"/>
                      <w:szCs w:val="21"/>
                      <w:lang w:eastAsia="zh-CN"/>
                      <w14:textFill>
                        <w14:solidFill>
                          <w14:schemeClr w14:val="tx1"/>
                        </w14:solidFill>
                      </w14:textFill>
                    </w:rPr>
                    <w:t>烘干机</w:t>
                  </w:r>
                  <w:r>
                    <w:rPr>
                      <w:rFonts w:hint="eastAsia" w:ascii="宋体" w:hAnsi="宋体"/>
                      <w:bCs/>
                      <w:color w:val="000000" w:themeColor="text1"/>
                      <w:sz w:val="21"/>
                      <w:szCs w:val="21"/>
                      <w14:textFill>
                        <w14:solidFill>
                          <w14:schemeClr w14:val="tx1"/>
                        </w14:solidFill>
                      </w14:textFill>
                    </w:rPr>
                    <w:t>密闭，均采取负压集气，产生的有机废气经配套管道收集后经管道引至一套“二级活性炭吸附”装置处理后通过1根</w:t>
                  </w:r>
                  <w:r>
                    <w:rPr>
                      <w:rFonts w:hint="eastAsia" w:ascii="宋体" w:hAnsi="宋体"/>
                      <w:bCs/>
                      <w:color w:val="000000" w:themeColor="text1"/>
                      <w:sz w:val="21"/>
                      <w:szCs w:val="21"/>
                      <w:lang w:val="en-US" w:eastAsia="zh-CN"/>
                      <w14:textFill>
                        <w14:solidFill>
                          <w14:schemeClr w14:val="tx1"/>
                        </w14:solidFill>
                      </w14:textFill>
                    </w:rPr>
                    <w:t>23</w:t>
                  </w:r>
                  <w:r>
                    <w:rPr>
                      <w:rFonts w:hint="eastAsia" w:ascii="宋体" w:hAnsi="宋体"/>
                      <w:bCs/>
                      <w:color w:val="000000" w:themeColor="text1"/>
                      <w:sz w:val="21"/>
                      <w:szCs w:val="21"/>
                      <w14:textFill>
                        <w14:solidFill>
                          <w14:schemeClr w14:val="tx1"/>
                        </w14:solidFill>
                      </w14:textFill>
                    </w:rPr>
                    <w:t>m排气筒排放</w:t>
                  </w:r>
                  <w:r>
                    <w:rPr>
                      <w:rFonts w:hint="default" w:ascii="Times New Roman" w:hAnsi="Times New Roman" w:cs="Times New Roman"/>
                      <w:bCs/>
                      <w:color w:val="000000" w:themeColor="text1"/>
                      <w:sz w:val="21"/>
                      <w:szCs w:val="21"/>
                      <w14:textFill>
                        <w14:solidFill>
                          <w14:schemeClr w14:val="tx1"/>
                        </w14:solidFill>
                      </w14:textFill>
                    </w:rPr>
                    <w:t>，其排放浓度</w:t>
                  </w:r>
                  <w:r>
                    <w:rPr>
                      <w:rFonts w:ascii="宋体" w:hAnsi="宋体"/>
                      <w:bCs/>
                      <w:color w:val="000000" w:themeColor="text1"/>
                      <w:sz w:val="21"/>
                      <w:szCs w:val="21"/>
                      <w14:textFill>
                        <w14:solidFill>
                          <w14:schemeClr w14:val="tx1"/>
                        </w14:solidFill>
                      </w14:textFill>
                    </w:rPr>
                    <w:t>能够满足《河南省污染防治攻坚战领导小组办公室关于全省开展工业企业挥发性有机物专项治理工作中排</w:t>
                  </w:r>
                  <w:r>
                    <w:rPr>
                      <w:rFonts w:hint="default" w:ascii="Times New Roman" w:hAnsi="Times New Roman" w:cs="Times New Roman"/>
                      <w:bCs/>
                      <w:color w:val="000000" w:themeColor="text1"/>
                      <w:sz w:val="21"/>
                      <w:szCs w:val="21"/>
                      <w14:textFill>
                        <w14:solidFill>
                          <w14:schemeClr w14:val="tx1"/>
                        </w14:solidFill>
                      </w14:textFill>
                    </w:rPr>
                    <w:t>放建议值</w:t>
                  </w:r>
                  <w:r>
                    <w:rPr>
                      <w:rFonts w:hint="default" w:ascii="Times New Roman" w:hAnsi="Times New Roman" w:cs="Times New Roman"/>
                      <w:bCs/>
                      <w:color w:val="000000" w:themeColor="text1"/>
                      <w:sz w:val="21"/>
                      <w:szCs w:val="21"/>
                      <w14:textFill>
                        <w14:solidFill>
                          <w14:schemeClr w14:val="tx1"/>
                        </w14:solidFill>
                      </w14:textFill>
                    </w:rPr>
                    <w:cr/>
                  </w:r>
                  <w:r>
                    <w:rPr>
                      <w:rFonts w:hint="default" w:ascii="Times New Roman" w:hAnsi="Times New Roman" w:cs="Times New Roman"/>
                      <w:bCs/>
                      <w:color w:val="000000" w:themeColor="text1"/>
                      <w:sz w:val="21"/>
                      <w:szCs w:val="21"/>
                      <w14:textFill>
                        <w14:solidFill>
                          <w14:schemeClr w14:val="tx1"/>
                        </w14:solidFill>
                      </w14:textFill>
                    </w:rPr>
                    <w:t>通知》（豫环攻</w:t>
                  </w:r>
                  <w:r>
                    <w:rPr>
                      <w:rFonts w:hint="default" w:ascii="Times New Roman" w:hAnsi="Times New Roman" w:cs="Times New Roman"/>
                      <w:bCs/>
                      <w:color w:val="000000" w:themeColor="text1"/>
                      <w:sz w:val="21"/>
                      <w:szCs w:val="21"/>
                      <w14:textFill>
                        <w14:solidFill>
                          <w14:schemeClr w14:val="tx1"/>
                        </w14:solidFill>
                      </w14:textFill>
                    </w:rPr>
                    <w:cr/>
                  </w:r>
                  <w:r>
                    <w:rPr>
                      <w:rFonts w:hint="default" w:ascii="Times New Roman" w:hAnsi="Times New Roman" w:cs="Times New Roman"/>
                      <w:bCs/>
                      <w:color w:val="000000" w:themeColor="text1"/>
                      <w:sz w:val="21"/>
                      <w:szCs w:val="21"/>
                      <w14:textFill>
                        <w14:solidFill>
                          <w14:schemeClr w14:val="tx1"/>
                        </w14:solidFill>
                      </w14:textFill>
                    </w:rPr>
                    <w:t>办</w:t>
                  </w:r>
                  <w:r>
                    <w:rPr>
                      <w:rFonts w:hint="eastAsia" w:cs="Times New Roman"/>
                      <w:bCs/>
                      <w:color w:val="000000" w:themeColor="text1"/>
                      <w:sz w:val="21"/>
                      <w:szCs w:val="21"/>
                      <w:lang w:eastAsia="zh-CN"/>
                      <w14:textFill>
                        <w14:solidFill>
                          <w14:schemeClr w14:val="tx1"/>
                        </w14:solidFill>
                      </w14:textFill>
                    </w:rPr>
                    <w:t>【</w:t>
                  </w:r>
                  <w:r>
                    <w:rPr>
                      <w:rFonts w:hint="eastAsia" w:cs="Times New Roman"/>
                      <w:bCs/>
                      <w:color w:val="000000" w:themeColor="text1"/>
                      <w:sz w:val="21"/>
                      <w:szCs w:val="21"/>
                      <w:lang w:val="en-US" w:eastAsia="zh-CN"/>
                      <w14:textFill>
                        <w14:solidFill>
                          <w14:schemeClr w14:val="tx1"/>
                        </w14:solidFill>
                      </w14:textFill>
                    </w:rPr>
                    <w:t>2017</w:t>
                  </w:r>
                  <w:r>
                    <w:rPr>
                      <w:rFonts w:hint="eastAsia"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162号）</w:t>
                  </w:r>
                  <w:r>
                    <w:rPr>
                      <w:rFonts w:hint="default" w:ascii="Times New Roman" w:hAnsi="Times New Roman" w:cs="Times New Roman"/>
                      <w:bCs/>
                      <w:color w:val="000000" w:themeColor="text1"/>
                      <w:sz w:val="21"/>
                      <w:szCs w:val="21"/>
                      <w:lang w:val="en-US" w:eastAsia="zh-CN"/>
                      <w14:textFill>
                        <w14:solidFill>
                          <w14:schemeClr w14:val="tx1"/>
                        </w14:solidFill>
                      </w14:textFill>
                    </w:rPr>
                    <w:t>的</w:t>
                  </w:r>
                  <w:r>
                    <w:rPr>
                      <w:rFonts w:hint="default" w:ascii="Times New Roman" w:hAnsi="Times New Roman" w:cs="Times New Roman"/>
                      <w:b w:val="0"/>
                      <w:bCs/>
                      <w:color w:val="000000" w:themeColor="text1"/>
                      <w:sz w:val="21"/>
                      <w:szCs w:val="21"/>
                      <w:u w:val="none"/>
                      <w14:textFill>
                        <w14:solidFill>
                          <w14:schemeClr w14:val="tx1"/>
                        </w14:solidFill>
                      </w14:textFill>
                    </w:rPr>
                    <w:t>要</w:t>
                  </w:r>
                  <w:r>
                    <w:rPr>
                      <w:rFonts w:ascii="宋体" w:hAnsi="宋体"/>
                      <w:b w:val="0"/>
                      <w:bCs/>
                      <w:color w:val="000000" w:themeColor="text1"/>
                      <w:sz w:val="21"/>
                      <w:szCs w:val="21"/>
                      <w:u w:val="none"/>
                      <w14:textFill>
                        <w14:solidFill>
                          <w14:schemeClr w14:val="tx1"/>
                        </w14:solidFill>
                      </w14:textFill>
                    </w:rPr>
                    <w:t>求</w:t>
                  </w:r>
                </w:p>
              </w:tc>
              <w:tc>
                <w:tcPr>
                  <w:tcW w:w="701" w:type="dxa"/>
                  <w:tcBorders>
                    <w:tl2br w:val="nil"/>
                    <w:tr2bl w:val="nil"/>
                  </w:tcBorders>
                  <w:noWrap w:val="0"/>
                  <w:vAlign w:val="center"/>
                </w:tcPr>
                <w:p>
                  <w:pPr>
                    <w:pStyle w:val="55"/>
                    <w:spacing w:line="240" w:lineRule="auto"/>
                    <w:rPr>
                      <w:rFonts w:hint="eastAsia" w:ascii="宋体" w:hAnsi="宋体" w:eastAsia="宋体"/>
                      <w:bCs/>
                      <w:sz w:val="21"/>
                      <w:szCs w:val="21"/>
                      <w:lang w:eastAsia="zh-CN"/>
                    </w:rPr>
                  </w:pPr>
                  <w:r>
                    <w:rPr>
                      <w:rFonts w:hint="eastAsia" w:ascii="宋体" w:hAnsi="宋体"/>
                      <w:bCs/>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433" w:type="dxa"/>
                  <w:tcBorders>
                    <w:tl2br w:val="nil"/>
                    <w:tr2bl w:val="nil"/>
                  </w:tcBorders>
                  <w:noWrap w:val="0"/>
                  <w:vAlign w:val="center"/>
                </w:tcPr>
                <w:p>
                  <w:pPr>
                    <w:pStyle w:val="55"/>
                    <w:spacing w:line="240" w:lineRule="auto"/>
                    <w:rPr>
                      <w:rFonts w:hint="default" w:ascii="Times New Roman" w:hAnsi="Times New Roman" w:cs="Times New Roman"/>
                      <w:bCs/>
                      <w:sz w:val="21"/>
                      <w:szCs w:val="21"/>
                    </w:rPr>
                  </w:pPr>
                  <w:r>
                    <w:rPr>
                      <w:rFonts w:hint="default" w:ascii="Times New Roman" w:hAnsi="Times New Roman" w:cs="Times New Roman"/>
                      <w:bCs/>
                      <w:sz w:val="21"/>
                      <w:szCs w:val="21"/>
                    </w:rPr>
                    <w:t>2</w:t>
                  </w:r>
                </w:p>
              </w:tc>
              <w:tc>
                <w:tcPr>
                  <w:tcW w:w="4376" w:type="dxa"/>
                  <w:tcBorders>
                    <w:tl2br w:val="nil"/>
                    <w:tr2bl w:val="nil"/>
                  </w:tcBorders>
                  <w:noWrap w:val="0"/>
                  <w:vAlign w:val="center"/>
                </w:tcPr>
                <w:p>
                  <w:pPr>
                    <w:pStyle w:val="55"/>
                    <w:spacing w:line="240" w:lineRule="auto"/>
                    <w:rPr>
                      <w:rFonts w:hint="default" w:ascii="Times New Roman" w:hAnsi="Times New Roman" w:cs="Times New Roman"/>
                      <w:bCs/>
                      <w:sz w:val="21"/>
                      <w:szCs w:val="21"/>
                    </w:rPr>
                  </w:pPr>
                  <w:r>
                    <w:rPr>
                      <w:rFonts w:hint="default" w:ascii="Times New Roman" w:hAnsi="Times New Roman" w:cs="Times New Roman"/>
                      <w:bCs/>
                      <w:sz w:val="21"/>
                      <w:szCs w:val="21"/>
                    </w:rPr>
                    <w:t>推进工业涂装整治升级。改进涂装工艺，提高涂着效率，金属件涂装行业推广使用 3C1B（三涂一烘）或 2C1B（两涂一烘）等紧凑型涂装工艺，采用内外板全自动、静电喷涂技术，喷漆房、烘干室配置密闭收集系统。平面木质家具制造行业，推广使用自动喷涂或辊涂等先进工艺技术。加强末端治理，喷漆、流平和烘干等生产环节应处于全封闭车间内，并配备高效有机废气收集系统，有机废气收集率不低于80%，其中整车制造企业有机废气收集率不低于90%。整车制造企业收集的有机废气需采用蓄热式焚</w:t>
                  </w:r>
                  <w:r>
                    <w:rPr>
                      <w:rFonts w:hint="default" w:ascii="Times New Roman" w:hAnsi="Times New Roman" w:cs="Times New Roman"/>
                      <w:bCs/>
                      <w:sz w:val="21"/>
                      <w:szCs w:val="21"/>
                    </w:rPr>
                    <w:cr/>
                  </w:r>
                  <w:r>
                    <w:rPr>
                      <w:rFonts w:hint="default" w:ascii="Times New Roman" w:hAnsi="Times New Roman" w:cs="Times New Roman"/>
                      <w:bCs/>
                      <w:sz w:val="21"/>
                      <w:szCs w:val="21"/>
                    </w:rPr>
                    <w:t>（RTO）处理方式，其他企业低浓度有机废气或恶臭气体采用低温等离子体技术、UV 光催化氧化技术、活性炭吸附技</w:t>
                  </w:r>
                  <w:r>
                    <w:rPr>
                      <w:rFonts w:hint="default" w:ascii="Times New Roman" w:hAnsi="Times New Roman" w:cs="Times New Roman"/>
                      <w:bCs/>
                      <w:sz w:val="21"/>
                      <w:szCs w:val="21"/>
                    </w:rPr>
                    <w:cr/>
                  </w:r>
                  <w:r>
                    <w:rPr>
                      <w:rFonts w:hint="default" w:ascii="Times New Roman" w:hAnsi="Times New Roman" w:cs="Times New Roman"/>
                      <w:bCs/>
                      <w:sz w:val="21"/>
                      <w:szCs w:val="21"/>
                    </w:rPr>
                    <w:t>等两种或两种以上组合工艺，禁</w:t>
                  </w:r>
                  <w:r>
                    <w:rPr>
                      <w:rFonts w:hint="default" w:ascii="Times New Roman" w:hAnsi="Times New Roman" w:cs="Times New Roman"/>
                      <w:bCs/>
                      <w:sz w:val="21"/>
                      <w:szCs w:val="21"/>
                    </w:rPr>
                    <w:cr/>
                  </w:r>
                  <w:r>
                    <w:rPr>
                      <w:rFonts w:hint="default" w:ascii="Times New Roman" w:hAnsi="Times New Roman" w:cs="Times New Roman"/>
                      <w:bCs/>
                      <w:sz w:val="21"/>
                      <w:szCs w:val="21"/>
                    </w:rPr>
                    <w:t>使用单一吸附、催化氧化等处理技术。</w:t>
                  </w:r>
                </w:p>
              </w:tc>
              <w:tc>
                <w:tcPr>
                  <w:tcW w:w="2813" w:type="dxa"/>
                  <w:tcBorders>
                    <w:tl2br w:val="nil"/>
                    <w:tr2bl w:val="nil"/>
                  </w:tcBorders>
                  <w:noWrap w:val="0"/>
                  <w:vAlign w:val="center"/>
                </w:tcPr>
                <w:p>
                  <w:pPr>
                    <w:pStyle w:val="55"/>
                    <w:spacing w:line="240" w:lineRule="auto"/>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本项目不属于工业涂装行业，属于其他企业。有机废气处理措施采用</w:t>
                  </w:r>
                  <w:r>
                    <w:rPr>
                      <w:rFonts w:hint="default" w:ascii="Times New Roman" w:hAnsi="Times New Roman" w:cs="Times New Roman"/>
                      <w:bCs/>
                      <w:sz w:val="21"/>
                      <w:szCs w:val="21"/>
                    </w:rPr>
                    <w:t>一套“</w:t>
                  </w:r>
                  <w:r>
                    <w:rPr>
                      <w:rFonts w:hint="eastAsia" w:ascii="宋体" w:hAnsi="宋体"/>
                      <w:bCs/>
                      <w:color w:val="000000" w:themeColor="text1"/>
                      <w:sz w:val="21"/>
                      <w:szCs w:val="21"/>
                      <w14:textFill>
                        <w14:solidFill>
                          <w14:schemeClr w14:val="tx1"/>
                        </w14:solidFill>
                      </w14:textFill>
                    </w:rPr>
                    <w:t>二级活性炭吸附</w:t>
                  </w:r>
                  <w:r>
                    <w:rPr>
                      <w:rFonts w:hint="default" w:ascii="Times New Roman" w:hAnsi="Times New Roman" w:cs="Times New Roman"/>
                      <w:bCs/>
                      <w:sz w:val="21"/>
                      <w:szCs w:val="21"/>
                    </w:rPr>
                    <w:t>”装置</w:t>
                  </w:r>
                  <w:r>
                    <w:rPr>
                      <w:rFonts w:hint="default" w:ascii="Times New Roman" w:hAnsi="Times New Roman" w:cs="Times New Roman"/>
                      <w:bCs/>
                      <w:sz w:val="21"/>
                      <w:szCs w:val="21"/>
                      <w:lang w:eastAsia="zh-CN"/>
                    </w:rPr>
                    <w:t>，属于两种以上组合的工艺</w:t>
                  </w:r>
                </w:p>
              </w:tc>
              <w:tc>
                <w:tcPr>
                  <w:tcW w:w="701" w:type="dxa"/>
                  <w:tcBorders>
                    <w:tl2br w:val="nil"/>
                    <w:tr2bl w:val="nil"/>
                  </w:tcBorders>
                  <w:noWrap w:val="0"/>
                  <w:vAlign w:val="center"/>
                </w:tcPr>
                <w:p>
                  <w:pPr>
                    <w:pStyle w:val="55"/>
                    <w:spacing w:line="240" w:lineRule="auto"/>
                    <w:rPr>
                      <w:rFonts w:hint="eastAsia" w:ascii="宋体" w:hAnsi="宋体" w:eastAsia="宋体"/>
                      <w:bCs/>
                      <w:sz w:val="21"/>
                      <w:szCs w:val="21"/>
                      <w:lang w:eastAsia="zh-CN"/>
                    </w:rPr>
                  </w:pPr>
                  <w:r>
                    <w:rPr>
                      <w:rFonts w:hint="eastAsia" w:ascii="宋体" w:hAnsi="宋体"/>
                      <w:bCs/>
                      <w:sz w:val="21"/>
                      <w:szCs w:val="21"/>
                      <w:lang w:eastAsia="zh-CN"/>
                    </w:rPr>
                    <w:t>相符</w:t>
                  </w:r>
                </w:p>
              </w:tc>
            </w:tr>
          </w:tbl>
          <w:p>
            <w:pPr>
              <w:pStyle w:val="68"/>
              <w:adjustRightInd/>
              <w:snapToGrid/>
              <w:spacing w:line="360" w:lineRule="auto"/>
              <w:rPr>
                <w:rFonts w:hint="eastAsia" w:eastAsia="宋体"/>
                <w:color w:val="auto"/>
                <w:sz w:val="24"/>
              </w:rPr>
            </w:pPr>
            <w:r>
              <w:rPr>
                <w:rFonts w:eastAsia="宋体"/>
                <w:color w:val="auto"/>
                <w:sz w:val="24"/>
              </w:rPr>
              <w:t>由</w:t>
            </w:r>
            <w:r>
              <w:rPr>
                <w:rFonts w:hint="eastAsia" w:eastAsia="宋体"/>
                <w:color w:val="auto"/>
                <w:sz w:val="24"/>
                <w:lang w:val="en-US" w:eastAsia="zh-CN"/>
              </w:rPr>
              <w:t>上表</w:t>
            </w:r>
            <w:r>
              <w:rPr>
                <w:rFonts w:eastAsia="宋体"/>
                <w:color w:val="auto"/>
                <w:sz w:val="24"/>
              </w:rPr>
              <w:t>可知，本项目符合《河南省2019年挥发性有机物治理方案》相关要求。</w:t>
            </w:r>
          </w:p>
          <w:p>
            <w:pPr>
              <w:spacing w:line="512" w:lineRule="exact"/>
              <w:rPr>
                <w:rFonts w:hint="eastAsia"/>
                <w:b/>
                <w:bCs/>
                <w:kern w:val="0"/>
                <w:sz w:val="24"/>
              </w:rPr>
            </w:pPr>
            <w:r>
              <w:rPr>
                <w:rFonts w:hint="eastAsia"/>
                <w:b/>
                <w:kern w:val="0"/>
                <w:sz w:val="24"/>
                <w:szCs w:val="20"/>
                <w:lang w:val="en-US" w:eastAsia="zh-CN"/>
              </w:rPr>
              <w:t>6、</w:t>
            </w:r>
            <w:r>
              <w:rPr>
                <w:rFonts w:hint="default" w:ascii="Times New Roman" w:hAnsi="Times New Roman" w:eastAsia="宋体" w:cs="Times New Roman"/>
                <w:b/>
                <w:bCs/>
                <w:color w:val="auto"/>
                <w:sz w:val="24"/>
                <w:szCs w:val="24"/>
                <w:u w:val="none" w:color="auto"/>
                <w:lang w:val="en-US" w:eastAsia="zh-CN"/>
              </w:rPr>
              <w:t>项目建设</w:t>
            </w:r>
            <w:r>
              <w:rPr>
                <w:b/>
                <w:bCs/>
                <w:color w:val="auto"/>
                <w:sz w:val="24"/>
                <w:szCs w:val="24"/>
                <w:lang w:eastAsia="zh-CN"/>
              </w:rPr>
              <w:t>与《</w:t>
            </w:r>
            <w:r>
              <w:rPr>
                <w:rFonts w:hint="eastAsia"/>
                <w:b/>
                <w:bCs/>
                <w:color w:val="auto"/>
                <w:sz w:val="24"/>
                <w:szCs w:val="24"/>
                <w:lang w:eastAsia="zh-CN"/>
              </w:rPr>
              <w:t>河南省深入打好秋冬季重污染天气消除、夏季臭氧污染防治和柴油货车污染治理攻坚战行动方案</w:t>
            </w:r>
            <w:r>
              <w:rPr>
                <w:b/>
                <w:bCs/>
                <w:color w:val="auto"/>
                <w:sz w:val="24"/>
                <w:szCs w:val="24"/>
                <w:lang w:eastAsia="zh-CN"/>
              </w:rPr>
              <w:t>》的相符性</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sz w:val="24"/>
                <w:szCs w:val="24"/>
                <w:lang w:eastAsia="zh-CN"/>
              </w:rPr>
            </w:pPr>
            <w:r>
              <w:rPr>
                <w:rFonts w:hint="eastAsia"/>
                <w:sz w:val="24"/>
                <w:szCs w:val="24"/>
                <w:lang w:eastAsia="zh-CN"/>
              </w:rPr>
              <w:t>河南省生态环境保护委员会</w:t>
            </w:r>
            <w:r>
              <w:rPr>
                <w:sz w:val="24"/>
                <w:szCs w:val="24"/>
                <w:lang w:eastAsia="zh-CN"/>
              </w:rPr>
              <w:t>于202</w:t>
            </w:r>
            <w:r>
              <w:rPr>
                <w:rFonts w:hint="eastAsia"/>
                <w:sz w:val="24"/>
                <w:szCs w:val="24"/>
                <w:lang w:eastAsia="zh-CN"/>
              </w:rPr>
              <w:t>3</w:t>
            </w:r>
            <w:r>
              <w:rPr>
                <w:sz w:val="24"/>
                <w:szCs w:val="24"/>
                <w:lang w:eastAsia="zh-CN"/>
              </w:rPr>
              <w:t>年</w:t>
            </w:r>
            <w:r>
              <w:rPr>
                <w:rFonts w:hint="eastAsia"/>
                <w:sz w:val="24"/>
                <w:szCs w:val="24"/>
                <w:lang w:eastAsia="zh-CN"/>
              </w:rPr>
              <w:t>3</w:t>
            </w:r>
            <w:r>
              <w:rPr>
                <w:sz w:val="24"/>
                <w:szCs w:val="24"/>
                <w:lang w:eastAsia="zh-CN"/>
              </w:rPr>
              <w:t>月</w:t>
            </w:r>
            <w:r>
              <w:rPr>
                <w:rFonts w:hint="eastAsia"/>
                <w:sz w:val="24"/>
                <w:szCs w:val="24"/>
                <w:lang w:eastAsia="zh-CN"/>
              </w:rPr>
              <w:t>28</w:t>
            </w:r>
            <w:r>
              <w:rPr>
                <w:sz w:val="24"/>
                <w:szCs w:val="24"/>
                <w:lang w:eastAsia="zh-CN"/>
              </w:rPr>
              <w:t>日</w:t>
            </w:r>
            <w:r>
              <w:rPr>
                <w:rFonts w:hint="eastAsia"/>
                <w:sz w:val="24"/>
                <w:szCs w:val="24"/>
                <w:lang w:eastAsia="zh-CN"/>
              </w:rPr>
              <w:t>印</w:t>
            </w:r>
            <w:r>
              <w:rPr>
                <w:sz w:val="24"/>
                <w:szCs w:val="24"/>
                <w:lang w:eastAsia="zh-CN"/>
              </w:rPr>
              <w:t>发</w:t>
            </w:r>
            <w:r>
              <w:rPr>
                <w:rFonts w:hint="eastAsia"/>
                <w:sz w:val="24"/>
                <w:szCs w:val="24"/>
                <w:lang w:eastAsia="zh-CN"/>
              </w:rPr>
              <w:t>的</w:t>
            </w:r>
            <w:r>
              <w:rPr>
                <w:sz w:val="24"/>
                <w:szCs w:val="24"/>
                <w:lang w:eastAsia="zh-CN"/>
              </w:rPr>
              <w:t>《关于印发</w:t>
            </w:r>
            <w:r>
              <w:rPr>
                <w:rFonts w:hint="eastAsia"/>
                <w:sz w:val="24"/>
                <w:szCs w:val="24"/>
                <w:lang w:eastAsia="zh-CN"/>
              </w:rPr>
              <w:t>河南省深入打好秋冬季重污染天气消除、夏季臭氧污染防治和柴油货车污染治理攻坚战行动方案的</w:t>
            </w:r>
            <w:r>
              <w:rPr>
                <w:sz w:val="24"/>
                <w:szCs w:val="24"/>
                <w:lang w:eastAsia="zh-CN"/>
              </w:rPr>
              <w:t>通知》（</w:t>
            </w:r>
            <w:r>
              <w:rPr>
                <w:rFonts w:hint="eastAsia"/>
                <w:sz w:val="24"/>
                <w:szCs w:val="24"/>
                <w:lang w:eastAsia="zh-CN"/>
              </w:rPr>
              <w:t>豫环委办【</w:t>
            </w:r>
            <w:r>
              <w:rPr>
                <w:rFonts w:hint="eastAsia"/>
                <w:sz w:val="24"/>
                <w:szCs w:val="24"/>
                <w:lang w:val="en-US" w:eastAsia="zh-CN"/>
              </w:rPr>
              <w:t>2023</w:t>
            </w:r>
            <w:r>
              <w:rPr>
                <w:rFonts w:hint="eastAsia"/>
                <w:sz w:val="24"/>
                <w:szCs w:val="24"/>
                <w:lang w:eastAsia="zh-CN"/>
              </w:rPr>
              <w:t>】3</w:t>
            </w:r>
            <w:r>
              <w:rPr>
                <w:sz w:val="24"/>
                <w:szCs w:val="24"/>
                <w:lang w:eastAsia="zh-CN"/>
              </w:rPr>
              <w:t>号），该通知印发了《</w:t>
            </w:r>
            <w:r>
              <w:rPr>
                <w:rFonts w:hint="eastAsia"/>
                <w:sz w:val="24"/>
                <w:szCs w:val="24"/>
                <w:lang w:eastAsia="zh-CN"/>
              </w:rPr>
              <w:t>河南省深入打好秋冬季重污染天气消除、夏季臭氧污染防治和柴油货车污染治理攻坚战行动方案</w:t>
            </w:r>
            <w:r>
              <w:rPr>
                <w:sz w:val="24"/>
                <w:szCs w:val="24"/>
                <w:lang w:eastAsia="zh-CN"/>
              </w:rPr>
              <w:t>》。本项目与《</w:t>
            </w:r>
            <w:r>
              <w:rPr>
                <w:rFonts w:hint="eastAsia"/>
                <w:sz w:val="24"/>
                <w:szCs w:val="24"/>
                <w:lang w:eastAsia="zh-CN"/>
              </w:rPr>
              <w:t>河南省深入打好秋冬季重污染天气消除、夏季臭氧污染防治和柴油货车污染治理攻坚战行动方案</w:t>
            </w:r>
            <w:r>
              <w:rPr>
                <w:sz w:val="24"/>
                <w:szCs w:val="24"/>
                <w:lang w:eastAsia="zh-CN"/>
              </w:rPr>
              <w:t>》进行比对分析，本项目与行动方案的相符性见下表</w:t>
            </w:r>
            <w:r>
              <w:rPr>
                <w:rFonts w:hint="eastAsia"/>
                <w:sz w:val="24"/>
                <w:szCs w:val="24"/>
                <w:lang w:eastAsia="zh-CN"/>
              </w:rPr>
              <w:t>。</w:t>
            </w:r>
          </w:p>
          <w:p>
            <w:pPr>
              <w:spacing w:line="520" w:lineRule="exac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w:t>
            </w:r>
            <w:r>
              <w:rPr>
                <w:rFonts w:hint="eastAsia" w:ascii="Times New Roman" w:hAnsi="Times New Roman" w:eastAsia="宋体" w:cs="Times New Roman"/>
                <w:b/>
                <w:bCs/>
                <w:sz w:val="24"/>
                <w:szCs w:val="24"/>
                <w:lang w:val="en-US" w:eastAsia="zh-CN"/>
              </w:rPr>
              <w:t>1-</w:t>
            </w:r>
            <w:r>
              <w:rPr>
                <w:rFonts w:hint="eastAsia" w:cs="Times New Roman"/>
                <w:b/>
                <w:bCs/>
                <w:sz w:val="24"/>
                <w:szCs w:val="24"/>
                <w:lang w:val="en-US" w:eastAsia="zh-CN"/>
              </w:rPr>
              <w:t>4</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color w:val="auto"/>
                <w:sz w:val="24"/>
                <w:szCs w:val="24"/>
                <w:u w:val="none" w:color="auto"/>
                <w:lang w:val="en-US" w:eastAsia="zh-CN"/>
              </w:rPr>
              <w:t>项目建设</w:t>
            </w:r>
            <w:r>
              <w:rPr>
                <w:rFonts w:hint="default" w:ascii="Times New Roman" w:hAnsi="Times New Roman" w:eastAsia="宋体" w:cs="Times New Roman"/>
                <w:b/>
                <w:bCs/>
                <w:sz w:val="24"/>
                <w:szCs w:val="24"/>
              </w:rPr>
              <w:t>与</w:t>
            </w:r>
            <w:r>
              <w:rPr>
                <w:b/>
                <w:bCs/>
                <w:color w:val="auto"/>
                <w:sz w:val="24"/>
                <w:szCs w:val="24"/>
                <w:lang w:eastAsia="zh-CN"/>
              </w:rPr>
              <w:t>《</w:t>
            </w:r>
            <w:r>
              <w:rPr>
                <w:rFonts w:hint="eastAsia"/>
                <w:b/>
                <w:bCs/>
                <w:color w:val="auto"/>
                <w:sz w:val="24"/>
                <w:szCs w:val="24"/>
                <w:lang w:eastAsia="zh-CN"/>
              </w:rPr>
              <w:t>河南省深入打好秋冬季重污染天气消除、夏季臭氧污染防治和柴油货车污染治理攻坚战行动方案</w:t>
            </w:r>
            <w:r>
              <w:rPr>
                <w:b/>
                <w:bCs/>
                <w:color w:val="auto"/>
                <w:sz w:val="24"/>
                <w:szCs w:val="24"/>
                <w:lang w:eastAsia="zh-CN"/>
              </w:rPr>
              <w:t>》</w:t>
            </w:r>
            <w:r>
              <w:rPr>
                <w:rFonts w:hint="default" w:ascii="Times New Roman" w:hAnsi="Times New Roman" w:eastAsia="宋体" w:cs="Times New Roman"/>
                <w:b/>
                <w:bCs/>
                <w:sz w:val="24"/>
                <w:szCs w:val="24"/>
              </w:rPr>
              <w:t>比对一览表</w:t>
            </w:r>
          </w:p>
          <w:tbl>
            <w:tblPr>
              <w:tblStyle w:val="27"/>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4611"/>
              <w:gridCol w:w="2111"/>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b/>
                      <w:bCs/>
                      <w:color w:val="auto"/>
                      <w:kern w:val="2"/>
                      <w:sz w:val="21"/>
                      <w:szCs w:val="21"/>
                      <w:u w:val="none"/>
                      <w:vertAlign w:val="baseline"/>
                      <w:lang w:val="en-US" w:eastAsia="zh-CN" w:bidi="ar-SA"/>
                    </w:rPr>
                  </w:pPr>
                  <w:r>
                    <w:rPr>
                      <w:rFonts w:hint="default" w:ascii="Times New Roman" w:hAnsi="Times New Roman" w:eastAsia="宋体" w:cs="Times New Roman"/>
                      <w:b/>
                      <w:bCs/>
                      <w:color w:val="auto"/>
                      <w:sz w:val="21"/>
                      <w:szCs w:val="21"/>
                      <w:u w:val="none"/>
                      <w:vertAlign w:val="baseline"/>
                      <w:lang w:eastAsia="zh-CN"/>
                    </w:rPr>
                    <w:t>项目</w:t>
                  </w:r>
                </w:p>
              </w:tc>
              <w:tc>
                <w:tcPr>
                  <w:tcW w:w="4611" w:type="dxa"/>
                  <w:vAlign w:val="center"/>
                </w:tcPr>
                <w:p>
                  <w:pPr>
                    <w:tabs>
                      <w:tab w:val="left" w:pos="705"/>
                    </w:tabs>
                    <w:spacing w:line="240" w:lineRule="auto"/>
                    <w:jc w:val="center"/>
                    <w:rPr>
                      <w:rFonts w:hint="eastAsia" w:ascii="宋体" w:hAnsi="宋体" w:eastAsia="宋体" w:cs="宋体"/>
                      <w:sz w:val="24"/>
                      <w:szCs w:val="24"/>
                      <w:vertAlign w:val="baseline"/>
                    </w:rPr>
                  </w:pPr>
                  <w:r>
                    <w:rPr>
                      <w:rFonts w:hint="default" w:ascii="Times New Roman" w:hAnsi="Times New Roman" w:eastAsia="宋体" w:cs="Times New Roman"/>
                      <w:b/>
                      <w:bCs/>
                      <w:color w:val="auto"/>
                      <w:sz w:val="21"/>
                      <w:szCs w:val="21"/>
                      <w:u w:val="none"/>
                      <w:vertAlign w:val="baseline"/>
                      <w:lang w:eastAsia="zh-CN"/>
                    </w:rPr>
                    <w:t>条款内容</w:t>
                  </w:r>
                </w:p>
              </w:tc>
              <w:tc>
                <w:tcPr>
                  <w:tcW w:w="2111" w:type="dxa"/>
                  <w:vAlign w:val="center"/>
                </w:tcPr>
                <w:p>
                  <w:pPr>
                    <w:tabs>
                      <w:tab w:val="left" w:pos="705"/>
                    </w:tabs>
                    <w:spacing w:line="240" w:lineRule="auto"/>
                    <w:jc w:val="center"/>
                    <w:rPr>
                      <w:rFonts w:hint="eastAsia" w:ascii="宋体" w:hAnsi="宋体" w:eastAsia="宋体" w:cs="宋体"/>
                      <w:sz w:val="24"/>
                      <w:szCs w:val="24"/>
                      <w:vertAlign w:val="baseline"/>
                    </w:rPr>
                  </w:pPr>
                  <w:r>
                    <w:rPr>
                      <w:rFonts w:hint="default" w:ascii="Times New Roman" w:hAnsi="Times New Roman" w:eastAsia="宋体" w:cs="Times New Roman"/>
                      <w:b/>
                      <w:bCs/>
                      <w:color w:val="auto"/>
                      <w:sz w:val="21"/>
                      <w:szCs w:val="21"/>
                      <w:u w:val="none"/>
                      <w:vertAlign w:val="baseline"/>
                      <w:lang w:eastAsia="zh-CN"/>
                    </w:rPr>
                    <w:t>本项目情况</w:t>
                  </w:r>
                </w:p>
              </w:tc>
              <w:tc>
                <w:tcPr>
                  <w:tcW w:w="853" w:type="dxa"/>
                  <w:vAlign w:val="center"/>
                </w:tcPr>
                <w:p>
                  <w:pPr>
                    <w:tabs>
                      <w:tab w:val="left" w:pos="705"/>
                    </w:tabs>
                    <w:spacing w:line="240" w:lineRule="auto"/>
                    <w:jc w:val="center"/>
                    <w:rPr>
                      <w:rFonts w:hint="eastAsia" w:ascii="宋体" w:hAnsi="宋体" w:eastAsia="宋体" w:cs="宋体"/>
                      <w:sz w:val="24"/>
                      <w:szCs w:val="24"/>
                      <w:vertAlign w:val="baseline"/>
                    </w:rPr>
                  </w:pPr>
                  <w:r>
                    <w:rPr>
                      <w:rFonts w:hint="default" w:ascii="Times New Roman" w:hAnsi="Times New Roman" w:eastAsia="宋体" w:cs="Times New Roman"/>
                      <w:b/>
                      <w:bCs/>
                      <w:color w:val="auto"/>
                      <w:sz w:val="21"/>
                      <w:szCs w:val="21"/>
                      <w:u w:val="none"/>
                      <w:vertAlign w:val="baseline"/>
                      <w:lang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ascii="Times New Roman" w:hAnsi="Times New Roman" w:cs="Times New Roman"/>
                      <w:kern w:val="2"/>
                      <w:sz w:val="21"/>
                      <w:szCs w:val="21"/>
                      <w:lang w:eastAsia="zh-CN"/>
                    </w:rPr>
                    <w:t>秋冬季重污染天气消除攻坚战行动方案</w:t>
                  </w:r>
                </w:p>
              </w:tc>
              <w:tc>
                <w:tcPr>
                  <w:tcW w:w="4611" w:type="dxa"/>
                  <w:vAlign w:val="center"/>
                </w:tcPr>
                <w:p>
                  <w:pPr>
                    <w:tabs>
                      <w:tab w:val="left" w:pos="705"/>
                    </w:tabs>
                    <w:spacing w:line="240" w:lineRule="auto"/>
                    <w:jc w:val="both"/>
                    <w:rPr>
                      <w:rFonts w:hint="eastAsia" w:ascii="宋体" w:hAnsi="宋体" w:eastAsia="宋体" w:cs="宋体"/>
                      <w:sz w:val="24"/>
                      <w:szCs w:val="24"/>
                      <w:vertAlign w:val="baseline"/>
                    </w:rPr>
                  </w:pPr>
                  <w:r>
                    <w:rPr>
                      <w:rFonts w:ascii="Times New Roman" w:hAnsi="Times New Roman" w:cs="Times New Roman"/>
                      <w:sz w:val="21"/>
                      <w:szCs w:val="21"/>
                      <w:lang w:eastAsia="zh-CN"/>
                    </w:rPr>
                    <w:t>遏制“两高”项目盲目发展。严格落实国家产业规划、产业政策、“三线一单”、规划环评，以及产能置换、煤炭消费减量替代、区域污染物削减等要求，严把高耗能、高排放、低水平项目准入关口。全省大气污染防治重点区域禁止新增钢铁、电解铝、氧化铝、水泥熟料、平板玻璃（光伏压延玻璃除外）、煤化工、焦化、铝用炭素、含烧结工序的耐火材料和砖瓦制品等行业产能，合理控制煤制油气产能规模，严控新增炼油产能。强化项目环评及“三同时”管理，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新建、改建、扩建项目大宗货物年货运量150万吨及以上的，原则上要接入铁路专用线或管道；具有铁路专用线的，大宗货物铁路运输比例应达到 80%以上。</w:t>
                  </w:r>
                </w:p>
              </w:tc>
              <w:tc>
                <w:tcPr>
                  <w:tcW w:w="2111" w:type="dxa"/>
                  <w:vAlign w:val="center"/>
                </w:tcPr>
                <w:p>
                  <w:pPr>
                    <w:tabs>
                      <w:tab w:val="left" w:pos="705"/>
                    </w:tabs>
                    <w:spacing w:line="240" w:lineRule="auto"/>
                    <w:jc w:val="both"/>
                    <w:rPr>
                      <w:rFonts w:hint="eastAsia" w:ascii="宋体" w:hAnsi="宋体" w:eastAsia="宋体" w:cs="宋体"/>
                      <w:sz w:val="24"/>
                      <w:szCs w:val="24"/>
                      <w:vertAlign w:val="baseline"/>
                    </w:rPr>
                  </w:pPr>
                  <w:r>
                    <w:rPr>
                      <w:rFonts w:hint="eastAsia" w:ascii="Times New Roman" w:hAnsi="Times New Roman" w:eastAsia="宋体" w:cs="Times New Roman"/>
                      <w:color w:val="auto"/>
                      <w:sz w:val="21"/>
                      <w:szCs w:val="21"/>
                      <w:u w:val="none" w:color="auto"/>
                      <w:vertAlign w:val="baseline"/>
                      <w:lang w:eastAsia="zh-CN"/>
                    </w:rPr>
                    <w:t>本项目属于C2770卫生材料及医药用品制造，</w:t>
                  </w:r>
                  <w:r>
                    <w:rPr>
                      <w:rFonts w:hint="eastAsia" w:ascii="Times New Roman" w:hAnsi="Times New Roman" w:eastAsia="宋体" w:cs="Times New Roman"/>
                      <w:color w:val="auto"/>
                      <w:sz w:val="21"/>
                      <w:szCs w:val="21"/>
                      <w:u w:val="none" w:color="auto"/>
                      <w:vertAlign w:val="baseline"/>
                      <w:lang w:val="en-US" w:eastAsia="zh-CN"/>
                    </w:rPr>
                    <w:t>不属于</w:t>
                  </w:r>
                  <w:r>
                    <w:rPr>
                      <w:rFonts w:hint="default" w:ascii="Times New Roman" w:hAnsi="Times New Roman" w:eastAsia="宋体" w:cs="Times New Roman"/>
                      <w:color w:val="auto"/>
                      <w:sz w:val="21"/>
                      <w:szCs w:val="21"/>
                      <w:u w:val="none"/>
                      <w:vertAlign w:val="baseline"/>
                    </w:rPr>
                    <w:t>国家、省绩效分级重点行业</w:t>
                  </w:r>
                  <w:r>
                    <w:rPr>
                      <w:rFonts w:hint="eastAsia" w:ascii="Times New Roman" w:hAnsi="Times New Roman" w:eastAsia="宋体" w:cs="Times New Roman"/>
                      <w:color w:val="auto"/>
                      <w:sz w:val="21"/>
                      <w:szCs w:val="21"/>
                      <w:u w:val="none"/>
                      <w:vertAlign w:val="baseline"/>
                      <w:lang w:eastAsia="zh-CN"/>
                    </w:rPr>
                    <w:t>，</w:t>
                  </w:r>
                  <w:r>
                    <w:rPr>
                      <w:rFonts w:hint="eastAsia" w:ascii="Times New Roman" w:hAnsi="Times New Roman" w:eastAsia="宋体" w:cs="Times New Roman"/>
                      <w:color w:val="auto"/>
                      <w:sz w:val="21"/>
                      <w:szCs w:val="21"/>
                      <w:u w:val="none" w:color="auto"/>
                      <w:vertAlign w:val="baseline"/>
                      <w:lang w:eastAsia="zh-CN"/>
                    </w:rPr>
                    <w:t>本项目经后文分析</w:t>
                  </w:r>
                  <w:r>
                    <w:rPr>
                      <w:rFonts w:hint="eastAsia" w:ascii="Times New Roman" w:hAnsi="Times New Roman" w:eastAsia="宋体" w:cs="Times New Roman"/>
                      <w:color w:val="auto"/>
                      <w:sz w:val="21"/>
                      <w:szCs w:val="21"/>
                      <w:u w:val="none" w:color="auto"/>
                      <w:vertAlign w:val="baseline"/>
                      <w:lang w:val="en-US" w:eastAsia="zh-CN"/>
                    </w:rPr>
                    <w:t>可知，能</w:t>
                  </w:r>
                  <w:r>
                    <w:rPr>
                      <w:rFonts w:hint="eastAsia" w:ascii="Times New Roman" w:hAnsi="Times New Roman" w:eastAsia="宋体" w:cs="Times New Roman"/>
                      <w:color w:val="auto"/>
                      <w:sz w:val="21"/>
                      <w:szCs w:val="21"/>
                      <w:u w:val="none" w:color="auto"/>
                      <w:vertAlign w:val="baseline"/>
                      <w:lang w:eastAsia="zh-CN"/>
                    </w:rPr>
                    <w:t>达到</w:t>
                  </w:r>
                  <w:r>
                    <w:rPr>
                      <w:rFonts w:hint="eastAsia" w:ascii="Times New Roman" w:hAnsi="Times New Roman" w:eastAsia="宋体" w:cs="Times New Roman"/>
                      <w:color w:val="auto"/>
                      <w:sz w:val="21"/>
                      <w:szCs w:val="21"/>
                      <w:u w:val="none" w:color="auto"/>
                      <w:vertAlign w:val="baseline"/>
                      <w:lang w:val="en-US" w:eastAsia="zh-CN"/>
                    </w:rPr>
                    <w:t>河南省重污染天气通用行业相关要求</w:t>
                  </w:r>
                  <w:r>
                    <w:rPr>
                      <w:rFonts w:hint="eastAsia" w:ascii="Times New Roman" w:hAnsi="Times New Roman" w:eastAsia="宋体" w:cs="Times New Roman"/>
                      <w:color w:val="auto"/>
                      <w:sz w:val="21"/>
                      <w:szCs w:val="21"/>
                      <w:u w:val="none" w:color="auto"/>
                      <w:vertAlign w:val="baseline"/>
                      <w:lang w:eastAsia="zh-CN"/>
                    </w:rPr>
                    <w:t>，本项目不属于禁止建设类企业。</w:t>
                  </w:r>
                </w:p>
              </w:tc>
              <w:tc>
                <w:tcPr>
                  <w:tcW w:w="853" w:type="dxa"/>
                  <w:vAlign w:val="center"/>
                </w:tcPr>
                <w:p>
                  <w:pPr>
                    <w:spacing w:line="240" w:lineRule="auto"/>
                    <w:jc w:val="center"/>
                    <w:rPr>
                      <w:rFonts w:hint="eastAsia" w:ascii="宋体" w:hAnsi="宋体" w:eastAsia="宋体" w:cs="宋体"/>
                      <w:sz w:val="24"/>
                      <w:szCs w:val="24"/>
                      <w:vertAlign w:val="baseline"/>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加快落后产能淘汰</w:t>
                  </w:r>
                </w:p>
              </w:tc>
              <w:tc>
                <w:tcPr>
                  <w:tcW w:w="46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2022年5月底前，市工业和信息化局制定2022年度淘汰落后产能工作方案，并组织开展排查整治专项行动，深入排查全市重点涉气行业限制类工艺设备和落后产能，依法依规推进低效率、高耗能、高污染工艺和设备关闭退出，2022年10月底前，完成淘汰任务</w:t>
                  </w:r>
                  <w:r>
                    <w:rPr>
                      <w:rFonts w:hint="eastAsia" w:ascii="Times New Roman" w:hAnsi="Times New Roman" w:eastAsia="宋体" w:cs="Times New Roman"/>
                      <w:color w:val="auto"/>
                      <w:sz w:val="21"/>
                      <w:szCs w:val="21"/>
                      <w:u w:val="none"/>
                      <w:vertAlign w:val="baseline"/>
                      <w:lang w:eastAsia="zh-CN"/>
                    </w:rPr>
                    <w:t>。</w:t>
                  </w:r>
                </w:p>
              </w:tc>
              <w:tc>
                <w:tcPr>
                  <w:tcW w:w="211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本项目不属于落后产能</w:t>
                  </w:r>
                  <w:r>
                    <w:rPr>
                      <w:rFonts w:hint="default" w:ascii="Times New Roman" w:hAnsi="Times New Roman" w:eastAsia="宋体" w:cs="Times New Roman"/>
                      <w:color w:val="auto"/>
                      <w:sz w:val="21"/>
                      <w:szCs w:val="21"/>
                      <w:u w:val="none"/>
                      <w:vertAlign w:val="baseline"/>
                      <w:lang w:eastAsia="zh-CN"/>
                    </w:rPr>
                    <w:t>项目</w:t>
                  </w:r>
                </w:p>
              </w:tc>
              <w:tc>
                <w:tcPr>
                  <w:tcW w:w="85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强化重点行业绩效分级</w:t>
                  </w:r>
                </w:p>
              </w:tc>
              <w:tc>
                <w:tcPr>
                  <w:tcW w:w="46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将涉气工业企业全部纳入减排清单，制定“一厂一策”差异化管控措施，实现企业绩效分级管理全覆盖。排查摸底重点行业企业治理现状，分行业分类别建立提升培育企业清单，2022年4月份开始进行帮扶指导，指导企业开展清洁生产技术改造，提升污染治理水平，推动更多企业达到A级、B级和绩效引领水平。在重污染天气预警期间，实施科学精准差异化管控措施，对提升达标无望的D级企业在2022年采暖季期间实施生产调控。</w:t>
                  </w:r>
                </w:p>
              </w:tc>
              <w:tc>
                <w:tcPr>
                  <w:tcW w:w="211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本项目属于</w:t>
                  </w:r>
                  <w:r>
                    <w:rPr>
                      <w:rFonts w:hint="eastAsia" w:ascii="Times New Roman" w:hAnsi="Times New Roman" w:eastAsia="宋体" w:cs="Times New Roman"/>
                      <w:color w:val="auto"/>
                      <w:sz w:val="21"/>
                      <w:szCs w:val="21"/>
                      <w:u w:val="none" w:color="auto"/>
                      <w:vertAlign w:val="baseline"/>
                      <w:lang w:eastAsia="zh-CN"/>
                    </w:rPr>
                    <w:t>C2770卫生材料及医药用品制造</w:t>
                  </w:r>
                  <w:r>
                    <w:rPr>
                      <w:rFonts w:hint="eastAsia" w:ascii="Times New Roman" w:hAnsi="Times New Roman" w:eastAsia="宋体" w:cs="Times New Roman"/>
                      <w:color w:val="auto"/>
                      <w:sz w:val="21"/>
                      <w:szCs w:val="21"/>
                      <w:u w:val="none"/>
                      <w:vertAlign w:val="baseline"/>
                      <w:lang w:eastAsia="zh-CN"/>
                    </w:rPr>
                    <w:t>，</w:t>
                  </w:r>
                  <w:r>
                    <w:rPr>
                      <w:rFonts w:hint="eastAsia" w:ascii="Times New Roman" w:hAnsi="Times New Roman" w:eastAsia="宋体" w:cs="Times New Roman"/>
                      <w:color w:val="auto"/>
                      <w:sz w:val="21"/>
                      <w:szCs w:val="21"/>
                      <w:u w:val="none" w:color="auto"/>
                      <w:vertAlign w:val="baseline"/>
                      <w:lang w:eastAsia="zh-CN"/>
                    </w:rPr>
                    <w:t>本项目经后文分析</w:t>
                  </w:r>
                  <w:r>
                    <w:rPr>
                      <w:rFonts w:hint="eastAsia" w:ascii="Times New Roman" w:hAnsi="Times New Roman" w:eastAsia="宋体" w:cs="Times New Roman"/>
                      <w:color w:val="auto"/>
                      <w:sz w:val="21"/>
                      <w:szCs w:val="21"/>
                      <w:u w:val="none" w:color="auto"/>
                      <w:vertAlign w:val="baseline"/>
                      <w:lang w:val="en-US" w:eastAsia="zh-CN"/>
                    </w:rPr>
                    <w:t>可知，能</w:t>
                  </w:r>
                  <w:r>
                    <w:rPr>
                      <w:rFonts w:hint="eastAsia" w:ascii="Times New Roman" w:hAnsi="Times New Roman" w:eastAsia="宋体" w:cs="Times New Roman"/>
                      <w:color w:val="auto"/>
                      <w:sz w:val="21"/>
                      <w:szCs w:val="21"/>
                      <w:u w:val="none" w:color="auto"/>
                      <w:vertAlign w:val="baseline"/>
                      <w:lang w:eastAsia="zh-CN"/>
                    </w:rPr>
                    <w:t>达到</w:t>
                  </w:r>
                  <w:r>
                    <w:rPr>
                      <w:rFonts w:hint="eastAsia" w:ascii="Times New Roman" w:hAnsi="Times New Roman" w:eastAsia="宋体" w:cs="Times New Roman"/>
                      <w:color w:val="auto"/>
                      <w:sz w:val="21"/>
                      <w:szCs w:val="21"/>
                      <w:u w:val="none" w:color="auto"/>
                      <w:vertAlign w:val="baseline"/>
                      <w:lang w:val="en-US" w:eastAsia="zh-CN"/>
                    </w:rPr>
                    <w:t>河南省重污染天气通用行业相关要求</w:t>
                  </w:r>
                  <w:r>
                    <w:rPr>
                      <w:rFonts w:hint="eastAsia" w:ascii="Times New Roman" w:hAnsi="Times New Roman" w:eastAsia="宋体" w:cs="Times New Roman"/>
                      <w:color w:val="auto"/>
                      <w:sz w:val="21"/>
                      <w:szCs w:val="21"/>
                      <w:u w:val="none"/>
                      <w:vertAlign w:val="baseline"/>
                      <w:lang w:eastAsia="zh-CN"/>
                    </w:rPr>
                    <w:t>。</w:t>
                  </w:r>
                </w:p>
              </w:tc>
              <w:tc>
                <w:tcPr>
                  <w:tcW w:w="85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巩固工业企业治理成效</w:t>
                  </w:r>
                </w:p>
              </w:tc>
              <w:tc>
                <w:tcPr>
                  <w:tcW w:w="46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实施重点行业NOx等污染物深度治理，确保燃煤自备电厂、日用玻璃、耐火材料、金属冶炼、砖瓦窑、陶瓷、碳素、石灰等行业全面稳定达标排放。2022年5月底前对各类工业炉窑治理成效进行“回头看”，建立炉窑清单，实施“一炉一策”精细化管理。加强工业企业无组织排放管控，对涉及生产过程中的物料运输、装卸储存、厂内转移与输送、物料加工与处理等各生产环节实施无组织排放精准治理，实现全封闭贮存及运输，2022年5月底前，完成工业企业无组织治理摸底排查，7月底前，完成排查问题整治。</w:t>
                  </w:r>
                </w:p>
              </w:tc>
              <w:tc>
                <w:tcPr>
                  <w:tcW w:w="2111" w:type="dxa"/>
                  <w:shd w:val="clear" w:color="auto" w:fill="auto"/>
                  <w:vAlign w:val="center"/>
                </w:tcPr>
                <w:p>
                  <w:pPr>
                    <w:tabs>
                      <w:tab w:val="left" w:pos="705"/>
                    </w:tabs>
                    <w:spacing w:line="240" w:lineRule="auto"/>
                    <w:jc w:val="center"/>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lang w:eastAsia="zh-CN"/>
                    </w:rPr>
                    <w:t>本项目不属于重点行业，不涉及工业炉窑，不属于涉</w:t>
                  </w:r>
                  <w:r>
                    <w:rPr>
                      <w:rFonts w:hint="default" w:ascii="Times New Roman" w:hAnsi="Times New Roman" w:eastAsia="宋体" w:cs="Times New Roman"/>
                      <w:color w:val="auto"/>
                      <w:sz w:val="21"/>
                      <w:szCs w:val="21"/>
                      <w:u w:val="none"/>
                      <w:vertAlign w:val="baseline"/>
                    </w:rPr>
                    <w:t>NOx</w:t>
                  </w:r>
                  <w:r>
                    <w:rPr>
                      <w:rFonts w:hint="default" w:ascii="Times New Roman" w:hAnsi="Times New Roman" w:eastAsia="宋体" w:cs="Times New Roman"/>
                      <w:color w:val="auto"/>
                      <w:sz w:val="21"/>
                      <w:szCs w:val="21"/>
                      <w:u w:val="none"/>
                      <w:vertAlign w:val="baseline"/>
                      <w:lang w:eastAsia="zh-CN"/>
                    </w:rPr>
                    <w:t>治理的重点行业</w:t>
                  </w:r>
                  <w:r>
                    <w:rPr>
                      <w:rFonts w:hint="default" w:ascii="Times New Roman" w:hAnsi="Times New Roman" w:eastAsia="宋体" w:cs="Times New Roman"/>
                      <w:color w:val="auto"/>
                      <w:sz w:val="21"/>
                      <w:szCs w:val="21"/>
                      <w:u w:val="none"/>
                      <w:vertAlign w:val="baseline"/>
                    </w:rPr>
                    <w:t>。</w:t>
                  </w:r>
                  <w:r>
                    <w:rPr>
                      <w:rFonts w:hint="default" w:ascii="Times New Roman" w:hAnsi="Times New Roman" w:eastAsia="宋体" w:cs="Times New Roman"/>
                      <w:color w:val="auto"/>
                      <w:sz w:val="21"/>
                      <w:szCs w:val="21"/>
                      <w:u w:val="none"/>
                      <w:vertAlign w:val="baseline"/>
                      <w:lang w:val="en-US" w:eastAsia="zh-CN"/>
                    </w:rPr>
                    <w:t>本项目使用电加热。</w:t>
                  </w:r>
                </w:p>
              </w:tc>
              <w:tc>
                <w:tcPr>
                  <w:tcW w:w="853" w:type="dxa"/>
                  <w:shd w:val="clear" w:color="auto" w:fill="auto"/>
                  <w:vAlign w:val="center"/>
                </w:tcPr>
                <w:p>
                  <w:pPr>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强化VOCs无组织排放整治</w:t>
                  </w:r>
                </w:p>
              </w:tc>
              <w:tc>
                <w:tcPr>
                  <w:tcW w:w="46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2022年5月底前，全面排查含VOCs物料储存、转移和输送、设备与管线组件、敞开液面以及工艺过程等环节无组织排放情况，组织开展VOCs抽测，开展工业涂装、印刷行业挥发性有机物排放标准执行情况检查，对达不到相关标准要求的问题进行整治。石化、制药、农药行业重点治理储罐配件失效，装载和污水处理密闭收集效果差，装置区废水预处理池、废水储罐废气未收集，LDAR不符合标准规范等问题；工业涂装、包装印刷等行业重点治理集气罩收集效果差、含VOCs原辅材料和废料储存不密闭等问题。</w:t>
                  </w:r>
                </w:p>
              </w:tc>
              <w:tc>
                <w:tcPr>
                  <w:tcW w:w="2111" w:type="dxa"/>
                  <w:shd w:val="clear" w:color="auto" w:fill="auto"/>
                  <w:vAlign w:val="center"/>
                </w:tcPr>
                <w:p>
                  <w:pPr>
                    <w:tabs>
                      <w:tab w:val="left" w:pos="705"/>
                    </w:tabs>
                    <w:spacing w:line="240" w:lineRule="auto"/>
                    <w:jc w:val="center"/>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b w:val="0"/>
                      <w:bCs w:val="0"/>
                      <w:sz w:val="21"/>
                      <w:szCs w:val="21"/>
                      <w:u w:val="none"/>
                    </w:rPr>
                    <w:t>本项目为</w:t>
                  </w:r>
                  <w:r>
                    <w:rPr>
                      <w:rFonts w:hint="default" w:ascii="Times New Roman" w:hAnsi="Times New Roman" w:eastAsia="宋体" w:cs="Times New Roman"/>
                      <w:b w:val="0"/>
                      <w:bCs w:val="0"/>
                      <w:sz w:val="21"/>
                      <w:szCs w:val="21"/>
                      <w:u w:val="none"/>
                      <w:lang w:val="en-US" w:eastAsia="zh-CN"/>
                    </w:rPr>
                    <w:t>新建项目</w:t>
                  </w:r>
                  <w:r>
                    <w:rPr>
                      <w:rFonts w:hint="default" w:ascii="Times New Roman" w:hAnsi="Times New Roman" w:eastAsia="宋体" w:cs="Times New Roman"/>
                      <w:b w:val="0"/>
                      <w:bCs w:val="0"/>
                      <w:sz w:val="21"/>
                      <w:szCs w:val="21"/>
                      <w:u w:val="none"/>
                    </w:rPr>
                    <w:t>，位于河南省南阳市卧龙区蒲山镇</w:t>
                  </w:r>
                  <w:r>
                    <w:rPr>
                      <w:rFonts w:hint="default" w:ascii="Times New Roman" w:hAnsi="Times New Roman" w:eastAsia="宋体" w:cs="Times New Roman"/>
                      <w:b w:val="0"/>
                      <w:bCs w:val="0"/>
                      <w:sz w:val="21"/>
                      <w:szCs w:val="21"/>
                      <w:u w:val="none"/>
                      <w:lang w:eastAsia="zh-CN"/>
                    </w:rPr>
                    <w:t>田营村卧龙艾草产业园</w:t>
                  </w:r>
                  <w:r>
                    <w:rPr>
                      <w:rFonts w:hint="default" w:ascii="Times New Roman" w:hAnsi="Times New Roman" w:eastAsia="宋体" w:cs="Times New Roman"/>
                      <w:b w:val="0"/>
                      <w:bCs w:val="0"/>
                      <w:sz w:val="21"/>
                      <w:szCs w:val="21"/>
                      <w:u w:val="none"/>
                    </w:rPr>
                    <w:t>，</w:t>
                  </w:r>
                  <w:r>
                    <w:rPr>
                      <w:rFonts w:hint="default" w:ascii="Times New Roman" w:hAnsi="Times New Roman" w:cs="Times New Roman"/>
                      <w:bCs/>
                      <w:color w:val="000000" w:themeColor="text1"/>
                      <w:sz w:val="21"/>
                      <w:szCs w:val="21"/>
                      <w14:textFill>
                        <w14:solidFill>
                          <w14:schemeClr w14:val="tx1"/>
                        </w14:solidFill>
                      </w14:textFill>
                    </w:rPr>
                    <w:t>本项目涂布机、干复机工作台以上进行二次密闭，</w:t>
                  </w:r>
                  <w:r>
                    <w:rPr>
                      <w:rFonts w:hint="eastAsia" w:cs="Times New Roman"/>
                      <w:bCs/>
                      <w:color w:val="000000" w:themeColor="text1"/>
                      <w:sz w:val="21"/>
                      <w:szCs w:val="21"/>
                      <w:lang w:eastAsia="zh-CN"/>
                      <w14:textFill>
                        <w14:solidFill>
                          <w14:schemeClr w14:val="tx1"/>
                        </w14:solidFill>
                      </w14:textFill>
                    </w:rPr>
                    <w:t>烘干机</w:t>
                  </w:r>
                  <w:r>
                    <w:rPr>
                      <w:rFonts w:hint="default" w:ascii="Times New Roman" w:hAnsi="Times New Roman" w:cs="Times New Roman"/>
                      <w:bCs/>
                      <w:color w:val="000000" w:themeColor="text1"/>
                      <w:sz w:val="21"/>
                      <w:szCs w:val="21"/>
                      <w14:textFill>
                        <w14:solidFill>
                          <w14:schemeClr w14:val="tx1"/>
                        </w14:solidFill>
                      </w14:textFill>
                    </w:rPr>
                    <w:t>密闭，均采取负压集气，产生的有机废气经配套管道收集后经管道引至一套“二级活性炭吸附”装置处理后通过1根</w:t>
                  </w:r>
                  <w:r>
                    <w:rPr>
                      <w:rFonts w:hint="eastAsia" w:cs="Times New Roman"/>
                      <w:bCs/>
                      <w:color w:val="000000" w:themeColor="text1"/>
                      <w:sz w:val="21"/>
                      <w:szCs w:val="21"/>
                      <w:lang w:val="en-US" w:eastAsia="zh-CN"/>
                      <w14:textFill>
                        <w14:solidFill>
                          <w14:schemeClr w14:val="tx1"/>
                        </w14:solidFill>
                      </w14:textFill>
                    </w:rPr>
                    <w:t>23</w:t>
                  </w:r>
                  <w:r>
                    <w:rPr>
                      <w:rFonts w:hint="default" w:ascii="Times New Roman" w:hAnsi="Times New Roman" w:cs="Times New Roman"/>
                      <w:bCs/>
                      <w:color w:val="000000" w:themeColor="text1"/>
                      <w:sz w:val="21"/>
                      <w:szCs w:val="21"/>
                      <w14:textFill>
                        <w14:solidFill>
                          <w14:schemeClr w14:val="tx1"/>
                        </w14:solidFill>
                      </w14:textFill>
                    </w:rPr>
                    <w:t>m排气筒排放</w:t>
                  </w:r>
                  <w:r>
                    <w:rPr>
                      <w:rFonts w:hint="default" w:ascii="Times New Roman" w:hAnsi="Times New Roman" w:cs="Times New Roman"/>
                      <w:b w:val="0"/>
                      <w:bCs w:val="0"/>
                      <w:sz w:val="21"/>
                      <w:szCs w:val="21"/>
                      <w:u w:val="none"/>
                      <w:lang w:val="en-US" w:eastAsia="zh-CN"/>
                    </w:rPr>
                    <w:t>。</w:t>
                  </w:r>
                </w:p>
              </w:tc>
              <w:tc>
                <w:tcPr>
                  <w:tcW w:w="853"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加强扬尘综合</w:t>
                  </w:r>
                </w:p>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治理</w:t>
                  </w:r>
                </w:p>
              </w:tc>
              <w:tc>
                <w:tcPr>
                  <w:tcW w:w="461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深入开展扬尘治理专项行动，严格按照《城市房屋建筑和市政基础设施工程及道路扬尘污染差异化评价标准》《河南省房屋建筑和市政基础设施工程扬尘治理监控平台数据接入标准》要求，提升工地扬尘治理智慧化水平，扬尘监测设备数据质量要真实有效。对各类施工工地实行清单化动态管理，强化开复工验收、“三员”管理、“两个禁止”等扬尘治理制度机制，做到“十个百分之百”，工地门口设置管理公示牌，明确管理人员、执法人员。实施降尘监测考核，2022年中心城区和各县市区平均降尘量不得高于8吨/月·平方公里。对城市公共区域、长期未开发建设裸地，以及废旧厂区、物流园、大型停车场等进行全面排查，建立清单台账，2022年8月前，对防尘措施不到位的完成整改。排查建立大型煤炭、矿石等干散货物料堆场清单台账，2022年10月底前完成抑尘设施建设和物料输送系统封闭改造。</w:t>
                  </w:r>
                </w:p>
              </w:tc>
              <w:tc>
                <w:tcPr>
                  <w:tcW w:w="21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项目</w:t>
                  </w:r>
                  <w:r>
                    <w:rPr>
                      <w:rFonts w:hint="eastAsia" w:ascii="Times New Roman" w:hAnsi="Times New Roman" w:eastAsia="宋体" w:cs="Times New Roman"/>
                      <w:color w:val="auto"/>
                      <w:sz w:val="21"/>
                      <w:szCs w:val="21"/>
                      <w:u w:val="none"/>
                      <w:vertAlign w:val="baseline"/>
                      <w:lang w:val="en-US" w:eastAsia="zh-CN"/>
                    </w:rPr>
                    <w:t>利用现有厂房，</w:t>
                  </w:r>
                  <w:r>
                    <w:rPr>
                      <w:rFonts w:hint="eastAsia" w:ascii="Times New Roman" w:hAnsi="Times New Roman" w:eastAsia="宋体" w:cs="Times New Roman"/>
                      <w:color w:val="auto"/>
                      <w:sz w:val="21"/>
                      <w:szCs w:val="21"/>
                      <w:u w:val="none"/>
                      <w:vertAlign w:val="baseline"/>
                      <w:lang w:eastAsia="zh-CN"/>
                    </w:rPr>
                    <w:t>施工期</w:t>
                  </w:r>
                  <w:r>
                    <w:rPr>
                      <w:rFonts w:hint="eastAsia" w:ascii="Times New Roman" w:hAnsi="Times New Roman" w:eastAsia="宋体" w:cs="Times New Roman"/>
                      <w:color w:val="auto"/>
                      <w:sz w:val="21"/>
                      <w:szCs w:val="21"/>
                      <w:u w:val="none"/>
                      <w:vertAlign w:val="baseline"/>
                      <w:lang w:val="en-US" w:eastAsia="zh-CN"/>
                    </w:rPr>
                    <w:t>仅为设备的安装，不会产生扬尘。</w:t>
                  </w:r>
                </w:p>
              </w:tc>
              <w:tc>
                <w:tcPr>
                  <w:tcW w:w="853"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51"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综合治理恶臭突出环境问题</w:t>
                  </w:r>
                </w:p>
              </w:tc>
              <w:tc>
                <w:tcPr>
                  <w:tcW w:w="4611" w:type="dxa"/>
                  <w:shd w:val="clear" w:color="auto" w:fill="auto"/>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color w:val="auto"/>
                      <w:sz w:val="21"/>
                      <w:szCs w:val="21"/>
                      <w:u w:val="none"/>
                      <w:vertAlign w:val="baseline"/>
                    </w:rPr>
                    <w:t>加强污水处理、垃圾处理、畜禽养殖、橡胶、塑料制品、食品加工等行业恶臭污染治理。垃圾、污水集中式污染处理设施等加大装置密闭和废气收集力度，采取除臭措施；规模化畜禽养殖企业（场）应加强粪污收集和处理，采取恶臭气体和氨排放治理措施；橡胶、塑料、食品加工等行业强化恶臭气体收集和治理。</w:t>
                  </w:r>
                </w:p>
              </w:tc>
              <w:tc>
                <w:tcPr>
                  <w:tcW w:w="2111" w:type="dxa"/>
                  <w:shd w:val="clear" w:color="auto" w:fill="auto"/>
                  <w:vAlign w:val="center"/>
                </w:tcPr>
                <w:p>
                  <w:pPr>
                    <w:tabs>
                      <w:tab w:val="left" w:pos="705"/>
                    </w:tabs>
                    <w:spacing w:line="240" w:lineRule="auto"/>
                    <w:jc w:val="both"/>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b w:val="0"/>
                      <w:bCs/>
                      <w:i w:val="0"/>
                      <w:iCs w:val="0"/>
                      <w:color w:val="auto"/>
                      <w:sz w:val="21"/>
                      <w:szCs w:val="21"/>
                      <w:u w:val="none"/>
                      <w:lang w:eastAsia="zh-CN"/>
                    </w:rPr>
                    <w:t>生活污水由园区配套的化粪池</w:t>
                  </w:r>
                  <w:r>
                    <w:rPr>
                      <w:rFonts w:hint="eastAsia" w:cs="Times New Roman"/>
                      <w:b w:val="0"/>
                      <w:bCs/>
                      <w:i w:val="0"/>
                      <w:iCs w:val="0"/>
                      <w:color w:val="auto"/>
                      <w:sz w:val="21"/>
                      <w:szCs w:val="21"/>
                      <w:u w:val="none"/>
                      <w:lang w:eastAsia="zh-CN"/>
                    </w:rPr>
                    <w:t>（</w:t>
                  </w:r>
                  <w:r>
                    <w:rPr>
                      <w:rFonts w:hint="eastAsia" w:cs="Times New Roman"/>
                      <w:b w:val="0"/>
                      <w:bCs/>
                      <w:i w:val="0"/>
                      <w:iCs w:val="0"/>
                      <w:color w:val="auto"/>
                      <w:sz w:val="21"/>
                      <w:szCs w:val="21"/>
                      <w:u w:val="none"/>
                      <w:lang w:val="en-US" w:eastAsia="zh-CN"/>
                    </w:rPr>
                    <w:t>10m³</w:t>
                  </w:r>
                  <w:r>
                    <w:rPr>
                      <w:rFonts w:hint="eastAsia" w:cs="Times New Roman"/>
                      <w:b w:val="0"/>
                      <w:bCs/>
                      <w:i w:val="0"/>
                      <w:iCs w:val="0"/>
                      <w:color w:val="auto"/>
                      <w:sz w:val="21"/>
                      <w:szCs w:val="21"/>
                      <w:u w:val="none"/>
                      <w:lang w:eastAsia="zh-CN"/>
                    </w:rPr>
                    <w:t>）</w:t>
                  </w:r>
                  <w:r>
                    <w:rPr>
                      <w:rFonts w:hint="eastAsia" w:ascii="Times New Roman" w:hAnsi="Times New Roman" w:eastAsia="宋体" w:cs="Times New Roman"/>
                      <w:b w:val="0"/>
                      <w:bCs/>
                      <w:i w:val="0"/>
                      <w:iCs w:val="0"/>
                      <w:color w:val="auto"/>
                      <w:sz w:val="21"/>
                      <w:szCs w:val="21"/>
                      <w:u w:val="none"/>
                      <w:lang w:eastAsia="zh-CN"/>
                    </w:rPr>
                    <w:t>处理后，进入</w:t>
                  </w:r>
                  <w:r>
                    <w:rPr>
                      <w:rFonts w:hint="eastAsia" w:cs="Times New Roman"/>
                      <w:b w:val="0"/>
                      <w:bCs/>
                      <w:i w:val="0"/>
                      <w:iCs w:val="0"/>
                      <w:color w:val="auto"/>
                      <w:sz w:val="21"/>
                      <w:szCs w:val="21"/>
                      <w:u w:val="none"/>
                      <w:lang w:eastAsia="zh-CN"/>
                    </w:rPr>
                    <w:t>艾草产业园污水处理设备</w:t>
                  </w:r>
                  <w:r>
                    <w:rPr>
                      <w:rFonts w:hint="eastAsia" w:ascii="Times New Roman" w:hAnsi="Times New Roman" w:eastAsia="宋体" w:cs="Times New Roman"/>
                      <w:b w:val="0"/>
                      <w:bCs/>
                      <w:i w:val="0"/>
                      <w:iCs w:val="0"/>
                      <w:color w:val="auto"/>
                      <w:sz w:val="21"/>
                      <w:szCs w:val="21"/>
                      <w:u w:val="none"/>
                      <w:lang w:eastAsia="zh-CN"/>
                    </w:rPr>
                    <w:t>，达标后</w:t>
                  </w:r>
                  <w:r>
                    <w:rPr>
                      <w:rFonts w:hint="eastAsia" w:cs="Times New Roman"/>
                      <w:b w:val="0"/>
                      <w:bCs/>
                      <w:i w:val="0"/>
                      <w:iCs w:val="0"/>
                      <w:color w:val="auto"/>
                      <w:sz w:val="21"/>
                      <w:szCs w:val="21"/>
                      <w:u w:val="none"/>
                      <w:lang w:eastAsia="zh-CN"/>
                    </w:rPr>
                    <w:t>经城镇污水管网排入泗水河</w:t>
                  </w:r>
                  <w:r>
                    <w:rPr>
                      <w:rFonts w:hint="eastAsia" w:ascii="Times New Roman" w:hAnsi="Times New Roman" w:eastAsia="宋体" w:cs="Times New Roman"/>
                      <w:b w:val="0"/>
                      <w:bCs w:val="0"/>
                      <w:color w:val="auto"/>
                      <w:sz w:val="21"/>
                      <w:szCs w:val="21"/>
                      <w:u w:val="none"/>
                      <w:lang w:eastAsia="zh-CN"/>
                    </w:rPr>
                    <w:t>。</w:t>
                  </w:r>
                </w:p>
              </w:tc>
              <w:tc>
                <w:tcPr>
                  <w:tcW w:w="853" w:type="dxa"/>
                  <w:shd w:val="clear" w:color="auto" w:fill="auto"/>
                  <w:vAlign w:val="center"/>
                </w:tcPr>
                <w:p>
                  <w:pPr>
                    <w:tabs>
                      <w:tab w:val="left" w:pos="705"/>
                    </w:tabs>
                    <w:spacing w:line="240" w:lineRule="auto"/>
                    <w:jc w:val="center"/>
                    <w:rPr>
                      <w:rFonts w:hint="eastAsia" w:ascii="Times New Roman" w:hAnsi="Times New Roman" w:eastAsia="宋体" w:cs="Times New Roman"/>
                      <w:color w:val="auto"/>
                      <w:kern w:val="2"/>
                      <w:sz w:val="21"/>
                      <w:szCs w:val="21"/>
                      <w:u w:val="none"/>
                      <w:vertAlign w:val="baseline"/>
                      <w:lang w:val="en-US" w:eastAsia="zh-CN" w:bidi="ar-SA"/>
                    </w:rPr>
                  </w:pPr>
                  <w:r>
                    <w:rPr>
                      <w:rFonts w:hint="eastAsia" w:ascii="Times New Roman" w:hAnsi="Times New Roman" w:eastAsia="宋体" w:cs="Times New Roman"/>
                      <w:color w:val="auto"/>
                      <w:sz w:val="21"/>
                      <w:szCs w:val="21"/>
                      <w:u w:val="none"/>
                      <w:vertAlign w:val="baseline"/>
                      <w:lang w:eastAsia="zh-CN"/>
                    </w:rPr>
                    <w:t>相符</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color w:val="auto"/>
                <w:sz w:val="24"/>
                <w:szCs w:val="24"/>
                <w:u w:val="none" w:color="auto"/>
                <w:lang w:val="en-US" w:eastAsia="zh-CN"/>
              </w:rPr>
            </w:pPr>
            <w:r>
              <w:rPr>
                <w:rFonts w:hint="eastAsia" w:ascii="宋体" w:hAnsi="宋体" w:eastAsia="宋体" w:cs="宋体"/>
                <w:sz w:val="24"/>
                <w:szCs w:val="24"/>
              </w:rPr>
              <w:t>综上所述，本项目建设符合</w:t>
            </w:r>
            <w:r>
              <w:rPr>
                <w:rFonts w:hint="default" w:ascii="Times New Roman" w:hAnsi="Times New Roman" w:eastAsia="宋体" w:cs="Times New Roman"/>
                <w:sz w:val="24"/>
                <w:szCs w:val="24"/>
              </w:rPr>
              <w:t>《南阳市202</w:t>
            </w:r>
            <w:r>
              <w:rPr>
                <w:rFonts w:hint="default" w:ascii="Times New Roman" w:hAnsi="Times New Roman" w:cs="Times New Roman"/>
                <w:sz w:val="24"/>
                <w:szCs w:val="24"/>
                <w:lang w:val="en-US" w:eastAsia="zh-CN"/>
              </w:rPr>
              <w:t>4</w:t>
            </w:r>
            <w:r>
              <w:rPr>
                <w:rFonts w:hint="default" w:ascii="Times New Roman" w:hAnsi="Times New Roman" w:eastAsia="宋体" w:cs="Times New Roman"/>
                <w:sz w:val="24"/>
                <w:szCs w:val="24"/>
              </w:rPr>
              <w:t>年大气污染防治攻坚战实施方案》中的相关要求</w:t>
            </w:r>
            <w:r>
              <w:rPr>
                <w:rFonts w:hint="default" w:ascii="Times New Roman" w:hAnsi="Times New Roman" w:eastAsia="宋体" w:cs="Times New Roman"/>
                <w:b w:val="0"/>
                <w:bCs/>
                <w:color w:val="auto"/>
                <w:sz w:val="24"/>
                <w:szCs w:val="24"/>
                <w:u w:val="none" w:color="auto"/>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Courier New"/>
                <w:b/>
                <w:bCs/>
                <w:color w:val="auto"/>
                <w:kern w:val="2"/>
                <w:sz w:val="24"/>
                <w:szCs w:val="24"/>
                <w:u w:val="none"/>
                <w:lang w:val="en-US" w:eastAsia="zh-CN" w:bidi="ar-SA"/>
              </w:rPr>
            </w:pPr>
            <w:r>
              <w:rPr>
                <w:rFonts w:hint="eastAsia" w:hAnsi="Courier New"/>
                <w:b/>
                <w:bCs/>
                <w:kern w:val="2"/>
                <w:sz w:val="24"/>
                <w:szCs w:val="24"/>
                <w:u w:val="none"/>
                <w:lang w:val="en-US" w:eastAsia="zh-CN" w:bidi="ar-SA"/>
              </w:rPr>
              <w:t>7</w:t>
            </w:r>
            <w:r>
              <w:rPr>
                <w:rFonts w:hint="eastAsia" w:ascii="Times New Roman" w:hAnsi="Courier New"/>
                <w:b/>
                <w:bCs/>
                <w:kern w:val="2"/>
                <w:sz w:val="24"/>
                <w:szCs w:val="24"/>
                <w:u w:val="none"/>
                <w:lang w:val="en-US" w:eastAsia="zh-CN" w:bidi="ar-SA"/>
              </w:rPr>
              <w:t>、</w:t>
            </w:r>
            <w:r>
              <w:rPr>
                <w:rFonts w:hint="default" w:ascii="Times New Roman" w:hAnsi="Times New Roman" w:eastAsia="宋体" w:cs="Times New Roman"/>
                <w:b/>
                <w:bCs/>
                <w:color w:val="auto"/>
                <w:sz w:val="24"/>
                <w:szCs w:val="24"/>
                <w:u w:val="none" w:color="auto"/>
                <w:lang w:val="en-US" w:eastAsia="zh-CN"/>
              </w:rPr>
              <w:t>项目建设</w:t>
            </w:r>
            <w:r>
              <w:rPr>
                <w:rFonts w:hint="eastAsia"/>
                <w:b/>
                <w:bCs/>
                <w:color w:val="auto"/>
                <w:sz w:val="24"/>
                <w:szCs w:val="24"/>
                <w:u w:val="none"/>
                <w:lang w:eastAsia="zh-CN"/>
              </w:rPr>
              <w:t>与《南阳市202</w:t>
            </w:r>
            <w:r>
              <w:rPr>
                <w:rFonts w:hint="eastAsia"/>
                <w:b/>
                <w:bCs/>
                <w:color w:val="auto"/>
                <w:sz w:val="24"/>
                <w:szCs w:val="24"/>
                <w:u w:val="none"/>
                <w:lang w:val="en-US" w:eastAsia="zh-CN"/>
              </w:rPr>
              <w:t>4</w:t>
            </w:r>
            <w:r>
              <w:rPr>
                <w:rFonts w:hint="eastAsia"/>
                <w:b/>
                <w:bCs/>
                <w:color w:val="auto"/>
                <w:sz w:val="24"/>
                <w:szCs w:val="24"/>
                <w:u w:val="none"/>
                <w:lang w:eastAsia="zh-CN"/>
              </w:rPr>
              <w:t>年蓝天保卫战实施方案》（宛环委办【</w:t>
            </w:r>
            <w:r>
              <w:rPr>
                <w:rFonts w:hint="eastAsia"/>
                <w:b/>
                <w:bCs/>
                <w:color w:val="auto"/>
                <w:sz w:val="24"/>
                <w:szCs w:val="24"/>
                <w:u w:val="none"/>
                <w:lang w:val="en-US" w:eastAsia="zh-CN"/>
              </w:rPr>
              <w:t>2024</w:t>
            </w:r>
            <w:r>
              <w:rPr>
                <w:rFonts w:hint="eastAsia"/>
                <w:b/>
                <w:bCs/>
                <w:color w:val="auto"/>
                <w:sz w:val="24"/>
                <w:szCs w:val="24"/>
                <w:u w:val="none"/>
                <w:lang w:eastAsia="zh-CN"/>
              </w:rPr>
              <w:t>】2</w:t>
            </w:r>
            <w:r>
              <w:rPr>
                <w:rFonts w:hint="eastAsia"/>
                <w:b/>
                <w:bCs/>
                <w:color w:val="auto"/>
                <w:sz w:val="24"/>
                <w:szCs w:val="24"/>
                <w:u w:val="none"/>
                <w:lang w:val="en-US" w:eastAsia="zh-CN"/>
              </w:rPr>
              <w:t>1</w:t>
            </w:r>
            <w:r>
              <w:rPr>
                <w:rFonts w:hint="eastAsia"/>
                <w:b/>
                <w:bCs/>
                <w:color w:val="auto"/>
                <w:sz w:val="24"/>
                <w:szCs w:val="24"/>
                <w:u w:val="none"/>
                <w:lang w:eastAsia="zh-CN"/>
              </w:rPr>
              <w:t>号）、南阳市生态环境保护委员会办公室关于印发《南阳市202</w:t>
            </w:r>
            <w:r>
              <w:rPr>
                <w:rFonts w:hint="eastAsia"/>
                <w:b/>
                <w:bCs/>
                <w:color w:val="auto"/>
                <w:sz w:val="24"/>
                <w:szCs w:val="24"/>
                <w:u w:val="none"/>
                <w:lang w:val="en-US" w:eastAsia="zh-CN"/>
              </w:rPr>
              <w:t>4</w:t>
            </w:r>
            <w:r>
              <w:rPr>
                <w:rFonts w:hint="eastAsia"/>
                <w:b/>
                <w:bCs/>
                <w:color w:val="auto"/>
                <w:sz w:val="24"/>
                <w:szCs w:val="24"/>
                <w:u w:val="none"/>
                <w:lang w:eastAsia="zh-CN"/>
              </w:rPr>
              <w:t>年碧水保卫战实施方案》《南阳市202</w:t>
            </w:r>
            <w:r>
              <w:rPr>
                <w:rFonts w:hint="eastAsia"/>
                <w:b/>
                <w:bCs/>
                <w:color w:val="auto"/>
                <w:sz w:val="24"/>
                <w:szCs w:val="24"/>
                <w:u w:val="none"/>
                <w:lang w:val="en-US" w:eastAsia="zh-CN"/>
              </w:rPr>
              <w:t>4</w:t>
            </w:r>
            <w:r>
              <w:rPr>
                <w:rFonts w:hint="eastAsia"/>
                <w:b/>
                <w:bCs/>
                <w:color w:val="auto"/>
                <w:sz w:val="24"/>
                <w:szCs w:val="24"/>
                <w:u w:val="none"/>
                <w:lang w:eastAsia="zh-CN"/>
              </w:rPr>
              <w:t>年净土保卫战实施方案》《南阳市</w:t>
            </w:r>
            <w:r>
              <w:rPr>
                <w:rFonts w:hint="eastAsia"/>
                <w:b/>
                <w:bCs/>
                <w:color w:val="auto"/>
                <w:sz w:val="24"/>
                <w:szCs w:val="24"/>
                <w:u w:val="none"/>
                <w:lang w:val="en-US" w:eastAsia="zh-CN"/>
              </w:rPr>
              <w:t>2024年柴油货车污染治理攻坚战实施方案</w:t>
            </w:r>
            <w:r>
              <w:rPr>
                <w:rFonts w:hint="eastAsia"/>
                <w:b/>
                <w:bCs/>
                <w:color w:val="auto"/>
                <w:sz w:val="24"/>
                <w:szCs w:val="24"/>
                <w:u w:val="none"/>
                <w:lang w:eastAsia="zh-CN"/>
              </w:rPr>
              <w:t>》（宛环委办【</w:t>
            </w:r>
            <w:r>
              <w:rPr>
                <w:rFonts w:hint="eastAsia"/>
                <w:b/>
                <w:bCs/>
                <w:color w:val="auto"/>
                <w:sz w:val="24"/>
                <w:szCs w:val="24"/>
                <w:u w:val="none"/>
                <w:lang w:val="en-US" w:eastAsia="zh-CN"/>
              </w:rPr>
              <w:t>2024</w:t>
            </w:r>
            <w:r>
              <w:rPr>
                <w:rFonts w:hint="eastAsia"/>
                <w:b/>
                <w:bCs/>
                <w:color w:val="auto"/>
                <w:sz w:val="24"/>
                <w:szCs w:val="24"/>
                <w:u w:val="none"/>
                <w:lang w:eastAsia="zh-CN"/>
              </w:rPr>
              <w:t>】</w:t>
            </w:r>
            <w:r>
              <w:rPr>
                <w:rFonts w:hint="eastAsia"/>
                <w:b/>
                <w:bCs/>
                <w:color w:val="auto"/>
                <w:sz w:val="24"/>
                <w:szCs w:val="24"/>
                <w:u w:val="none"/>
                <w:lang w:val="en-US" w:eastAsia="zh-CN"/>
              </w:rPr>
              <w:t>22</w:t>
            </w:r>
            <w:r>
              <w:rPr>
                <w:rFonts w:hint="eastAsia"/>
                <w:b/>
                <w:bCs/>
                <w:color w:val="auto"/>
                <w:sz w:val="24"/>
                <w:szCs w:val="24"/>
                <w:u w:val="none"/>
                <w:lang w:eastAsia="zh-CN"/>
              </w:rPr>
              <w:t>号）相符性分析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64" w:firstLineChars="200"/>
              <w:textAlignment w:val="auto"/>
              <w:rPr>
                <w:rFonts w:hint="eastAsia"/>
                <w:spacing w:val="-4"/>
                <w:sz w:val="24"/>
                <w:szCs w:val="24"/>
                <w:u w:val="none"/>
                <w:lang w:eastAsia="zh-CN"/>
              </w:rPr>
            </w:pPr>
            <w:r>
              <w:rPr>
                <w:rFonts w:hint="eastAsia"/>
                <w:spacing w:val="-4"/>
                <w:sz w:val="24"/>
                <w:szCs w:val="24"/>
                <w:u w:val="none"/>
                <w:lang w:eastAsia="zh-CN"/>
              </w:rPr>
              <w:t>本项目与《南阳市202</w:t>
            </w:r>
            <w:r>
              <w:rPr>
                <w:rFonts w:hint="eastAsia"/>
                <w:spacing w:val="-4"/>
                <w:sz w:val="24"/>
                <w:szCs w:val="24"/>
                <w:u w:val="none"/>
                <w:lang w:val="en-US" w:eastAsia="zh-CN"/>
              </w:rPr>
              <w:t>4</w:t>
            </w:r>
            <w:r>
              <w:rPr>
                <w:rFonts w:hint="eastAsia"/>
                <w:spacing w:val="-4"/>
                <w:sz w:val="24"/>
                <w:szCs w:val="24"/>
                <w:u w:val="none"/>
                <w:lang w:eastAsia="zh-CN"/>
              </w:rPr>
              <w:t>年蓝天保卫战实施方案》（宛环委办【</w:t>
            </w:r>
            <w:r>
              <w:rPr>
                <w:rFonts w:hint="eastAsia"/>
                <w:spacing w:val="-4"/>
                <w:sz w:val="24"/>
                <w:szCs w:val="24"/>
                <w:u w:val="none"/>
                <w:lang w:val="en-US" w:eastAsia="zh-CN"/>
              </w:rPr>
              <w:t>2024</w:t>
            </w:r>
            <w:r>
              <w:rPr>
                <w:rFonts w:hint="eastAsia"/>
                <w:spacing w:val="-4"/>
                <w:sz w:val="24"/>
                <w:szCs w:val="24"/>
                <w:u w:val="none"/>
                <w:lang w:eastAsia="zh-CN"/>
              </w:rPr>
              <w:t>】2</w:t>
            </w:r>
            <w:r>
              <w:rPr>
                <w:rFonts w:hint="eastAsia"/>
                <w:spacing w:val="-4"/>
                <w:sz w:val="24"/>
                <w:szCs w:val="24"/>
                <w:u w:val="none"/>
                <w:lang w:val="en-US" w:eastAsia="zh-CN"/>
              </w:rPr>
              <w:t>1</w:t>
            </w:r>
            <w:r>
              <w:rPr>
                <w:rFonts w:hint="eastAsia"/>
                <w:spacing w:val="-4"/>
                <w:sz w:val="24"/>
                <w:szCs w:val="24"/>
                <w:u w:val="none"/>
                <w:lang w:eastAsia="zh-CN"/>
              </w:rPr>
              <w:t>号）、南阳市生态环境保护委员会办公室关于印发《南阳市202</w:t>
            </w:r>
            <w:r>
              <w:rPr>
                <w:rFonts w:hint="eastAsia"/>
                <w:spacing w:val="-4"/>
                <w:sz w:val="24"/>
                <w:szCs w:val="24"/>
                <w:u w:val="none"/>
                <w:lang w:val="en-US" w:eastAsia="zh-CN"/>
              </w:rPr>
              <w:t>4</w:t>
            </w:r>
            <w:r>
              <w:rPr>
                <w:rFonts w:hint="eastAsia"/>
                <w:spacing w:val="-4"/>
                <w:sz w:val="24"/>
                <w:szCs w:val="24"/>
                <w:u w:val="none"/>
                <w:lang w:eastAsia="zh-CN"/>
              </w:rPr>
              <w:t>年碧水保卫战实施方案》《南阳市202</w:t>
            </w:r>
            <w:r>
              <w:rPr>
                <w:rFonts w:hint="eastAsia"/>
                <w:spacing w:val="-4"/>
                <w:sz w:val="24"/>
                <w:szCs w:val="24"/>
                <w:u w:val="none"/>
                <w:lang w:val="en-US" w:eastAsia="zh-CN"/>
              </w:rPr>
              <w:t>4</w:t>
            </w:r>
            <w:r>
              <w:rPr>
                <w:rFonts w:hint="eastAsia"/>
                <w:spacing w:val="-4"/>
                <w:sz w:val="24"/>
                <w:szCs w:val="24"/>
                <w:u w:val="none"/>
                <w:lang w:eastAsia="zh-CN"/>
              </w:rPr>
              <w:t>年净土保卫战实施方案》《南阳市</w:t>
            </w:r>
            <w:r>
              <w:rPr>
                <w:rFonts w:hint="eastAsia"/>
                <w:spacing w:val="-4"/>
                <w:sz w:val="24"/>
                <w:szCs w:val="24"/>
                <w:u w:val="none"/>
                <w:lang w:val="en-US" w:eastAsia="zh-CN"/>
              </w:rPr>
              <w:t>2024年柴油货车污染治理攻坚战实施方案</w:t>
            </w:r>
            <w:r>
              <w:rPr>
                <w:rFonts w:hint="eastAsia"/>
                <w:spacing w:val="-4"/>
                <w:sz w:val="24"/>
                <w:szCs w:val="24"/>
                <w:u w:val="none"/>
                <w:lang w:eastAsia="zh-CN"/>
              </w:rPr>
              <w:t>》（宛环委办【</w:t>
            </w:r>
            <w:r>
              <w:rPr>
                <w:rFonts w:hint="eastAsia"/>
                <w:spacing w:val="-4"/>
                <w:sz w:val="24"/>
                <w:szCs w:val="24"/>
                <w:u w:val="none"/>
                <w:lang w:val="en-US" w:eastAsia="zh-CN"/>
              </w:rPr>
              <w:t>2024</w:t>
            </w:r>
            <w:r>
              <w:rPr>
                <w:rFonts w:hint="eastAsia"/>
                <w:spacing w:val="-4"/>
                <w:sz w:val="24"/>
                <w:szCs w:val="24"/>
                <w:u w:val="none"/>
                <w:lang w:eastAsia="zh-CN"/>
              </w:rPr>
              <w:t>】</w:t>
            </w:r>
            <w:r>
              <w:rPr>
                <w:rFonts w:hint="eastAsia"/>
                <w:spacing w:val="-4"/>
                <w:sz w:val="24"/>
                <w:szCs w:val="24"/>
                <w:u w:val="none"/>
                <w:lang w:val="en-US" w:eastAsia="zh-CN"/>
              </w:rPr>
              <w:t>22</w:t>
            </w:r>
            <w:r>
              <w:rPr>
                <w:rFonts w:hint="eastAsia"/>
                <w:spacing w:val="-4"/>
                <w:sz w:val="24"/>
                <w:szCs w:val="24"/>
                <w:u w:val="none"/>
                <w:lang w:eastAsia="zh-CN"/>
              </w:rPr>
              <w:t>号）相符性分析见下表。</w:t>
            </w:r>
          </w:p>
          <w:p>
            <w:pPr>
              <w:keepNext w:val="0"/>
              <w:keepLines w:val="0"/>
              <w:pageBreakBefore w:val="0"/>
              <w:widowControl w:val="0"/>
              <w:kinsoku/>
              <w:wordWrap/>
              <w:overflowPunct/>
              <w:topLinePunct w:val="0"/>
              <w:autoSpaceDE/>
              <w:autoSpaceDN/>
              <w:bidi w:val="0"/>
              <w:adjustRightInd/>
              <w:snapToGrid/>
              <w:spacing w:before="251" w:beforeLines="80" w:after="157" w:afterLines="50"/>
              <w:jc w:val="center"/>
              <w:textAlignment w:val="auto"/>
              <w:rPr>
                <w:sz w:val="24"/>
                <w:szCs w:val="24"/>
                <w:u w:val="none"/>
                <w:lang w:eastAsia="zh-CN"/>
              </w:rPr>
            </w:pPr>
            <w:r>
              <w:rPr>
                <w:b/>
                <w:bCs/>
                <w:sz w:val="24"/>
                <w:szCs w:val="24"/>
                <w:u w:val="none"/>
                <w:lang w:eastAsia="zh-CN"/>
              </w:rPr>
              <w:t>表1-</w:t>
            </w:r>
            <w:r>
              <w:rPr>
                <w:rFonts w:hint="eastAsia"/>
                <w:b/>
                <w:bCs/>
                <w:sz w:val="24"/>
                <w:szCs w:val="24"/>
                <w:u w:val="none"/>
                <w:lang w:val="en-US" w:eastAsia="zh-CN"/>
              </w:rPr>
              <w:t>5</w:t>
            </w:r>
            <w:r>
              <w:rPr>
                <w:b/>
                <w:bCs/>
                <w:sz w:val="24"/>
                <w:szCs w:val="24"/>
                <w:u w:val="none"/>
                <w:lang w:eastAsia="zh-CN"/>
              </w:rPr>
              <w:t xml:space="preserve">  项目建设与</w:t>
            </w:r>
            <w:r>
              <w:rPr>
                <w:rFonts w:hint="eastAsia"/>
                <w:b/>
                <w:bCs/>
                <w:sz w:val="24"/>
                <w:szCs w:val="24"/>
                <w:u w:val="none"/>
                <w:lang w:eastAsia="zh-CN"/>
              </w:rPr>
              <w:t>蓝天、碧水、净土保卫战实施方案比对一览表</w:t>
            </w:r>
          </w:p>
          <w:tbl>
            <w:tblPr>
              <w:tblStyle w:val="26"/>
              <w:tblW w:w="832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7"/>
              <w:gridCol w:w="4910"/>
              <w:gridCol w:w="1857"/>
              <w:gridCol w:w="6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tcBorders>
                    <w:tl2br w:val="nil"/>
                    <w:tr2bl w:val="nil"/>
                  </w:tcBorders>
                  <w:noWrap w:val="0"/>
                  <w:vAlign w:val="center"/>
                </w:tcPr>
                <w:p>
                  <w:pPr>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方案要求</w:t>
                  </w:r>
                </w:p>
              </w:tc>
              <w:tc>
                <w:tcPr>
                  <w:tcW w:w="4910" w:type="dxa"/>
                  <w:tcBorders>
                    <w:tl2br w:val="nil"/>
                    <w:tr2bl w:val="nil"/>
                  </w:tcBorders>
                  <w:noWrap w:val="0"/>
                  <w:vAlign w:val="center"/>
                </w:tcPr>
                <w:p>
                  <w:pPr>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具体内容</w:t>
                  </w:r>
                </w:p>
              </w:tc>
              <w:tc>
                <w:tcPr>
                  <w:tcW w:w="1857" w:type="dxa"/>
                  <w:tcBorders>
                    <w:tl2br w:val="nil"/>
                    <w:tr2bl w:val="nil"/>
                  </w:tcBorders>
                  <w:noWrap w:val="0"/>
                  <w:vAlign w:val="center"/>
                </w:tcPr>
                <w:p>
                  <w:pPr>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本项目建设情况</w:t>
                  </w:r>
                </w:p>
              </w:tc>
              <w:tc>
                <w:tcPr>
                  <w:tcW w:w="620" w:type="dxa"/>
                  <w:tcBorders>
                    <w:tl2br w:val="nil"/>
                    <w:tr2bl w:val="nil"/>
                  </w:tcBorders>
                  <w:noWrap w:val="0"/>
                  <w:vAlign w:val="center"/>
                </w:tcPr>
                <w:p>
                  <w:pPr>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相符性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南阳市</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202</w:t>
                  </w:r>
                  <w:r>
                    <w:rPr>
                      <w:rFonts w:hint="eastAsia" w:cs="Times New Roman"/>
                      <w:sz w:val="21"/>
                      <w:szCs w:val="21"/>
                      <w:u w:val="none"/>
                      <w:lang w:val="en-US" w:eastAsia="zh-CN"/>
                    </w:rPr>
                    <w:t>4</w:t>
                  </w:r>
                  <w:r>
                    <w:rPr>
                      <w:rFonts w:ascii="Times New Roman" w:hAnsi="Times New Roman" w:cs="Times New Roman"/>
                      <w:sz w:val="21"/>
                      <w:szCs w:val="21"/>
                      <w:u w:val="none"/>
                      <w:lang w:eastAsia="zh-CN"/>
                    </w:rPr>
                    <w:t>年净</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土保卫战</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rPr>
                  </w:pPr>
                  <w:r>
                    <w:rPr>
                      <w:rFonts w:ascii="Times New Roman" w:hAnsi="Times New Roman" w:cs="Times New Roman"/>
                      <w:sz w:val="21"/>
                      <w:szCs w:val="21"/>
                      <w:u w:val="none"/>
                      <w:lang w:eastAsia="zh-CN"/>
                    </w:rPr>
                    <w:t>实施</w:t>
                  </w:r>
                  <w:r>
                    <w:rPr>
                      <w:rFonts w:ascii="Times New Roman" w:hAnsi="Times New Roman" w:cs="Times New Roman"/>
                      <w:sz w:val="21"/>
                      <w:szCs w:val="21"/>
                      <w:u w:val="none"/>
                    </w:rPr>
                    <w:t>方案</w:t>
                  </w:r>
                </w:p>
              </w:tc>
              <w:tc>
                <w:tcPr>
                  <w:tcW w:w="4910" w:type="dxa"/>
                  <w:tcBorders>
                    <w:tl2br w:val="nil"/>
                    <w:tr2bl w:val="nil"/>
                  </w:tcBorders>
                  <w:noWrap w:val="0"/>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sz w:val="21"/>
                      <w:szCs w:val="21"/>
                      <w:u w:val="none"/>
                      <w:vertAlign w:val="baseline"/>
                      <w:lang w:eastAsia="zh-CN"/>
                    </w:rPr>
                    <w:t>深化危险废物监管和利用处置能力改革。持续创新危险废物环境监管方式，建立综合处置企业行业自律机制、特殊类别危险废物的信息通报机制。开展危险废物自行利用处置专项整治行动。加强废弃电器电子产品拆解监管</w:t>
                  </w:r>
                  <w:r>
                    <w:rPr>
                      <w:rFonts w:hint="eastAsia" w:ascii="Times New Roman" w:hAnsi="Times New Roman" w:cs="Times New Roman"/>
                      <w:sz w:val="21"/>
                      <w:szCs w:val="21"/>
                      <w:u w:val="none"/>
                      <w:lang w:eastAsia="zh-CN"/>
                    </w:rPr>
                    <w:t>。</w:t>
                  </w:r>
                </w:p>
              </w:tc>
              <w:tc>
                <w:tcPr>
                  <w:tcW w:w="1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本项目</w:t>
                  </w:r>
                  <w:r>
                    <w:rPr>
                      <w:rFonts w:hint="eastAsia" w:ascii="Times New Roman" w:hAnsi="Times New Roman" w:cs="Times New Roman"/>
                      <w:sz w:val="21"/>
                      <w:szCs w:val="21"/>
                      <w:u w:val="none"/>
                      <w:lang w:eastAsia="zh-CN"/>
                    </w:rPr>
                    <w:t>产生的危险废物</w:t>
                  </w:r>
                  <w:r>
                    <w:rPr>
                      <w:rFonts w:hint="eastAsia" w:cs="Times New Roman"/>
                      <w:sz w:val="21"/>
                      <w:szCs w:val="21"/>
                      <w:u w:val="none"/>
                      <w:lang w:eastAsia="zh-CN"/>
                    </w:rPr>
                    <w:t>有废活性炭</w:t>
                  </w:r>
                  <w:r>
                    <w:rPr>
                      <w:rFonts w:hint="eastAsia" w:ascii="Times New Roman" w:hAnsi="Times New Roman" w:cs="Times New Roman"/>
                      <w:sz w:val="21"/>
                      <w:szCs w:val="21"/>
                      <w:u w:val="none"/>
                      <w:lang w:eastAsia="zh-CN"/>
                    </w:rPr>
                    <w:t>，收集后暂存于危废暂存间，定期交有资质的单位处理。</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南阳市20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2</w:t>
                  </w:r>
                  <w:r>
                    <w:rPr>
                      <w:rFonts w:hint="eastAsia" w:cs="Times New Roman"/>
                      <w:sz w:val="21"/>
                      <w:szCs w:val="21"/>
                      <w:u w:val="none"/>
                      <w:lang w:val="en-US" w:eastAsia="zh-CN"/>
                    </w:rPr>
                    <w:t>4</w:t>
                  </w:r>
                  <w:r>
                    <w:rPr>
                      <w:rFonts w:ascii="Times New Roman" w:hAnsi="Times New Roman" w:cs="Times New Roman"/>
                      <w:sz w:val="21"/>
                      <w:szCs w:val="21"/>
                      <w:u w:val="none"/>
                      <w:lang w:eastAsia="zh-CN"/>
                    </w:rPr>
                    <w:t>年蓝天</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保卫战实</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bidi="ar"/>
                    </w:rPr>
                  </w:pPr>
                  <w:r>
                    <w:rPr>
                      <w:rFonts w:ascii="Times New Roman" w:hAnsi="Times New Roman" w:cs="Times New Roman"/>
                      <w:sz w:val="21"/>
                      <w:szCs w:val="21"/>
                      <w:u w:val="none"/>
                      <w:lang w:eastAsia="zh-CN"/>
                    </w:rPr>
                    <w:t>施方</w:t>
                  </w:r>
                  <w:r>
                    <w:rPr>
                      <w:rFonts w:ascii="Times New Roman" w:hAnsi="Times New Roman" w:cs="Times New Roman"/>
                      <w:sz w:val="21"/>
                      <w:szCs w:val="21"/>
                      <w:u w:val="none"/>
                    </w:rPr>
                    <w:t>案</w:t>
                  </w:r>
                </w:p>
              </w:tc>
              <w:tc>
                <w:tcPr>
                  <w:tcW w:w="491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both"/>
                    <w:textAlignment w:val="auto"/>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各省辖市结合辖区内产业集群特点，2024年6月底前，制定涉气产业集群发展规划和专项整治方案，排查不符合城市建设规划、行业发展规划、生态环境功能定位的重污染企业，通过关停淘汰、搬迁入园、就地改造提升等措施，推动对环境空气质量影响较大的化工、石灰、铸造、耐火材料、橡胶制品、家具制造、工业涂装、包装印刷、制鞋、矿石采选、珍珠岩等行业49个产业集群综合整治，提升企业环保治理水平，严防“散乱污”企业死灰复燃、异地转移。推进园区和产业集群涉VOCs“绿岛”项目建设，规划建设一批集中喷涂中心、活性炭再生中心和溶剂回收处置中心，实现VOCs集中高效处理。</w:t>
                  </w:r>
                </w:p>
              </w:tc>
              <w:tc>
                <w:tcPr>
                  <w:tcW w:w="1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u w:val="none"/>
                      <w:lang w:eastAsia="zh-CN"/>
                    </w:rPr>
                  </w:pPr>
                  <w:r>
                    <w:rPr>
                      <w:rFonts w:ascii="Times New Roman" w:hAnsi="Times New Roman"/>
                      <w:sz w:val="21"/>
                      <w:szCs w:val="21"/>
                      <w:u w:val="none"/>
                    </w:rPr>
                    <w:t>本项目不属于国家鼓励类、限制类和淘汰类的产业，为允许类项目</w:t>
                  </w:r>
                  <w:r>
                    <w:rPr>
                      <w:rFonts w:hint="eastAsia" w:ascii="Times New Roman" w:hAnsi="Times New Roman"/>
                      <w:sz w:val="21"/>
                      <w:szCs w:val="21"/>
                      <w:u w:val="none"/>
                      <w:lang w:eastAsia="zh-CN"/>
                    </w:rPr>
                    <w:t>。</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continue"/>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bidi="ar"/>
                    </w:rPr>
                  </w:pPr>
                </w:p>
              </w:tc>
              <w:tc>
                <w:tcPr>
                  <w:tcW w:w="491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both"/>
                    <w:textAlignment w:val="auto"/>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2024年年底前，完成陶瓷、耐火材料、有色金属压延、无机化工、玻璃、碳素等行业110座分散建设的燃料类煤气发生炉清洁能源替代，或者园区（集群）集中供气、分散使用；完成固定床间歇式煤气发生炉新型煤气化工艺改造。推进37座使用高污染燃料的加热炉、热处理炉、干燥炉、熔化炉等工业炉窑改用清洁低碳能源，淘汰不能稳定达标的燃煤锅炉、燃煤热风炉和以煤、石油焦、渣油、重油等为燃料的工业窑炉。</w:t>
                  </w:r>
                </w:p>
              </w:tc>
              <w:tc>
                <w:tcPr>
                  <w:tcW w:w="18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hint="eastAsia" w:cs="Times New Roman"/>
                      <w:sz w:val="21"/>
                      <w:szCs w:val="21"/>
                      <w:u w:val="none"/>
                      <w:lang w:eastAsia="zh-CN"/>
                    </w:rPr>
                    <w:t>本项目使用能源为电能，属于清洁能源。</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restart"/>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南阳市20</w:t>
                  </w:r>
                </w:p>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2</w:t>
                  </w:r>
                  <w:r>
                    <w:rPr>
                      <w:rFonts w:hint="eastAsia" w:cs="Times New Roman"/>
                      <w:sz w:val="21"/>
                      <w:szCs w:val="21"/>
                      <w:u w:val="none"/>
                      <w:lang w:val="en-US" w:eastAsia="zh-CN"/>
                    </w:rPr>
                    <w:t>4</w:t>
                  </w:r>
                  <w:r>
                    <w:rPr>
                      <w:rFonts w:ascii="Times New Roman" w:hAnsi="Times New Roman" w:cs="Times New Roman"/>
                      <w:sz w:val="21"/>
                      <w:szCs w:val="21"/>
                      <w:u w:val="none"/>
                      <w:lang w:eastAsia="zh-CN"/>
                    </w:rPr>
                    <w:t>年碧水</w:t>
                  </w:r>
                </w:p>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保卫战实</w:t>
                  </w:r>
                </w:p>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施方</w:t>
                  </w:r>
                  <w:r>
                    <w:rPr>
                      <w:rFonts w:ascii="Times New Roman" w:hAnsi="Times New Roman" w:cs="Times New Roman"/>
                      <w:sz w:val="21"/>
                      <w:szCs w:val="21"/>
                      <w:u w:val="none"/>
                    </w:rPr>
                    <w:t>案</w:t>
                  </w:r>
                </w:p>
              </w:tc>
              <w:tc>
                <w:tcPr>
                  <w:tcW w:w="4910" w:type="dxa"/>
                  <w:tcBorders>
                    <w:tl2br w:val="nil"/>
                    <w:tr2bl w:val="nil"/>
                  </w:tcBorders>
                  <w:noWrap w:val="0"/>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both"/>
                    <w:textAlignment w:val="auto"/>
                    <w:rPr>
                      <w:rFonts w:ascii="Times New Roman" w:hAnsi="Times New Roman" w:cs="Times New Roman"/>
                      <w:sz w:val="21"/>
                      <w:szCs w:val="21"/>
                      <w:u w:val="none"/>
                      <w:lang w:eastAsia="zh-CN"/>
                    </w:rPr>
                  </w:pPr>
                  <w:r>
                    <w:rPr>
                      <w:rFonts w:hint="eastAsia" w:cs="Times New Roman"/>
                      <w:color w:val="auto"/>
                      <w:sz w:val="21"/>
                      <w:szCs w:val="21"/>
                      <w:u w:val="none"/>
                      <w:vertAlign w:val="baseline"/>
                      <w:lang w:val="en-US" w:eastAsia="zh-CN"/>
                    </w:rPr>
                    <w:t>2</w:t>
                  </w:r>
                  <w:r>
                    <w:rPr>
                      <w:rFonts w:hint="default" w:ascii="Times New Roman" w:hAnsi="Times New Roman" w:eastAsia="宋体" w:cs="Times New Roman"/>
                      <w:color w:val="auto"/>
                      <w:sz w:val="21"/>
                      <w:szCs w:val="21"/>
                      <w:u w:val="none"/>
                      <w:vertAlign w:val="baseline"/>
                      <w:lang w:eastAsia="zh-CN"/>
                    </w:rPr>
                    <w:t>4.推进再生水循环利用。有条件的县市区，结合实际情况，建设一批区域再生水循环利用项目，不断提升再生水利用率。2024年年底前，邓州市、桐柏县完成再生水回用工程。</w:t>
                  </w:r>
                </w:p>
              </w:tc>
              <w:tc>
                <w:tcPr>
                  <w:tcW w:w="185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sz w:val="21"/>
                      <w:szCs w:val="21"/>
                      <w:u w:val="none"/>
                      <w:lang w:eastAsia="zh-CN"/>
                    </w:rPr>
                  </w:pPr>
                  <w:r>
                    <w:rPr>
                      <w:rFonts w:hint="eastAsia" w:cs="Times New Roman"/>
                      <w:sz w:val="21"/>
                      <w:szCs w:val="21"/>
                      <w:u w:val="none"/>
                      <w:lang w:val="en-US" w:eastAsia="zh-CN"/>
                    </w:rPr>
                    <w:t>本</w:t>
                  </w:r>
                  <w:r>
                    <w:rPr>
                      <w:rFonts w:ascii="Times New Roman" w:hAnsi="Times New Roman" w:cs="Times New Roman"/>
                      <w:sz w:val="21"/>
                      <w:szCs w:val="21"/>
                      <w:u w:val="none"/>
                      <w:lang w:eastAsia="zh-CN"/>
                    </w:rPr>
                    <w:t>项目</w:t>
                  </w:r>
                  <w:r>
                    <w:rPr>
                      <w:rFonts w:hint="eastAsia" w:ascii="Times New Roman" w:hAnsi="Times New Roman" w:cs="Times New Roman"/>
                      <w:sz w:val="21"/>
                      <w:szCs w:val="21"/>
                      <w:u w:val="none"/>
                      <w:lang w:eastAsia="zh-CN"/>
                    </w:rPr>
                    <w:t>生活污水由园区配套的化粪池</w:t>
                  </w:r>
                  <w:r>
                    <w:rPr>
                      <w:rFonts w:hint="eastAsia" w:cs="Times New Roman"/>
                      <w:sz w:val="21"/>
                      <w:szCs w:val="21"/>
                      <w:u w:val="none"/>
                      <w:lang w:eastAsia="zh-CN"/>
                    </w:rPr>
                    <w:t>（</w:t>
                  </w:r>
                  <w:r>
                    <w:rPr>
                      <w:rFonts w:hint="eastAsia" w:cs="Times New Roman"/>
                      <w:sz w:val="21"/>
                      <w:szCs w:val="21"/>
                      <w:u w:val="none"/>
                      <w:lang w:val="en-US" w:eastAsia="zh-CN"/>
                    </w:rPr>
                    <w:t>10m³</w:t>
                  </w:r>
                  <w:r>
                    <w:rPr>
                      <w:rFonts w:hint="eastAsia" w:cs="Times New Roman"/>
                      <w:sz w:val="21"/>
                      <w:szCs w:val="21"/>
                      <w:u w:val="none"/>
                      <w:lang w:eastAsia="zh-CN"/>
                    </w:rPr>
                    <w:t>）</w:t>
                  </w:r>
                  <w:r>
                    <w:rPr>
                      <w:rFonts w:hint="eastAsia" w:ascii="Times New Roman" w:hAnsi="Times New Roman" w:cs="Times New Roman"/>
                      <w:sz w:val="21"/>
                      <w:szCs w:val="21"/>
                      <w:u w:val="none"/>
                      <w:lang w:eastAsia="zh-CN"/>
                    </w:rPr>
                    <w:t>处理后，进入</w:t>
                  </w:r>
                  <w:r>
                    <w:rPr>
                      <w:rFonts w:hint="eastAsia" w:cs="Times New Roman"/>
                      <w:sz w:val="21"/>
                      <w:szCs w:val="21"/>
                      <w:u w:val="none"/>
                      <w:lang w:eastAsia="zh-CN"/>
                    </w:rPr>
                    <w:t>艾草产业园污水处理设备</w:t>
                  </w:r>
                  <w:r>
                    <w:rPr>
                      <w:rFonts w:hint="eastAsia" w:ascii="Times New Roman" w:hAnsi="Times New Roman" w:cs="Times New Roman"/>
                      <w:sz w:val="21"/>
                      <w:szCs w:val="21"/>
                      <w:u w:val="none"/>
                      <w:lang w:eastAsia="zh-CN"/>
                    </w:rPr>
                    <w:t>，达标后</w:t>
                  </w:r>
                  <w:r>
                    <w:rPr>
                      <w:rFonts w:hint="eastAsia" w:cs="Times New Roman"/>
                      <w:sz w:val="21"/>
                      <w:szCs w:val="21"/>
                      <w:u w:val="none"/>
                      <w:lang w:eastAsia="zh-CN"/>
                    </w:rPr>
                    <w:t>经城镇污水管网排入泗水河</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continue"/>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p>
              </w:tc>
              <w:tc>
                <w:tcPr>
                  <w:tcW w:w="4910" w:type="dxa"/>
                  <w:tcBorders>
                    <w:tl2br w:val="nil"/>
                    <w:tr2bl w:val="nil"/>
                  </w:tcBorders>
                  <w:noWrap w:val="0"/>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both"/>
                    <w:textAlignment w:val="auto"/>
                    <w:rPr>
                      <w:rFonts w:ascii="Times New Roman" w:hAnsi="Times New Roman" w:cs="Times New Roman"/>
                      <w:sz w:val="21"/>
                      <w:szCs w:val="21"/>
                      <w:u w:val="none"/>
                      <w:lang w:eastAsia="zh-CN"/>
                    </w:rPr>
                  </w:pPr>
                  <w:r>
                    <w:rPr>
                      <w:rFonts w:hint="default" w:ascii="Times New Roman" w:hAnsi="Times New Roman" w:eastAsia="宋体" w:cs="Times New Roman"/>
                      <w:color w:val="auto"/>
                      <w:sz w:val="21"/>
                      <w:szCs w:val="21"/>
                      <w:u w:val="none"/>
                      <w:vertAlign w:val="baseline"/>
                      <w:lang w:eastAsia="zh-CN"/>
                    </w:rPr>
                    <w:t>25.开展工业废水循环利用。推动火电、石化、钢铁、有色、造纸、印染等高耗水行业，以及有条件的园区完善再生水管网，将处理达标后的再生水回用于生产过程，减少企业新水取用量，形成可复制推广的废水高效循环利用新模式，创建一批工业废水循环利用示范企业、园区。</w:t>
                  </w:r>
                </w:p>
              </w:tc>
              <w:tc>
                <w:tcPr>
                  <w:tcW w:w="185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sz w:val="21"/>
                      <w:szCs w:val="21"/>
                      <w:u w:val="none"/>
                      <w:lang w:eastAsia="zh-CN"/>
                    </w:rPr>
                  </w:pP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restart"/>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r>
                    <w:rPr>
                      <w:rFonts w:hint="eastAsia" w:cs="Times New Roman"/>
                      <w:sz w:val="21"/>
                      <w:szCs w:val="21"/>
                      <w:u w:val="none"/>
                      <w:lang w:val="en-US" w:eastAsia="zh-CN"/>
                    </w:rPr>
                    <w:t>南阳市</w:t>
                  </w:r>
                  <w:r>
                    <w:rPr>
                      <w:rFonts w:hint="eastAsia" w:ascii="Times New Roman" w:hAnsi="Times New Roman" w:cs="Times New Roman"/>
                      <w:sz w:val="21"/>
                      <w:szCs w:val="21"/>
                      <w:u w:val="none"/>
                      <w:lang w:val="en-US" w:eastAsia="zh-CN"/>
                    </w:rPr>
                    <w:t>2024年柴油货车污染治理攻坚战实施方案</w:t>
                  </w:r>
                </w:p>
              </w:tc>
              <w:tc>
                <w:tcPr>
                  <w:tcW w:w="4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推进重点行业企业使用铁路、水路、管道或新能源汽车等方式运输，加快提升火电、钢铁、煤炭、焦化、石化、化工、有色等行业清洁运输比例。2024年底前，力争火电、钢铁、煤炭、焦化行业大宗货物清洁运输比例达到80%。加快推进建材（含砂石骨料）行业使用清洁方式运输。鼓励工矿企业等单位采取与运输企业（个人）签订合作协议等方式，推进内部转运车辆和外部短距离运输车辆全部使用新能源车。</w:t>
                  </w:r>
                </w:p>
              </w:tc>
              <w:tc>
                <w:tcPr>
                  <w:tcW w:w="18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本项目建成后，原料及成品运输均采用清洁方式运输</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r>
                    <w:rPr>
                      <w:rFonts w:hint="eastAsia" w:cs="Times New Roman"/>
                      <w:sz w:val="21"/>
                      <w:szCs w:val="21"/>
                      <w:u w:val="none"/>
                      <w:lang w:eastAsia="zh-CN"/>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 w:hRule="atLeast"/>
                <w:jc w:val="center"/>
              </w:trPr>
              <w:tc>
                <w:tcPr>
                  <w:tcW w:w="937" w:type="dxa"/>
                  <w:vMerge w:val="continue"/>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p>
              </w:tc>
              <w:tc>
                <w:tcPr>
                  <w:tcW w:w="4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推进工矿企业、物流园区、机场、铁路货场、港口码头新增或更新的内部作业车辆和机械新能源化，新增或更新的3吨以下叉车基本实现新能源化，加快淘汰国一及以下排放标准的工程机械。推动铁路内燃机车污染治理，消除冒黑烟现象，逐步淘汰排放不达标的老旧内燃机车。鼓励老旧船舶提前淘汰，推广清洁能源动力船舶。</w:t>
                  </w:r>
                </w:p>
              </w:tc>
              <w:tc>
                <w:tcPr>
                  <w:tcW w:w="18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本项目建成后，厂区内非道路移动机械全部采用电能</w:t>
                  </w:r>
                </w:p>
              </w:tc>
              <w:tc>
                <w:tcPr>
                  <w:tcW w:w="620" w:type="dxa"/>
                  <w:tcBorders>
                    <w:tl2br w:val="nil"/>
                    <w:tr2bl w:val="nil"/>
                  </w:tcBorders>
                  <w:noWrap w:val="0"/>
                  <w:vAlign w:val="center"/>
                </w:tcPr>
                <w:p>
                  <w:pPr>
                    <w:spacing w:line="240" w:lineRule="auto"/>
                    <w:jc w:val="center"/>
                    <w:rPr>
                      <w:rFonts w:ascii="Times New Roman" w:hAnsi="Times New Roman" w:cs="Times New Roman"/>
                      <w:sz w:val="21"/>
                      <w:szCs w:val="21"/>
                      <w:u w:val="none"/>
                      <w:lang w:eastAsia="zh-CN"/>
                    </w:rPr>
                  </w:pPr>
                  <w:r>
                    <w:rPr>
                      <w:rFonts w:hint="eastAsia" w:cs="Times New Roman"/>
                      <w:sz w:val="21"/>
                      <w:szCs w:val="21"/>
                      <w:u w:val="none"/>
                      <w:lang w:eastAsia="zh-CN"/>
                    </w:rPr>
                    <w:t>相符</w:t>
                  </w:r>
                </w:p>
              </w:tc>
            </w:tr>
          </w:tbl>
          <w:p>
            <w:pPr>
              <w:pStyle w:val="25"/>
              <w:keepNext w:val="0"/>
              <w:keepLines w:val="0"/>
              <w:pageBreakBefore w:val="0"/>
              <w:widowControl w:val="0"/>
              <w:kinsoku/>
              <w:wordWrap/>
              <w:overflowPunct/>
              <w:topLinePunct w:val="0"/>
              <w:autoSpaceDE/>
              <w:autoSpaceDN/>
              <w:bidi w:val="0"/>
              <w:adjustRightInd/>
              <w:snapToGrid/>
              <w:spacing w:line="520" w:lineRule="exact"/>
              <w:ind w:left="0" w:leftChars="0"/>
              <w:textAlignment w:val="auto"/>
              <w:rPr>
                <w:u w:val="none"/>
              </w:rPr>
            </w:pPr>
            <w:r>
              <w:rPr>
                <w:rFonts w:hint="eastAsia"/>
                <w:spacing w:val="-4"/>
                <w:sz w:val="24"/>
                <w:szCs w:val="24"/>
                <w:u w:val="none"/>
                <w:lang w:eastAsia="zh-CN"/>
              </w:rPr>
              <w:t>综上所述，本项目建设符合《南阳市202</w:t>
            </w:r>
            <w:r>
              <w:rPr>
                <w:rFonts w:hint="eastAsia"/>
                <w:spacing w:val="-4"/>
                <w:sz w:val="24"/>
                <w:szCs w:val="24"/>
                <w:u w:val="none"/>
                <w:lang w:val="en-US" w:eastAsia="zh-CN"/>
              </w:rPr>
              <w:t>4</w:t>
            </w:r>
            <w:r>
              <w:rPr>
                <w:rFonts w:hint="eastAsia"/>
                <w:spacing w:val="-4"/>
                <w:sz w:val="24"/>
                <w:szCs w:val="24"/>
                <w:u w:val="none"/>
                <w:lang w:eastAsia="zh-CN"/>
              </w:rPr>
              <w:t>年蓝天保卫战实施方案》（宛环委办【</w:t>
            </w:r>
            <w:r>
              <w:rPr>
                <w:rFonts w:hint="eastAsia"/>
                <w:spacing w:val="-4"/>
                <w:sz w:val="24"/>
                <w:szCs w:val="24"/>
                <w:u w:val="none"/>
                <w:lang w:val="en-US" w:eastAsia="zh-CN"/>
              </w:rPr>
              <w:t>2024</w:t>
            </w:r>
            <w:r>
              <w:rPr>
                <w:rFonts w:hint="eastAsia"/>
                <w:spacing w:val="-4"/>
                <w:sz w:val="24"/>
                <w:szCs w:val="24"/>
                <w:u w:val="none"/>
                <w:lang w:eastAsia="zh-CN"/>
              </w:rPr>
              <w:t>】2</w:t>
            </w:r>
            <w:r>
              <w:rPr>
                <w:rFonts w:hint="eastAsia"/>
                <w:spacing w:val="-4"/>
                <w:sz w:val="24"/>
                <w:szCs w:val="24"/>
                <w:u w:val="none"/>
                <w:lang w:val="en-US" w:eastAsia="zh-CN"/>
              </w:rPr>
              <w:t>1</w:t>
            </w:r>
            <w:r>
              <w:rPr>
                <w:rFonts w:hint="eastAsia"/>
                <w:spacing w:val="-4"/>
                <w:sz w:val="24"/>
                <w:szCs w:val="24"/>
                <w:u w:val="none"/>
                <w:lang w:eastAsia="zh-CN"/>
              </w:rPr>
              <w:t>号）、南阳市生态环境保护委员会办公室关于印发《南阳市202</w:t>
            </w:r>
            <w:r>
              <w:rPr>
                <w:rFonts w:hint="eastAsia"/>
                <w:spacing w:val="-4"/>
                <w:sz w:val="24"/>
                <w:szCs w:val="24"/>
                <w:u w:val="none"/>
                <w:lang w:val="en-US" w:eastAsia="zh-CN"/>
              </w:rPr>
              <w:t>4</w:t>
            </w:r>
            <w:r>
              <w:rPr>
                <w:rFonts w:hint="eastAsia"/>
                <w:spacing w:val="-4"/>
                <w:sz w:val="24"/>
                <w:szCs w:val="24"/>
                <w:u w:val="none"/>
                <w:lang w:eastAsia="zh-CN"/>
              </w:rPr>
              <w:t>年碧水保卫战实施方案》《南阳市202</w:t>
            </w:r>
            <w:r>
              <w:rPr>
                <w:rFonts w:hint="eastAsia"/>
                <w:spacing w:val="-4"/>
                <w:sz w:val="24"/>
                <w:szCs w:val="24"/>
                <w:u w:val="none"/>
                <w:lang w:val="en-US" w:eastAsia="zh-CN"/>
              </w:rPr>
              <w:t>4</w:t>
            </w:r>
            <w:r>
              <w:rPr>
                <w:rFonts w:hint="eastAsia"/>
                <w:spacing w:val="-4"/>
                <w:sz w:val="24"/>
                <w:szCs w:val="24"/>
                <w:u w:val="none"/>
                <w:lang w:eastAsia="zh-CN"/>
              </w:rPr>
              <w:t>年净土保卫战实施方案》《南阳市</w:t>
            </w:r>
            <w:r>
              <w:rPr>
                <w:rFonts w:hint="eastAsia"/>
                <w:spacing w:val="-4"/>
                <w:sz w:val="24"/>
                <w:szCs w:val="24"/>
                <w:u w:val="none"/>
                <w:lang w:val="en-US" w:eastAsia="zh-CN"/>
              </w:rPr>
              <w:t>2024年柴油货车污染治理攻坚战实施方案</w:t>
            </w:r>
            <w:r>
              <w:rPr>
                <w:rFonts w:hint="eastAsia"/>
                <w:spacing w:val="-4"/>
                <w:sz w:val="24"/>
                <w:szCs w:val="24"/>
                <w:u w:val="none"/>
                <w:lang w:eastAsia="zh-CN"/>
              </w:rPr>
              <w:t>》（宛环委办【</w:t>
            </w:r>
            <w:r>
              <w:rPr>
                <w:rFonts w:hint="eastAsia"/>
                <w:spacing w:val="-4"/>
                <w:sz w:val="24"/>
                <w:szCs w:val="24"/>
                <w:u w:val="none"/>
                <w:lang w:val="en-US" w:eastAsia="zh-CN"/>
              </w:rPr>
              <w:t>2024</w:t>
            </w:r>
            <w:r>
              <w:rPr>
                <w:rFonts w:hint="eastAsia"/>
                <w:spacing w:val="-4"/>
                <w:sz w:val="24"/>
                <w:szCs w:val="24"/>
                <w:u w:val="none"/>
                <w:lang w:eastAsia="zh-CN"/>
              </w:rPr>
              <w:t>】</w:t>
            </w:r>
            <w:r>
              <w:rPr>
                <w:rFonts w:hint="eastAsia"/>
                <w:spacing w:val="-4"/>
                <w:sz w:val="24"/>
                <w:szCs w:val="24"/>
                <w:u w:val="none"/>
                <w:lang w:val="en-US" w:eastAsia="zh-CN"/>
              </w:rPr>
              <w:t>22</w:t>
            </w:r>
            <w:r>
              <w:rPr>
                <w:rFonts w:hint="eastAsia"/>
                <w:spacing w:val="-4"/>
                <w:sz w:val="24"/>
                <w:szCs w:val="24"/>
                <w:u w:val="none"/>
                <w:lang w:eastAsia="zh-CN"/>
              </w:rPr>
              <w:t>号）中的相关要求。</w:t>
            </w:r>
          </w:p>
          <w:p>
            <w:pPr>
              <w:spacing w:line="360" w:lineRule="auto"/>
              <w:rPr>
                <w:rFonts w:hint="default"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8、</w:t>
            </w:r>
            <w:r>
              <w:rPr>
                <w:rFonts w:hint="default" w:ascii="Times New Roman" w:hAnsi="Times New Roman" w:eastAsia="宋体" w:cs="Times New Roman"/>
                <w:b/>
                <w:bCs/>
                <w:color w:val="auto"/>
                <w:sz w:val="24"/>
                <w:szCs w:val="24"/>
                <w:u w:val="none" w:color="auto"/>
                <w:lang w:val="en-US" w:eastAsia="zh-CN"/>
              </w:rPr>
              <w:t>项目建设与《南阳市环境空气质量限期达标行动实施方案（2024-2025年）》宛政办〔2024〕3号相符性分析</w:t>
            </w:r>
          </w:p>
          <w:p>
            <w:pPr>
              <w:spacing w:line="360" w:lineRule="auto"/>
              <w:ind w:firstLine="480" w:firstLineChars="200"/>
              <w:rPr>
                <w:sz w:val="21"/>
                <w:szCs w:val="21"/>
                <w:u w:val="none" w:color="auto"/>
              </w:rPr>
            </w:pPr>
            <w:r>
              <w:rPr>
                <w:rFonts w:hint="eastAsia"/>
                <w:sz w:val="24"/>
                <w:szCs w:val="24"/>
                <w:u w:val="none" w:color="auto"/>
              </w:rPr>
              <w:t>南阳市人民政府办公室</w:t>
            </w:r>
            <w:r>
              <w:rPr>
                <w:rFonts w:hint="eastAsia"/>
                <w:sz w:val="24"/>
                <w:szCs w:val="24"/>
                <w:u w:val="none" w:color="auto"/>
                <w:lang w:val="en-US" w:eastAsia="zh-CN"/>
              </w:rPr>
              <w:t>于</w:t>
            </w:r>
            <w:r>
              <w:rPr>
                <w:rFonts w:hint="eastAsia"/>
                <w:sz w:val="24"/>
                <w:szCs w:val="24"/>
                <w:u w:val="none" w:color="auto"/>
              </w:rPr>
              <w:t>2024年2月2日</w:t>
            </w:r>
            <w:r>
              <w:rPr>
                <w:sz w:val="24"/>
                <w:szCs w:val="24"/>
                <w:u w:val="none" w:color="auto"/>
              </w:rPr>
              <w:t>发布了关于印发《</w:t>
            </w:r>
            <w:r>
              <w:rPr>
                <w:rFonts w:hint="eastAsia"/>
                <w:sz w:val="24"/>
                <w:szCs w:val="24"/>
                <w:u w:val="none" w:color="auto"/>
              </w:rPr>
              <w:t>南阳市环境空气质量限期达标行动实施方案（2024—2025年）</w:t>
            </w:r>
            <w:r>
              <w:rPr>
                <w:sz w:val="24"/>
                <w:szCs w:val="24"/>
                <w:u w:val="none" w:color="auto"/>
              </w:rPr>
              <w:t>》的通知，本项目与《</w:t>
            </w:r>
            <w:r>
              <w:rPr>
                <w:rFonts w:hint="eastAsia"/>
                <w:sz w:val="24"/>
                <w:szCs w:val="24"/>
                <w:u w:val="none" w:color="auto"/>
              </w:rPr>
              <w:t>南阳市环境空气质量限期达标行动实施方案（2024—2025年）</w:t>
            </w:r>
            <w:r>
              <w:rPr>
                <w:sz w:val="24"/>
                <w:szCs w:val="24"/>
                <w:u w:val="none" w:color="auto"/>
              </w:rPr>
              <w:t>》进行比对分析，本项目与行动方案的相符性见下表：</w:t>
            </w:r>
          </w:p>
          <w:p>
            <w:pPr>
              <w:spacing w:line="240" w:lineRule="auto"/>
              <w:jc w:val="center"/>
              <w:rPr>
                <w:rFonts w:hint="default" w:ascii="Times New Roman" w:hAnsi="Times New Roman" w:eastAsia="宋体" w:cs="Times New Roman"/>
                <w:b/>
                <w:bCs/>
                <w:sz w:val="24"/>
                <w:szCs w:val="24"/>
                <w:u w:val="none" w:color="auto"/>
                <w:lang w:eastAsia="zh-CN"/>
              </w:rPr>
            </w:pPr>
            <w:r>
              <w:rPr>
                <w:rFonts w:hint="default" w:ascii="Times New Roman" w:hAnsi="Times New Roman" w:eastAsia="宋体" w:cs="Times New Roman"/>
                <w:b/>
                <w:bCs/>
                <w:sz w:val="24"/>
                <w:szCs w:val="24"/>
                <w:u w:val="none" w:color="auto"/>
                <w:lang w:eastAsia="zh-CN"/>
              </w:rPr>
              <w:t>表1-</w:t>
            </w:r>
            <w:r>
              <w:rPr>
                <w:rFonts w:hint="eastAsia" w:cs="Times New Roman"/>
                <w:b/>
                <w:bCs/>
                <w:sz w:val="24"/>
                <w:szCs w:val="24"/>
                <w:u w:val="none" w:color="auto"/>
                <w:lang w:val="en-US" w:eastAsia="zh-CN"/>
              </w:rPr>
              <w:t>6</w:t>
            </w:r>
            <w:r>
              <w:rPr>
                <w:rFonts w:hint="eastAsia" w:ascii="Times New Roman" w:hAnsi="Times New Roman" w:eastAsia="宋体" w:cs="Times New Roman"/>
                <w:b/>
                <w:bCs/>
                <w:sz w:val="24"/>
                <w:szCs w:val="24"/>
                <w:u w:val="none" w:color="auto"/>
                <w:lang w:val="en-US" w:eastAsia="zh-CN"/>
              </w:rPr>
              <w:t xml:space="preserve">  </w:t>
            </w:r>
            <w:r>
              <w:rPr>
                <w:rFonts w:hint="default" w:ascii="Times New Roman" w:hAnsi="Times New Roman" w:eastAsia="宋体" w:cs="Times New Roman"/>
                <w:b/>
                <w:bCs/>
                <w:sz w:val="24"/>
                <w:szCs w:val="24"/>
                <w:u w:val="none" w:color="auto"/>
                <w:lang w:eastAsia="zh-CN"/>
              </w:rPr>
              <w:t>项目建设与南阳市环境空气质量限期达标行动实施方案比对一览表</w:t>
            </w:r>
          </w:p>
          <w:tbl>
            <w:tblPr>
              <w:tblStyle w:val="26"/>
              <w:tblW w:w="804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4"/>
              <w:gridCol w:w="4103"/>
              <w:gridCol w:w="2006"/>
              <w:gridCol w:w="9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2" w:hRule="atLeast"/>
                <w:jc w:val="center"/>
              </w:trPr>
              <w:tc>
                <w:tcPr>
                  <w:tcW w:w="1004" w:type="dxa"/>
                  <w:tcBorders>
                    <w:tl2br w:val="nil"/>
                    <w:tr2bl w:val="nil"/>
                  </w:tcBorders>
                  <w:noWrap/>
                  <w:vAlign w:val="center"/>
                </w:tcPr>
                <w:p>
                  <w:pPr>
                    <w:spacing w:line="240" w:lineRule="auto"/>
                    <w:jc w:val="center"/>
                    <w:rPr>
                      <w:b/>
                      <w:bCs/>
                      <w:sz w:val="21"/>
                      <w:szCs w:val="21"/>
                      <w:u w:val="none" w:color="auto"/>
                    </w:rPr>
                  </w:pPr>
                  <w:r>
                    <w:rPr>
                      <w:b/>
                      <w:bCs/>
                      <w:sz w:val="21"/>
                      <w:szCs w:val="21"/>
                      <w:u w:val="none" w:color="auto"/>
                    </w:rPr>
                    <w:t>方案要求</w:t>
                  </w:r>
                </w:p>
              </w:tc>
              <w:tc>
                <w:tcPr>
                  <w:tcW w:w="4103" w:type="dxa"/>
                  <w:tcBorders>
                    <w:tl2br w:val="nil"/>
                    <w:tr2bl w:val="nil"/>
                  </w:tcBorders>
                  <w:noWrap/>
                  <w:vAlign w:val="center"/>
                </w:tcPr>
                <w:p>
                  <w:pPr>
                    <w:spacing w:line="240" w:lineRule="auto"/>
                    <w:jc w:val="center"/>
                    <w:rPr>
                      <w:b/>
                      <w:bCs/>
                      <w:sz w:val="21"/>
                      <w:szCs w:val="21"/>
                      <w:u w:val="none" w:color="auto"/>
                    </w:rPr>
                  </w:pPr>
                  <w:r>
                    <w:rPr>
                      <w:b/>
                      <w:bCs/>
                      <w:sz w:val="21"/>
                      <w:szCs w:val="21"/>
                      <w:u w:val="none" w:color="auto"/>
                    </w:rPr>
                    <w:t>具体内容</w:t>
                  </w:r>
                </w:p>
              </w:tc>
              <w:tc>
                <w:tcPr>
                  <w:tcW w:w="2006" w:type="dxa"/>
                  <w:tcBorders>
                    <w:tl2br w:val="nil"/>
                    <w:tr2bl w:val="nil"/>
                  </w:tcBorders>
                  <w:noWrap/>
                  <w:vAlign w:val="center"/>
                </w:tcPr>
                <w:p>
                  <w:pPr>
                    <w:spacing w:line="240" w:lineRule="auto"/>
                    <w:jc w:val="center"/>
                    <w:rPr>
                      <w:b/>
                      <w:bCs/>
                      <w:sz w:val="21"/>
                      <w:szCs w:val="21"/>
                      <w:u w:val="none" w:color="auto"/>
                    </w:rPr>
                  </w:pPr>
                  <w:r>
                    <w:rPr>
                      <w:b/>
                      <w:bCs/>
                      <w:sz w:val="21"/>
                      <w:szCs w:val="21"/>
                      <w:u w:val="none" w:color="auto"/>
                    </w:rPr>
                    <w:t>本项目建设情况</w:t>
                  </w:r>
                </w:p>
              </w:tc>
              <w:tc>
                <w:tcPr>
                  <w:tcW w:w="927" w:type="dxa"/>
                  <w:tcBorders>
                    <w:tl2br w:val="nil"/>
                    <w:tr2bl w:val="nil"/>
                  </w:tcBorders>
                  <w:noWrap/>
                  <w:vAlign w:val="center"/>
                </w:tcPr>
                <w:p>
                  <w:pPr>
                    <w:spacing w:line="240" w:lineRule="auto"/>
                    <w:jc w:val="center"/>
                    <w:rPr>
                      <w:b/>
                      <w:bCs/>
                      <w:sz w:val="21"/>
                      <w:szCs w:val="21"/>
                      <w:u w:val="none" w:color="auto"/>
                    </w:rPr>
                  </w:pPr>
                  <w:r>
                    <w:rPr>
                      <w:b/>
                      <w:bCs/>
                      <w:sz w:val="21"/>
                      <w:szCs w:val="21"/>
                      <w:u w:val="none" w:color="auto"/>
                    </w:rPr>
                    <w:t>相符性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0" w:hRule="atLeast"/>
                <w:jc w:val="center"/>
              </w:trPr>
              <w:tc>
                <w:tcPr>
                  <w:tcW w:w="1004" w:type="dxa"/>
                  <w:vMerge w:val="restart"/>
                  <w:tcBorders>
                    <w:tl2br w:val="nil"/>
                    <w:tr2bl w:val="nil"/>
                  </w:tcBorders>
                  <w:noWrap/>
                  <w:vAlign w:val="center"/>
                </w:tcPr>
                <w:p>
                  <w:pPr>
                    <w:widowControl/>
                    <w:spacing w:line="240" w:lineRule="auto"/>
                    <w:jc w:val="center"/>
                    <w:rPr>
                      <w:sz w:val="21"/>
                      <w:szCs w:val="21"/>
                      <w:u w:val="none" w:color="auto"/>
                    </w:rPr>
                  </w:pPr>
                  <w:r>
                    <w:rPr>
                      <w:rFonts w:hint="eastAsia" w:ascii="Times New Roman" w:hAnsi="Times New Roman" w:eastAsia="宋体" w:cs="Times New Roman"/>
                      <w:sz w:val="21"/>
                      <w:szCs w:val="21"/>
                      <w:u w:val="none" w:color="auto"/>
                      <w:lang w:eastAsia="zh-CN"/>
                    </w:rPr>
                    <w:t>持续推进产业结构优化调整</w:t>
                  </w:r>
                </w:p>
              </w:tc>
              <w:tc>
                <w:tcPr>
                  <w:tcW w:w="4103" w:type="dxa"/>
                  <w:tcBorders>
                    <w:tl2br w:val="nil"/>
                    <w:tr2bl w:val="nil"/>
                  </w:tcBorders>
                  <w:noWrap/>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both"/>
                    <w:textAlignment w:val="auto"/>
                    <w:rPr>
                      <w:sz w:val="21"/>
                      <w:szCs w:val="21"/>
                      <w:u w:val="none" w:color="auto"/>
                    </w:rPr>
                  </w:pPr>
                  <w:r>
                    <w:rPr>
                      <w:rFonts w:hint="default" w:ascii="Times New Roman" w:hAnsi="Times New Roman" w:eastAsia="宋体" w:cs="Times New Roman"/>
                      <w:color w:val="auto"/>
                      <w:sz w:val="21"/>
                      <w:szCs w:val="21"/>
                      <w:u w:val="none" w:color="auto"/>
                      <w:vertAlign w:val="baseline"/>
                      <w:lang w:eastAsia="zh-CN"/>
                    </w:rPr>
                    <w:t>1.加快淘汰落后低效产能。研究制定落后产能淘汰退出工作方案，明确目标任务、时间节点、工作措施和责任单位。依据国家《产业结构调整指导目录》及《河南省淘汰落后产能综合标准体系》要求，严格强制性标准实施，落实属地责任，促使一批达不到标准体系要求和生产不合格产品或淘汰类产能等落后产能，依法依规严格关停退出。</w:t>
                  </w:r>
                </w:p>
              </w:tc>
              <w:tc>
                <w:tcPr>
                  <w:tcW w:w="2006" w:type="dxa"/>
                  <w:tcBorders>
                    <w:tl2br w:val="nil"/>
                    <w:tr2bl w:val="nil"/>
                  </w:tcBorders>
                  <w:noWrap/>
                  <w:vAlign w:val="center"/>
                </w:tcPr>
                <w:p>
                  <w:pPr>
                    <w:spacing w:line="240" w:lineRule="auto"/>
                    <w:jc w:val="center"/>
                    <w:rPr>
                      <w:rFonts w:hint="default" w:eastAsia="宋体"/>
                      <w:sz w:val="21"/>
                      <w:szCs w:val="21"/>
                      <w:u w:val="none" w:color="auto"/>
                      <w:lang w:val="en-US" w:eastAsia="zh-CN"/>
                    </w:rPr>
                  </w:pPr>
                  <w:r>
                    <w:rPr>
                      <w:rFonts w:hint="eastAsia"/>
                      <w:sz w:val="21"/>
                      <w:szCs w:val="21"/>
                      <w:u w:val="none" w:color="auto"/>
                    </w:rPr>
                    <w:t>本项目不涉及淘汰落后低效产能问题。</w:t>
                  </w:r>
                </w:p>
              </w:tc>
              <w:tc>
                <w:tcPr>
                  <w:tcW w:w="927" w:type="dxa"/>
                  <w:tcBorders>
                    <w:tl2br w:val="nil"/>
                    <w:tr2bl w:val="nil"/>
                  </w:tcBorders>
                  <w:noWrap/>
                  <w:vAlign w:val="center"/>
                </w:tcPr>
                <w:p>
                  <w:pPr>
                    <w:spacing w:line="240" w:lineRule="auto"/>
                    <w:jc w:val="center"/>
                    <w:rPr>
                      <w:sz w:val="21"/>
                      <w:szCs w:val="21"/>
                      <w:u w:val="none" w:color="auto"/>
                    </w:rPr>
                  </w:pPr>
                  <w:r>
                    <w:rPr>
                      <w:sz w:val="21"/>
                      <w:szCs w:val="21"/>
                      <w:u w:val="none" w:color="auto"/>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0" w:hRule="atLeast"/>
                <w:jc w:val="center"/>
              </w:trPr>
              <w:tc>
                <w:tcPr>
                  <w:tcW w:w="1004" w:type="dxa"/>
                  <w:vMerge w:val="continue"/>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kern w:val="0"/>
                      <w:sz w:val="21"/>
                      <w:szCs w:val="21"/>
                      <w:u w:val="none" w:color="auto"/>
                    </w:rPr>
                  </w:pPr>
                </w:p>
              </w:tc>
              <w:tc>
                <w:tcPr>
                  <w:tcW w:w="4103" w:type="dxa"/>
                  <w:tcBorders>
                    <w:tl2br w:val="nil"/>
                    <w:tr2bl w:val="nil"/>
                  </w:tcBorders>
                  <w:noWrap/>
                  <w:vAlign w:val="center"/>
                </w:tcPr>
                <w:p>
                  <w:pPr>
                    <w:keepNext w:val="0"/>
                    <w:keepLines w:val="0"/>
                    <w:pageBreakBefore w:val="0"/>
                    <w:widowControl w:val="0"/>
                    <w:tabs>
                      <w:tab w:val="left" w:pos="705"/>
                    </w:tabs>
                    <w:kinsoku/>
                    <w:wordWrap/>
                    <w:overflowPunct/>
                    <w:topLinePunct w:val="0"/>
                    <w:autoSpaceDE/>
                    <w:autoSpaceDN/>
                    <w:bidi w:val="0"/>
                    <w:adjustRightInd/>
                    <w:snapToGrid/>
                    <w:spacing w:line="240" w:lineRule="auto"/>
                    <w:jc w:val="both"/>
                    <w:textAlignment w:val="auto"/>
                    <w:rPr>
                      <w:sz w:val="21"/>
                      <w:szCs w:val="21"/>
                      <w:u w:val="none" w:color="auto"/>
                    </w:rPr>
                  </w:pPr>
                  <w:r>
                    <w:rPr>
                      <w:rFonts w:hint="default" w:ascii="Times New Roman" w:hAnsi="Times New Roman" w:eastAsia="宋体" w:cs="Times New Roman"/>
                      <w:color w:val="auto"/>
                      <w:sz w:val="21"/>
                      <w:szCs w:val="21"/>
                      <w:u w:val="none" w:color="auto"/>
                      <w:vertAlign w:val="baseline"/>
                      <w:lang w:eastAsia="zh-CN"/>
                    </w:rPr>
                    <w:t>3.强化项目环评及“三同时”管理。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新建、改建、扩建项目大宗货物年货运量150万吨及以上的，原则上要接入铁路专用线或管道；具有铁路专用线的，大宗货物铁路运输比例应达到80%以上。</w:t>
                  </w:r>
                </w:p>
              </w:tc>
              <w:tc>
                <w:tcPr>
                  <w:tcW w:w="2006" w:type="dxa"/>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sz w:val="21"/>
                      <w:szCs w:val="21"/>
                      <w:u w:val="none" w:color="auto"/>
                      <w:lang w:val="en-US" w:eastAsia="zh-CN"/>
                    </w:rPr>
                  </w:pPr>
                  <w:r>
                    <w:rPr>
                      <w:rFonts w:hint="eastAsia"/>
                      <w:sz w:val="21"/>
                      <w:szCs w:val="21"/>
                      <w:u w:val="none" w:color="auto"/>
                    </w:rPr>
                    <w:t>本项目</w:t>
                  </w:r>
                  <w:r>
                    <w:rPr>
                      <w:rFonts w:hint="eastAsia"/>
                      <w:sz w:val="21"/>
                      <w:szCs w:val="21"/>
                      <w:u w:val="none" w:color="auto"/>
                      <w:lang w:val="en-US" w:eastAsia="zh-CN"/>
                    </w:rPr>
                    <w:t>属于</w:t>
                  </w:r>
                  <w:r>
                    <w:rPr>
                      <w:rFonts w:hint="eastAsia" w:eastAsia="宋体"/>
                      <w:sz w:val="21"/>
                      <w:szCs w:val="21"/>
                      <w:u w:val="none" w:color="auto"/>
                      <w:lang w:val="en-US" w:eastAsia="zh-CN"/>
                    </w:rPr>
                    <w:t>新建项目污染物排放限值、污染治理措施、无组织排放控制水平、运输方式等达到A级以上绩效水平</w:t>
                  </w:r>
                </w:p>
              </w:tc>
              <w:tc>
                <w:tcPr>
                  <w:tcW w:w="927" w:type="dxa"/>
                  <w:tcBorders>
                    <w:tl2br w:val="nil"/>
                    <w:tr2bl w:val="nil"/>
                  </w:tcBorders>
                  <w:noWrap/>
                  <w:vAlign w:val="center"/>
                </w:tcPr>
                <w:p>
                  <w:pPr>
                    <w:spacing w:line="240" w:lineRule="auto"/>
                    <w:jc w:val="center"/>
                    <w:rPr>
                      <w:sz w:val="21"/>
                      <w:szCs w:val="21"/>
                      <w:u w:val="none" w:color="auto"/>
                    </w:rPr>
                  </w:pPr>
                  <w:r>
                    <w:rPr>
                      <w:sz w:val="21"/>
                      <w:szCs w:val="21"/>
                      <w:u w:val="none" w:color="auto"/>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0" w:hRule="atLeast"/>
                <w:jc w:val="center"/>
              </w:trPr>
              <w:tc>
                <w:tcPr>
                  <w:tcW w:w="1004" w:type="dxa"/>
                  <w:tcBorders>
                    <w:tl2br w:val="nil"/>
                    <w:tr2bl w:val="nil"/>
                  </w:tcBorders>
                  <w:noWrap/>
                  <w:vAlign w:val="center"/>
                </w:tcPr>
                <w:p>
                  <w:pPr>
                    <w:spacing w:line="240" w:lineRule="auto"/>
                    <w:jc w:val="center"/>
                    <w:rPr>
                      <w:rFonts w:hint="eastAsia"/>
                      <w:kern w:val="0"/>
                      <w:sz w:val="21"/>
                      <w:szCs w:val="21"/>
                      <w:u w:val="none" w:color="auto"/>
                    </w:rPr>
                  </w:pPr>
                  <w:r>
                    <w:rPr>
                      <w:rFonts w:ascii="Arial" w:hAnsi="Arial" w:eastAsia="宋体" w:cs="Arial"/>
                      <w:i w:val="0"/>
                      <w:iCs w:val="0"/>
                      <w:caps w:val="0"/>
                      <w:color w:val="121212"/>
                      <w:spacing w:val="0"/>
                      <w:sz w:val="21"/>
                      <w:szCs w:val="21"/>
                      <w:u w:val="none" w:color="auto"/>
                      <w:shd w:val="clear" w:fill="FFFFFF"/>
                    </w:rPr>
                    <w:t>推进工业企业综合治理</w:t>
                  </w:r>
                </w:p>
              </w:tc>
              <w:tc>
                <w:tcPr>
                  <w:tcW w:w="4103"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i w:val="0"/>
                      <w:iCs w:val="0"/>
                      <w:caps w:val="0"/>
                      <w:color w:val="121212"/>
                      <w:spacing w:val="0"/>
                      <w:sz w:val="21"/>
                      <w:szCs w:val="21"/>
                      <w:u w:val="none" w:color="auto"/>
                      <w:shd w:val="clear" w:fill="FFFFFF"/>
                    </w:rPr>
                    <w:t>17.加快挥发性有机物治理。紧盯VOCs无组织排放短板，实施含VOCs物料全方位、全链条、全环节密闭管理，提升废气收集率，在保证安全生产前提下，做到“应收尽收”。产生含挥发性有机物废水的企业，在保证安全的前提下，将地漏、沟、渠、井等敞开式集输方式改造为密闭式集输方式，最大程度减少挥发性有机物无组织排放。对达不到VOCs无组织排放治理要求的企业，实施限期治理。</w:t>
                  </w:r>
                </w:p>
              </w:tc>
              <w:tc>
                <w:tcPr>
                  <w:tcW w:w="2006" w:type="dxa"/>
                  <w:tcBorders>
                    <w:tl2br w:val="nil"/>
                    <w:tr2bl w:val="nil"/>
                  </w:tcBorders>
                  <w:noWrap/>
                  <w:vAlign w:val="center"/>
                </w:tcPr>
                <w:p>
                  <w:pPr>
                    <w:spacing w:line="240" w:lineRule="auto"/>
                    <w:jc w:val="center"/>
                    <w:rPr>
                      <w:rFonts w:hint="eastAsia" w:eastAsia="宋体"/>
                      <w:sz w:val="21"/>
                      <w:szCs w:val="21"/>
                      <w:u w:val="none" w:color="auto"/>
                      <w:lang w:val="en-US" w:eastAsia="zh-CN"/>
                    </w:rPr>
                  </w:pPr>
                  <w:r>
                    <w:rPr>
                      <w:rFonts w:hint="default" w:ascii="Times New Roman" w:hAnsi="Times New Roman" w:eastAsia="宋体" w:cs="Times New Roman"/>
                      <w:b w:val="0"/>
                      <w:bCs w:val="0"/>
                      <w:sz w:val="21"/>
                      <w:szCs w:val="21"/>
                      <w:u w:val="none"/>
                      <w:lang w:val="en-US" w:eastAsia="zh-CN"/>
                    </w:rPr>
                    <w:t>本项目涂布机、干复机工作台以上进行二次密闭，</w:t>
                  </w:r>
                  <w:r>
                    <w:rPr>
                      <w:rFonts w:hint="eastAsia" w:cs="Times New Roman"/>
                      <w:b w:val="0"/>
                      <w:bCs w:val="0"/>
                      <w:sz w:val="21"/>
                      <w:szCs w:val="21"/>
                      <w:u w:val="none"/>
                      <w:lang w:val="en-US" w:eastAsia="zh-CN"/>
                    </w:rPr>
                    <w:t>烘干机</w:t>
                  </w:r>
                  <w:r>
                    <w:rPr>
                      <w:rFonts w:hint="default" w:ascii="Times New Roman" w:hAnsi="Times New Roman" w:eastAsia="宋体" w:cs="Times New Roman"/>
                      <w:b w:val="0"/>
                      <w:bCs w:val="0"/>
                      <w:sz w:val="21"/>
                      <w:szCs w:val="21"/>
                      <w:u w:val="none"/>
                      <w:lang w:val="en-US" w:eastAsia="zh-CN"/>
                    </w:rPr>
                    <w:t>密闭，均采取负压集气，产生的有机废气经配套管道收集后经管道引至一套“二级活性炭吸附”装置处理后通过1根</w:t>
                  </w:r>
                  <w:r>
                    <w:rPr>
                      <w:rFonts w:hint="eastAsia" w:cs="Times New Roman"/>
                      <w:b w:val="0"/>
                      <w:bCs w:val="0"/>
                      <w:sz w:val="21"/>
                      <w:szCs w:val="21"/>
                      <w:u w:val="none"/>
                      <w:lang w:val="en-US" w:eastAsia="zh-CN"/>
                    </w:rPr>
                    <w:t>23</w:t>
                  </w:r>
                  <w:r>
                    <w:rPr>
                      <w:rFonts w:hint="default" w:ascii="Times New Roman" w:hAnsi="Times New Roman" w:eastAsia="宋体" w:cs="Times New Roman"/>
                      <w:b w:val="0"/>
                      <w:bCs w:val="0"/>
                      <w:sz w:val="21"/>
                      <w:szCs w:val="21"/>
                      <w:u w:val="none"/>
                      <w:lang w:val="en-US" w:eastAsia="zh-CN"/>
                    </w:rPr>
                    <w:t>m排气筒排放</w:t>
                  </w:r>
                  <w:r>
                    <w:rPr>
                      <w:rFonts w:hint="eastAsia" w:cs="Times New Roman"/>
                      <w:b w:val="0"/>
                      <w:bCs w:val="0"/>
                      <w:sz w:val="21"/>
                      <w:szCs w:val="21"/>
                      <w:u w:val="none"/>
                      <w:lang w:val="en-US" w:eastAsia="zh-CN"/>
                    </w:rPr>
                    <w:t>。</w:t>
                  </w:r>
                </w:p>
              </w:tc>
              <w:tc>
                <w:tcPr>
                  <w:tcW w:w="927" w:type="dxa"/>
                  <w:tcBorders>
                    <w:tl2br w:val="nil"/>
                    <w:tr2bl w:val="nil"/>
                  </w:tcBorders>
                  <w:noWrap/>
                  <w:vAlign w:val="center"/>
                </w:tcPr>
                <w:p>
                  <w:pPr>
                    <w:spacing w:line="240" w:lineRule="auto"/>
                    <w:jc w:val="center"/>
                    <w:rPr>
                      <w:sz w:val="21"/>
                      <w:szCs w:val="21"/>
                      <w:u w:val="none" w:color="auto"/>
                    </w:rPr>
                  </w:pPr>
                  <w:r>
                    <w:rPr>
                      <w:rFonts w:hint="eastAsia" w:ascii="Times New Roman" w:hAnsi="Times New Roman" w:eastAsia="宋体" w:cs="Times New Roman"/>
                      <w:sz w:val="21"/>
                      <w:szCs w:val="21"/>
                      <w:u w:val="none" w:color="auto"/>
                      <w:vertAlign w:val="baseline"/>
                      <w:lang w:val="en-US" w:eastAsia="zh-CN"/>
                    </w:rPr>
                    <w:t>符合</w:t>
                  </w:r>
                </w:p>
              </w:tc>
            </w:tr>
          </w:tbl>
          <w:p>
            <w:pPr>
              <w:spacing w:line="360" w:lineRule="auto"/>
              <w:ind w:firstLine="480" w:firstLineChars="200"/>
              <w:rPr>
                <w:sz w:val="24"/>
                <w:szCs w:val="24"/>
                <w:u w:val="none" w:color="auto"/>
              </w:rPr>
            </w:pPr>
            <w:r>
              <w:rPr>
                <w:sz w:val="24"/>
                <w:szCs w:val="24"/>
                <w:u w:val="none" w:color="auto"/>
              </w:rPr>
              <w:t>综上所述，本项目建设符合《</w:t>
            </w:r>
            <w:r>
              <w:rPr>
                <w:rFonts w:hint="eastAsia"/>
                <w:sz w:val="24"/>
                <w:szCs w:val="24"/>
                <w:u w:val="none" w:color="auto"/>
              </w:rPr>
              <w:t>南阳市环境空气质量限期达标行动实施方案（2024-2025年）</w:t>
            </w:r>
            <w:r>
              <w:rPr>
                <w:sz w:val="24"/>
                <w:szCs w:val="24"/>
                <w:u w:val="none" w:color="auto"/>
              </w:rPr>
              <w:t>》中的相关要求。</w:t>
            </w:r>
          </w:p>
          <w:p>
            <w:pPr>
              <w:spacing w:line="360" w:lineRule="auto"/>
              <w:ind w:firstLine="480" w:firstLineChars="200"/>
              <w:rPr>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b/>
                <w:bCs/>
                <w:color w:val="auto"/>
                <w:sz w:val="24"/>
                <w:szCs w:val="24"/>
                <w:u w:val="none" w:color="auto"/>
                <w:lang w:val="en-US" w:eastAsia="zh-CN"/>
              </w:rPr>
            </w:pPr>
            <w:r>
              <w:rPr>
                <w:rFonts w:hint="eastAsia"/>
                <w:b/>
                <w:bCs/>
                <w:color w:val="auto"/>
                <w:sz w:val="24"/>
                <w:szCs w:val="24"/>
                <w:u w:val="none" w:color="auto"/>
                <w:lang w:val="en-US" w:eastAsia="zh-CN"/>
              </w:rPr>
              <w:t>9</w:t>
            </w:r>
            <w:r>
              <w:rPr>
                <w:rFonts w:hint="default"/>
                <w:b/>
                <w:bCs/>
                <w:color w:val="auto"/>
                <w:sz w:val="24"/>
                <w:szCs w:val="24"/>
                <w:u w:val="none" w:color="auto"/>
                <w:lang w:val="en-US" w:eastAsia="zh-CN"/>
              </w:rPr>
              <w:t>、项目与</w:t>
            </w:r>
            <w:r>
              <w:rPr>
                <w:rFonts w:hint="default" w:ascii="Times New Roman" w:hAnsi="Times New Roman" w:eastAsia="宋体" w:cs="Times New Roman"/>
                <w:b/>
                <w:sz w:val="24"/>
                <w:szCs w:val="24"/>
                <w:u w:val="none"/>
              </w:rPr>
              <w:t>《河南省重污染天气通用行业应急减排措施制定技术指南》（202</w:t>
            </w:r>
            <w:r>
              <w:rPr>
                <w:rFonts w:hint="eastAsia" w:cs="Times New Roman"/>
                <w:b/>
                <w:sz w:val="24"/>
                <w:szCs w:val="24"/>
                <w:u w:val="none"/>
                <w:lang w:val="en-US" w:eastAsia="zh-CN"/>
              </w:rPr>
              <w:t>4</w:t>
            </w:r>
            <w:r>
              <w:rPr>
                <w:rFonts w:hint="default" w:ascii="Times New Roman" w:hAnsi="Times New Roman" w:eastAsia="宋体" w:cs="Times New Roman"/>
                <w:b/>
                <w:sz w:val="24"/>
                <w:szCs w:val="24"/>
                <w:u w:val="none"/>
              </w:rPr>
              <w:t>年修订版）中涉VOCs企业基本要求相符性分析</w:t>
            </w:r>
          </w:p>
          <w:p>
            <w:pPr>
              <w:keepNext w:val="0"/>
              <w:keepLines w:val="0"/>
              <w:pageBreakBefore w:val="0"/>
              <w:widowControl/>
              <w:kinsoku/>
              <w:wordWrap/>
              <w:overflowPunct/>
              <w:topLinePunct w:val="0"/>
              <w:autoSpaceDE/>
              <w:autoSpaceDN/>
              <w:bidi w:val="0"/>
              <w:adjustRightInd w:val="0"/>
              <w:snapToGrid/>
              <w:spacing w:line="480" w:lineRule="exact"/>
              <w:ind w:firstLine="480" w:firstLineChars="200"/>
              <w:jc w:val="both"/>
              <w:textAlignment w:val="auto"/>
              <w:outlineLvl w:val="9"/>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本次项目</w:t>
            </w:r>
            <w:r>
              <w:rPr>
                <w:rFonts w:hint="eastAsia" w:ascii="Times New Roman" w:hAnsi="Times New Roman" w:eastAsia="宋体" w:cs="Times New Roman"/>
                <w:color w:val="auto"/>
                <w:sz w:val="24"/>
                <w:szCs w:val="24"/>
                <w:highlight w:val="none"/>
                <w:lang w:eastAsia="zh-CN"/>
              </w:rPr>
              <w:t>产品主要为</w:t>
            </w:r>
            <w:r>
              <w:rPr>
                <w:rFonts w:hint="eastAsia" w:ascii="Times New Roman" w:hAnsi="Times New Roman" w:eastAsia="宋体" w:cs="Times New Roman"/>
                <w:color w:val="auto"/>
                <w:sz w:val="24"/>
                <w:szCs w:val="24"/>
                <w:highlight w:val="none"/>
                <w:lang w:val="en-US" w:eastAsia="zh-CN"/>
              </w:rPr>
              <w:t>艾制品</w:t>
            </w:r>
            <w:r>
              <w:rPr>
                <w:rFonts w:hint="default" w:ascii="Times New Roman" w:hAnsi="Times New Roman" w:eastAsia="宋体" w:cs="Times New Roman"/>
                <w:color w:val="auto"/>
                <w:sz w:val="24"/>
                <w:szCs w:val="24"/>
                <w:highlight w:val="none"/>
              </w:rPr>
              <w:t>，属于《国民经济行业分类》（GB/T4754-2017）</w:t>
            </w:r>
            <w:r>
              <w:rPr>
                <w:rFonts w:hint="eastAsia" w:ascii="Times New Roman" w:hAnsi="Times New Roman" w:eastAsia="宋体" w:cs="Times New Roman"/>
                <w:color w:val="auto"/>
                <w:kern w:val="0"/>
                <w:sz w:val="24"/>
                <w:szCs w:val="24"/>
                <w:highlight w:val="none"/>
                <w:lang w:val="en-US" w:eastAsia="zh-CN"/>
              </w:rPr>
              <w:t>C2770卫生材料及医药用品制造，</w:t>
            </w:r>
            <w:r>
              <w:rPr>
                <w:rFonts w:hint="default" w:ascii="Times New Roman" w:hAnsi="Times New Roman" w:eastAsia="宋体" w:cs="Times New Roman"/>
                <w:bCs/>
                <w:sz w:val="24"/>
                <w:szCs w:val="24"/>
                <w:u w:val="none"/>
              </w:rPr>
              <w:t>经比对《重污染天气重点行业应急减排技术指南（2020年修订版）》和《河南省重污染天气重点行业应急减排措施制定技术指南（202</w:t>
            </w:r>
            <w:r>
              <w:rPr>
                <w:rFonts w:hint="eastAsia" w:cs="Times New Roman"/>
                <w:bCs/>
                <w:sz w:val="24"/>
                <w:szCs w:val="24"/>
                <w:u w:val="none"/>
                <w:lang w:val="en-US" w:eastAsia="zh-CN"/>
              </w:rPr>
              <w:t>4</w:t>
            </w:r>
            <w:r>
              <w:rPr>
                <w:rFonts w:hint="default" w:ascii="Times New Roman" w:hAnsi="Times New Roman" w:eastAsia="宋体" w:cs="Times New Roman"/>
                <w:bCs/>
                <w:sz w:val="24"/>
                <w:szCs w:val="24"/>
                <w:u w:val="none"/>
              </w:rPr>
              <w:t>年修订版）》</w:t>
            </w:r>
            <w:r>
              <w:rPr>
                <w:rFonts w:hint="eastAsia" w:ascii="Times New Roman" w:hAnsi="Times New Roman" w:eastAsia="宋体" w:cs="Times New Roman"/>
                <w:bCs/>
                <w:sz w:val="24"/>
                <w:szCs w:val="24"/>
                <w:u w:val="none"/>
                <w:lang w:eastAsia="zh-CN"/>
              </w:rPr>
              <w:t>，</w:t>
            </w:r>
            <w:r>
              <w:rPr>
                <w:rFonts w:hint="eastAsia" w:ascii="Times New Roman" w:hAnsi="Times New Roman" w:eastAsia="宋体" w:cs="Times New Roman"/>
                <w:color w:val="auto"/>
                <w:kern w:val="0"/>
                <w:sz w:val="24"/>
                <w:szCs w:val="24"/>
                <w:highlight w:val="none"/>
                <w:lang w:val="en-US" w:eastAsia="zh-CN"/>
              </w:rPr>
              <w:t>项目不属于国家及河南省重点行业。项目运营期废气污染因子主要为VOCs，因此</w:t>
            </w:r>
            <w:r>
              <w:rPr>
                <w:rFonts w:hint="eastAsia" w:ascii="Times New Roman" w:hAnsi="Times New Roman" w:eastAsia="宋体" w:cs="Times New Roman"/>
                <w:color w:val="auto"/>
                <w:sz w:val="24"/>
                <w:szCs w:val="24"/>
                <w:highlight w:val="none"/>
                <w:lang w:eastAsia="zh-CN"/>
              </w:rPr>
              <w:t>本次项目纳入《河南省重污染天气通用行业应急减排措施制定技术指南》（202</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年修订版）</w:t>
            </w:r>
            <w:r>
              <w:rPr>
                <w:rFonts w:hint="eastAsia" w:ascii="Times New Roman" w:hAnsi="Times New Roman" w:eastAsia="宋体" w:cs="Times New Roman"/>
                <w:color w:val="auto"/>
                <w:sz w:val="24"/>
                <w:szCs w:val="24"/>
                <w:highlight w:val="none"/>
                <w:lang w:val="en-US" w:eastAsia="zh-CN"/>
              </w:rPr>
              <w:t>中通用行业涉VOCs进行管控</w:t>
            </w:r>
            <w:r>
              <w:rPr>
                <w:rFonts w:hint="default" w:ascii="Times New Roman" w:hAnsi="Times New Roman" w:eastAsia="宋体" w:cs="Times New Roman"/>
                <w:color w:val="auto"/>
                <w:sz w:val="24"/>
                <w:szCs w:val="24"/>
                <w:highlight w:val="none"/>
              </w:rPr>
              <w:t>。项目建设与《河南省重污染天气</w:t>
            </w:r>
            <w:r>
              <w:rPr>
                <w:rFonts w:hint="eastAsia" w:ascii="Times New Roman" w:hAnsi="Times New Roman" w:eastAsia="宋体" w:cs="Times New Roman"/>
                <w:color w:val="auto"/>
                <w:sz w:val="24"/>
                <w:szCs w:val="24"/>
                <w:highlight w:val="none"/>
                <w:lang w:eastAsia="zh-CN"/>
              </w:rPr>
              <w:t>通用</w:t>
            </w:r>
            <w:r>
              <w:rPr>
                <w:rFonts w:hint="default" w:ascii="Times New Roman" w:hAnsi="Times New Roman" w:eastAsia="宋体" w:cs="Times New Roman"/>
                <w:color w:val="auto"/>
                <w:sz w:val="24"/>
                <w:szCs w:val="24"/>
                <w:highlight w:val="none"/>
              </w:rPr>
              <w:t>行业应急减排措施制定技术指南》（202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年修订版）</w:t>
            </w:r>
            <w:r>
              <w:rPr>
                <w:rFonts w:hint="eastAsia" w:ascii="Times New Roman" w:hAnsi="Times New Roman" w:eastAsia="宋体" w:cs="Times New Roman"/>
                <w:color w:val="auto"/>
                <w:sz w:val="24"/>
                <w:szCs w:val="24"/>
                <w:highlight w:val="none"/>
                <w:lang w:eastAsia="zh-CN"/>
              </w:rPr>
              <w:t>涉</w:t>
            </w:r>
            <w:r>
              <w:rPr>
                <w:rFonts w:hint="eastAsia" w:ascii="Times New Roman" w:hAnsi="Times New Roman" w:eastAsia="宋体" w:cs="Times New Roman"/>
                <w:color w:val="auto"/>
                <w:sz w:val="24"/>
                <w:szCs w:val="24"/>
                <w:highlight w:val="none"/>
                <w:lang w:val="en-US" w:eastAsia="zh-CN"/>
              </w:rPr>
              <w:t>VOCs</w:t>
            </w:r>
            <w:r>
              <w:rPr>
                <w:rFonts w:hint="default" w:ascii="Times New Roman" w:hAnsi="Times New Roman" w:eastAsia="宋体" w:cs="Times New Roman"/>
                <w:color w:val="auto"/>
                <w:sz w:val="24"/>
                <w:szCs w:val="24"/>
                <w:highlight w:val="none"/>
              </w:rPr>
              <w:t>企业绩效分级指标比对结果详见</w:t>
            </w:r>
            <w:r>
              <w:rPr>
                <w:rFonts w:hint="eastAsia" w:cs="Times New Roman"/>
                <w:color w:val="auto"/>
                <w:sz w:val="24"/>
                <w:szCs w:val="24"/>
                <w:highlight w:val="none"/>
                <w:lang w:val="en-US" w:eastAsia="zh-CN"/>
              </w:rPr>
              <w:t>下</w:t>
            </w:r>
            <w:r>
              <w:rPr>
                <w:rFonts w:hint="eastAsia" w:ascii="Times New Roman" w:hAnsi="Times New Roman" w:eastAsia="宋体" w:cs="Times New Roman"/>
                <w:color w:val="auto"/>
                <w:sz w:val="24"/>
                <w:szCs w:val="24"/>
                <w:highlight w:val="none"/>
                <w:lang w:eastAsia="zh-CN"/>
              </w:rPr>
              <w:t>表。</w:t>
            </w:r>
          </w:p>
          <w:p>
            <w:pPr>
              <w:keepNext w:val="0"/>
              <w:keepLines w:val="0"/>
              <w:pageBreakBefore w:val="0"/>
              <w:widowControl/>
              <w:kinsoku/>
              <w:wordWrap/>
              <w:overflowPunct/>
              <w:topLinePunct w:val="0"/>
              <w:autoSpaceDE/>
              <w:autoSpaceDN/>
              <w:bidi w:val="0"/>
              <w:adjustRightInd w:val="0"/>
              <w:snapToGrid/>
              <w:spacing w:line="480" w:lineRule="exact"/>
              <w:ind w:firstLine="0" w:firstLineChars="0"/>
              <w:jc w:val="center"/>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表1-</w:t>
            </w:r>
            <w:r>
              <w:rPr>
                <w:rFonts w:hint="eastAsia" w:cs="Times New Roman"/>
                <w:b/>
                <w:bCs/>
                <w:color w:val="auto"/>
                <w:sz w:val="24"/>
                <w:szCs w:val="24"/>
                <w:highlight w:val="none"/>
                <w:lang w:val="en-US" w:eastAsia="zh-CN"/>
              </w:rPr>
              <w:t>7</w:t>
            </w:r>
            <w:r>
              <w:rPr>
                <w:rFonts w:hint="eastAsia" w:ascii="Times New Roman" w:hAnsi="Times New Roman" w:eastAsia="宋体" w:cs="Times New Roman"/>
                <w:b/>
                <w:bCs/>
                <w:color w:val="auto"/>
                <w:sz w:val="24"/>
                <w:szCs w:val="24"/>
                <w:highlight w:val="none"/>
                <w:lang w:val="en-US" w:eastAsia="zh-CN"/>
              </w:rPr>
              <w:t xml:space="preserve">  项目与涉VOCs企业绩效分级指标比对一览表</w:t>
            </w:r>
          </w:p>
          <w:tbl>
            <w:tblPr>
              <w:tblStyle w:val="27"/>
              <w:tblW w:w="83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4066"/>
              <w:gridCol w:w="2780"/>
              <w:gridCol w:w="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引领性指标</w:t>
                  </w:r>
                </w:p>
              </w:tc>
              <w:tc>
                <w:tcPr>
                  <w:tcW w:w="406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管控要求</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对标情况</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生产工艺</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和装备</w:t>
                  </w:r>
                </w:p>
              </w:tc>
              <w:tc>
                <w:tcPr>
                  <w:tcW w:w="406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不属于《产业结构调整指导目录（2024 年版）》淘汰类，不属于省级和市级政府部门明确列入已经限期淘汰类项目。</w:t>
                  </w:r>
                </w:p>
              </w:tc>
              <w:tc>
                <w:tcPr>
                  <w:tcW w:w="2780"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u w:val="none"/>
                      <w:lang w:val="en-US" w:eastAsia="zh-CN"/>
                    </w:rPr>
                    <w:t>经</w:t>
                  </w:r>
                  <w:r>
                    <w:rPr>
                      <w:rFonts w:hint="default" w:ascii="Times New Roman" w:hAnsi="Times New Roman" w:eastAsia="宋体" w:cs="Times New Roman"/>
                      <w:color w:val="000000"/>
                      <w:sz w:val="21"/>
                      <w:szCs w:val="21"/>
                      <w:u w:val="none"/>
                    </w:rPr>
                    <w:t>比对《产业结构调整指导目录（20</w:t>
                  </w:r>
                  <w:r>
                    <w:rPr>
                      <w:rFonts w:hint="eastAsia" w:ascii="Times New Roman" w:hAnsi="Times New Roman" w:eastAsia="宋体" w:cs="Times New Roman"/>
                      <w:color w:val="000000"/>
                      <w:sz w:val="21"/>
                      <w:szCs w:val="21"/>
                      <w:u w:val="none"/>
                      <w:lang w:val="en-US" w:eastAsia="zh-CN"/>
                    </w:rPr>
                    <w:t>24</w:t>
                  </w:r>
                  <w:r>
                    <w:rPr>
                      <w:rFonts w:hint="default" w:ascii="Times New Roman" w:hAnsi="Times New Roman" w:eastAsia="宋体" w:cs="Times New Roman"/>
                      <w:color w:val="000000"/>
                      <w:sz w:val="21"/>
                      <w:szCs w:val="21"/>
                      <w:u w:val="none"/>
                    </w:rPr>
                    <w:t>年版）》，本项目属于允许类</w:t>
                  </w:r>
                  <w:r>
                    <w:rPr>
                      <w:rFonts w:hint="default" w:ascii="Times New Roman" w:hAnsi="Times New Roman" w:eastAsia="宋体" w:cs="Times New Roman"/>
                      <w:color w:val="000000"/>
                      <w:sz w:val="21"/>
                      <w:szCs w:val="21"/>
                      <w:u w:val="none"/>
                      <w:lang w:val="en-US" w:eastAsia="zh-CN"/>
                    </w:rPr>
                    <w:t>项目</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物料储存</w:t>
                  </w:r>
                </w:p>
              </w:tc>
              <w:tc>
                <w:tcPr>
                  <w:tcW w:w="4066" w:type="dxa"/>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eastAsia="宋体" w:cs="Times New Roman"/>
                      <w:color w:val="auto"/>
                      <w:sz w:val="21"/>
                      <w:szCs w:val="21"/>
                      <w:highlight w:val="none"/>
                    </w:rPr>
                    <w:t>涂料、稀释剂、清洗剂等原辅材料密闭存储。</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eastAsia="zh-CN"/>
                    </w:rPr>
                  </w:pP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盛装过VOCs物料的包装容器、含VOCs废料（渣、液）、废吸附剂等通过加盖、封装等方式密闭储存</w:t>
                  </w:r>
                  <w:r>
                    <w:rPr>
                      <w:rFonts w:hint="eastAsia" w:cs="Times New Roman"/>
                      <w:color w:val="auto"/>
                      <w:sz w:val="21"/>
                      <w:szCs w:val="21"/>
                      <w:highlight w:val="none"/>
                      <w:lang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生产车间内涉VOCs物料应密闭储存</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项目不涉及易挥发的VOCs物料，仅</w:t>
                  </w:r>
                  <w:r>
                    <w:rPr>
                      <w:rFonts w:hint="eastAsia" w:ascii="Times New Roman" w:hAnsi="Times New Roman" w:eastAsia="宋体" w:cs="Times New Roman"/>
                      <w:color w:val="auto"/>
                      <w:sz w:val="21"/>
                      <w:szCs w:val="21"/>
                      <w:highlight w:val="none"/>
                      <w:lang w:val="en-US" w:eastAsia="zh-CN"/>
                    </w:rPr>
                    <w:t>涂布、干复、烘干过程产生的有机废气</w:t>
                  </w:r>
                  <w:r>
                    <w:rPr>
                      <w:rFonts w:hint="default" w:ascii="Times New Roman" w:hAnsi="Times New Roman" w:eastAsia="宋体" w:cs="Times New Roman"/>
                      <w:color w:val="auto"/>
                      <w:sz w:val="21"/>
                      <w:szCs w:val="21"/>
                      <w:highlight w:val="none"/>
                      <w:lang w:val="en-US" w:eastAsia="zh-CN"/>
                    </w:rPr>
                    <w:t>，且物料均为袋装或卷装，无散装物料，存储在密闭的车间内</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物料转移和输送</w:t>
                  </w:r>
                </w:p>
              </w:tc>
              <w:tc>
                <w:tcPr>
                  <w:tcW w:w="406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涉 VOCs 物料采用密闭管道或密闭容器等输送</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采用密闭管道输送</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41"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工艺过程</w:t>
                  </w:r>
                </w:p>
              </w:tc>
              <w:tc>
                <w:tcPr>
                  <w:tcW w:w="4066" w:type="dxa"/>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eastAsia="宋体" w:cs="Times New Roman"/>
                      <w:color w:val="auto"/>
                      <w:sz w:val="21"/>
                      <w:szCs w:val="21"/>
                      <w:highlight w:val="none"/>
                    </w:rPr>
                    <w:t>原辅材料调配、使用（施胶、喷涂、干燥等）、回收等过程采用密闭设备或在密闭空间内操作。</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涉VOCs原料装卸、储存、转移和输送、工艺过程等环节的废气全部收集引至VOCs处理系统</w:t>
                  </w:r>
                  <w:r>
                    <w:rPr>
                      <w:rFonts w:hint="eastAsia" w:cs="Times New Roman"/>
                      <w:color w:val="auto"/>
                      <w:sz w:val="21"/>
                      <w:szCs w:val="21"/>
                      <w:highlight w:val="none"/>
                      <w:lang w:eastAsia="zh-CN"/>
                    </w:rPr>
                    <w:t>。</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sz w:val="21"/>
                      <w:szCs w:val="21"/>
                      <w:u w:val="none"/>
                      <w:lang w:val="en-US" w:eastAsia="zh-CN"/>
                    </w:rPr>
                    <w:t>项目涂布机、干复机工作台以上进行二次密闭，</w:t>
                  </w:r>
                  <w:r>
                    <w:rPr>
                      <w:rFonts w:hint="eastAsia" w:cs="Times New Roman"/>
                      <w:b w:val="0"/>
                      <w:bCs w:val="0"/>
                      <w:sz w:val="21"/>
                      <w:szCs w:val="21"/>
                      <w:u w:val="none"/>
                      <w:lang w:val="en-US" w:eastAsia="zh-CN"/>
                    </w:rPr>
                    <w:t>烘干机</w:t>
                  </w:r>
                  <w:r>
                    <w:rPr>
                      <w:rFonts w:hint="default" w:ascii="Times New Roman" w:hAnsi="Times New Roman" w:eastAsia="宋体" w:cs="Times New Roman"/>
                      <w:b w:val="0"/>
                      <w:bCs w:val="0"/>
                      <w:sz w:val="21"/>
                      <w:szCs w:val="21"/>
                      <w:u w:val="none"/>
                      <w:lang w:val="en-US" w:eastAsia="zh-CN"/>
                    </w:rPr>
                    <w:t>密闭，均采取负压集气，产生的有机废气经配套管道收集后经管道引至一套“二级活性炭吸附”装置处理后通过1根</w:t>
                  </w:r>
                  <w:r>
                    <w:rPr>
                      <w:rFonts w:hint="eastAsia" w:cs="Times New Roman"/>
                      <w:b w:val="0"/>
                      <w:bCs w:val="0"/>
                      <w:sz w:val="21"/>
                      <w:szCs w:val="21"/>
                      <w:u w:val="none"/>
                      <w:lang w:val="en-US" w:eastAsia="zh-CN"/>
                    </w:rPr>
                    <w:t>23</w:t>
                  </w:r>
                  <w:r>
                    <w:rPr>
                      <w:rFonts w:hint="default" w:ascii="Times New Roman" w:hAnsi="Times New Roman" w:eastAsia="宋体" w:cs="Times New Roman"/>
                      <w:b w:val="0"/>
                      <w:bCs w:val="0"/>
                      <w:sz w:val="21"/>
                      <w:szCs w:val="21"/>
                      <w:u w:val="none"/>
                      <w:lang w:val="en-US" w:eastAsia="zh-CN"/>
                    </w:rPr>
                    <w:t>m排气筒排放</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排放限值</w:t>
                  </w:r>
                </w:p>
              </w:tc>
              <w:tc>
                <w:tcPr>
                  <w:tcW w:w="4066" w:type="dxa"/>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NMHC排放限值不高于30mg/m³；其他污染物排放浓度达到相关污染物排放标准。</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NMHC排放限值不高于30mg/m³；其他污染物排放浓度达到相关污染物排放标准。</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监测监控</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水平</w:t>
                  </w:r>
                </w:p>
              </w:tc>
              <w:tc>
                <w:tcPr>
                  <w:tcW w:w="4066" w:type="dxa"/>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有组织排放口按排污许可、环境影响评价或环境现状评估等要求安装烟气排放自动监控设施（CEMS），并按要求与省厅联网；重点排污单位风量大于10000m³/h的主要排放口安装NMHC在线监测设施（FID检测器）并按要求与省厅联网；其他企业NMHC初始排放速率大于2kg/h且排放口风量大于20000m³/h的废气排放口安装NMHC在线监测设施（FID检测器），并按要求与省厅联网；在线监测数据至少保存最近12个月的1分钟均值、36个月的1小时均值及60个月的日均值和月均值。（投产或安装时间不满一年以上的企业，以现有数据为准）；</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2.按生态环境部门要求规范设置废气排放口标志牌、二维码标识和采样平台、采样孔；各废气排放口按照排污许可要求开展自行监测；</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3.未安装自动在线监控的企业，应在主要生产设备（投料口、卸料口等位置）安装视频监控设施，相关数据保存6个月以上。</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color w:val="000000"/>
                      <w:sz w:val="21"/>
                      <w:szCs w:val="21"/>
                      <w:u w:val="none"/>
                    </w:rPr>
                    <w:t>企业</w:t>
                  </w:r>
                  <w:r>
                    <w:rPr>
                      <w:rFonts w:hint="eastAsia" w:ascii="Times New Roman" w:hAnsi="Times New Roman" w:eastAsia="宋体" w:cs="Times New Roman"/>
                      <w:color w:val="000000"/>
                      <w:sz w:val="21"/>
                      <w:szCs w:val="21"/>
                      <w:u w:val="none"/>
                      <w:lang w:eastAsia="zh-CN"/>
                    </w:rPr>
                    <w:t>需</w:t>
                  </w:r>
                  <w:r>
                    <w:rPr>
                      <w:rFonts w:hint="default" w:ascii="Times New Roman" w:hAnsi="Times New Roman" w:eastAsia="宋体" w:cs="Times New Roman"/>
                      <w:color w:val="000000"/>
                      <w:sz w:val="21"/>
                      <w:szCs w:val="21"/>
                      <w:u w:val="none"/>
                    </w:rPr>
                    <w:t>按照《河南省重污染天气通用行业应急减排措施制定技术指南（202</w:t>
                  </w:r>
                  <w:r>
                    <w:rPr>
                      <w:rFonts w:hint="eastAsia" w:cs="Times New Roman"/>
                      <w:color w:val="000000"/>
                      <w:sz w:val="21"/>
                      <w:szCs w:val="21"/>
                      <w:u w:val="none"/>
                      <w:lang w:val="en-US" w:eastAsia="zh-CN"/>
                    </w:rPr>
                    <w:t>4</w:t>
                  </w:r>
                  <w:r>
                    <w:rPr>
                      <w:rFonts w:hint="default" w:ascii="Times New Roman" w:hAnsi="Times New Roman" w:eastAsia="宋体" w:cs="Times New Roman"/>
                      <w:color w:val="000000"/>
                      <w:sz w:val="21"/>
                      <w:szCs w:val="21"/>
                      <w:u w:val="none"/>
                    </w:rPr>
                    <w:t>年修订版）》相关要求做好</w:t>
                  </w:r>
                  <w:r>
                    <w:rPr>
                      <w:rFonts w:hint="eastAsia" w:cs="Times New Roman"/>
                      <w:color w:val="000000"/>
                      <w:sz w:val="21"/>
                      <w:szCs w:val="21"/>
                      <w:u w:val="none"/>
                      <w:lang w:val="en-US" w:eastAsia="zh-CN"/>
                    </w:rPr>
                    <w:t>自行监测和视频监控安装</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000000"/>
                      <w:sz w:val="21"/>
                      <w:szCs w:val="21"/>
                      <w:u w:val="none"/>
                    </w:rPr>
                    <w:t xml:space="preserve">厂容厂貌 </w:t>
                  </w:r>
                </w:p>
              </w:tc>
              <w:tc>
                <w:tcPr>
                  <w:tcW w:w="4066"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kern w:val="2"/>
                      <w:sz w:val="21"/>
                      <w:szCs w:val="21"/>
                      <w:lang w:val="en-US" w:eastAsia="zh-CN" w:bidi="ar-SA"/>
                    </w:rPr>
                    <w:t>1.</w:t>
                  </w:r>
                  <w:r>
                    <w:rPr>
                      <w:rFonts w:hint="default" w:ascii="Times New Roman" w:hAnsi="Times New Roman" w:eastAsia="宋体" w:cs="Times New Roman"/>
                      <w:color w:val="000000"/>
                      <w:sz w:val="21"/>
                      <w:szCs w:val="21"/>
                      <w:u w:val="none"/>
                    </w:rPr>
                    <w:t>厂区内道路、原辅材料和燃料堆场等路面应硬化。</w:t>
                  </w: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eastAsia" w:cs="Times New Roman"/>
                      <w:color w:val="000000"/>
                      <w:sz w:val="21"/>
                      <w:szCs w:val="21"/>
                      <w:u w:val="none"/>
                      <w:lang w:val="en-US" w:eastAsia="zh-CN"/>
                    </w:rPr>
                    <w:t>2.</w:t>
                  </w:r>
                  <w:r>
                    <w:rPr>
                      <w:rFonts w:hint="default" w:ascii="Times New Roman" w:hAnsi="Times New Roman" w:eastAsia="宋体" w:cs="Times New Roman"/>
                      <w:color w:val="000000"/>
                      <w:sz w:val="21"/>
                      <w:szCs w:val="21"/>
                      <w:u w:val="none"/>
                    </w:rPr>
                    <w:t xml:space="preserve">厂区内道路采取定期清扫、洒水等措施，保持清洁，路面无明显可见积尘。 </w:t>
                  </w:r>
                </w:p>
                <w:p>
                  <w:pPr>
                    <w:keepNext w:val="0"/>
                    <w:keepLines w:val="0"/>
                    <w:pageBreakBefore w:val="0"/>
                    <w:numPr>
                      <w:ilvl w:val="0"/>
                      <w:numId w:val="0"/>
                    </w:numPr>
                    <w:kinsoku/>
                    <w:wordWrap/>
                    <w:overflowPunct/>
                    <w:topLinePunct w:val="0"/>
                    <w:autoSpaceDE/>
                    <w:autoSpaceDN/>
                    <w:bidi w:val="0"/>
                    <w:adjustRightInd w:val="0"/>
                    <w:snapToGrid w:val="0"/>
                    <w:spacing w:line="240" w:lineRule="auto"/>
                    <w:jc w:val="both"/>
                    <w:textAlignment w:val="auto"/>
                    <w:rPr>
                      <w:rFonts w:hint="eastAsia" w:cs="Times New Roman"/>
                      <w:color w:val="auto"/>
                      <w:sz w:val="21"/>
                      <w:szCs w:val="21"/>
                      <w:highlight w:val="none"/>
                      <w:lang w:val="en-US" w:eastAsia="zh-CN"/>
                    </w:rPr>
                  </w:pPr>
                  <w:r>
                    <w:rPr>
                      <w:rFonts w:hint="eastAsia" w:cs="Times New Roman"/>
                      <w:color w:val="000000"/>
                      <w:sz w:val="21"/>
                      <w:szCs w:val="21"/>
                      <w:u w:val="none"/>
                      <w:lang w:val="en-US" w:eastAsia="zh-CN"/>
                    </w:rPr>
                    <w:t>3.</w:t>
                  </w:r>
                  <w:r>
                    <w:rPr>
                      <w:rFonts w:hint="default" w:ascii="Times New Roman" w:hAnsi="Times New Roman" w:eastAsia="宋体" w:cs="Times New Roman"/>
                      <w:color w:val="000000"/>
                      <w:sz w:val="21"/>
                      <w:szCs w:val="21"/>
                      <w:u w:val="none"/>
                    </w:rPr>
                    <w:t xml:space="preserve">其他未利用地优先绿化，或进行硬化，无成片裸露土地。 </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color w:val="000000"/>
                      <w:sz w:val="21"/>
                      <w:szCs w:val="21"/>
                      <w:u w:val="none"/>
                    </w:rPr>
                    <w:t>企业</w:t>
                  </w:r>
                  <w:r>
                    <w:rPr>
                      <w:rFonts w:hint="default" w:ascii="Times New Roman" w:hAnsi="Times New Roman" w:eastAsia="宋体" w:cs="Times New Roman"/>
                      <w:color w:val="000000"/>
                      <w:sz w:val="21"/>
                      <w:szCs w:val="21"/>
                      <w:u w:val="none"/>
                      <w:lang w:val="en-US" w:eastAsia="zh-CN"/>
                    </w:rPr>
                    <w:t>运输</w:t>
                  </w:r>
                  <w:r>
                    <w:rPr>
                      <w:rFonts w:hint="default" w:ascii="Times New Roman" w:hAnsi="Times New Roman" w:eastAsia="宋体" w:cs="Times New Roman"/>
                      <w:color w:val="000000"/>
                      <w:sz w:val="21"/>
                      <w:szCs w:val="21"/>
                      <w:u w:val="none"/>
                    </w:rPr>
                    <w:t>道路</w:t>
                  </w:r>
                  <w:r>
                    <w:rPr>
                      <w:rFonts w:hint="eastAsia" w:ascii="Times New Roman" w:hAnsi="Times New Roman" w:eastAsia="宋体" w:cs="Times New Roman"/>
                      <w:color w:val="000000"/>
                      <w:sz w:val="21"/>
                      <w:szCs w:val="21"/>
                      <w:u w:val="none"/>
                      <w:lang w:eastAsia="zh-CN"/>
                    </w:rPr>
                    <w:t>已</w:t>
                  </w:r>
                  <w:r>
                    <w:rPr>
                      <w:rFonts w:hint="default" w:ascii="Times New Roman" w:hAnsi="Times New Roman" w:eastAsia="宋体" w:cs="Times New Roman"/>
                      <w:color w:val="000000"/>
                      <w:sz w:val="21"/>
                      <w:szCs w:val="21"/>
                      <w:u w:val="none"/>
                    </w:rPr>
                    <w:t>全部进行硬化，并</w:t>
                  </w:r>
                  <w:r>
                    <w:rPr>
                      <w:rFonts w:hint="eastAsia" w:ascii="Times New Roman" w:hAnsi="Times New Roman" w:eastAsia="宋体" w:cs="Times New Roman"/>
                      <w:color w:val="000000"/>
                      <w:sz w:val="21"/>
                      <w:szCs w:val="21"/>
                      <w:u w:val="none"/>
                      <w:lang w:eastAsia="zh-CN"/>
                    </w:rPr>
                    <w:t>且所在园区</w:t>
                  </w:r>
                  <w:r>
                    <w:rPr>
                      <w:rFonts w:hint="default" w:ascii="Times New Roman" w:hAnsi="Times New Roman" w:eastAsia="宋体" w:cs="Times New Roman"/>
                      <w:color w:val="000000"/>
                      <w:sz w:val="21"/>
                      <w:szCs w:val="21"/>
                      <w:u w:val="none"/>
                    </w:rPr>
                    <w:t>定期清扫，洒水抑尘</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环境管理水平</w:t>
                  </w:r>
                </w:p>
              </w:tc>
              <w:tc>
                <w:tcPr>
                  <w:tcW w:w="4066" w:type="dxa"/>
                  <w:noWrap w:val="0"/>
                  <w:vAlign w:val="center"/>
                </w:tcPr>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（1）环保档案 </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①环评批复文件和竣工验收文件/现状评估文件； ②废气治理设施运行管理规程； ③一年内废气监测报告； ④国家版排污许可证，并按要求开展自行监测和信息披露，规范设置废气排放口标志牌、二维码标识和采样平台、采样孔。 </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（2）台账记录 </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①生产设施运行管理信息（生产时间、运行负荷、产品产量等）； ②废气污染治理设施运行管理信息（除尘滤料、活性炭等更换量和时间）； ③监测记录信息（主要污染排放口废气排放记录（手工监测和在线监测）等）； ④主要原辅材料、燃料消耗记录； ⑤电消耗记录。 </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（3）人员配置 </w:t>
                  </w:r>
                </w:p>
                <w:p>
                  <w:pPr>
                    <w:keepNext w:val="0"/>
                    <w:keepLines w:val="0"/>
                    <w:pageBreakBefore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u w:val="none"/>
                    </w:rPr>
                    <w:t>配备专/兼职环保人员，并具备相应的环境管理能力（学历、培训、从业经验等）。</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000000"/>
                      <w:sz w:val="21"/>
                      <w:szCs w:val="21"/>
                      <w:u w:val="none"/>
                    </w:rPr>
                    <w:t>企业正在完善环保文件，并建立健全环境管理制度配备环境管理人员。企业</w:t>
                  </w:r>
                  <w:r>
                    <w:rPr>
                      <w:rFonts w:hint="eastAsia" w:ascii="Times New Roman" w:hAnsi="Times New Roman" w:eastAsia="宋体" w:cs="Times New Roman"/>
                      <w:color w:val="000000"/>
                      <w:sz w:val="21"/>
                      <w:szCs w:val="21"/>
                      <w:u w:val="none"/>
                      <w:lang w:eastAsia="zh-CN"/>
                    </w:rPr>
                    <w:t>需</w:t>
                  </w:r>
                  <w:r>
                    <w:rPr>
                      <w:rFonts w:hint="default" w:ascii="Times New Roman" w:hAnsi="Times New Roman" w:eastAsia="宋体" w:cs="Times New Roman"/>
                      <w:color w:val="000000"/>
                      <w:sz w:val="21"/>
                      <w:szCs w:val="21"/>
                      <w:u w:val="none"/>
                    </w:rPr>
                    <w:t>按照《河南省重污染天气通用行业应急减排措施制定技术指南（202</w:t>
                  </w:r>
                  <w:r>
                    <w:rPr>
                      <w:rFonts w:hint="eastAsia" w:cs="Times New Roman"/>
                      <w:color w:val="000000"/>
                      <w:sz w:val="21"/>
                      <w:szCs w:val="21"/>
                      <w:u w:val="none"/>
                      <w:lang w:val="en-US" w:eastAsia="zh-CN"/>
                    </w:rPr>
                    <w:t>4</w:t>
                  </w:r>
                  <w:r>
                    <w:rPr>
                      <w:rFonts w:hint="default" w:ascii="Times New Roman" w:hAnsi="Times New Roman" w:eastAsia="宋体" w:cs="Times New Roman"/>
                      <w:color w:val="000000"/>
                      <w:sz w:val="21"/>
                      <w:szCs w:val="21"/>
                      <w:u w:val="none"/>
                    </w:rPr>
                    <w:t>年修订版）》相关要求做好台账记录。</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auto"/>
                      <w:sz w:val="21"/>
                      <w:szCs w:val="21"/>
                      <w:highlight w:val="none"/>
                      <w:lang w:eastAsia="zh-CN"/>
                    </w:rPr>
                    <w:t>运输方式</w:t>
                  </w:r>
                </w:p>
              </w:tc>
              <w:tc>
                <w:tcPr>
                  <w:tcW w:w="4066" w:type="dxa"/>
                  <w:noWrap w:val="0"/>
                  <w:vAlign w:val="center"/>
                </w:tcPr>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1.物料、产品等公路运输全部使用国五及以上排放标准重型载货车辆（重型燃气车辆达到国六排放标准）或新能源车辆；</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2.厂内运输全部使用国五及以上排放标准（重型燃气车辆达到国六排放标准）或使用新能源车辆；</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3.危险品及危废运输全部使用国五及以上排放标准（重型燃气车辆达到国六排放标准）或新能源车辆；</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4.厂内非道路移动机械全部使用国三及以上排放标准或使用新能源（电动、氢能）机械。</w:t>
                  </w:r>
                </w:p>
              </w:tc>
              <w:tc>
                <w:tcPr>
                  <w:tcW w:w="27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auto"/>
                      <w:sz w:val="21"/>
                      <w:szCs w:val="21"/>
                      <w:highlight w:val="none"/>
                      <w:lang w:val="en-US" w:eastAsia="zh-CN"/>
                    </w:rPr>
                    <w:t>项目物料公路运输使用国五及以上运输车辆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项目不涉及大宗物料运输，</w:t>
                  </w:r>
                  <w:r>
                    <w:rPr>
                      <w:rFonts w:hint="eastAsia" w:ascii="Times New Roman" w:hAnsi="Times New Roman" w:eastAsia="宋体" w:cs="Times New Roman"/>
                      <w:color w:val="auto"/>
                      <w:sz w:val="21"/>
                      <w:szCs w:val="21"/>
                      <w:highlight w:val="none"/>
                      <w:lang w:val="en-US" w:eastAsia="zh-CN"/>
                    </w:rPr>
                    <w:t>年运营时间为</w:t>
                  </w:r>
                  <w:r>
                    <w:rPr>
                      <w:rFonts w:hint="eastAsia" w:cs="Times New Roman"/>
                      <w:color w:val="auto"/>
                      <w:sz w:val="21"/>
                      <w:szCs w:val="21"/>
                      <w:highlight w:val="none"/>
                      <w:lang w:val="en-US" w:eastAsia="zh-CN"/>
                    </w:rPr>
                    <w:t>300</w:t>
                  </w:r>
                  <w:r>
                    <w:rPr>
                      <w:rFonts w:hint="eastAsia" w:ascii="Times New Roman" w:hAnsi="Times New Roman" w:eastAsia="宋体" w:cs="Times New Roman"/>
                      <w:color w:val="auto"/>
                      <w:sz w:val="21"/>
                      <w:szCs w:val="21"/>
                      <w:highlight w:val="none"/>
                      <w:lang w:val="en-US" w:eastAsia="zh-CN"/>
                    </w:rPr>
                    <w:t>天，原辅料年预估用量不超过5000吨，</w:t>
                  </w:r>
                  <w:r>
                    <w:rPr>
                      <w:rFonts w:hint="default" w:ascii="Times New Roman" w:hAnsi="Times New Roman" w:eastAsia="宋体" w:cs="Times New Roman"/>
                      <w:color w:val="auto"/>
                      <w:sz w:val="21"/>
                      <w:szCs w:val="21"/>
                      <w:highlight w:val="none"/>
                    </w:rPr>
                    <w:t>日均进出货物</w:t>
                  </w:r>
                  <w:r>
                    <w:rPr>
                      <w:rFonts w:hint="eastAsia" w:ascii="Times New Roman" w:hAnsi="Times New Roman" w:eastAsia="宋体" w:cs="Times New Roman"/>
                      <w:color w:val="auto"/>
                      <w:sz w:val="21"/>
                      <w:szCs w:val="21"/>
                      <w:highlight w:val="none"/>
                      <w:lang w:eastAsia="zh-CN"/>
                    </w:rPr>
                    <w:t>不超过</w:t>
                  </w:r>
                  <w:r>
                    <w:rPr>
                      <w:rFonts w:hint="eastAsia" w:ascii="Times New Roman" w:hAnsi="Times New Roman" w:eastAsia="宋体" w:cs="Times New Roman"/>
                      <w:color w:val="auto"/>
                      <w:sz w:val="21"/>
                      <w:szCs w:val="21"/>
                      <w:highlight w:val="none"/>
                      <w:lang w:val="en-US" w:eastAsia="zh-CN"/>
                    </w:rPr>
                    <w:t>20吨</w:t>
                  </w:r>
                  <w:r>
                    <w:rPr>
                      <w:rFonts w:hint="default" w:ascii="Times New Roman" w:hAnsi="Times New Roman" w:eastAsia="宋体" w:cs="Times New Roman"/>
                      <w:color w:val="auto"/>
                      <w:sz w:val="21"/>
                      <w:szCs w:val="21"/>
                      <w:highlight w:val="none"/>
                      <w:lang w:val="en-US" w:eastAsia="zh-CN"/>
                    </w:rPr>
                    <w:t>，因此不需要安装门禁系统，</w:t>
                  </w:r>
                  <w:r>
                    <w:rPr>
                      <w:rFonts w:hint="default" w:ascii="Times New Roman" w:hAnsi="Times New Roman" w:eastAsia="宋体" w:cs="Times New Roman"/>
                      <w:color w:val="auto"/>
                      <w:sz w:val="21"/>
                      <w:szCs w:val="21"/>
                      <w:highlight w:val="none"/>
                    </w:rPr>
                    <w:t>企业建立电子台账。安装高清视频监控系统并能保留数据6个月以上</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000000"/>
                      <w:sz w:val="21"/>
                      <w:szCs w:val="21"/>
                      <w:u w:val="none"/>
                    </w:rPr>
                    <w:t>其他控制要求</w:t>
                  </w:r>
                </w:p>
              </w:tc>
              <w:tc>
                <w:tcPr>
                  <w:tcW w:w="4066" w:type="dxa"/>
                  <w:noWrap w:val="0"/>
                  <w:vAlign w:val="center"/>
                </w:tcPr>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 xml:space="preserve">（日均进出货物 150 吨（或载货车辆日进出 10 辆次）及以上（货物包括原料、辅料、燃料、产品和其他与生产相关物料）的企业，参照《重污染天气重点行业移动源应急管理技术指南》建立门禁视频监控系统和电子台账；其他企业安装车辆运输视频监控（数据能保存 6 个月），并建立车辆运输手工台账。 </w:t>
                  </w:r>
                </w:p>
              </w:tc>
              <w:tc>
                <w:tcPr>
                  <w:tcW w:w="2780" w:type="dxa"/>
                  <w:noWrap w:val="0"/>
                  <w:vAlign w:val="center"/>
                </w:tcPr>
                <w:p>
                  <w:pPr>
                    <w:keepNext w:val="0"/>
                    <w:keepLines w:val="0"/>
                    <w:pageBreakBefore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u w:val="none"/>
                    </w:rPr>
                    <w:t>评价要求企业正式运营后按照《河南省涉气排污单位污染治理设施用电监管技术指南（试行）》要求安装用电监管等设备</w:t>
                  </w:r>
                  <w:r>
                    <w:rPr>
                      <w:rFonts w:hint="eastAsia" w:cs="Times New Roman"/>
                      <w:color w:val="000000"/>
                      <w:sz w:val="21"/>
                      <w:szCs w:val="21"/>
                      <w:u w:val="none"/>
                      <w:lang w:eastAsia="zh-CN"/>
                    </w:rPr>
                    <w:t>。</w:t>
                  </w:r>
                </w:p>
              </w:tc>
              <w:tc>
                <w:tcPr>
                  <w:tcW w:w="7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sz w:val="24"/>
                <w:szCs w:val="24"/>
                <w:lang w:val="en-US" w:eastAsia="zh-CN"/>
              </w:rPr>
            </w:pPr>
            <w:r>
              <w:rPr>
                <w:rFonts w:hint="default"/>
                <w:sz w:val="24"/>
                <w:szCs w:val="24"/>
                <w:lang w:val="en-US" w:eastAsia="zh-CN"/>
              </w:rPr>
              <w:t>综上所述，本项目符合《河南省重污染天气通用行业应急减排措施制定技术指南（2021 年修订版）》相关要求</w:t>
            </w:r>
            <w:r>
              <w:rPr>
                <w:rFonts w:hint="eastAsia"/>
                <w:sz w:val="24"/>
                <w:szCs w:val="24"/>
                <w:lang w:val="en-US" w:eastAsia="zh-CN"/>
              </w:rPr>
              <w:t>。</w:t>
            </w:r>
          </w:p>
          <w:p>
            <w:pPr>
              <w:pStyle w:val="25"/>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left="0" w:leftChars="0" w:firstLine="0" w:firstLineChars="0"/>
              <w:textAlignment w:val="auto"/>
              <w:rPr>
                <w:rFonts w:hint="default" w:ascii="Times New Roman" w:hAnsi="Times New Roman" w:eastAsia="宋体" w:cs="Times New Roman"/>
                <w:b/>
                <w:sz w:val="24"/>
                <w:szCs w:val="24"/>
                <w:u w:val="none" w:color="auto"/>
              </w:rPr>
            </w:pPr>
            <w:r>
              <w:rPr>
                <w:rFonts w:hint="eastAsia" w:cs="Times New Roman"/>
                <w:b/>
                <w:kern w:val="2"/>
                <w:sz w:val="24"/>
                <w:szCs w:val="24"/>
                <w:u w:color="auto"/>
                <w:lang w:val="en-US" w:eastAsia="zh-CN" w:bidi="ar-SA"/>
              </w:rPr>
              <w:t>10</w:t>
            </w:r>
            <w:r>
              <w:rPr>
                <w:rFonts w:hint="default" w:ascii="Times New Roman" w:hAnsi="Times New Roman" w:eastAsia="宋体" w:cs="Times New Roman"/>
                <w:b/>
                <w:kern w:val="2"/>
                <w:sz w:val="24"/>
                <w:szCs w:val="24"/>
                <w:u w:color="auto"/>
                <w:lang w:val="en-US" w:eastAsia="zh-CN" w:bidi="ar-SA"/>
              </w:rPr>
              <w:t>、</w:t>
            </w:r>
            <w:r>
              <w:rPr>
                <w:rFonts w:hint="default"/>
                <w:b/>
                <w:bCs/>
                <w:color w:val="auto"/>
                <w:sz w:val="24"/>
                <w:szCs w:val="24"/>
                <w:u w:val="none" w:color="auto"/>
                <w:lang w:val="en-US" w:eastAsia="zh-CN"/>
              </w:rPr>
              <w:t>项目与</w:t>
            </w:r>
            <w:r>
              <w:rPr>
                <w:rFonts w:hint="default" w:ascii="Times New Roman" w:hAnsi="Times New Roman" w:eastAsia="宋体" w:cs="Times New Roman"/>
                <w:b/>
                <w:sz w:val="24"/>
                <w:szCs w:val="24"/>
                <w:u w:val="none" w:color="auto"/>
              </w:rPr>
              <w:t>《</w:t>
            </w:r>
            <w:r>
              <w:rPr>
                <w:rFonts w:hint="eastAsia" w:ascii="Times New Roman" w:hAnsi="Times New Roman" w:eastAsia="宋体" w:cs="Times New Roman"/>
                <w:b/>
                <w:sz w:val="24"/>
                <w:szCs w:val="24"/>
                <w:u w:val="none" w:color="auto"/>
                <w:lang w:eastAsia="zh-CN"/>
              </w:rPr>
              <w:t>挥发性有机物无组织排放标准</w:t>
            </w:r>
            <w:r>
              <w:rPr>
                <w:rFonts w:hint="default" w:ascii="Times New Roman" w:hAnsi="Times New Roman" w:eastAsia="宋体" w:cs="Times New Roman"/>
                <w:b/>
                <w:sz w:val="24"/>
                <w:szCs w:val="24"/>
                <w:u w:val="none" w:color="auto"/>
              </w:rPr>
              <w:t>》（</w:t>
            </w:r>
            <w:r>
              <w:rPr>
                <w:rFonts w:hint="eastAsia" w:ascii="Times New Roman" w:hAnsi="Times New Roman" w:eastAsia="宋体" w:cs="Times New Roman"/>
                <w:b/>
                <w:sz w:val="24"/>
                <w:szCs w:val="24"/>
                <w:u w:val="none" w:color="auto"/>
                <w:lang w:val="en-US" w:eastAsia="zh-CN"/>
              </w:rPr>
              <w:t>GB 37822-2019</w:t>
            </w:r>
            <w:r>
              <w:rPr>
                <w:rFonts w:hint="default" w:ascii="Times New Roman" w:hAnsi="Times New Roman" w:eastAsia="宋体" w:cs="Times New Roman"/>
                <w:b/>
                <w:sz w:val="24"/>
                <w:szCs w:val="24"/>
                <w:u w:val="none" w:color="auto"/>
              </w:rPr>
              <w:t>）中涉VOCs企业</w:t>
            </w:r>
            <w:r>
              <w:rPr>
                <w:rFonts w:hint="eastAsia" w:ascii="Times New Roman" w:hAnsi="Times New Roman" w:eastAsia="宋体" w:cs="Times New Roman"/>
                <w:b/>
                <w:sz w:val="24"/>
                <w:szCs w:val="24"/>
                <w:u w:val="none" w:color="auto"/>
                <w:lang w:eastAsia="zh-CN"/>
              </w:rPr>
              <w:t>无组织排放</w:t>
            </w:r>
            <w:r>
              <w:rPr>
                <w:rFonts w:hint="default" w:ascii="Times New Roman" w:hAnsi="Times New Roman" w:eastAsia="宋体" w:cs="Times New Roman"/>
                <w:b/>
                <w:sz w:val="24"/>
                <w:szCs w:val="24"/>
                <w:u w:val="none" w:color="auto"/>
              </w:rPr>
              <w:t>基本要求相符性分析</w:t>
            </w:r>
          </w:p>
          <w:p>
            <w:pPr>
              <w:keepNext w:val="0"/>
              <w:keepLines w:val="0"/>
              <w:pageBreakBefore w:val="0"/>
              <w:widowControl/>
              <w:kinsoku/>
              <w:wordWrap/>
              <w:overflowPunct/>
              <w:topLinePunct w:val="0"/>
              <w:autoSpaceDE/>
              <w:autoSpaceDN/>
              <w:bidi w:val="0"/>
              <w:adjustRightInd w:val="0"/>
              <w:snapToGrid/>
              <w:spacing w:line="480" w:lineRule="exact"/>
              <w:ind w:firstLine="0" w:firstLineChars="0"/>
              <w:jc w:val="center"/>
              <w:textAlignment w:val="auto"/>
              <w:outlineLvl w:val="9"/>
              <w:rPr>
                <w:rFonts w:hint="default"/>
                <w:lang w:val="en-US" w:eastAsia="zh-CN"/>
              </w:rPr>
            </w:pPr>
            <w:r>
              <w:rPr>
                <w:rFonts w:hint="eastAsia" w:ascii="Times New Roman" w:hAnsi="Times New Roman" w:eastAsia="宋体" w:cs="Times New Roman"/>
                <w:b/>
                <w:bCs/>
                <w:color w:val="auto"/>
                <w:sz w:val="24"/>
                <w:szCs w:val="24"/>
                <w:highlight w:val="none"/>
                <w:lang w:val="en-US" w:eastAsia="zh-CN"/>
              </w:rPr>
              <w:t>表1-</w:t>
            </w:r>
            <w:r>
              <w:rPr>
                <w:rFonts w:hint="eastAsia" w:cs="Times New Roman"/>
                <w:b/>
                <w:bCs/>
                <w:color w:val="auto"/>
                <w:sz w:val="24"/>
                <w:szCs w:val="24"/>
                <w:highlight w:val="none"/>
                <w:lang w:val="en-US" w:eastAsia="zh-CN"/>
              </w:rPr>
              <w:t>8</w:t>
            </w:r>
            <w:r>
              <w:rPr>
                <w:rFonts w:hint="eastAsia" w:ascii="Times New Roman" w:hAnsi="Times New Roman" w:eastAsia="宋体" w:cs="Times New Roman"/>
                <w:b/>
                <w:bCs/>
                <w:color w:val="auto"/>
                <w:sz w:val="24"/>
                <w:szCs w:val="24"/>
                <w:highlight w:val="none"/>
                <w:lang w:val="en-US" w:eastAsia="zh-CN"/>
              </w:rPr>
              <w:t xml:space="preserve">  项目与涉VOCs企业</w:t>
            </w:r>
            <w:r>
              <w:rPr>
                <w:rFonts w:hint="eastAsia" w:cs="Times New Roman"/>
                <w:b/>
                <w:bCs/>
                <w:color w:val="auto"/>
                <w:sz w:val="24"/>
                <w:szCs w:val="24"/>
                <w:highlight w:val="none"/>
                <w:lang w:val="en-US" w:eastAsia="zh-CN"/>
              </w:rPr>
              <w:t>无组织排放基本要求</w:t>
            </w:r>
            <w:r>
              <w:rPr>
                <w:rFonts w:hint="eastAsia" w:ascii="Times New Roman" w:hAnsi="Times New Roman" w:eastAsia="宋体" w:cs="Times New Roman"/>
                <w:b/>
                <w:bCs/>
                <w:color w:val="auto"/>
                <w:sz w:val="24"/>
                <w:szCs w:val="24"/>
                <w:highlight w:val="none"/>
                <w:lang w:val="en-US" w:eastAsia="zh-CN"/>
              </w:rPr>
              <w:t>比对一览表</w:t>
            </w:r>
          </w:p>
          <w:tbl>
            <w:tblPr>
              <w:tblStyle w:val="27"/>
              <w:tblW w:w="83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4124"/>
              <w:gridCol w:w="2361"/>
              <w:gridCol w:w="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73"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差异化</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rPr>
                    <w:t>指标</w:t>
                  </w:r>
                </w:p>
              </w:tc>
              <w:tc>
                <w:tcPr>
                  <w:tcW w:w="41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lang w:eastAsia="zh-CN"/>
                    </w:rPr>
                    <w:t>管控要求</w:t>
                  </w:r>
                </w:p>
              </w:tc>
              <w:tc>
                <w:tcPr>
                  <w:tcW w:w="236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lang w:val="en-US" w:eastAsia="zh-CN"/>
                    </w:rPr>
                    <w:t>对标情况</w:t>
                  </w:r>
                </w:p>
              </w:tc>
              <w:tc>
                <w:tcPr>
                  <w:tcW w:w="77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73"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VOCs物料储存无组织排放基本要求</w:t>
                  </w:r>
                </w:p>
              </w:tc>
              <w:tc>
                <w:tcPr>
                  <w:tcW w:w="4124" w:type="dxa"/>
                  <w:noWrap w:val="0"/>
                  <w:vAlign w:val="top"/>
                </w:tcPr>
                <w:p>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000000"/>
                      <w:sz w:val="21"/>
                      <w:szCs w:val="21"/>
                      <w:u w:val="none" w:color="auto"/>
                      <w:lang w:eastAsia="zh-CN"/>
                    </w:rPr>
                  </w:pPr>
                  <w:r>
                    <w:rPr>
                      <w:rFonts w:hint="eastAsia" w:ascii="Times New Roman" w:hAnsi="Times New Roman" w:eastAsia="宋体" w:cs="Times New Roman"/>
                      <w:color w:val="000000"/>
                      <w:sz w:val="21"/>
                      <w:szCs w:val="21"/>
                      <w:u w:val="none" w:color="auto"/>
                      <w:lang w:val="en-US" w:eastAsia="zh-CN"/>
                    </w:rPr>
                    <w:t>1.</w:t>
                  </w:r>
                  <w:r>
                    <w:rPr>
                      <w:rFonts w:hint="eastAsia" w:ascii="Times New Roman" w:hAnsi="Times New Roman" w:eastAsia="宋体" w:cs="Times New Roman"/>
                      <w:color w:val="000000"/>
                      <w:sz w:val="21"/>
                      <w:szCs w:val="21"/>
                      <w:u w:val="none" w:color="auto"/>
                    </w:rPr>
                    <w:t>VOCs物料应储存于密闭的容器、包装袋、储罐、储库、料仓中</w:t>
                  </w:r>
                  <w:r>
                    <w:rPr>
                      <w:rFonts w:hint="eastAsia" w:ascii="Times New Roman" w:hAnsi="Times New Roman" w:eastAsia="宋体" w:cs="Times New Roman"/>
                      <w:color w:val="000000"/>
                      <w:sz w:val="21"/>
                      <w:szCs w:val="21"/>
                      <w:u w:val="none" w:color="auto"/>
                      <w:lang w:eastAsia="zh-CN"/>
                    </w:rPr>
                    <w:t>。</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2.</w:t>
                  </w:r>
                  <w:r>
                    <w:rPr>
                      <w:rFonts w:hint="eastAsia" w:ascii="Times New Roman" w:hAnsi="Times New Roman" w:eastAsia="宋体" w:cs="Times New Roman"/>
                      <w:color w:val="000000"/>
                      <w:sz w:val="21"/>
                      <w:szCs w:val="21"/>
                      <w:u w:val="none" w:color="auto"/>
                    </w:rPr>
                    <w:t>盛装VOCs物料的容器或包装袋应存放于室内，或存放于设置有雨棚、遮阳和防渗设施的专用场地。盛装VOCs物料的容器或包装袋在非取用状态时应加盖、封口，保持密闭。</w:t>
                  </w:r>
                </w:p>
              </w:tc>
              <w:tc>
                <w:tcPr>
                  <w:tcW w:w="2361"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本</w:t>
                  </w:r>
                  <w:r>
                    <w:rPr>
                      <w:rFonts w:hint="default" w:ascii="Times New Roman" w:hAnsi="Times New Roman" w:eastAsia="宋体" w:cs="Times New Roman"/>
                      <w:color w:val="auto"/>
                      <w:sz w:val="21"/>
                      <w:szCs w:val="21"/>
                      <w:highlight w:val="none"/>
                      <w:lang w:val="en-US" w:eastAsia="zh-CN"/>
                    </w:rPr>
                    <w:t>项目不涉及易挥发的VOCs物料，仅</w:t>
                  </w:r>
                  <w:r>
                    <w:rPr>
                      <w:rFonts w:hint="eastAsia" w:ascii="Times New Roman" w:hAnsi="Times New Roman" w:eastAsia="宋体" w:cs="Times New Roman"/>
                      <w:color w:val="auto"/>
                      <w:sz w:val="21"/>
                      <w:szCs w:val="21"/>
                      <w:highlight w:val="none"/>
                      <w:lang w:val="en-US" w:eastAsia="zh-CN"/>
                    </w:rPr>
                    <w:t>涂布、干复、烘干过程</w:t>
                  </w:r>
                  <w:r>
                    <w:rPr>
                      <w:rFonts w:hint="eastAsia" w:cs="Times New Roman"/>
                      <w:color w:val="auto"/>
                      <w:sz w:val="21"/>
                      <w:szCs w:val="21"/>
                      <w:highlight w:val="none"/>
                      <w:lang w:val="en-US" w:eastAsia="zh-CN"/>
                    </w:rPr>
                    <w:t>会</w:t>
                  </w:r>
                  <w:r>
                    <w:rPr>
                      <w:rFonts w:hint="eastAsia" w:ascii="Times New Roman" w:hAnsi="Times New Roman" w:eastAsia="宋体" w:cs="Times New Roman"/>
                      <w:color w:val="auto"/>
                      <w:sz w:val="21"/>
                      <w:szCs w:val="21"/>
                      <w:highlight w:val="none"/>
                      <w:lang w:val="en-US" w:eastAsia="zh-CN"/>
                    </w:rPr>
                    <w:t>产生有机废气</w:t>
                  </w:r>
                  <w:r>
                    <w:rPr>
                      <w:rFonts w:hint="eastAsia" w:cs="Times New Roman"/>
                      <w:color w:val="auto"/>
                      <w:sz w:val="21"/>
                      <w:szCs w:val="21"/>
                      <w:highlight w:val="none"/>
                      <w:lang w:val="en-US" w:eastAsia="zh-CN"/>
                    </w:rPr>
                    <w:t>。</w:t>
                  </w:r>
                </w:p>
              </w:tc>
              <w:tc>
                <w:tcPr>
                  <w:tcW w:w="770"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73"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VOCs物料转移和输送无组织排放基本要求</w:t>
                  </w:r>
                </w:p>
              </w:tc>
              <w:tc>
                <w:tcPr>
                  <w:tcW w:w="4124" w:type="dxa"/>
                  <w:noWrap w:val="0"/>
                  <w:vAlign w:val="top"/>
                </w:tcPr>
                <w:p>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000000"/>
                      <w:sz w:val="21"/>
                      <w:szCs w:val="21"/>
                      <w:u w:val="none" w:color="auto"/>
                    </w:rPr>
                  </w:pPr>
                  <w:r>
                    <w:rPr>
                      <w:rFonts w:hint="eastAsia" w:ascii="Times New Roman" w:hAnsi="Times New Roman" w:eastAsia="宋体" w:cs="Times New Roman"/>
                      <w:color w:val="000000"/>
                      <w:sz w:val="21"/>
                      <w:szCs w:val="21"/>
                      <w:u w:val="none" w:color="auto"/>
                      <w:lang w:val="en-US" w:eastAsia="zh-CN"/>
                    </w:rPr>
                    <w:t>1.</w:t>
                  </w:r>
                  <w:r>
                    <w:rPr>
                      <w:rFonts w:hint="eastAsia" w:ascii="Times New Roman" w:hAnsi="Times New Roman" w:eastAsia="宋体" w:cs="Times New Roman"/>
                      <w:color w:val="000000"/>
                      <w:sz w:val="21"/>
                      <w:szCs w:val="21"/>
                      <w:u w:val="none" w:color="auto"/>
                    </w:rPr>
                    <w:t>液态VOCs物料应采用密闭管道输送。采用非管道输送方式转移液态VOCs物料时，应采用密闭容器、罐车。</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2.</w:t>
                  </w:r>
                  <w:r>
                    <w:rPr>
                      <w:rFonts w:hint="eastAsia" w:ascii="Times New Roman" w:hAnsi="Times New Roman" w:eastAsia="宋体" w:cs="Times New Roman"/>
                      <w:color w:val="000000"/>
                      <w:sz w:val="21"/>
                      <w:szCs w:val="21"/>
                      <w:u w:val="none" w:color="auto"/>
                    </w:rPr>
                    <w:t>粉状、粒状VOCs物料应采用气力输送设备、管状带式输送机、螺旋输送机等密闭输送方式，或者采用密闭的包装袋、容器或罐车进行物料转移。</w:t>
                  </w:r>
                </w:p>
              </w:tc>
              <w:tc>
                <w:tcPr>
                  <w:tcW w:w="2361"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本</w:t>
                  </w:r>
                  <w:r>
                    <w:rPr>
                      <w:rFonts w:hint="default" w:ascii="Times New Roman" w:hAnsi="Times New Roman" w:eastAsia="宋体" w:cs="Times New Roman"/>
                      <w:color w:val="auto"/>
                      <w:sz w:val="21"/>
                      <w:szCs w:val="21"/>
                      <w:highlight w:val="none"/>
                      <w:lang w:val="en-US" w:eastAsia="zh-CN"/>
                    </w:rPr>
                    <w:t>项目不涉及易挥发的VOCs物料，仅</w:t>
                  </w:r>
                  <w:r>
                    <w:rPr>
                      <w:rFonts w:hint="eastAsia" w:ascii="Times New Roman" w:hAnsi="Times New Roman" w:eastAsia="宋体" w:cs="Times New Roman"/>
                      <w:color w:val="auto"/>
                      <w:sz w:val="21"/>
                      <w:szCs w:val="21"/>
                      <w:highlight w:val="none"/>
                      <w:lang w:val="en-US" w:eastAsia="zh-CN"/>
                    </w:rPr>
                    <w:t>涂布、干复、烘干过程</w:t>
                  </w:r>
                  <w:r>
                    <w:rPr>
                      <w:rFonts w:hint="eastAsia" w:cs="Times New Roman"/>
                      <w:color w:val="auto"/>
                      <w:sz w:val="21"/>
                      <w:szCs w:val="21"/>
                      <w:highlight w:val="none"/>
                      <w:lang w:val="en-US" w:eastAsia="zh-CN"/>
                    </w:rPr>
                    <w:t>会</w:t>
                  </w:r>
                  <w:r>
                    <w:rPr>
                      <w:rFonts w:hint="eastAsia" w:ascii="Times New Roman" w:hAnsi="Times New Roman" w:eastAsia="宋体" w:cs="Times New Roman"/>
                      <w:color w:val="auto"/>
                      <w:sz w:val="21"/>
                      <w:szCs w:val="21"/>
                      <w:highlight w:val="none"/>
                      <w:lang w:val="en-US" w:eastAsia="zh-CN"/>
                    </w:rPr>
                    <w:t>产生有机废气</w:t>
                  </w:r>
                  <w:r>
                    <w:rPr>
                      <w:rFonts w:hint="eastAsia" w:cs="Times New Roman"/>
                      <w:color w:val="auto"/>
                      <w:sz w:val="21"/>
                      <w:szCs w:val="21"/>
                      <w:highlight w:val="none"/>
                      <w:lang w:val="en-US" w:eastAsia="zh-CN"/>
                    </w:rPr>
                    <w:t>。</w:t>
                  </w:r>
                </w:p>
              </w:tc>
              <w:tc>
                <w:tcPr>
                  <w:tcW w:w="770"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73"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工艺过程VOCs物料无组织排放基本要求</w:t>
                  </w:r>
                </w:p>
              </w:tc>
              <w:tc>
                <w:tcPr>
                  <w:tcW w:w="4124" w:type="dxa"/>
                  <w:noWrap w:val="0"/>
                  <w:vAlign w:val="top"/>
                </w:tcPr>
                <w:p>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000000"/>
                      <w:sz w:val="21"/>
                      <w:szCs w:val="21"/>
                      <w:u w:val="none" w:color="auto"/>
                    </w:rPr>
                  </w:pPr>
                  <w:r>
                    <w:rPr>
                      <w:rFonts w:hint="eastAsia" w:ascii="Times New Roman" w:hAnsi="Times New Roman" w:eastAsia="宋体" w:cs="Times New Roman"/>
                      <w:color w:val="000000"/>
                      <w:sz w:val="21"/>
                      <w:szCs w:val="21"/>
                      <w:u w:val="none" w:color="auto"/>
                      <w:lang w:val="en-US" w:eastAsia="zh-CN"/>
                    </w:rPr>
                    <w:t>1.</w:t>
                  </w:r>
                  <w:r>
                    <w:rPr>
                      <w:rFonts w:hint="eastAsia" w:ascii="Times New Roman" w:hAnsi="Times New Roman" w:eastAsia="宋体" w:cs="Times New Roman"/>
                      <w:color w:val="000000"/>
                      <w:sz w:val="21"/>
                      <w:szCs w:val="21"/>
                      <w:u w:val="none" w:color="auto"/>
                    </w:rPr>
                    <w:t>VOCs物料混合、搅拌、研磨、造粒、切片、压块等配料加工过程，以及含VOCs产品的包装(灌装、分装)过程应采用密闭设备或在密闭空间内操作，废气应排至VOCs废气收集处理系统；无法密闭的，应采取局部气体收集措施，废气应排至VOCs废气收集处理系统。</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2.</w:t>
                  </w:r>
                  <w:r>
                    <w:rPr>
                      <w:rFonts w:hint="eastAsia" w:ascii="Times New Roman" w:hAnsi="Times New Roman" w:eastAsia="宋体" w:cs="Times New Roman"/>
                      <w:color w:val="000000"/>
                      <w:sz w:val="21"/>
                      <w:szCs w:val="21"/>
                      <w:u w:val="none" w:color="auto"/>
                    </w:rPr>
                    <w:t>VOCs质量占比大于等于10%的含VOCs产品，其使用过程应采用密闭设备或在密闭空间内操作，废气应排至VOCs废气收集处理系统；无法密闭的，应采取局部气体收集措施，废气应排至VOCs废气收集处理系统</w:t>
                  </w:r>
                  <w:r>
                    <w:rPr>
                      <w:rFonts w:hint="eastAsia" w:ascii="Times New Roman" w:hAnsi="Times New Roman" w:eastAsia="宋体" w:cs="Times New Roman"/>
                      <w:color w:val="000000"/>
                      <w:sz w:val="21"/>
                      <w:szCs w:val="21"/>
                      <w:u w:val="none" w:color="auto"/>
                      <w:lang w:eastAsia="zh-CN"/>
                    </w:rPr>
                    <w:t>。</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3.</w:t>
                  </w:r>
                  <w:r>
                    <w:rPr>
                      <w:rFonts w:hint="eastAsia" w:ascii="Times New Roman" w:hAnsi="Times New Roman" w:eastAsia="宋体" w:cs="Times New Roman"/>
                      <w:color w:val="000000"/>
                      <w:sz w:val="21"/>
                      <w:szCs w:val="21"/>
                      <w:u w:val="none" w:color="auto"/>
                    </w:rPr>
                    <w:t>有机聚合物产品用于制品生产的过程，在混合/混炼、塑炼/塑化/熔化、加工成型(挤出、注射、压制、压延、发泡、纺丝等)等作业中应采用密闭设备或在密闭空间内操作，废气应排至VOCs废气收集处理系统；无法密闭的，应采取局部气体收集措施，废气应排至VOCs废气收集处理系统。</w:t>
                  </w:r>
                </w:p>
              </w:tc>
              <w:tc>
                <w:tcPr>
                  <w:tcW w:w="2361" w:type="dxa"/>
                  <w:noWrap w:val="0"/>
                  <w:vAlign w:val="center"/>
                </w:tcPr>
                <w:p>
                  <w:pPr>
                    <w:spacing w:line="240" w:lineRule="auto"/>
                    <w:jc w:val="center"/>
                    <w:rPr>
                      <w:rFonts w:hint="default"/>
                      <w:u w:val="none" w:color="auto"/>
                      <w:vertAlign w:val="baseline"/>
                      <w:lang w:val="en-US" w:eastAsia="zh-CN"/>
                    </w:rPr>
                  </w:pPr>
                  <w:r>
                    <w:rPr>
                      <w:rFonts w:hint="default" w:ascii="Times New Roman" w:hAnsi="Times New Roman" w:eastAsia="宋体" w:cs="Times New Roman"/>
                      <w:b w:val="0"/>
                      <w:bCs w:val="0"/>
                      <w:sz w:val="21"/>
                      <w:szCs w:val="21"/>
                      <w:u w:val="none"/>
                      <w:lang w:val="en-US" w:eastAsia="zh-CN"/>
                    </w:rPr>
                    <w:t>本项目涂布机、干复机工作台以上进行二次密闭，</w:t>
                  </w:r>
                  <w:r>
                    <w:rPr>
                      <w:rFonts w:hint="eastAsia" w:cs="Times New Roman"/>
                      <w:b w:val="0"/>
                      <w:bCs w:val="0"/>
                      <w:sz w:val="21"/>
                      <w:szCs w:val="21"/>
                      <w:u w:val="none"/>
                      <w:lang w:val="en-US" w:eastAsia="zh-CN"/>
                    </w:rPr>
                    <w:t>烘干机</w:t>
                  </w:r>
                  <w:r>
                    <w:rPr>
                      <w:rFonts w:hint="default" w:ascii="Times New Roman" w:hAnsi="Times New Roman" w:eastAsia="宋体" w:cs="Times New Roman"/>
                      <w:b w:val="0"/>
                      <w:bCs w:val="0"/>
                      <w:sz w:val="21"/>
                      <w:szCs w:val="21"/>
                      <w:u w:val="none"/>
                      <w:lang w:val="en-US" w:eastAsia="zh-CN"/>
                    </w:rPr>
                    <w:t>密闭，均采取负压集气，产生的有机废气经配套管道收集后经管道引至一套“二级活性炭吸附”装置处理后通过1根</w:t>
                  </w:r>
                  <w:r>
                    <w:rPr>
                      <w:rFonts w:hint="eastAsia" w:cs="Times New Roman"/>
                      <w:b w:val="0"/>
                      <w:bCs w:val="0"/>
                      <w:sz w:val="21"/>
                      <w:szCs w:val="21"/>
                      <w:u w:val="none"/>
                      <w:lang w:val="en-US" w:eastAsia="zh-CN"/>
                    </w:rPr>
                    <w:t>23</w:t>
                  </w:r>
                  <w:r>
                    <w:rPr>
                      <w:rFonts w:hint="default" w:ascii="Times New Roman" w:hAnsi="Times New Roman" w:eastAsia="宋体" w:cs="Times New Roman"/>
                      <w:b w:val="0"/>
                      <w:bCs w:val="0"/>
                      <w:sz w:val="21"/>
                      <w:szCs w:val="21"/>
                      <w:u w:val="none"/>
                      <w:lang w:val="en-US" w:eastAsia="zh-CN"/>
                    </w:rPr>
                    <w:t>m排气筒排放</w:t>
                  </w:r>
                  <w:r>
                    <w:rPr>
                      <w:rFonts w:hint="eastAsia" w:cs="Times New Roman"/>
                      <w:b w:val="0"/>
                      <w:bCs w:val="0"/>
                      <w:sz w:val="21"/>
                      <w:szCs w:val="21"/>
                      <w:u w:val="none"/>
                      <w:lang w:val="en-US" w:eastAsia="zh-CN"/>
                    </w:rPr>
                    <w:t>。</w:t>
                  </w:r>
                </w:p>
              </w:tc>
              <w:tc>
                <w:tcPr>
                  <w:tcW w:w="770"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73"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企业厂区及周边污染物监控要求</w:t>
                  </w:r>
                </w:p>
              </w:tc>
              <w:tc>
                <w:tcPr>
                  <w:tcW w:w="4124" w:type="dxa"/>
                  <w:noWrap w:val="0"/>
                  <w:vAlign w:val="top"/>
                </w:tcPr>
                <w:p>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000000"/>
                      <w:sz w:val="21"/>
                      <w:szCs w:val="21"/>
                      <w:u w:val="none" w:color="auto"/>
                    </w:rPr>
                  </w:pPr>
                  <w:r>
                    <w:rPr>
                      <w:rFonts w:hint="eastAsia" w:ascii="Times New Roman" w:hAnsi="Times New Roman" w:eastAsia="宋体" w:cs="Times New Roman"/>
                      <w:color w:val="000000"/>
                      <w:sz w:val="21"/>
                      <w:szCs w:val="21"/>
                      <w:u w:val="none" w:color="auto"/>
                      <w:lang w:val="en-US" w:eastAsia="zh-CN"/>
                    </w:rPr>
                    <w:t>1.</w:t>
                  </w:r>
                  <w:r>
                    <w:rPr>
                      <w:rFonts w:hint="eastAsia" w:ascii="Times New Roman" w:hAnsi="Times New Roman" w:eastAsia="宋体" w:cs="Times New Roman"/>
                      <w:color w:val="000000"/>
                      <w:sz w:val="21"/>
                      <w:szCs w:val="21"/>
                      <w:u w:val="none" w:color="auto"/>
                    </w:rPr>
                    <w:t>企业边界及周边VOCs监控要求执行GB 16297或相关行业排放标准的规定。</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rPr>
                    <w:t>2</w:t>
                  </w:r>
                  <w:r>
                    <w:rPr>
                      <w:rFonts w:hint="eastAsia" w:ascii="Times New Roman" w:hAnsi="Times New Roman" w:eastAsia="宋体" w:cs="Times New Roman"/>
                      <w:color w:val="000000"/>
                      <w:sz w:val="21"/>
                      <w:szCs w:val="21"/>
                      <w:u w:val="none" w:color="auto"/>
                      <w:lang w:val="en-US" w:eastAsia="zh-CN"/>
                    </w:rPr>
                    <w:t>.</w:t>
                  </w:r>
                  <w:r>
                    <w:rPr>
                      <w:rFonts w:hint="eastAsia" w:ascii="Times New Roman" w:hAnsi="Times New Roman" w:eastAsia="宋体" w:cs="Times New Roman"/>
                      <w:color w:val="000000"/>
                      <w:sz w:val="21"/>
                      <w:szCs w:val="21"/>
                      <w:u w:val="none" w:color="auto"/>
                    </w:rPr>
                    <w:t>地方生态环境主管部门可根据当地环境保护需要，对厂区内VOCs无组织排放状况进行监控，具体实施方式由各地自行确定。</w:t>
                  </w:r>
                </w:p>
              </w:tc>
              <w:tc>
                <w:tcPr>
                  <w:tcW w:w="2361"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企业按照相关要求对企业边界及周边VOCs进行监控。</w:t>
                  </w:r>
                </w:p>
              </w:tc>
              <w:tc>
                <w:tcPr>
                  <w:tcW w:w="770" w:type="dxa"/>
                  <w:noWrap w:val="0"/>
                  <w:vAlign w:val="center"/>
                </w:tcPr>
                <w:p>
                  <w:pPr>
                    <w:spacing w:line="240" w:lineRule="auto"/>
                    <w:jc w:val="center"/>
                    <w:rPr>
                      <w:rFonts w:hint="default"/>
                      <w:u w:val="none" w:color="auto"/>
                      <w:vertAlign w:val="baseline"/>
                      <w:lang w:val="en-US" w:eastAsia="zh-CN"/>
                    </w:rPr>
                  </w:pPr>
                  <w:r>
                    <w:rPr>
                      <w:rFonts w:hint="eastAsia"/>
                      <w:u w:val="none" w:color="auto"/>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u w:val="none" w:color="auto"/>
                <w:lang w:val="en-US" w:eastAsia="zh-CN"/>
              </w:rPr>
            </w:pPr>
            <w:r>
              <w:rPr>
                <w:rFonts w:hint="default"/>
                <w:sz w:val="24"/>
                <w:szCs w:val="24"/>
                <w:u w:val="none" w:color="auto"/>
                <w:lang w:val="en-US" w:eastAsia="zh-CN"/>
              </w:rPr>
              <w:t>综上所述，本项目符</w:t>
            </w:r>
            <w:r>
              <w:rPr>
                <w:rFonts w:hint="default" w:ascii="Times New Roman" w:hAnsi="Times New Roman" w:eastAsia="宋体" w:cs="Times New Roman"/>
                <w:b w:val="0"/>
                <w:bCs w:val="0"/>
                <w:sz w:val="24"/>
                <w:szCs w:val="24"/>
                <w:u w:val="none" w:color="auto"/>
                <w:lang w:val="en-US" w:eastAsia="zh-CN"/>
              </w:rPr>
              <w:t>合</w:t>
            </w:r>
            <w:r>
              <w:rPr>
                <w:rFonts w:hint="default" w:ascii="Times New Roman" w:hAnsi="Times New Roman" w:eastAsia="宋体" w:cs="Times New Roman"/>
                <w:b w:val="0"/>
                <w:bCs w:val="0"/>
                <w:sz w:val="24"/>
                <w:szCs w:val="24"/>
                <w:u w:val="none" w:color="auto"/>
              </w:rPr>
              <w:t>《</w:t>
            </w:r>
            <w:r>
              <w:rPr>
                <w:rFonts w:hint="default" w:ascii="Times New Roman" w:hAnsi="Times New Roman" w:eastAsia="宋体" w:cs="Times New Roman"/>
                <w:b w:val="0"/>
                <w:bCs w:val="0"/>
                <w:sz w:val="24"/>
                <w:szCs w:val="24"/>
                <w:u w:val="none" w:color="auto"/>
                <w:lang w:eastAsia="zh-CN"/>
              </w:rPr>
              <w:t>挥发性有机物无组织排放标准</w:t>
            </w:r>
            <w:r>
              <w:rPr>
                <w:rFonts w:hint="default" w:ascii="Times New Roman" w:hAnsi="Times New Roman" w:eastAsia="宋体" w:cs="Times New Roman"/>
                <w:b w:val="0"/>
                <w:bCs w:val="0"/>
                <w:sz w:val="24"/>
                <w:szCs w:val="24"/>
                <w:u w:val="none" w:color="auto"/>
              </w:rPr>
              <w:t>》（</w:t>
            </w:r>
            <w:r>
              <w:rPr>
                <w:rFonts w:hint="default" w:ascii="Times New Roman" w:hAnsi="Times New Roman" w:eastAsia="宋体" w:cs="Times New Roman"/>
                <w:b w:val="0"/>
                <w:bCs w:val="0"/>
                <w:sz w:val="24"/>
                <w:szCs w:val="24"/>
                <w:u w:val="none" w:color="auto"/>
                <w:lang w:val="en-US" w:eastAsia="zh-CN"/>
              </w:rPr>
              <w:t>GB 37822-2019</w:t>
            </w:r>
            <w:r>
              <w:rPr>
                <w:rFonts w:hint="default" w:ascii="Times New Roman" w:hAnsi="Times New Roman" w:eastAsia="宋体" w:cs="Times New Roman"/>
                <w:b w:val="0"/>
                <w:bCs w:val="0"/>
                <w:sz w:val="24"/>
                <w:szCs w:val="24"/>
                <w:u w:val="none" w:color="auto"/>
              </w:rPr>
              <w:t>）</w:t>
            </w:r>
            <w:r>
              <w:rPr>
                <w:rFonts w:hint="default"/>
                <w:sz w:val="24"/>
                <w:szCs w:val="24"/>
                <w:u w:val="none" w:color="auto"/>
                <w:lang w:val="en-US" w:eastAsia="zh-CN"/>
              </w:rPr>
              <w:t>相关要求</w:t>
            </w:r>
            <w:r>
              <w:rPr>
                <w:rFonts w:hint="eastAsia"/>
                <w:sz w:val="24"/>
                <w:szCs w:val="24"/>
                <w:u w:val="none" w:color="auto"/>
                <w:lang w:val="en-US" w:eastAsia="zh-CN"/>
              </w:rPr>
              <w:t>。</w:t>
            </w:r>
          </w:p>
          <w:p>
            <w:pPr>
              <w:adjustRightInd w:val="0"/>
              <w:snapToGrid w:val="0"/>
              <w:spacing w:line="520" w:lineRule="exact"/>
              <w:rPr>
                <w:rFonts w:hint="eastAsia" w:ascii="Times New Roman" w:hAnsi="Courier New"/>
                <w:b/>
                <w:bCs/>
                <w:kern w:val="2"/>
                <w:sz w:val="24"/>
                <w:szCs w:val="24"/>
                <w:lang w:val="en-US" w:eastAsia="zh-CN" w:bidi="ar-SA"/>
              </w:rPr>
            </w:pPr>
            <w:r>
              <w:rPr>
                <w:rFonts w:hint="eastAsia" w:hAnsi="Courier New"/>
                <w:b/>
                <w:bCs/>
                <w:kern w:val="2"/>
                <w:sz w:val="24"/>
                <w:szCs w:val="24"/>
                <w:lang w:val="en-US" w:eastAsia="zh-CN" w:bidi="ar-SA"/>
              </w:rPr>
              <w:t>11</w:t>
            </w:r>
            <w:r>
              <w:rPr>
                <w:rFonts w:hint="eastAsia" w:ascii="Times New Roman" w:hAnsi="Courier New"/>
                <w:b/>
                <w:bCs/>
                <w:kern w:val="2"/>
                <w:sz w:val="24"/>
                <w:szCs w:val="24"/>
                <w:lang w:val="en-US" w:eastAsia="zh-CN" w:bidi="ar-SA"/>
              </w:rPr>
              <w:t>、项目建设与“三线一单”相符性分析</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highlight w:val="none"/>
                <w:lang w:eastAsia="zh-CN"/>
              </w:rPr>
            </w:pPr>
            <w:r>
              <w:rPr>
                <w:rFonts w:hint="default" w:ascii="Times New Roman" w:hAnsi="Times New Roman" w:eastAsia="宋体" w:cs="Times New Roman"/>
                <w:b w:val="0"/>
                <w:bCs w:val="0"/>
                <w:color w:val="auto"/>
                <w:sz w:val="24"/>
                <w:highlight w:val="none"/>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r>
              <w:rPr>
                <w:rFonts w:hint="default" w:ascii="Times New Roman" w:hAnsi="Times New Roman" w:eastAsia="宋体" w:cs="Times New Roman"/>
                <w:b w:val="0"/>
                <w:bCs w:val="0"/>
                <w:color w:val="auto"/>
                <w:sz w:val="24"/>
                <w:highlight w:val="none"/>
                <w:lang w:eastAsia="zh-CN"/>
              </w:rPr>
              <w:t>。</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highlight w:val="none"/>
              </w:rPr>
            </w:pPr>
            <w:r>
              <w:rPr>
                <w:rFonts w:hint="eastAsia" w:cs="Times New Roman"/>
                <w:b w:val="0"/>
                <w:bCs w:val="0"/>
                <w:color w:val="auto"/>
                <w:sz w:val="24"/>
                <w:highlight w:val="none"/>
                <w:lang w:val="en-US" w:eastAsia="zh-CN"/>
              </w:rPr>
              <w:t>（1）</w:t>
            </w:r>
            <w:r>
              <w:rPr>
                <w:rFonts w:hint="default" w:ascii="Times New Roman" w:hAnsi="Times New Roman" w:eastAsia="宋体" w:cs="Times New Roman"/>
                <w:b w:val="0"/>
                <w:bCs w:val="0"/>
                <w:color w:val="auto"/>
                <w:sz w:val="24"/>
                <w:highlight w:val="none"/>
              </w:rPr>
              <w:t>生态红线</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r>
              <w:rPr>
                <w:rFonts w:hint="default" w:ascii="Times New Roman" w:hAnsi="Times New Roman" w:eastAsia="宋体" w:cs="Times New Roman"/>
                <w:color w:val="auto"/>
                <w:sz w:val="24"/>
                <w:szCs w:val="24"/>
                <w:highlight w:val="none"/>
                <w:u w:val="none"/>
                <w:lang w:eastAsia="zh-CN"/>
              </w:rPr>
              <w:t>。</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color w:val="auto"/>
                <w:sz w:val="24"/>
                <w:szCs w:val="24"/>
                <w:highlight w:val="none"/>
                <w:u w:val="none"/>
              </w:rPr>
              <w:t>项目厂址不在各类自然保护区、饮用水源保护区等环境敏感区范围内。周边无特殊保护的生态保护区，项目建设对区域生态功能不会造成不良影响，符合生态红线区域保护规划要求</w:t>
            </w:r>
            <w:r>
              <w:rPr>
                <w:rFonts w:hint="default" w:ascii="Times New Roman" w:hAnsi="Times New Roman" w:eastAsia="宋体" w:cs="Times New Roman"/>
                <w:b w:val="0"/>
                <w:bCs w:val="0"/>
                <w:color w:val="auto"/>
                <w:sz w:val="24"/>
                <w:szCs w:val="24"/>
                <w:highlight w:val="none"/>
              </w:rPr>
              <w:t>。</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rPr>
              <w:t>环境质量底线</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根据《20</w:t>
            </w:r>
            <w:r>
              <w:rPr>
                <w:rFonts w:hint="eastAsia" w:cs="Times New Roman"/>
                <w:b w:val="0"/>
                <w:bCs w:val="0"/>
                <w:color w:val="auto"/>
                <w:sz w:val="24"/>
                <w:szCs w:val="24"/>
                <w:highlight w:val="none"/>
                <w:lang w:val="en-US" w:eastAsia="zh-CN"/>
              </w:rPr>
              <w:t>23</w:t>
            </w:r>
            <w:r>
              <w:rPr>
                <w:rFonts w:hint="default" w:ascii="Times New Roman" w:hAnsi="Times New Roman" w:eastAsia="宋体" w:cs="Times New Roman"/>
                <w:b w:val="0"/>
                <w:bCs w:val="0"/>
                <w:color w:val="auto"/>
                <w:sz w:val="24"/>
                <w:szCs w:val="24"/>
                <w:highlight w:val="none"/>
              </w:rPr>
              <w:t>年河南省南阳市生态环境质量报告书》中数据，卧龙区为环境空气质量为不达标区。针对环境空气质量不达标的情况，近年来卧龙区已按照《南阳市2024年蓝天保卫战实施方案》（宛环委办</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2024</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21号）和《南阳市环境空气质量限期达标行动实施方案（2024-2025年）》宛政办</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2024</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3号等文件相关要求，通过实施清新空气运动，加强物料堆场、施工工地等管理，切实减少细颗粒物产生及排放，改善当地环境质量，区域空气质量将逐渐转好。</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环境质量现状调查资料，本项目所在区域除环境空气为不达标区外，其他环境要素的环境质量现状均可满足相应功能区划要求。该项目建设后会产生一定的污染物，如废气、废水、固体废物、生产设备运行产生的噪声等。项目建成营运后根据《南阳市2024年蓝天保卫战实施方案》（宛环委办</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2024</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21号）要求，强化项目环评及“三同时”管理，并根据后文分析，本项目运营后不会降低区域环境空气质量现状。本项目污染物产生量较小，并配套环保治理措施，达标排放，不会改变区域环境质量等级，符合环境质量底线要求。</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资源利用上线</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r>
              <w:rPr>
                <w:rFonts w:hint="eastAsia" w:ascii="Times New Roman" w:hAnsi="Times New Roman" w:eastAsia="宋体" w:cs="Times New Roman"/>
                <w:b w:val="0"/>
                <w:bCs w:val="0"/>
                <w:color w:val="auto"/>
                <w:sz w:val="24"/>
                <w:szCs w:val="24"/>
                <w:highlight w:val="none"/>
                <w:lang w:eastAsia="zh-CN"/>
              </w:rPr>
              <w:t>。</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本项目</w:t>
            </w:r>
            <w:r>
              <w:rPr>
                <w:rFonts w:hint="eastAsia" w:ascii="Times New Roman" w:hAnsi="Times New Roman" w:eastAsia="宋体" w:cs="Times New Roman"/>
                <w:b w:val="0"/>
                <w:bCs w:val="0"/>
                <w:color w:val="auto"/>
                <w:sz w:val="24"/>
                <w:szCs w:val="24"/>
                <w:highlight w:val="none"/>
                <w:lang w:val="en-US" w:eastAsia="zh-CN"/>
              </w:rPr>
              <w:t>用水</w:t>
            </w:r>
            <w:r>
              <w:rPr>
                <w:rFonts w:hint="default" w:ascii="Times New Roman" w:hAnsi="Times New Roman" w:eastAsia="宋体" w:cs="Times New Roman"/>
                <w:b w:val="0"/>
                <w:bCs w:val="0"/>
                <w:color w:val="auto"/>
                <w:sz w:val="24"/>
                <w:szCs w:val="24"/>
                <w:highlight w:val="none"/>
              </w:rPr>
              <w:t>由</w:t>
            </w:r>
            <w:r>
              <w:rPr>
                <w:rFonts w:hint="eastAsia" w:ascii="Times New Roman" w:hAnsi="Times New Roman" w:eastAsia="宋体" w:cs="Times New Roman"/>
                <w:b w:val="0"/>
                <w:bCs w:val="0"/>
                <w:color w:val="auto"/>
                <w:sz w:val="24"/>
                <w:szCs w:val="24"/>
                <w:highlight w:val="none"/>
                <w:lang w:val="en-US" w:eastAsia="zh-CN"/>
              </w:rPr>
              <w:t>市政自来水提供</w:t>
            </w:r>
            <w:r>
              <w:rPr>
                <w:rFonts w:hint="default" w:ascii="Times New Roman" w:hAnsi="Times New Roman" w:eastAsia="宋体"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能够满足项目用水需求</w:t>
            </w:r>
            <w:r>
              <w:rPr>
                <w:rFonts w:hint="default" w:ascii="Times New Roman" w:hAnsi="Times New Roman" w:eastAsia="宋体" w:cs="Times New Roman"/>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用电</w:t>
            </w:r>
            <w:r>
              <w:rPr>
                <w:rFonts w:hint="eastAsia" w:ascii="Times New Roman" w:hAnsi="Times New Roman" w:eastAsia="宋体" w:cs="Times New Roman"/>
                <w:b w:val="0"/>
                <w:bCs w:val="0"/>
                <w:color w:val="auto"/>
                <w:sz w:val="24"/>
                <w:szCs w:val="24"/>
                <w:highlight w:val="none"/>
                <w:lang w:eastAsia="zh-CN"/>
              </w:rPr>
              <w:t>由市政供电公司统一</w:t>
            </w:r>
            <w:r>
              <w:rPr>
                <w:rFonts w:hint="eastAsia" w:ascii="Times New Roman" w:hAnsi="Times New Roman" w:eastAsia="宋体" w:cs="Times New Roman"/>
                <w:b w:val="0"/>
                <w:bCs w:val="0"/>
                <w:color w:val="auto"/>
                <w:sz w:val="24"/>
                <w:szCs w:val="24"/>
                <w:highlight w:val="none"/>
                <w:lang w:val="en-US" w:eastAsia="zh-CN"/>
              </w:rPr>
              <w:t>统</w:t>
            </w:r>
            <w:r>
              <w:rPr>
                <w:rFonts w:hint="default" w:ascii="Times New Roman" w:hAnsi="Times New Roman" w:eastAsia="宋体" w:cs="Times New Roman"/>
                <w:b w:val="0"/>
                <w:bCs w:val="0"/>
                <w:color w:val="auto"/>
                <w:sz w:val="24"/>
                <w:szCs w:val="24"/>
                <w:highlight w:val="none"/>
              </w:rPr>
              <w:t>供电；项目建设土地不涉及基本农田，符合要求。因此，项目资源利用满足要求。</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（4）</w:t>
            </w:r>
            <w:r>
              <w:rPr>
                <w:rFonts w:hint="eastAsia" w:ascii="Times New Roman" w:hAnsi="Times New Roman" w:eastAsia="宋体" w:cs="Times New Roman"/>
                <w:b w:val="0"/>
                <w:bCs w:val="0"/>
                <w:color w:val="auto"/>
                <w:sz w:val="24"/>
                <w:szCs w:val="24"/>
                <w:highlight w:val="none"/>
                <w:lang w:val="en-US" w:eastAsia="zh-CN"/>
              </w:rPr>
              <w:t>环</w:t>
            </w:r>
            <w:r>
              <w:rPr>
                <w:rFonts w:hint="default" w:ascii="Times New Roman" w:hAnsi="Times New Roman" w:eastAsia="宋体" w:cs="Times New Roman"/>
                <w:b w:val="0"/>
                <w:bCs w:val="0"/>
                <w:color w:val="auto"/>
                <w:sz w:val="24"/>
                <w:szCs w:val="24"/>
                <w:highlight w:val="none"/>
              </w:rPr>
              <w:t>境准入负面清单</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ascii="Times New Roman" w:hAnsi="Times New Roman" w:eastAsia="宋体" w:cs="Times New Roman"/>
                <w:b w:val="0"/>
                <w:bCs w:val="0"/>
                <w:color w:val="auto"/>
                <w:sz w:val="24"/>
                <w:highlight w:val="none"/>
                <w:u w:val="none"/>
                <w:lang w:val="en-US" w:eastAsia="zh-CN"/>
              </w:rPr>
            </w:pPr>
            <w:r>
              <w:rPr>
                <w:rFonts w:hint="eastAsia" w:cs="Times New Roman"/>
                <w:b w:val="0"/>
                <w:bCs w:val="0"/>
                <w:color w:val="auto"/>
                <w:sz w:val="24"/>
                <w:highlight w:val="none"/>
                <w:u w:val="none"/>
                <w:lang w:eastAsia="zh-CN"/>
              </w:rPr>
              <w:t>本项目位于南阳市卧龙区蒲山镇田营村卧龙艾草产业园内，根据河南省三线一单综合信息应用平台信息（见附图）可知，本项目位于卧龙区大气重点单元，环境管控单元编码：</w:t>
            </w:r>
            <w:r>
              <w:rPr>
                <w:rFonts w:hint="eastAsia" w:cs="Times New Roman"/>
                <w:b w:val="0"/>
                <w:bCs w:val="0"/>
                <w:color w:val="auto"/>
                <w:sz w:val="24"/>
                <w:highlight w:val="none"/>
                <w:u w:val="none"/>
                <w:lang w:val="en-US" w:eastAsia="zh-CN"/>
              </w:rPr>
              <w:t>ZH41130320003，属于重点管控单元。</w:t>
            </w:r>
          </w:p>
          <w:p>
            <w:pPr>
              <w:keepNext w:val="0"/>
              <w:keepLines w:val="0"/>
              <w:pageBreakBefore w:val="0"/>
              <w:widowControl w:val="0"/>
              <w:tabs>
                <w:tab w:val="left" w:pos="7245"/>
              </w:tabs>
              <w:kinsoku/>
              <w:wordWrap/>
              <w:overflowPunct/>
              <w:topLinePunct w:val="0"/>
              <w:autoSpaceDE/>
              <w:autoSpaceDN/>
              <w:bidi w:val="0"/>
              <w:adjustRightInd w:val="0"/>
              <w:snapToGrid w:val="0"/>
              <w:spacing w:line="480" w:lineRule="exact"/>
              <w:ind w:firstLine="480" w:firstLineChars="200"/>
              <w:jc w:val="both"/>
              <w:textAlignment w:val="auto"/>
              <w:outlineLvl w:val="0"/>
              <w:rPr>
                <w:rFonts w:hint="default"/>
              </w:rPr>
            </w:pPr>
            <w:r>
              <w:rPr>
                <w:rFonts w:hint="default" w:ascii="Times New Roman" w:hAnsi="Times New Roman" w:eastAsia="宋体" w:cs="Times New Roman"/>
                <w:b w:val="0"/>
                <w:bCs w:val="0"/>
                <w:color w:val="auto"/>
                <w:sz w:val="24"/>
                <w:highlight w:val="none"/>
              </w:rPr>
              <w:t>项目建设与</w:t>
            </w:r>
            <w:r>
              <w:rPr>
                <w:rFonts w:hint="eastAsia" w:ascii="Times New Roman" w:hAnsi="Times New Roman" w:eastAsia="宋体" w:cs="Times New Roman"/>
                <w:b w:val="0"/>
                <w:bCs w:val="0"/>
                <w:color w:val="auto"/>
                <w:sz w:val="24"/>
                <w:highlight w:val="none"/>
                <w:lang w:eastAsia="zh-CN"/>
              </w:rPr>
              <w:t>卧龙区蒲山镇</w:t>
            </w:r>
            <w:r>
              <w:rPr>
                <w:rFonts w:hint="default" w:ascii="Times New Roman" w:hAnsi="Times New Roman" w:eastAsia="宋体" w:cs="Times New Roman"/>
                <w:b w:val="0"/>
                <w:bCs w:val="0"/>
                <w:color w:val="auto"/>
                <w:sz w:val="24"/>
                <w:highlight w:val="none"/>
              </w:rPr>
              <w:t>环境管控单元生态环境准入清单的相符性比对见下表。</w:t>
            </w:r>
          </w:p>
          <w:p>
            <w:pPr>
              <w:keepNext w:val="0"/>
              <w:keepLines w:val="0"/>
              <w:pageBreakBefore w:val="0"/>
              <w:widowControl w:val="0"/>
              <w:kinsoku/>
              <w:wordWrap/>
              <w:overflowPunct/>
              <w:topLinePunct w:val="0"/>
              <w:autoSpaceDE/>
              <w:autoSpaceDN/>
              <w:bidi w:val="0"/>
              <w:adjustRightInd w:val="0"/>
              <w:snapToGrid w:val="0"/>
              <w:spacing w:line="480" w:lineRule="exact"/>
              <w:ind w:firstLine="0" w:firstLineChars="0"/>
              <w:jc w:val="center"/>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表1-</w:t>
            </w:r>
            <w:r>
              <w:rPr>
                <w:rFonts w:hint="eastAsia"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lang w:val="en-US" w:eastAsia="zh-CN"/>
              </w:rPr>
              <w:t xml:space="preserve"> 项目与卧龙区蒲山镇环境管控单元生态环境准入清单比对一览表</w:t>
            </w:r>
          </w:p>
          <w:tbl>
            <w:tblPr>
              <w:tblStyle w:val="26"/>
              <w:tblW w:w="82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7"/>
              <w:gridCol w:w="1053"/>
              <w:gridCol w:w="830"/>
              <w:gridCol w:w="565"/>
              <w:gridCol w:w="2730"/>
              <w:gridCol w:w="1618"/>
              <w:gridCol w:w="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3" w:hRule="atLeast"/>
                <w:tblHeader/>
                <w:jc w:val="center"/>
              </w:trPr>
              <w:tc>
                <w:tcPr>
                  <w:tcW w:w="987" w:type="dxa"/>
                  <w:noWrap w:val="0"/>
                  <w:vAlign w:val="center"/>
                </w:tcPr>
                <w:p>
                  <w:pPr>
                    <w:pStyle w:val="70"/>
                    <w:spacing w:line="240" w:lineRule="auto"/>
                    <w:jc w:val="center"/>
                    <w:rPr>
                      <w:rFonts w:hint="eastAsia" w:ascii="Times New Roman" w:hAnsi="Times New Roman" w:eastAsia="宋体" w:cs="Times New Roman"/>
                      <w:b/>
                      <w:bCs w:val="0"/>
                      <w:color w:val="auto"/>
                      <w:sz w:val="21"/>
                      <w:szCs w:val="21"/>
                      <w:lang w:eastAsia="zh-CN"/>
                    </w:rPr>
                  </w:pPr>
                  <w:r>
                    <w:rPr>
                      <w:rFonts w:hint="default" w:ascii="Times New Roman" w:hAnsi="Times New Roman" w:eastAsia="宋体" w:cs="Times New Roman"/>
                      <w:b/>
                      <w:bCs w:val="0"/>
                      <w:color w:val="auto"/>
                      <w:sz w:val="21"/>
                      <w:szCs w:val="21"/>
                    </w:rPr>
                    <w:t>环境管控单元</w:t>
                  </w:r>
                  <w:r>
                    <w:rPr>
                      <w:rFonts w:hint="eastAsia" w:ascii="Times New Roman" w:hAnsi="Times New Roman" w:eastAsia="宋体" w:cs="Times New Roman"/>
                      <w:b/>
                      <w:bCs w:val="0"/>
                      <w:color w:val="auto"/>
                      <w:sz w:val="21"/>
                      <w:szCs w:val="21"/>
                      <w:lang w:eastAsia="zh-CN"/>
                    </w:rPr>
                    <w:t>编码</w:t>
                  </w:r>
                </w:p>
              </w:tc>
              <w:tc>
                <w:tcPr>
                  <w:tcW w:w="1053" w:type="dxa"/>
                  <w:noWrap w:val="0"/>
                  <w:vAlign w:val="center"/>
                </w:tcPr>
                <w:p>
                  <w:pPr>
                    <w:pStyle w:val="70"/>
                    <w:spacing w:line="240" w:lineRule="auto"/>
                    <w:jc w:val="center"/>
                    <w:rPr>
                      <w:rFonts w:hint="default"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环境管控单元名称</w:t>
                  </w:r>
                </w:p>
              </w:tc>
              <w:tc>
                <w:tcPr>
                  <w:tcW w:w="830" w:type="dxa"/>
                  <w:noWrap w:val="0"/>
                  <w:vAlign w:val="center"/>
                </w:tcPr>
                <w:p>
                  <w:pPr>
                    <w:pStyle w:val="70"/>
                    <w:spacing w:line="240" w:lineRule="auto"/>
                    <w:jc w:val="center"/>
                    <w:rPr>
                      <w:rFonts w:hint="eastAsia" w:ascii="Times New Roman" w:hAnsi="Times New Roman" w:eastAsia="宋体" w:cs="Times New Roman"/>
                      <w:b/>
                      <w:bCs w:val="0"/>
                      <w:color w:val="auto"/>
                      <w:sz w:val="21"/>
                      <w:szCs w:val="21"/>
                      <w:lang w:eastAsia="zh-CN"/>
                    </w:rPr>
                  </w:pPr>
                  <w:r>
                    <w:rPr>
                      <w:rFonts w:hint="eastAsia" w:ascii="Times New Roman" w:hAnsi="Times New Roman" w:eastAsia="宋体" w:cs="Times New Roman"/>
                      <w:b/>
                      <w:bCs w:val="0"/>
                      <w:color w:val="auto"/>
                      <w:sz w:val="21"/>
                      <w:szCs w:val="21"/>
                      <w:lang w:eastAsia="zh-CN"/>
                    </w:rPr>
                    <w:t>管控单元分类</w:t>
                  </w:r>
                </w:p>
              </w:tc>
              <w:tc>
                <w:tcPr>
                  <w:tcW w:w="3295" w:type="dxa"/>
                  <w:gridSpan w:val="2"/>
                  <w:noWrap w:val="0"/>
                  <w:vAlign w:val="center"/>
                </w:tcPr>
                <w:p>
                  <w:pPr>
                    <w:pStyle w:val="70"/>
                    <w:spacing w:line="240" w:lineRule="auto"/>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管控要求</w:t>
                  </w:r>
                </w:p>
              </w:tc>
              <w:tc>
                <w:tcPr>
                  <w:tcW w:w="1618" w:type="dxa"/>
                  <w:noWrap w:val="0"/>
                  <w:vAlign w:val="center"/>
                </w:tcPr>
                <w:p>
                  <w:pPr>
                    <w:pStyle w:val="70"/>
                    <w:spacing w:line="240" w:lineRule="auto"/>
                    <w:jc w:val="center"/>
                    <w:rPr>
                      <w:rFonts w:hint="default" w:ascii="Times New Roman" w:hAnsi="Times New Roman" w:eastAsia="宋体" w:cs="Times New Roman"/>
                      <w:b/>
                      <w:bCs w:val="0"/>
                      <w:color w:val="auto"/>
                      <w:sz w:val="21"/>
                      <w:szCs w:val="21"/>
                      <w:lang w:eastAsia="zh-CN"/>
                    </w:rPr>
                  </w:pPr>
                  <w:r>
                    <w:rPr>
                      <w:rFonts w:hint="default" w:ascii="Times New Roman" w:hAnsi="Times New Roman" w:eastAsia="宋体" w:cs="Times New Roman"/>
                      <w:b/>
                      <w:bCs w:val="0"/>
                      <w:color w:val="auto"/>
                      <w:sz w:val="21"/>
                      <w:szCs w:val="21"/>
                      <w:lang w:eastAsia="zh-CN"/>
                    </w:rPr>
                    <w:t>本项目情况</w:t>
                  </w:r>
                </w:p>
              </w:tc>
              <w:tc>
                <w:tcPr>
                  <w:tcW w:w="505" w:type="dxa"/>
                  <w:noWrap w:val="0"/>
                  <w:vAlign w:val="center"/>
                </w:tcPr>
                <w:p>
                  <w:pPr>
                    <w:pStyle w:val="70"/>
                    <w:spacing w:line="240" w:lineRule="auto"/>
                    <w:jc w:val="center"/>
                    <w:rPr>
                      <w:rFonts w:hint="default" w:ascii="Times New Roman" w:hAnsi="Times New Roman" w:eastAsia="宋体" w:cs="Times New Roman"/>
                      <w:b/>
                      <w:bCs w:val="0"/>
                      <w:color w:val="auto"/>
                      <w:sz w:val="21"/>
                      <w:szCs w:val="21"/>
                      <w:lang w:eastAsia="zh-CN"/>
                    </w:rPr>
                  </w:pPr>
                  <w:r>
                    <w:rPr>
                      <w:rFonts w:hint="default" w:ascii="Times New Roman" w:hAnsi="Times New Roman" w:eastAsia="宋体" w:cs="Times New Roman"/>
                      <w:b/>
                      <w:bCs w:val="0"/>
                      <w:color w:val="auto"/>
                      <w:sz w:val="21"/>
                      <w:szCs w:val="21"/>
                      <w:lang w:eastAsia="zh-CN"/>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3" w:hRule="atLeast"/>
                <w:jc w:val="center"/>
              </w:trPr>
              <w:tc>
                <w:tcPr>
                  <w:tcW w:w="987" w:type="dxa"/>
                  <w:vMerge w:val="restart"/>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ZH41130320003</w:t>
                  </w:r>
                </w:p>
              </w:tc>
              <w:tc>
                <w:tcPr>
                  <w:tcW w:w="1053" w:type="dxa"/>
                  <w:vMerge w:val="restart"/>
                  <w:noWrap w:val="0"/>
                  <w:vAlign w:val="center"/>
                </w:tcPr>
                <w:p>
                  <w:pPr>
                    <w:pStyle w:val="70"/>
                    <w:spacing w:line="240" w:lineRule="auto"/>
                    <w:jc w:val="center"/>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卧龙区大气重点单元</w:t>
                  </w:r>
                </w:p>
              </w:tc>
              <w:tc>
                <w:tcPr>
                  <w:tcW w:w="830" w:type="dxa"/>
                  <w:vMerge w:val="restart"/>
                  <w:noWrap w:val="0"/>
                  <w:vAlign w:val="center"/>
                </w:tcPr>
                <w:p>
                  <w:pPr>
                    <w:pStyle w:val="70"/>
                    <w:spacing w:line="240" w:lineRule="auto"/>
                    <w:jc w:val="center"/>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重点管控单元</w:t>
                  </w:r>
                </w:p>
              </w:tc>
              <w:tc>
                <w:tcPr>
                  <w:tcW w:w="565" w:type="dxa"/>
                  <w:noWrap w:val="0"/>
                  <w:vAlign w:val="center"/>
                </w:tcPr>
                <w:p>
                  <w:pPr>
                    <w:pStyle w:val="70"/>
                    <w:spacing w:line="240" w:lineRule="auto"/>
                    <w:jc w:val="center"/>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空间布局约束</w:t>
                  </w:r>
                </w:p>
              </w:tc>
              <w:tc>
                <w:tcPr>
                  <w:tcW w:w="2730" w:type="dxa"/>
                  <w:noWrap w:val="0"/>
                  <w:vAlign w:val="center"/>
                </w:tcPr>
                <w:p>
                  <w:pPr>
                    <w:pStyle w:val="70"/>
                    <w:numPr>
                      <w:ilvl w:val="0"/>
                      <w:numId w:val="2"/>
                    </w:numPr>
                    <w:spacing w:line="240" w:lineRule="auto"/>
                    <w:rPr>
                      <w:rFonts w:hint="eastAsia" w:ascii="Times New Roman" w:hAnsi="Times New Roman" w:eastAsia="宋体" w:cs="Times New Roman"/>
                      <w:b w:val="0"/>
                      <w:bCs/>
                      <w:sz w:val="21"/>
                      <w:szCs w:val="21"/>
                      <w:u w:val="none"/>
                      <w:lang w:eastAsia="zh-CN"/>
                    </w:rPr>
                  </w:pPr>
                  <w:r>
                    <w:rPr>
                      <w:rFonts w:hint="eastAsia" w:ascii="Times New Roman" w:hAnsi="Times New Roman" w:eastAsia="宋体" w:cs="Times New Roman"/>
                      <w:b w:val="0"/>
                      <w:bCs/>
                      <w:sz w:val="21"/>
                      <w:szCs w:val="21"/>
                      <w:u w:val="none"/>
                      <w:lang w:eastAsia="zh-CN"/>
                    </w:rPr>
                    <w:t>在禁养区内禁止建设畜禽养殖场、养殖小区。</w:t>
                  </w:r>
                </w:p>
                <w:p>
                  <w:pPr>
                    <w:pStyle w:val="70"/>
                    <w:numPr>
                      <w:ilvl w:val="0"/>
                      <w:numId w:val="2"/>
                    </w:numPr>
                    <w:spacing w:line="240" w:lineRule="auto"/>
                    <w:rPr>
                      <w:rFonts w:hint="eastAsia" w:ascii="Times New Roman" w:hAnsi="Times New Roman" w:eastAsia="宋体" w:cs="Times New Roman"/>
                      <w:b w:val="0"/>
                      <w:bCs/>
                      <w:sz w:val="21"/>
                      <w:szCs w:val="21"/>
                      <w:u w:val="none"/>
                      <w:lang w:eastAsia="zh-CN"/>
                    </w:rPr>
                  </w:pPr>
                  <w:r>
                    <w:rPr>
                      <w:rFonts w:hint="eastAsia" w:ascii="Times New Roman" w:hAnsi="Times New Roman" w:eastAsia="宋体" w:cs="Times New Roman"/>
                      <w:b w:val="0"/>
                      <w:bCs/>
                      <w:sz w:val="21"/>
                      <w:szCs w:val="21"/>
                      <w:u w:val="none"/>
                      <w:lang w:eastAsia="zh-CN"/>
                    </w:rPr>
                    <w:t>原则上不再新增非电行业耗煤项目，确因产业发展和民生需要新上耗民项目的，要全面落实煤炭消费减量取代，</w:t>
                  </w:r>
                </w:p>
              </w:tc>
              <w:tc>
                <w:tcPr>
                  <w:tcW w:w="1618" w:type="dxa"/>
                  <w:noWrap w:val="0"/>
                  <w:vAlign w:val="center"/>
                </w:tcPr>
                <w:p>
                  <w:pPr>
                    <w:pStyle w:val="70"/>
                    <w:spacing w:line="240" w:lineRule="auto"/>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本项目为“</w:t>
                  </w:r>
                  <w:r>
                    <w:rPr>
                      <w:rFonts w:hint="default" w:ascii="Times New Roman" w:hAnsi="Times New Roman" w:eastAsia="宋体" w:cs="Times New Roman"/>
                      <w:color w:val="auto"/>
                      <w:sz w:val="21"/>
                      <w:szCs w:val="21"/>
                      <w:lang w:val="en-US" w:eastAsia="zh-CN"/>
                    </w:rPr>
                    <w:t>C</w:t>
                  </w:r>
                  <w:r>
                    <w:rPr>
                      <w:rFonts w:hint="eastAsia" w:ascii="Times New Roman" w:hAnsi="Times New Roman" w:eastAsia="宋体" w:cs="Times New Roman"/>
                      <w:color w:val="auto"/>
                      <w:sz w:val="21"/>
                      <w:szCs w:val="21"/>
                      <w:lang w:val="en-US" w:eastAsia="zh-CN"/>
                    </w:rPr>
                    <w:t>2770</w:t>
                  </w:r>
                  <w:r>
                    <w:rPr>
                      <w:rFonts w:hint="default" w:ascii="Times New Roman" w:hAnsi="Times New Roman" w:eastAsia="宋体" w:cs="Times New Roman"/>
                      <w:color w:val="auto"/>
                      <w:sz w:val="21"/>
                      <w:szCs w:val="21"/>
                      <w:lang w:val="en-US" w:eastAsia="zh-CN"/>
                    </w:rPr>
                    <w:t>卫生材料及医药用品制造</w:t>
                  </w:r>
                  <w:r>
                    <w:rPr>
                      <w:rFonts w:hint="eastAsia" w:ascii="Times New Roman" w:hAnsi="Times New Roman" w:eastAsia="宋体" w:cs="Times New Roman"/>
                      <w:b w:val="0"/>
                      <w:bCs/>
                      <w:color w:val="auto"/>
                      <w:sz w:val="21"/>
                      <w:szCs w:val="21"/>
                      <w:u w:val="none"/>
                      <w:lang w:eastAsia="zh-CN"/>
                    </w:rPr>
                    <w:t>”，生产过程中不使用煤炭，符合要求。</w:t>
                  </w:r>
                </w:p>
              </w:tc>
              <w:tc>
                <w:tcPr>
                  <w:tcW w:w="505" w:type="dxa"/>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lang w:eastAsia="zh-CN"/>
                    </w:rPr>
                  </w:pPr>
                  <w:r>
                    <w:rPr>
                      <w:rFonts w:hint="default" w:ascii="Times New Roman" w:hAnsi="Times New Roman" w:eastAsia="宋体" w:cs="Times New Roman"/>
                      <w:b w:val="0"/>
                      <w:bCs/>
                      <w:color w:val="auto"/>
                      <w:sz w:val="21"/>
                      <w:szCs w:val="21"/>
                      <w:u w:val="none"/>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3" w:hRule="atLeast"/>
                <w:jc w:val="center"/>
              </w:trPr>
              <w:tc>
                <w:tcPr>
                  <w:tcW w:w="987" w:type="dxa"/>
                  <w:vMerge w:val="continue"/>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rPr>
                  </w:pPr>
                </w:p>
              </w:tc>
              <w:tc>
                <w:tcPr>
                  <w:tcW w:w="1053" w:type="dxa"/>
                  <w:vMerge w:val="continue"/>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rPr>
                  </w:pPr>
                </w:p>
              </w:tc>
              <w:tc>
                <w:tcPr>
                  <w:tcW w:w="830" w:type="dxa"/>
                  <w:vMerge w:val="continue"/>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rPr>
                  </w:pPr>
                </w:p>
              </w:tc>
              <w:tc>
                <w:tcPr>
                  <w:tcW w:w="565" w:type="dxa"/>
                  <w:noWrap w:val="0"/>
                  <w:vAlign w:val="center"/>
                </w:tcPr>
                <w:p>
                  <w:pPr>
                    <w:pStyle w:val="70"/>
                    <w:spacing w:line="240" w:lineRule="auto"/>
                    <w:jc w:val="center"/>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污染物排放管控</w:t>
                  </w:r>
                </w:p>
              </w:tc>
              <w:tc>
                <w:tcPr>
                  <w:tcW w:w="2730" w:type="dxa"/>
                  <w:noWrap w:val="0"/>
                  <w:vAlign w:val="center"/>
                </w:tcPr>
                <w:p>
                  <w:pPr>
                    <w:pStyle w:val="70"/>
                    <w:spacing w:line="240" w:lineRule="auto"/>
                    <w:rPr>
                      <w:rFonts w:hint="default"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优化调整货物运输结构，淘汰国三及以下排放标准柴油火车，持续开展车辆更新工作。</w:t>
                  </w:r>
                </w:p>
              </w:tc>
              <w:tc>
                <w:tcPr>
                  <w:tcW w:w="1618" w:type="dxa"/>
                  <w:noWrap w:val="0"/>
                  <w:vAlign w:val="center"/>
                </w:tcPr>
                <w:p>
                  <w:pPr>
                    <w:pStyle w:val="70"/>
                    <w:spacing w:line="240" w:lineRule="auto"/>
                    <w:rPr>
                      <w:rFonts w:hint="default"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本项目</w:t>
                  </w:r>
                  <w:r>
                    <w:rPr>
                      <w:rFonts w:hint="default" w:ascii="Times New Roman" w:hAnsi="Times New Roman" w:eastAsia="宋体" w:cs="Times New Roman"/>
                      <w:color w:val="auto"/>
                      <w:sz w:val="21"/>
                      <w:szCs w:val="21"/>
                      <w:highlight w:val="none"/>
                      <w:lang w:val="en-US" w:eastAsia="zh-CN"/>
                    </w:rPr>
                    <w:t>物料公路运输使用国五及以上运输车辆</w:t>
                  </w:r>
                </w:p>
              </w:tc>
              <w:tc>
                <w:tcPr>
                  <w:tcW w:w="505" w:type="dxa"/>
                  <w:noWrap w:val="0"/>
                  <w:vAlign w:val="center"/>
                </w:tcPr>
                <w:p>
                  <w:pPr>
                    <w:pStyle w:val="70"/>
                    <w:spacing w:line="240" w:lineRule="auto"/>
                    <w:jc w:val="center"/>
                    <w:rPr>
                      <w:rFonts w:hint="default" w:ascii="Times New Roman" w:hAnsi="Times New Roman" w:eastAsia="宋体" w:cs="Times New Roman"/>
                      <w:b w:val="0"/>
                      <w:bCs/>
                      <w:color w:val="auto"/>
                      <w:sz w:val="21"/>
                      <w:szCs w:val="21"/>
                      <w:u w:val="none"/>
                      <w:lang w:eastAsia="zh-CN"/>
                    </w:rPr>
                  </w:pPr>
                  <w:r>
                    <w:rPr>
                      <w:rFonts w:hint="default" w:ascii="Times New Roman" w:hAnsi="Times New Roman" w:eastAsia="宋体" w:cs="Times New Roman"/>
                      <w:b w:val="0"/>
                      <w:bCs/>
                      <w:color w:val="auto"/>
                      <w:sz w:val="21"/>
                      <w:szCs w:val="21"/>
                      <w:u w:val="none"/>
                      <w:lang w:eastAsia="zh-CN"/>
                    </w:rPr>
                    <w:t>相符</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lang w:val="en-US" w:eastAsia="zh-CN"/>
              </w:rPr>
            </w:pPr>
            <w:r>
              <w:rPr>
                <w:rFonts w:hint="default" w:ascii="Times New Roman" w:hAnsi="Times New Roman" w:eastAsia="宋体" w:cs="Times New Roman"/>
                <w:b w:val="0"/>
                <w:bCs w:val="0"/>
                <w:color w:val="auto"/>
                <w:sz w:val="24"/>
                <w:szCs w:val="24"/>
                <w:highlight w:val="none"/>
              </w:rPr>
              <w:t>综上所述，本项目符合“三线一单”的相关要求</w:t>
            </w:r>
            <w:r>
              <w:rPr>
                <w:rFonts w:hint="default" w:ascii="Times New Roman" w:hAnsi="Times New Roman" w:eastAsia="宋体" w:cs="Times New Roman"/>
                <w:b w:val="0"/>
                <w:bCs w:val="0"/>
                <w:color w:val="auto"/>
                <w:sz w:val="24"/>
                <w:szCs w:val="24"/>
                <w:highlight w:val="none"/>
                <w:lang w:eastAsia="zh-CN"/>
              </w:rPr>
              <w:t>。</w:t>
            </w:r>
          </w:p>
        </w:tc>
      </w:tr>
    </w:tbl>
    <w:p>
      <w:pPr>
        <w:spacing w:line="360" w:lineRule="auto"/>
        <w:outlineLvl w:val="9"/>
        <w:rPr>
          <w:rFonts w:eastAsia="黑体"/>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6"/>
        <w:tblW w:w="920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3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jc w:val="center"/>
        </w:trPr>
        <w:tc>
          <w:tcPr>
            <w:tcW w:w="823" w:type="dxa"/>
            <w:noWrap w:val="0"/>
            <w:vAlign w:val="center"/>
          </w:tcPr>
          <w:p>
            <w:pPr>
              <w:pStyle w:val="21"/>
              <w:adjustRightInd w:val="0"/>
              <w:snapToGrid w:val="0"/>
              <w:spacing w:before="0" w:beforeAutospacing="0" w:after="0" w:afterAutospacing="0"/>
              <w:jc w:val="center"/>
              <w:rPr>
                <w:rFonts w:cs="宋体"/>
                <w:sz w:val="21"/>
                <w:szCs w:val="21"/>
              </w:rPr>
            </w:pPr>
            <w:r>
              <w:rPr>
                <w:rFonts w:hint="eastAsia" w:ascii="Times New Roman" w:hAnsi="Times New Roman" w:eastAsia="宋体" w:cs="Times New Roman"/>
                <w:bCs/>
                <w:kern w:val="2"/>
                <w:sz w:val="24"/>
                <w:szCs w:val="24"/>
                <w:lang w:val="en-US" w:eastAsia="zh-CN" w:bidi="ar-SA"/>
              </w:rPr>
              <w:t>建设内容</w:t>
            </w:r>
          </w:p>
        </w:tc>
        <w:tc>
          <w:tcPr>
            <w:tcW w:w="8382" w:type="dxa"/>
            <w:noWrap w:val="0"/>
            <w:vAlign w:val="top"/>
          </w:tcPr>
          <w:p>
            <w:pPr>
              <w:spacing w:line="360" w:lineRule="auto"/>
              <w:rPr>
                <w:rFonts w:hint="eastAsia" w:ascii="Times New Roman" w:hAnsi="Times New Roman" w:eastAsia="宋体" w:cs="Times New Roman"/>
                <w:b/>
                <w:bCs w:val="0"/>
                <w:sz w:val="24"/>
                <w:szCs w:val="24"/>
                <w:lang w:eastAsia="zh-CN"/>
              </w:rPr>
            </w:pPr>
            <w:r>
              <w:rPr>
                <w:rFonts w:hint="default" w:ascii="Times New Roman" w:hAnsi="Times New Roman" w:eastAsia="宋体" w:cs="Times New Roman"/>
                <w:b/>
                <w:bCs w:val="0"/>
                <w:sz w:val="24"/>
                <w:szCs w:val="24"/>
              </w:rPr>
              <w:t>1、</w:t>
            </w:r>
            <w:r>
              <w:rPr>
                <w:rFonts w:hint="eastAsia" w:ascii="Times New Roman" w:hAnsi="Times New Roman" w:eastAsia="宋体" w:cs="Times New Roman"/>
                <w:b/>
                <w:bCs w:val="0"/>
                <w:sz w:val="24"/>
                <w:szCs w:val="24"/>
                <w:lang w:eastAsia="zh-CN"/>
              </w:rPr>
              <w:t>项目基本情况</w:t>
            </w:r>
          </w:p>
          <w:p>
            <w:pPr>
              <w:spacing w:line="360" w:lineRule="auto"/>
              <w:jc w:val="both"/>
              <w:rPr>
                <w:rFonts w:hint="default"/>
                <w:b/>
                <w:bCs/>
                <w:kern w:val="0"/>
                <w:sz w:val="24"/>
                <w:lang w:val="en-US" w:eastAsia="zh-CN"/>
              </w:rPr>
            </w:pPr>
            <w:r>
              <w:rPr>
                <w:rFonts w:hint="eastAsia"/>
                <w:b/>
                <w:bCs/>
                <w:kern w:val="0"/>
                <w:sz w:val="24"/>
                <w:lang w:val="en-US" w:eastAsia="zh-CN"/>
              </w:rPr>
              <w:t>1.1项目概况</w:t>
            </w:r>
          </w:p>
          <w:p>
            <w:pPr>
              <w:spacing w:line="360" w:lineRule="auto"/>
              <w:ind w:firstLine="440"/>
              <w:jc w:val="both"/>
              <w:rPr>
                <w:rFonts w:hint="eastAsia" w:ascii="Times New Roman" w:hAnsi="Times New Roman" w:cs="Times New Roman"/>
                <w:sz w:val="24"/>
                <w:lang w:eastAsia="zh-CN"/>
              </w:rPr>
            </w:pPr>
            <w:r>
              <w:rPr>
                <w:rFonts w:hint="eastAsia" w:ascii="Times New Roman" w:hAnsi="Times New Roman" w:cs="Times New Roman"/>
                <w:sz w:val="24"/>
                <w:lang w:eastAsia="zh-CN"/>
              </w:rPr>
              <w:t>烯旺科技（河南）有限公司</w:t>
            </w:r>
            <w:r>
              <w:rPr>
                <w:rFonts w:hint="eastAsia" w:ascii="Times New Roman" w:hAnsi="Times New Roman" w:cs="Times New Roman"/>
                <w:spacing w:val="0"/>
                <w:sz w:val="24"/>
                <w:lang w:eastAsia="zh-CN"/>
              </w:rPr>
              <w:t>拟在</w:t>
            </w:r>
            <w:r>
              <w:rPr>
                <w:rFonts w:hint="eastAsia" w:ascii="Times New Roman" w:hAnsi="Times New Roman" w:cs="Times New Roman"/>
                <w:bCs/>
                <w:spacing w:val="0"/>
                <w:sz w:val="24"/>
                <w:szCs w:val="24"/>
                <w:lang w:eastAsia="zh-CN"/>
              </w:rPr>
              <w:t>南阳市卧龙区田营村卧龙艾草产业园内</w:t>
            </w:r>
            <w:r>
              <w:rPr>
                <w:rFonts w:hint="eastAsia" w:ascii="Times New Roman" w:hAnsi="Times New Roman" w:cs="Times New Roman"/>
                <w:bCs/>
                <w:spacing w:val="-11"/>
                <w:sz w:val="24"/>
                <w:szCs w:val="24"/>
                <w:lang w:eastAsia="zh-CN"/>
              </w:rPr>
              <w:t>，投资</w:t>
            </w:r>
            <w:r>
              <w:rPr>
                <w:rFonts w:hint="eastAsia" w:ascii="Times New Roman" w:hAnsi="Times New Roman" w:cs="Times New Roman"/>
                <w:bCs/>
                <w:spacing w:val="-11"/>
                <w:sz w:val="24"/>
                <w:szCs w:val="24"/>
                <w:lang w:val="en-US" w:eastAsia="zh-CN"/>
              </w:rPr>
              <w:t>2</w:t>
            </w:r>
            <w:r>
              <w:rPr>
                <w:rFonts w:hint="eastAsia" w:ascii="Times New Roman" w:hAnsi="Times New Roman" w:cs="Times New Roman"/>
                <w:bCs/>
                <w:spacing w:val="-11"/>
                <w:sz w:val="24"/>
                <w:szCs w:val="24"/>
                <w:lang w:eastAsia="zh-CN"/>
              </w:rPr>
              <w:t>000万元建设</w:t>
            </w:r>
            <w:r>
              <w:rPr>
                <w:rFonts w:hint="eastAsia" w:ascii="Times New Roman" w:hAnsi="Times New Roman" w:cs="Times New Roman"/>
                <w:sz w:val="24"/>
                <w:lang w:eastAsia="zh-CN"/>
              </w:rPr>
              <w:t>石墨烯发热新材料</w:t>
            </w:r>
            <w:r>
              <w:rPr>
                <w:rFonts w:hint="eastAsia" w:cs="Times New Roman"/>
                <w:sz w:val="24"/>
                <w:lang w:val="en-US" w:eastAsia="zh-CN"/>
              </w:rPr>
              <w:t>1000万平方</w:t>
            </w:r>
            <w:r>
              <w:rPr>
                <w:rFonts w:hint="eastAsia" w:ascii="Times New Roman" w:hAnsi="Times New Roman" w:cs="Times New Roman"/>
                <w:sz w:val="24"/>
                <w:lang w:eastAsia="zh-CN"/>
              </w:rPr>
              <w:t>项目，计划建设</w:t>
            </w:r>
            <w:r>
              <w:rPr>
                <w:rFonts w:hint="eastAsia" w:cs="Times New Roman"/>
                <w:sz w:val="24"/>
                <w:lang w:val="en-US" w:eastAsia="zh-CN"/>
              </w:rPr>
              <w:t>配料间</w:t>
            </w:r>
            <w:r>
              <w:rPr>
                <w:rFonts w:hint="eastAsia" w:ascii="Times New Roman" w:hAnsi="Times New Roman" w:cs="Times New Roman"/>
                <w:sz w:val="24"/>
                <w:lang w:eastAsia="zh-CN"/>
              </w:rPr>
              <w:t>、</w:t>
            </w:r>
            <w:r>
              <w:rPr>
                <w:rFonts w:hint="eastAsia" w:cs="Times New Roman"/>
                <w:sz w:val="24"/>
                <w:lang w:val="en-US" w:eastAsia="zh-CN"/>
              </w:rPr>
              <w:t>生产区</w:t>
            </w:r>
            <w:r>
              <w:rPr>
                <w:rFonts w:hint="eastAsia" w:ascii="Times New Roman" w:hAnsi="Times New Roman" w:cs="Times New Roman"/>
                <w:sz w:val="24"/>
                <w:lang w:eastAsia="zh-CN"/>
              </w:rPr>
              <w:t>、成品</w:t>
            </w:r>
            <w:r>
              <w:rPr>
                <w:rFonts w:hint="eastAsia" w:cs="Times New Roman"/>
                <w:sz w:val="24"/>
                <w:lang w:val="en-US" w:eastAsia="zh-CN"/>
              </w:rPr>
              <w:t>区</w:t>
            </w:r>
            <w:r>
              <w:rPr>
                <w:rFonts w:hint="eastAsia" w:ascii="Times New Roman" w:hAnsi="Times New Roman" w:cs="Times New Roman"/>
                <w:sz w:val="24"/>
                <w:lang w:eastAsia="zh-CN"/>
              </w:rPr>
              <w:t>、办公</w:t>
            </w:r>
            <w:r>
              <w:rPr>
                <w:rFonts w:hint="eastAsia" w:cs="Times New Roman"/>
                <w:sz w:val="24"/>
                <w:lang w:val="en-US" w:eastAsia="zh-CN"/>
              </w:rPr>
              <w:t>休息区、成品仓库</w:t>
            </w:r>
            <w:r>
              <w:rPr>
                <w:rFonts w:hint="eastAsia" w:ascii="Times New Roman" w:hAnsi="Times New Roman" w:cs="Times New Roman"/>
                <w:sz w:val="24"/>
                <w:lang w:eastAsia="zh-CN"/>
              </w:rPr>
              <w:t>等配套设</w:t>
            </w:r>
            <w:r>
              <w:rPr>
                <w:rFonts w:hint="eastAsia" w:ascii="Times New Roman" w:hAnsi="Times New Roman" w:cs="Times New Roman"/>
                <w:color w:val="auto"/>
                <w:sz w:val="24"/>
                <w:lang w:eastAsia="zh-CN"/>
              </w:rPr>
              <w:t>施，用工规模</w:t>
            </w:r>
            <w:r>
              <w:rPr>
                <w:rFonts w:hint="eastAsia" w:cs="Times New Roman"/>
                <w:color w:val="auto"/>
                <w:sz w:val="24"/>
                <w:lang w:val="en-US" w:eastAsia="zh-CN"/>
              </w:rPr>
              <w:t>4</w:t>
            </w:r>
            <w:r>
              <w:rPr>
                <w:rFonts w:hint="eastAsia" w:ascii="Times New Roman" w:hAnsi="Times New Roman" w:cs="Times New Roman"/>
                <w:color w:val="auto"/>
                <w:sz w:val="24"/>
                <w:lang w:eastAsia="zh-CN"/>
              </w:rPr>
              <w:t>人，企业</w:t>
            </w:r>
            <w:r>
              <w:rPr>
                <w:rFonts w:hint="eastAsia" w:ascii="Times New Roman" w:hAnsi="Times New Roman" w:cs="Times New Roman"/>
                <w:sz w:val="24"/>
                <w:lang w:eastAsia="zh-CN"/>
              </w:rPr>
              <w:t>现处于前期筹备阶段。</w:t>
            </w:r>
          </w:p>
          <w:p>
            <w:pPr>
              <w:spacing w:line="360" w:lineRule="auto"/>
              <w:jc w:val="both"/>
              <w:rPr>
                <w:rFonts w:hint="eastAsia" w:ascii="Times New Roman" w:hAnsi="Times New Roman" w:cs="Times New Roman"/>
                <w:b/>
                <w:bCs/>
                <w:sz w:val="24"/>
                <w:lang w:val="en-US" w:eastAsia="zh-CN"/>
              </w:rPr>
            </w:pPr>
            <w:r>
              <w:rPr>
                <w:rFonts w:hint="eastAsia" w:ascii="Times New Roman" w:hAnsi="Times New Roman" w:cs="Times New Roman"/>
                <w:b/>
                <w:bCs/>
                <w:sz w:val="24"/>
                <w:lang w:val="en-US" w:eastAsia="zh-CN"/>
              </w:rPr>
              <w:t>1.2项目所在产业园基本情况</w:t>
            </w:r>
          </w:p>
          <w:p>
            <w:pPr>
              <w:spacing w:line="360" w:lineRule="auto"/>
              <w:ind w:firstLine="440"/>
              <w:jc w:val="both"/>
              <w:rPr>
                <w:rFonts w:hint="default" w:ascii="Times New Roman" w:hAnsi="Times New Roman" w:eastAsia="宋体" w:cs="Times New Roman"/>
                <w:spacing w:val="0"/>
                <w:kern w:val="0"/>
                <w:sz w:val="24"/>
                <w:u w:val="single"/>
                <w:lang w:val="en-US" w:eastAsia="zh-CN"/>
              </w:rPr>
            </w:pPr>
            <w:r>
              <w:rPr>
                <w:rFonts w:hint="eastAsia" w:ascii="Times New Roman" w:hAnsi="Times New Roman" w:cs="Times New Roman"/>
                <w:sz w:val="24"/>
                <w:lang w:eastAsia="zh-CN"/>
              </w:rPr>
              <w:t>烯旺科技（河南）有限公司</w:t>
            </w:r>
            <w:r>
              <w:rPr>
                <w:rFonts w:hint="eastAsia"/>
                <w:spacing w:val="0"/>
                <w:kern w:val="0"/>
                <w:sz w:val="24"/>
                <w:u w:val="none"/>
                <w:lang w:val="en-US" w:eastAsia="zh-CN"/>
              </w:rPr>
              <w:t>位于</w:t>
            </w:r>
            <w:r>
              <w:rPr>
                <w:rFonts w:hint="eastAsia" w:ascii="Times New Roman" w:hAnsi="Times New Roman" w:cs="Times New Roman"/>
                <w:bCs/>
                <w:spacing w:val="0"/>
                <w:sz w:val="24"/>
                <w:szCs w:val="24"/>
                <w:u w:val="none"/>
                <w:lang w:eastAsia="zh-CN"/>
              </w:rPr>
              <w:t>南阳市卧龙区田营村卧龙艾草产业园内，卧龙艾草产业园</w:t>
            </w:r>
            <w:r>
              <w:rPr>
                <w:rFonts w:hint="eastAsia" w:ascii="Times New Roman" w:hAnsi="Times New Roman"/>
                <w:sz w:val="24"/>
                <w:u w:val="none"/>
              </w:rPr>
              <w:t>总用地面积227547.7m</w:t>
            </w:r>
            <w:r>
              <w:rPr>
                <w:rFonts w:hint="eastAsia" w:ascii="Times New Roman" w:hAnsi="Times New Roman"/>
                <w:sz w:val="24"/>
                <w:u w:val="none"/>
                <w:vertAlign w:val="superscript"/>
              </w:rPr>
              <w:t>2</w:t>
            </w:r>
            <w:r>
              <w:rPr>
                <w:rFonts w:hint="eastAsia" w:ascii="Times New Roman" w:hAnsi="Times New Roman"/>
                <w:sz w:val="24"/>
                <w:u w:val="none"/>
              </w:rPr>
              <w:t>（341.3亩）</w:t>
            </w:r>
            <w:r>
              <w:rPr>
                <w:rFonts w:ascii="Times New Roman" w:hAnsi="Times New Roman"/>
                <w:sz w:val="24"/>
                <w:u w:val="none"/>
              </w:rPr>
              <w:t>，总建筑面积</w:t>
            </w:r>
            <w:r>
              <w:rPr>
                <w:rFonts w:hint="eastAsia" w:ascii="Times New Roman" w:hAnsi="Times New Roman"/>
                <w:sz w:val="24"/>
                <w:u w:val="none"/>
              </w:rPr>
              <w:t>257110.43m</w:t>
            </w:r>
            <w:r>
              <w:rPr>
                <w:rFonts w:hint="eastAsia" w:ascii="Times New Roman" w:hAnsi="Times New Roman"/>
                <w:sz w:val="24"/>
                <w:u w:val="none"/>
                <w:vertAlign w:val="superscript"/>
              </w:rPr>
              <w:t>2</w:t>
            </w:r>
            <w:r>
              <w:rPr>
                <w:rFonts w:hint="eastAsia" w:ascii="Times New Roman" w:hAnsi="Times New Roman" w:cs="Times New Roman"/>
                <w:bCs/>
                <w:spacing w:val="0"/>
                <w:sz w:val="24"/>
                <w:szCs w:val="24"/>
                <w:u w:val="none"/>
                <w:lang w:eastAsia="zh-CN"/>
              </w:rPr>
              <w:t>，</w:t>
            </w:r>
            <w:r>
              <w:rPr>
                <w:rFonts w:hint="eastAsia" w:ascii="Times New Roman" w:hAnsi="Times New Roman"/>
                <w:sz w:val="24"/>
                <w:u w:val="none"/>
              </w:rPr>
              <w:t>主要建设81栋标准化</w:t>
            </w:r>
            <w:r>
              <w:rPr>
                <w:rFonts w:ascii="Times New Roman" w:hAnsi="Times New Roman"/>
                <w:sz w:val="24"/>
                <w:u w:val="none"/>
              </w:rPr>
              <w:t>厂房</w:t>
            </w:r>
            <w:r>
              <w:rPr>
                <w:rFonts w:hint="eastAsia" w:ascii="Times New Roman" w:hAnsi="Times New Roman"/>
                <w:sz w:val="24"/>
                <w:u w:val="none"/>
              </w:rPr>
              <w:t>、1栋展览中心、1栋综合服务中心、3栋人才公寓</w:t>
            </w:r>
            <w:r>
              <w:rPr>
                <w:rFonts w:ascii="Times New Roman" w:hAnsi="Times New Roman"/>
                <w:sz w:val="24"/>
                <w:u w:val="none"/>
              </w:rPr>
              <w:t>等</w:t>
            </w:r>
            <w:r>
              <w:rPr>
                <w:rFonts w:hint="eastAsia" w:ascii="Times New Roman" w:hAnsi="Times New Roman"/>
                <w:sz w:val="24"/>
                <w:u w:val="none"/>
                <w:lang w:eastAsia="zh-CN"/>
              </w:rPr>
              <w:t>。</w:t>
            </w:r>
            <w:r>
              <w:rPr>
                <w:rFonts w:hint="eastAsia" w:ascii="Times New Roman" w:hAnsi="Times New Roman" w:eastAsia="宋体" w:cs="Times New Roman"/>
                <w:spacing w:val="0"/>
                <w:kern w:val="0"/>
                <w:sz w:val="24"/>
                <w:u w:val="none"/>
                <w:lang w:val="en-US" w:eastAsia="zh-CN"/>
              </w:rPr>
              <w:t>供水供电由市政管网供给，配备标准化厂房化粪池81座，单个10m</w:t>
            </w:r>
            <w:r>
              <w:rPr>
                <w:rFonts w:hint="eastAsia" w:ascii="Times New Roman" w:hAnsi="Times New Roman" w:eastAsia="宋体" w:cs="Times New Roman"/>
                <w:spacing w:val="0"/>
                <w:kern w:val="0"/>
                <w:sz w:val="24"/>
                <w:u w:val="none"/>
                <w:vertAlign w:val="superscript"/>
                <w:lang w:val="en-US" w:eastAsia="zh-CN"/>
              </w:rPr>
              <w:t>3</w:t>
            </w:r>
            <w:r>
              <w:rPr>
                <w:rFonts w:hint="eastAsia" w:ascii="Times New Roman" w:hAnsi="Times New Roman" w:eastAsia="宋体" w:cs="Times New Roman"/>
                <w:spacing w:val="0"/>
                <w:kern w:val="0"/>
                <w:sz w:val="24"/>
                <w:u w:val="none"/>
                <w:lang w:val="en-US" w:eastAsia="zh-CN"/>
              </w:rPr>
              <w:t>，配套服务片区化粪池1座，100m</w:t>
            </w:r>
            <w:r>
              <w:rPr>
                <w:rFonts w:hint="eastAsia" w:ascii="Times New Roman" w:hAnsi="Times New Roman" w:eastAsia="宋体" w:cs="Times New Roman"/>
                <w:spacing w:val="0"/>
                <w:kern w:val="0"/>
                <w:sz w:val="24"/>
                <w:u w:val="none"/>
                <w:vertAlign w:val="superscript"/>
                <w:lang w:val="en-US" w:eastAsia="zh-CN"/>
              </w:rPr>
              <w:t>3</w:t>
            </w:r>
            <w:r>
              <w:rPr>
                <w:rFonts w:hint="eastAsia" w:ascii="Times New Roman" w:hAnsi="Times New Roman" w:eastAsia="宋体" w:cs="Times New Roman"/>
                <w:spacing w:val="0"/>
                <w:kern w:val="0"/>
                <w:sz w:val="24"/>
                <w:u w:val="none"/>
                <w:lang w:val="en-US" w:eastAsia="zh-CN"/>
              </w:rPr>
              <w:t>。目前园区基础设施已正常运营，已有部分艾制品企业入驻。</w:t>
            </w:r>
          </w:p>
          <w:p>
            <w:pPr>
              <w:spacing w:line="360" w:lineRule="auto"/>
              <w:ind w:firstLine="440"/>
              <w:jc w:val="both"/>
              <w:rPr>
                <w:rFonts w:hint="eastAsia" w:ascii="Times New Roman" w:hAnsi="Times New Roman"/>
                <w:sz w:val="24"/>
                <w:u w:val="none"/>
                <w:lang w:val="en-US" w:eastAsia="zh-CN"/>
              </w:rPr>
            </w:pPr>
            <w:r>
              <w:rPr>
                <w:rFonts w:hint="eastAsia" w:ascii="Times New Roman" w:hAnsi="Times New Roman"/>
                <w:sz w:val="24"/>
                <w:u w:val="none"/>
                <w:lang w:eastAsia="zh-CN"/>
              </w:rPr>
              <w:t>本项目租用卧龙艾草产业园厂房</w:t>
            </w:r>
            <w:r>
              <w:rPr>
                <w:rFonts w:hint="eastAsia" w:ascii="Times New Roman" w:hAnsi="Times New Roman"/>
                <w:sz w:val="24"/>
                <w:u w:val="none"/>
                <w:lang w:val="en-US" w:eastAsia="zh-CN"/>
              </w:rPr>
              <w:t>E5</w:t>
            </w:r>
            <w:r>
              <w:rPr>
                <w:rFonts w:hint="eastAsia"/>
                <w:sz w:val="24"/>
                <w:u w:val="none"/>
                <w:lang w:val="en-US" w:eastAsia="zh-CN"/>
              </w:rPr>
              <w:t>厂房</w:t>
            </w:r>
            <w:r>
              <w:rPr>
                <w:rFonts w:hint="eastAsia" w:ascii="Times New Roman" w:hAnsi="Times New Roman"/>
                <w:sz w:val="24"/>
                <w:u w:val="none"/>
                <w:lang w:val="en-US" w:eastAsia="zh-CN"/>
              </w:rPr>
              <w:t>，供水供电依托园区的市政管网，生活污水依托厂房配备化粪池</w:t>
            </w:r>
            <w:r>
              <w:rPr>
                <w:rFonts w:hint="eastAsia"/>
                <w:sz w:val="24"/>
                <w:u w:val="none"/>
                <w:lang w:val="en-US" w:eastAsia="zh-CN"/>
              </w:rPr>
              <w:t>及污水处理站</w:t>
            </w:r>
            <w:r>
              <w:rPr>
                <w:rFonts w:hint="eastAsia" w:ascii="Times New Roman" w:hAnsi="Times New Roman"/>
                <w:sz w:val="24"/>
                <w:u w:val="none"/>
                <w:lang w:val="en-US" w:eastAsia="zh-CN"/>
              </w:rPr>
              <w:t>，均可满足项目需求。</w:t>
            </w:r>
          </w:p>
          <w:p>
            <w:pPr>
              <w:spacing w:line="360" w:lineRule="auto"/>
              <w:ind w:firstLine="480" w:firstLineChars="200"/>
              <w:jc w:val="both"/>
              <w:rPr>
                <w:bCs/>
                <w:sz w:val="24"/>
                <w:szCs w:val="24"/>
                <w:lang w:eastAsia="zh-CN"/>
              </w:rPr>
            </w:pPr>
            <w:r>
              <w:rPr>
                <w:rFonts w:hint="eastAsia"/>
                <w:bCs/>
                <w:sz w:val="24"/>
                <w:szCs w:val="24"/>
                <w:lang w:eastAsia="zh-CN"/>
              </w:rPr>
              <w:t>根据《中华人民共和国环境保护法》、《中华人民共和国环境影响评价法》、《建设项目环境保护管理条例》等相关政策法规，建设项目应进行环境影响评价。对照生态环境部《建设项目环境影响评价分类管理名录》（</w:t>
            </w:r>
            <w:r>
              <w:rPr>
                <w:rFonts w:ascii="Times New Roman" w:hAnsi="Times New Roman" w:cs="Times New Roman"/>
                <w:bCs/>
                <w:sz w:val="24"/>
                <w:szCs w:val="24"/>
                <w:lang w:eastAsia="zh-CN"/>
              </w:rPr>
              <w:t>2021</w:t>
            </w:r>
            <w:r>
              <w:rPr>
                <w:rFonts w:hint="eastAsia"/>
                <w:bCs/>
                <w:sz w:val="24"/>
                <w:szCs w:val="24"/>
                <w:lang w:eastAsia="zh-CN"/>
              </w:rPr>
              <w:t>年版），项目属于“二十四、医药制品业</w:t>
            </w:r>
            <w:r>
              <w:rPr>
                <w:rFonts w:hint="eastAsia"/>
                <w:bCs/>
                <w:sz w:val="24"/>
                <w:szCs w:val="24"/>
                <w:lang w:val="en-US" w:eastAsia="zh-CN"/>
              </w:rPr>
              <w:t>-49、卫生材料及医药用品制造277</w:t>
            </w:r>
            <w:r>
              <w:rPr>
                <w:rFonts w:hint="default" w:ascii="Times New Roman" w:hAnsi="Times New Roman" w:eastAsia="宋体" w:cs="Times New Roman"/>
                <w:color w:val="auto"/>
                <w:sz w:val="24"/>
                <w:szCs w:val="24"/>
                <w:lang w:eastAsia="zh-CN"/>
              </w:rPr>
              <w:t>”</w:t>
            </w:r>
            <w:r>
              <w:rPr>
                <w:rFonts w:hint="eastAsia"/>
                <w:bCs/>
                <w:sz w:val="24"/>
                <w:szCs w:val="24"/>
                <w:lang w:eastAsia="zh-CN"/>
              </w:rPr>
              <w:t>类，应当编制环境影响报告表。</w:t>
            </w:r>
          </w:p>
          <w:p>
            <w:pPr>
              <w:spacing w:line="360" w:lineRule="auto"/>
              <w:ind w:firstLine="480" w:firstLineChars="200"/>
              <w:rPr>
                <w:rFonts w:hint="default" w:ascii="Times New Roman" w:hAnsi="Times New Roman" w:eastAsia="宋体" w:cs="Times New Roman"/>
                <w:bCs/>
                <w:color w:val="auto"/>
                <w:sz w:val="24"/>
                <w:szCs w:val="24"/>
              </w:rPr>
            </w:pPr>
            <w:r>
              <w:rPr>
                <w:rFonts w:hint="eastAsia" w:ascii="Times New Roman" w:hAnsi="Times New Roman" w:cs="Times New Roman"/>
                <w:sz w:val="24"/>
                <w:lang w:eastAsia="zh-CN"/>
              </w:rPr>
              <w:t>烯旺科技（河南）有限公司委托我单位承担本项目的环境影响评价工作。我单位在接受委托后，按项目特点与专业要求，组织相关技术人员进行现场踏勘、收集资料，针对本项目可能涉及的污染问题，从工程角度和环境角度进行了认真分析，并对工程中的污染等问题提出了相应的防治对策和管理措施，在此基础上，编制了该环境影响报告表，为环境保护工作提供科学的依据。</w:t>
            </w:r>
          </w:p>
          <w:p>
            <w:pPr>
              <w:spacing w:line="360" w:lineRule="auto"/>
              <w:rPr>
                <w:rFonts w:hint="eastAsia" w:ascii="Times New Roman" w:hAnsi="Times New Roman" w:eastAsia="宋体" w:cs="Times New Roman"/>
                <w:b/>
                <w:bCs w:val="0"/>
                <w:sz w:val="24"/>
                <w:szCs w:val="24"/>
                <w:lang w:val="en-US" w:eastAsia="zh-CN"/>
              </w:rPr>
            </w:pPr>
            <w:r>
              <w:rPr>
                <w:rFonts w:hint="eastAsia" w:ascii="Times New Roman" w:hAnsi="Times New Roman" w:eastAsia="宋体" w:cs="Times New Roman"/>
                <w:b/>
                <w:bCs w:val="0"/>
                <w:sz w:val="24"/>
                <w:szCs w:val="24"/>
                <w:lang w:val="en-US" w:eastAsia="zh-CN"/>
              </w:rPr>
              <w:t>2、建设内容</w:t>
            </w:r>
          </w:p>
          <w:p>
            <w:pPr>
              <w:spacing w:line="360" w:lineRule="auto"/>
              <w:ind w:firstLine="480" w:firstLineChars="200"/>
              <w:rPr>
                <w:rFonts w:hint="default" w:ascii="Times New Roman" w:hAnsi="Times New Roman" w:eastAsia="宋体" w:cs="Times New Roman"/>
                <w:bCs/>
                <w:sz w:val="24"/>
                <w:szCs w:val="24"/>
                <w:lang w:eastAsia="zh-CN"/>
              </w:rPr>
            </w:pPr>
            <w:r>
              <w:rPr>
                <w:rFonts w:hint="default" w:ascii="Times New Roman" w:hAnsi="Times New Roman" w:eastAsia="宋体" w:cs="Times New Roman"/>
                <w:bCs/>
                <w:sz w:val="24"/>
                <w:szCs w:val="24"/>
              </w:rPr>
              <w:t>本项目总投资</w:t>
            </w:r>
            <w:r>
              <w:rPr>
                <w:rFonts w:hint="eastAsia" w:ascii="Times New Roman" w:hAnsi="Times New Roman" w:eastAsia="宋体" w:cs="Times New Roman"/>
                <w:bCs/>
                <w:sz w:val="24"/>
                <w:szCs w:val="24"/>
                <w:lang w:val="en-US" w:eastAsia="zh-CN"/>
              </w:rPr>
              <w:t>200</w:t>
            </w:r>
            <w:r>
              <w:rPr>
                <w:rFonts w:hint="eastAsia" w:ascii="Times New Roman" w:hAnsi="Times New Roman" w:eastAsia="宋体" w:cs="Times New Roman"/>
                <w:bCs/>
                <w:color w:val="auto"/>
                <w:sz w:val="24"/>
                <w:szCs w:val="24"/>
                <w:lang w:val="en-US" w:eastAsia="zh-CN"/>
              </w:rPr>
              <w:t>0</w:t>
            </w:r>
            <w:r>
              <w:rPr>
                <w:rFonts w:hint="default" w:ascii="Times New Roman" w:hAnsi="Times New Roman" w:eastAsia="宋体" w:cs="Times New Roman"/>
                <w:bCs/>
                <w:sz w:val="24"/>
                <w:szCs w:val="24"/>
              </w:rPr>
              <w:t>万元</w:t>
            </w:r>
            <w:r>
              <w:rPr>
                <w:rFonts w:hint="eastAsia" w:ascii="Times New Roman" w:hAnsi="Times New Roman" w:eastAsia="宋体" w:cs="Times New Roman"/>
                <w:bCs/>
                <w:sz w:val="24"/>
                <w:szCs w:val="24"/>
              </w:rPr>
              <w:t>，</w:t>
            </w:r>
            <w:r>
              <w:rPr>
                <w:rFonts w:hint="eastAsia" w:ascii="Times New Roman" w:hAnsi="Times New Roman" w:eastAsia="宋体" w:cs="Times New Roman"/>
                <w:bCs/>
                <w:sz w:val="24"/>
                <w:szCs w:val="24"/>
                <w:lang w:eastAsia="zh-CN"/>
              </w:rPr>
              <w:t>位于河南省南阳市卧龙区蒲山镇田营村卧龙艾草产业园E5</w:t>
            </w:r>
            <w:r>
              <w:rPr>
                <w:rFonts w:hint="eastAsia" w:cs="Times New Roman"/>
                <w:bCs/>
                <w:sz w:val="24"/>
                <w:szCs w:val="24"/>
                <w:lang w:eastAsia="zh-CN"/>
              </w:rPr>
              <w:t>厂房</w:t>
            </w:r>
            <w:r>
              <w:rPr>
                <w:rFonts w:hint="eastAsia" w:ascii="Times New Roman" w:hAnsi="Times New Roman" w:eastAsia="宋体" w:cs="Times New Roman"/>
                <w:bCs/>
                <w:sz w:val="24"/>
                <w:szCs w:val="24"/>
                <w:lang w:eastAsia="zh-CN"/>
              </w:rPr>
              <w:t>，</w:t>
            </w:r>
            <w:r>
              <w:rPr>
                <w:rFonts w:hint="default" w:ascii="Times New Roman" w:hAnsi="Times New Roman" w:eastAsia="宋体" w:cs="Times New Roman"/>
                <w:bCs/>
                <w:color w:val="auto"/>
                <w:sz w:val="24"/>
                <w:szCs w:val="24"/>
              </w:rPr>
              <w:t>项目建成后，</w:t>
            </w:r>
            <w:r>
              <w:rPr>
                <w:rFonts w:hint="eastAsia" w:ascii="Times New Roman" w:hAnsi="Times New Roman" w:eastAsia="宋体" w:cs="Times New Roman"/>
                <w:bCs/>
                <w:color w:val="auto"/>
                <w:sz w:val="24"/>
                <w:szCs w:val="24"/>
                <w:lang w:eastAsia="zh-CN"/>
              </w:rPr>
              <w:t>可</w:t>
            </w:r>
            <w:r>
              <w:rPr>
                <w:rFonts w:hint="eastAsia"/>
                <w:color w:val="auto"/>
                <w:sz w:val="24"/>
                <w:szCs w:val="19"/>
                <w:lang w:eastAsia="zh-CN"/>
              </w:rPr>
              <w:t>年产石墨烯发热新材料1000万平方</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sz w:val="24"/>
                <w:szCs w:val="24"/>
              </w:rPr>
              <w:t>本项目工程</w:t>
            </w:r>
            <w:r>
              <w:rPr>
                <w:rFonts w:hint="default" w:ascii="Times New Roman" w:hAnsi="Times New Roman" w:eastAsia="宋体" w:cs="Times New Roman"/>
                <w:bCs/>
                <w:sz w:val="24"/>
                <w:szCs w:val="24"/>
                <w:lang w:eastAsia="zh-CN"/>
              </w:rPr>
              <w:t>组成见</w:t>
            </w:r>
            <w:r>
              <w:rPr>
                <w:rFonts w:hint="eastAsia" w:cs="Times New Roman"/>
                <w:bCs/>
                <w:sz w:val="24"/>
                <w:szCs w:val="24"/>
                <w:lang w:val="en-US" w:eastAsia="zh-CN"/>
              </w:rPr>
              <w:t>下</w:t>
            </w:r>
            <w:r>
              <w:rPr>
                <w:rFonts w:hint="default" w:ascii="Times New Roman" w:hAnsi="Times New Roman" w:eastAsia="宋体" w:cs="Times New Roman"/>
                <w:bCs/>
                <w:sz w:val="24"/>
                <w:szCs w:val="24"/>
                <w:lang w:eastAsia="zh-CN"/>
              </w:rPr>
              <w:t>表。</w:t>
            </w:r>
          </w:p>
          <w:p>
            <w:pPr>
              <w:pStyle w:val="61"/>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bidi="ar-SA"/>
              </w:rPr>
              <w:t>表2-1  项目主要工程组成</w:t>
            </w:r>
          </w:p>
          <w:tbl>
            <w:tblPr>
              <w:tblStyle w:val="26"/>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678"/>
              <w:gridCol w:w="1282"/>
              <w:gridCol w:w="4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b/>
                      <w:bCs/>
                      <w:kern w:val="21"/>
                      <w:sz w:val="21"/>
                      <w:szCs w:val="21"/>
                      <w:u w:val="none"/>
                      <w:lang w:eastAsia="zh-CN"/>
                    </w:rPr>
                  </w:pPr>
                  <w:r>
                    <w:rPr>
                      <w:rFonts w:hint="eastAsia" w:ascii="Times New Roman" w:hAnsi="Times New Roman" w:eastAsia="宋体" w:cs="Times New Roman"/>
                      <w:b/>
                      <w:bCs/>
                      <w:kern w:val="21"/>
                      <w:sz w:val="21"/>
                      <w:szCs w:val="21"/>
                      <w:u w:val="none"/>
                      <w:lang w:eastAsia="zh-CN"/>
                    </w:rPr>
                    <w:t>工程组成</w:t>
                  </w:r>
                </w:p>
              </w:tc>
              <w:tc>
                <w:tcPr>
                  <w:tcW w:w="1960" w:type="dxa"/>
                  <w:gridSpan w:val="2"/>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b/>
                      <w:bCs/>
                      <w:kern w:val="21"/>
                      <w:sz w:val="21"/>
                      <w:szCs w:val="21"/>
                      <w:u w:val="none"/>
                      <w:lang w:eastAsia="zh-CN"/>
                    </w:rPr>
                  </w:pPr>
                  <w:r>
                    <w:rPr>
                      <w:rFonts w:hint="eastAsia" w:ascii="Times New Roman" w:hAnsi="Times New Roman" w:eastAsia="宋体" w:cs="Times New Roman"/>
                      <w:b/>
                      <w:bCs/>
                      <w:kern w:val="21"/>
                      <w:sz w:val="21"/>
                      <w:szCs w:val="21"/>
                      <w:u w:val="none"/>
                      <w:lang w:eastAsia="zh-CN"/>
                    </w:rPr>
                    <w:t>建设内容</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b/>
                      <w:bCs/>
                      <w:kern w:val="21"/>
                      <w:sz w:val="21"/>
                      <w:szCs w:val="21"/>
                      <w:u w:val="none"/>
                      <w:lang w:eastAsia="zh-CN"/>
                    </w:rPr>
                  </w:pPr>
                  <w:r>
                    <w:rPr>
                      <w:rFonts w:hint="default" w:ascii="Times New Roman" w:hAnsi="Times New Roman" w:eastAsia="宋体" w:cs="Times New Roman"/>
                      <w:b/>
                      <w:bCs/>
                      <w:kern w:val="21"/>
                      <w:sz w:val="21"/>
                      <w:szCs w:val="21"/>
                      <w:u w:val="none"/>
                    </w:rPr>
                    <w:t>建筑</w:t>
                  </w:r>
                  <w:r>
                    <w:rPr>
                      <w:rFonts w:hint="eastAsia" w:ascii="Times New Roman" w:hAnsi="Times New Roman" w:eastAsia="宋体" w:cs="Times New Roman"/>
                      <w:b/>
                      <w:bCs/>
                      <w:kern w:val="21"/>
                      <w:sz w:val="21"/>
                      <w:szCs w:val="21"/>
                      <w:u w:val="none"/>
                      <w:lang w:eastAsia="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restart"/>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rFonts w:hint="eastAsia" w:cs="Times New Roman"/>
                      <w:kern w:val="21"/>
                      <w:sz w:val="21"/>
                      <w:szCs w:val="21"/>
                      <w:u w:val="none"/>
                      <w:lang w:val="en-US" w:eastAsia="zh-CN"/>
                    </w:rPr>
                    <w:t>E5厂房（共三层，占地约1225</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建筑面积约3675</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cs="Times New Roman"/>
                      <w:kern w:val="21"/>
                      <w:sz w:val="21"/>
                      <w:szCs w:val="21"/>
                      <w:u w:val="none"/>
                      <w:lang w:val="en-US" w:eastAsia="zh-CN"/>
                    </w:rPr>
                    <w:t>）</w:t>
                  </w:r>
                </w:p>
              </w:tc>
              <w:tc>
                <w:tcPr>
                  <w:tcW w:w="678" w:type="dxa"/>
                  <w:vMerge w:val="restart"/>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val="en-US" w:eastAsia="zh-CN"/>
                    </w:rPr>
                  </w:pPr>
                  <w:r>
                    <w:rPr>
                      <w:rFonts w:hint="eastAsia" w:cs="Times New Roman"/>
                      <w:color w:val="auto"/>
                      <w:kern w:val="21"/>
                      <w:sz w:val="21"/>
                      <w:szCs w:val="21"/>
                      <w:u w:val="none"/>
                      <w:lang w:val="en-US" w:eastAsia="zh-CN"/>
                    </w:rPr>
                    <w:t>一层</w:t>
                  </w: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生产区</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500㎡</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设置</w:t>
                  </w:r>
                  <w:r>
                    <w:rPr>
                      <w:rFonts w:hint="eastAsia" w:ascii="Times New Roman" w:hAnsi="Times New Roman" w:eastAsia="宋体" w:cs="Times New Roman"/>
                      <w:color w:val="auto"/>
                      <w:kern w:val="21"/>
                      <w:sz w:val="21"/>
                      <w:szCs w:val="21"/>
                      <w:u w:val="none"/>
                      <w:lang w:val="en-US" w:eastAsia="zh-CN"/>
                    </w:rPr>
                    <w:t>1台涂布机、1台干复机、1套</w:t>
                  </w:r>
                  <w:r>
                    <w:rPr>
                      <w:rFonts w:hint="eastAsia" w:cs="Times New Roman"/>
                      <w:color w:val="auto"/>
                      <w:kern w:val="21"/>
                      <w:sz w:val="21"/>
                      <w:szCs w:val="21"/>
                      <w:u w:val="none"/>
                      <w:lang w:val="en-US" w:eastAsia="zh-CN"/>
                    </w:rPr>
                    <w:t>烘干机</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用于石墨烯发热新材料生产。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kern w:val="21"/>
                      <w:sz w:val="21"/>
                      <w:szCs w:val="21"/>
                      <w:u w:val="none"/>
                      <w:lang w:val="en-US"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配料间</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80</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，用于</w:t>
                  </w:r>
                  <w:r>
                    <w:rPr>
                      <w:rFonts w:hint="eastAsia" w:cs="Times New Roman"/>
                      <w:color w:val="auto"/>
                      <w:kern w:val="21"/>
                      <w:sz w:val="21"/>
                      <w:szCs w:val="21"/>
                      <w:u w:val="none"/>
                      <w:lang w:val="en-US" w:eastAsia="zh-CN"/>
                    </w:rPr>
                    <w:t>原料配料</w:t>
                  </w:r>
                  <w:r>
                    <w:rPr>
                      <w:rFonts w:hint="eastAsia" w:ascii="Times New Roman" w:hAnsi="Times New Roman" w:eastAsia="宋体" w:cs="Times New Roman"/>
                      <w:color w:val="auto"/>
                      <w:kern w:val="21"/>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kern w:val="21"/>
                      <w:sz w:val="21"/>
                      <w:szCs w:val="21"/>
                      <w:u w:val="none"/>
                      <w:lang w:val="en-US"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成品区</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500㎡</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用于成品打包发货。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kern w:val="21"/>
                      <w:sz w:val="21"/>
                      <w:szCs w:val="21"/>
                      <w:u w:val="none"/>
                      <w:lang w:val="en-US"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leftChars="0" w:firstLine="0" w:firstLineChars="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固体废物暂存间</w:t>
                  </w:r>
                </w:p>
              </w:tc>
              <w:tc>
                <w:tcPr>
                  <w:tcW w:w="4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2</w:t>
                  </w:r>
                  <w:r>
                    <w:rPr>
                      <w:rFonts w:hint="default" w:ascii="Times New Roman" w:hAnsi="Times New Roman" w:eastAsia="宋体" w:cs="Times New Roman"/>
                      <w:color w:val="auto"/>
                      <w:kern w:val="21"/>
                      <w:sz w:val="21"/>
                      <w:szCs w:val="21"/>
                      <w:u w:val="none"/>
                      <w:lang w:val="en-US" w:eastAsia="zh-CN"/>
                    </w:rPr>
                    <w:t>0</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用于</w:t>
                  </w:r>
                  <w:r>
                    <w:rPr>
                      <w:rFonts w:hint="eastAsia" w:ascii="Times New Roman" w:hAnsi="Times New Roman" w:eastAsia="宋体" w:cs="Times New Roman"/>
                      <w:kern w:val="21"/>
                      <w:sz w:val="21"/>
                      <w:szCs w:val="21"/>
                      <w:highlight w:val="none"/>
                      <w:u w:val="none"/>
                      <w:lang w:eastAsia="zh-CN"/>
                    </w:rPr>
                    <w:t>废边角料、废包装材料临时存放。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kern w:val="21"/>
                      <w:sz w:val="21"/>
                      <w:szCs w:val="21"/>
                      <w:u w:val="none"/>
                      <w:lang w:val="en-US"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leftChars="0" w:firstLine="0" w:firstLineChars="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危险废物暂存间</w:t>
                  </w:r>
                </w:p>
              </w:tc>
              <w:tc>
                <w:tcPr>
                  <w:tcW w:w="4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1</w:t>
                  </w:r>
                  <w:r>
                    <w:rPr>
                      <w:rFonts w:hint="default" w:ascii="Times New Roman" w:hAnsi="Times New Roman" w:eastAsia="宋体" w:cs="Times New Roman"/>
                      <w:color w:val="auto"/>
                      <w:kern w:val="21"/>
                      <w:sz w:val="21"/>
                      <w:szCs w:val="21"/>
                      <w:u w:val="none"/>
                      <w:lang w:val="en-US" w:eastAsia="zh-CN"/>
                    </w:rPr>
                    <w:t>0</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w:t>
                  </w:r>
                  <w:r>
                    <w:rPr>
                      <w:rFonts w:hint="eastAsia" w:cs="Times New Roman"/>
                      <w:color w:val="auto"/>
                      <w:kern w:val="21"/>
                      <w:sz w:val="21"/>
                      <w:szCs w:val="21"/>
                      <w:u w:val="none"/>
                      <w:lang w:val="en-US" w:eastAsia="zh-CN"/>
                    </w:rPr>
                    <w:t>用于</w:t>
                  </w:r>
                  <w:r>
                    <w:rPr>
                      <w:rFonts w:hint="eastAsia" w:ascii="Times New Roman" w:hAnsi="Times New Roman" w:eastAsia="宋体" w:cs="Times New Roman"/>
                      <w:b w:val="0"/>
                      <w:bCs w:val="0"/>
                      <w:kern w:val="21"/>
                      <w:sz w:val="21"/>
                      <w:szCs w:val="21"/>
                      <w:u w:val="none"/>
                      <w:lang w:val="en-US" w:eastAsia="zh-CN"/>
                    </w:rPr>
                    <w:t>废气治理产生的</w:t>
                  </w:r>
                  <w:r>
                    <w:rPr>
                      <w:rFonts w:hint="default" w:ascii="Times New Roman" w:hAnsi="Times New Roman" w:eastAsia="宋体" w:cs="Times New Roman"/>
                      <w:b w:val="0"/>
                      <w:bCs w:val="0"/>
                      <w:kern w:val="21"/>
                      <w:sz w:val="21"/>
                      <w:szCs w:val="21"/>
                      <w:u w:val="none"/>
                      <w:lang w:val="en-US" w:eastAsia="zh-CN"/>
                    </w:rPr>
                    <w:t>废活性炭</w:t>
                  </w:r>
                  <w:r>
                    <w:rPr>
                      <w:rFonts w:hint="eastAsia" w:ascii="Times New Roman" w:hAnsi="Times New Roman" w:eastAsia="宋体" w:cs="Times New Roman"/>
                      <w:b w:val="0"/>
                      <w:bCs w:val="0"/>
                      <w:kern w:val="21"/>
                      <w:sz w:val="21"/>
                      <w:szCs w:val="21"/>
                      <w:u w:val="none"/>
                      <w:lang w:val="en-US" w:eastAsia="zh-CN"/>
                    </w:rPr>
                    <w:t>临时存放。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kern w:val="21"/>
                      <w:sz w:val="21"/>
                      <w:szCs w:val="21"/>
                      <w:u w:val="none"/>
                      <w:lang w:val="en-US"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办公休息区</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80</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，用于</w:t>
                  </w:r>
                  <w:r>
                    <w:rPr>
                      <w:rFonts w:hint="eastAsia" w:cs="Times New Roman"/>
                      <w:color w:val="auto"/>
                      <w:kern w:val="21"/>
                      <w:sz w:val="21"/>
                      <w:szCs w:val="21"/>
                      <w:u w:val="none"/>
                      <w:lang w:val="en-US" w:eastAsia="zh-CN"/>
                    </w:rPr>
                    <w:t>办公休息</w:t>
                  </w:r>
                  <w:r>
                    <w:rPr>
                      <w:rFonts w:hint="eastAsia" w:ascii="Times New Roman" w:hAnsi="Times New Roman" w:eastAsia="宋体" w:cs="Times New Roman"/>
                      <w:color w:val="auto"/>
                      <w:kern w:val="21"/>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p>
              </w:tc>
              <w:tc>
                <w:tcPr>
                  <w:tcW w:w="67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eastAsia="zh-CN"/>
                    </w:rPr>
                  </w:pPr>
                </w:p>
              </w:tc>
              <w:tc>
                <w:tcPr>
                  <w:tcW w:w="1282"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cs="Times New Roman"/>
                      <w:color w:val="auto"/>
                      <w:kern w:val="21"/>
                      <w:sz w:val="21"/>
                      <w:szCs w:val="21"/>
                      <w:u w:val="none"/>
                      <w:lang w:val="en-US" w:eastAsia="zh-CN"/>
                    </w:rPr>
                  </w:pPr>
                  <w:r>
                    <w:rPr>
                      <w:rFonts w:hint="eastAsia" w:cs="Times New Roman"/>
                      <w:color w:val="auto"/>
                      <w:kern w:val="21"/>
                      <w:sz w:val="21"/>
                      <w:szCs w:val="21"/>
                      <w:u w:val="none"/>
                      <w:lang w:val="en-US" w:eastAsia="zh-CN"/>
                    </w:rPr>
                    <w:t>通道</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占地</w:t>
                  </w:r>
                  <w:r>
                    <w:rPr>
                      <w:rFonts w:hint="eastAsia" w:cs="Times New Roman"/>
                      <w:color w:val="auto"/>
                      <w:kern w:val="21"/>
                      <w:sz w:val="21"/>
                      <w:szCs w:val="21"/>
                      <w:u w:val="none"/>
                      <w:lang w:val="en-US" w:eastAsia="zh-CN"/>
                    </w:rPr>
                    <w:t>35</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，用于</w:t>
                  </w:r>
                  <w:r>
                    <w:rPr>
                      <w:rFonts w:hint="eastAsia" w:cs="Times New Roman"/>
                      <w:color w:val="auto"/>
                      <w:kern w:val="21"/>
                      <w:sz w:val="21"/>
                      <w:szCs w:val="21"/>
                      <w:u w:val="none"/>
                      <w:lang w:val="en-US" w:eastAsia="zh-CN"/>
                    </w:rPr>
                    <w:t>通行。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p>
              </w:tc>
              <w:tc>
                <w:tcPr>
                  <w:tcW w:w="678"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eastAsia="zh-CN"/>
                    </w:rPr>
                  </w:pPr>
                  <w:r>
                    <w:rPr>
                      <w:rFonts w:hint="eastAsia" w:cs="Times New Roman"/>
                      <w:color w:val="auto"/>
                      <w:kern w:val="21"/>
                      <w:sz w:val="21"/>
                      <w:szCs w:val="21"/>
                      <w:u w:val="none"/>
                      <w:lang w:eastAsia="zh-CN"/>
                    </w:rPr>
                    <w:t>二层</w:t>
                  </w:r>
                </w:p>
              </w:tc>
              <w:tc>
                <w:tcPr>
                  <w:tcW w:w="1282" w:type="dxa"/>
                  <w:vMerge w:val="restart"/>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cs="Times New Roman"/>
                      <w:color w:val="auto"/>
                      <w:kern w:val="21"/>
                      <w:sz w:val="21"/>
                      <w:szCs w:val="21"/>
                      <w:u w:val="none"/>
                      <w:lang w:val="en-US" w:eastAsia="zh-CN"/>
                    </w:rPr>
                  </w:pPr>
                  <w:r>
                    <w:rPr>
                      <w:rFonts w:hint="eastAsia" w:cs="Times New Roman"/>
                      <w:color w:val="auto"/>
                      <w:kern w:val="21"/>
                      <w:sz w:val="21"/>
                      <w:szCs w:val="21"/>
                      <w:u w:val="none"/>
                      <w:lang w:val="en-US" w:eastAsia="zh-CN"/>
                    </w:rPr>
                    <w:t>仓库</w:t>
                  </w: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建筑面积</w:t>
                  </w:r>
                  <w:r>
                    <w:rPr>
                      <w:rFonts w:hint="eastAsia" w:cs="Times New Roman"/>
                      <w:color w:val="auto"/>
                      <w:kern w:val="21"/>
                      <w:sz w:val="21"/>
                      <w:szCs w:val="21"/>
                      <w:u w:val="none"/>
                      <w:lang w:val="en-US" w:eastAsia="zh-CN"/>
                    </w:rPr>
                    <w:t>1225</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，用于</w:t>
                  </w:r>
                  <w:r>
                    <w:rPr>
                      <w:rFonts w:hint="eastAsia" w:cs="Times New Roman"/>
                      <w:color w:val="auto"/>
                      <w:kern w:val="21"/>
                      <w:sz w:val="21"/>
                      <w:szCs w:val="21"/>
                      <w:u w:val="none"/>
                      <w:lang w:val="en-US" w:eastAsia="zh-CN"/>
                    </w:rPr>
                    <w:t>成品存储。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p>
              </w:tc>
              <w:tc>
                <w:tcPr>
                  <w:tcW w:w="678"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kern w:val="21"/>
                      <w:lang w:eastAsia="zh-CN"/>
                    </w:rPr>
                  </w:pPr>
                  <w:r>
                    <w:rPr>
                      <w:rFonts w:hint="eastAsia" w:cs="Times New Roman"/>
                      <w:color w:val="auto"/>
                      <w:kern w:val="21"/>
                      <w:sz w:val="21"/>
                      <w:szCs w:val="21"/>
                      <w:u w:val="none"/>
                      <w:lang w:val="en-US" w:eastAsia="zh-CN"/>
                    </w:rPr>
                    <w:t>三</w:t>
                  </w:r>
                  <w:r>
                    <w:rPr>
                      <w:rFonts w:hint="eastAsia" w:cs="Times New Roman"/>
                      <w:color w:val="auto"/>
                      <w:kern w:val="21"/>
                      <w:sz w:val="21"/>
                      <w:szCs w:val="21"/>
                      <w:u w:val="none"/>
                      <w:lang w:eastAsia="zh-CN"/>
                    </w:rPr>
                    <w:t>层</w:t>
                  </w:r>
                </w:p>
              </w:tc>
              <w:tc>
                <w:tcPr>
                  <w:tcW w:w="1282"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eastAsia" w:ascii="宋体" w:hAnsi="宋体" w:eastAsia="宋体" w:cs="宋体"/>
                      <w:b w:val="0"/>
                      <w:bCs w:val="0"/>
                      <w:color w:val="auto"/>
                      <w:kern w:val="21"/>
                      <w:sz w:val="21"/>
                      <w:szCs w:val="21"/>
                      <w:u w:val="none"/>
                      <w:lang w:eastAsia="zh-CN"/>
                    </w:rPr>
                  </w:pPr>
                </w:p>
              </w:tc>
              <w:tc>
                <w:tcPr>
                  <w:tcW w:w="4925" w:type="dxa"/>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color w:val="auto"/>
                      <w:kern w:val="21"/>
                      <w:sz w:val="21"/>
                      <w:szCs w:val="21"/>
                      <w:u w:val="none"/>
                      <w:lang w:val="en-US" w:eastAsia="zh-CN"/>
                    </w:rPr>
                  </w:pPr>
                  <w:r>
                    <w:rPr>
                      <w:rFonts w:hint="eastAsia" w:ascii="Times New Roman" w:hAnsi="Times New Roman" w:eastAsia="宋体" w:cs="Times New Roman"/>
                      <w:color w:val="auto"/>
                      <w:kern w:val="21"/>
                      <w:sz w:val="21"/>
                      <w:szCs w:val="21"/>
                      <w:u w:val="none"/>
                      <w:lang w:val="en-US" w:eastAsia="zh-CN"/>
                    </w:rPr>
                    <w:t>建筑面积</w:t>
                  </w:r>
                  <w:r>
                    <w:rPr>
                      <w:rFonts w:hint="eastAsia" w:cs="Times New Roman"/>
                      <w:color w:val="auto"/>
                      <w:kern w:val="21"/>
                      <w:sz w:val="21"/>
                      <w:szCs w:val="21"/>
                      <w:u w:val="none"/>
                      <w:lang w:val="en-US" w:eastAsia="zh-CN"/>
                    </w:rPr>
                    <w:t>1225</w:t>
                  </w:r>
                  <w:r>
                    <w:rPr>
                      <w:rFonts w:hint="eastAsia" w:ascii="Times New Roman" w:hAnsi="Times New Roman" w:eastAsia="宋体" w:cs="Times New Roman"/>
                      <w:color w:val="auto"/>
                      <w:kern w:val="21"/>
                      <w:sz w:val="21"/>
                      <w:szCs w:val="21"/>
                      <w:u w:val="none"/>
                      <w:lang w:val="en-US" w:eastAsia="zh-CN"/>
                    </w:rPr>
                    <w:t>m</w:t>
                  </w:r>
                  <w:r>
                    <w:rPr>
                      <w:rFonts w:hint="eastAsia" w:ascii="Times New Roman" w:hAnsi="Times New Roman" w:eastAsia="宋体" w:cs="Times New Roman"/>
                      <w:color w:val="auto"/>
                      <w:kern w:val="21"/>
                      <w:sz w:val="21"/>
                      <w:szCs w:val="21"/>
                      <w:u w:val="none"/>
                      <w:vertAlign w:val="superscript"/>
                      <w:lang w:val="en-US" w:eastAsia="zh-CN"/>
                    </w:rPr>
                    <w:t>2</w:t>
                  </w:r>
                  <w:r>
                    <w:rPr>
                      <w:rFonts w:hint="eastAsia" w:ascii="Times New Roman" w:hAnsi="Times New Roman" w:eastAsia="宋体" w:cs="Times New Roman"/>
                      <w:color w:val="auto"/>
                      <w:kern w:val="21"/>
                      <w:sz w:val="21"/>
                      <w:szCs w:val="21"/>
                      <w:u w:val="none"/>
                      <w:lang w:val="en-US" w:eastAsia="zh-CN"/>
                    </w:rPr>
                    <w:t>，用于</w:t>
                  </w:r>
                  <w:r>
                    <w:rPr>
                      <w:rFonts w:hint="eastAsia" w:cs="Times New Roman"/>
                      <w:color w:val="auto"/>
                      <w:kern w:val="21"/>
                      <w:sz w:val="21"/>
                      <w:szCs w:val="21"/>
                      <w:u w:val="none"/>
                      <w:lang w:val="en-US" w:eastAsia="zh-CN"/>
                    </w:rPr>
                    <w:t>原料存储。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restart"/>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rFonts w:hint="default" w:ascii="Times New Roman" w:hAnsi="Times New Roman" w:eastAsia="宋体" w:cs="Times New Roman"/>
                      <w:color w:val="auto"/>
                      <w:kern w:val="21"/>
                      <w:sz w:val="21"/>
                      <w:szCs w:val="21"/>
                      <w:u w:val="none"/>
                    </w:rPr>
                    <w:t>公用工程</w:t>
                  </w:r>
                </w:p>
              </w:tc>
              <w:tc>
                <w:tcPr>
                  <w:tcW w:w="196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rFonts w:hint="default" w:ascii="Times New Roman" w:hAnsi="Times New Roman" w:eastAsia="宋体" w:cs="Times New Roman"/>
                      <w:color w:val="auto"/>
                      <w:kern w:val="21"/>
                      <w:sz w:val="21"/>
                      <w:szCs w:val="21"/>
                      <w:u w:val="none"/>
                    </w:rPr>
                    <w:t>供电</w:t>
                  </w:r>
                </w:p>
              </w:tc>
              <w:tc>
                <w:tcPr>
                  <w:tcW w:w="4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kern w:val="21"/>
                    </w:rPr>
                    <w:t>由市供电公司电网统一供给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p>
              </w:tc>
              <w:tc>
                <w:tcPr>
                  <w:tcW w:w="196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rFonts w:hint="default" w:ascii="Times New Roman" w:hAnsi="Times New Roman" w:eastAsia="宋体" w:cs="Times New Roman"/>
                      <w:color w:val="auto"/>
                      <w:kern w:val="21"/>
                      <w:sz w:val="21"/>
                      <w:szCs w:val="21"/>
                      <w:u w:val="none"/>
                    </w:rPr>
                    <w:t>供水</w:t>
                  </w:r>
                </w:p>
              </w:tc>
              <w:tc>
                <w:tcPr>
                  <w:tcW w:w="4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kern w:val="21"/>
                    </w:rPr>
                    <w:t>由市政自来水供给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p>
              </w:tc>
              <w:tc>
                <w:tcPr>
                  <w:tcW w:w="1960" w:type="dxa"/>
                  <w:gridSpan w:val="2"/>
                  <w:noWrap w:val="0"/>
                  <w:vAlign w:val="center"/>
                </w:tcPr>
                <w:p>
                  <w:pPr>
                    <w:pStyle w:val="61"/>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eastAsia="宋体" w:cs="Times New Roman"/>
                      <w:kern w:val="21"/>
                      <w:sz w:val="21"/>
                      <w:szCs w:val="21"/>
                      <w:u w:val="none"/>
                      <w:lang w:eastAsia="zh-CN"/>
                    </w:rPr>
                  </w:pPr>
                  <w:r>
                    <w:rPr>
                      <w:rFonts w:hint="default" w:ascii="Times New Roman" w:hAnsi="Times New Roman" w:eastAsia="宋体" w:cs="Times New Roman"/>
                      <w:b w:val="0"/>
                      <w:bCs/>
                      <w:color w:val="auto"/>
                      <w:kern w:val="21"/>
                      <w:sz w:val="21"/>
                      <w:szCs w:val="21"/>
                      <w:u w:val="none"/>
                      <w:lang w:eastAsia="zh-CN"/>
                    </w:rPr>
                    <w:t>排水</w:t>
                  </w:r>
                </w:p>
              </w:tc>
              <w:tc>
                <w:tcPr>
                  <w:tcW w:w="4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kern w:val="21"/>
                      <w:sz w:val="21"/>
                      <w:szCs w:val="21"/>
                      <w:u w:val="none"/>
                      <w:lang w:eastAsia="zh-CN"/>
                    </w:rPr>
                  </w:pPr>
                  <w:r>
                    <w:rPr>
                      <w:rFonts w:hint="default" w:ascii="Times New Roman" w:hAnsi="Times New Roman" w:eastAsia="宋体" w:cs="Times New Roman"/>
                      <w:color w:val="auto"/>
                      <w:kern w:val="21"/>
                      <w:sz w:val="21"/>
                      <w:szCs w:val="21"/>
                      <w:highlight w:val="none"/>
                      <w:u w:val="none"/>
                      <w:lang w:val="en-US" w:eastAsia="zh-CN"/>
                    </w:rPr>
                    <w:t>雨污分流，雨水</w:t>
                  </w:r>
                  <w:r>
                    <w:rPr>
                      <w:rFonts w:hint="eastAsia" w:ascii="Times New Roman" w:hAnsi="Times New Roman" w:eastAsia="宋体" w:cs="Times New Roman"/>
                      <w:color w:val="auto"/>
                      <w:kern w:val="21"/>
                      <w:sz w:val="21"/>
                      <w:szCs w:val="21"/>
                      <w:highlight w:val="none"/>
                      <w:u w:val="none"/>
                      <w:lang w:val="en-US" w:eastAsia="zh-CN"/>
                    </w:rPr>
                    <w:t>经</w:t>
                  </w:r>
                  <w:r>
                    <w:rPr>
                      <w:rFonts w:hint="eastAsia"/>
                      <w:kern w:val="21"/>
                      <w:u w:val="none"/>
                    </w:rPr>
                    <w:t>管埋地排入区域雨水管网，经雨水管网收集后向南排入自然沟</w:t>
                  </w:r>
                  <w:r>
                    <w:rPr>
                      <w:rFonts w:hint="default" w:ascii="Times New Roman" w:hAnsi="Times New Roman" w:eastAsia="宋体" w:cs="Times New Roman"/>
                      <w:color w:val="auto"/>
                      <w:kern w:val="21"/>
                      <w:sz w:val="21"/>
                      <w:szCs w:val="21"/>
                      <w:highlight w:val="none"/>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restart"/>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rPr>
                  </w:pPr>
                  <w:r>
                    <w:rPr>
                      <w:rFonts w:hint="default" w:ascii="Times New Roman" w:hAnsi="Times New Roman" w:eastAsia="宋体" w:cs="Times New Roman"/>
                      <w:kern w:val="21"/>
                      <w:sz w:val="21"/>
                      <w:szCs w:val="21"/>
                      <w:u w:val="none"/>
                    </w:rPr>
                    <w:t>环保工程</w:t>
                  </w:r>
                </w:p>
              </w:tc>
              <w:tc>
                <w:tcPr>
                  <w:tcW w:w="1960" w:type="dxa"/>
                  <w:gridSpan w:val="2"/>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废水处理措施</w:t>
                  </w:r>
                </w:p>
              </w:tc>
              <w:tc>
                <w:tcPr>
                  <w:tcW w:w="4925" w:type="dxa"/>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lang w:eastAsia="zh-CN"/>
                    </w:rPr>
                  </w:pPr>
                  <w:r>
                    <w:rPr>
                      <w:rFonts w:hint="eastAsia" w:ascii="Times New Roman" w:hAnsi="Times New Roman" w:eastAsia="宋体" w:cs="Times New Roman"/>
                      <w:kern w:val="21"/>
                      <w:sz w:val="21"/>
                      <w:szCs w:val="21"/>
                      <w:highlight w:val="none"/>
                      <w:u w:val="none"/>
                      <w:lang w:eastAsia="zh-CN"/>
                    </w:rPr>
                    <w:t>本项目生产工艺不涉及废水产生。</w:t>
                  </w:r>
                  <w:r>
                    <w:rPr>
                      <w:rFonts w:hint="eastAsia" w:ascii="Times New Roman" w:hAnsi="Times New Roman" w:eastAsia="宋体" w:cs="Times New Roman"/>
                      <w:b w:val="0"/>
                      <w:bCs/>
                      <w:i w:val="0"/>
                      <w:iCs w:val="0"/>
                      <w:color w:val="auto"/>
                      <w:sz w:val="21"/>
                      <w:szCs w:val="21"/>
                      <w:u w:val="none"/>
                      <w:lang w:eastAsia="zh-CN"/>
                    </w:rPr>
                    <w:t>生活污水由园区配套的化粪池（10m³）处理后，进入</w:t>
                  </w:r>
                  <w:r>
                    <w:rPr>
                      <w:rFonts w:hint="eastAsia" w:cs="Times New Roman"/>
                      <w:b w:val="0"/>
                      <w:bCs/>
                      <w:i w:val="0"/>
                      <w:iCs w:val="0"/>
                      <w:color w:val="auto"/>
                      <w:sz w:val="21"/>
                      <w:szCs w:val="21"/>
                      <w:u w:val="none"/>
                      <w:lang w:eastAsia="zh-CN"/>
                    </w:rPr>
                    <w:t>艾草产业园污水处理设备</w:t>
                  </w:r>
                  <w:r>
                    <w:rPr>
                      <w:rFonts w:hint="eastAsia" w:ascii="Times New Roman" w:hAnsi="Times New Roman" w:eastAsia="宋体" w:cs="Times New Roman"/>
                      <w:b w:val="0"/>
                      <w:bCs/>
                      <w:i w:val="0"/>
                      <w:iCs w:val="0"/>
                      <w:color w:val="auto"/>
                      <w:sz w:val="21"/>
                      <w:szCs w:val="21"/>
                      <w:u w:val="none"/>
                      <w:lang w:eastAsia="zh-CN"/>
                    </w:rPr>
                    <w:t>，达标后</w:t>
                  </w:r>
                  <w:r>
                    <w:rPr>
                      <w:rFonts w:hint="eastAsia" w:cs="Times New Roman"/>
                      <w:b w:val="0"/>
                      <w:bCs/>
                      <w:i w:val="0"/>
                      <w:iCs w:val="0"/>
                      <w:color w:val="auto"/>
                      <w:sz w:val="21"/>
                      <w:szCs w:val="21"/>
                      <w:u w:val="none"/>
                      <w:lang w:eastAsia="zh-CN"/>
                    </w:rPr>
                    <w:t>经城镇污水管网排入泗水河</w:t>
                  </w:r>
                  <w:r>
                    <w:rPr>
                      <w:rFonts w:hint="eastAsia"/>
                      <w:kern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rPr>
                  </w:pPr>
                </w:p>
              </w:tc>
              <w:tc>
                <w:tcPr>
                  <w:tcW w:w="678" w:type="dxa"/>
                  <w:vMerge w:val="restart"/>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废气治理措施</w:t>
                  </w:r>
                </w:p>
              </w:tc>
              <w:tc>
                <w:tcPr>
                  <w:tcW w:w="1282" w:type="dxa"/>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涂布、干复、烘干过程产生的有机废气</w:t>
                  </w:r>
                </w:p>
              </w:tc>
              <w:tc>
                <w:tcPr>
                  <w:tcW w:w="4925" w:type="dxa"/>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kern w:val="21"/>
                      <w:sz w:val="21"/>
                      <w:szCs w:val="21"/>
                      <w:highlight w:val="none"/>
                      <w:u w:val="none"/>
                      <w:lang w:eastAsia="zh-CN"/>
                    </w:rPr>
                  </w:pPr>
                  <w:r>
                    <w:rPr>
                      <w:rFonts w:hint="default" w:ascii="Times New Roman" w:hAnsi="Times New Roman" w:eastAsia="宋体" w:cs="Times New Roman"/>
                      <w:b w:val="0"/>
                      <w:bCs/>
                      <w:i w:val="0"/>
                      <w:iCs w:val="0"/>
                      <w:color w:val="auto"/>
                      <w:kern w:val="21"/>
                      <w:sz w:val="21"/>
                      <w:szCs w:val="21"/>
                      <w:u w:val="none"/>
                      <w:lang w:val="en-US" w:eastAsia="zh-CN" w:bidi="ar-SA"/>
                    </w:rPr>
                    <w:t>项目涂布机、干复机工作台以上进行二次密闭，</w:t>
                  </w:r>
                  <w:r>
                    <w:rPr>
                      <w:rFonts w:hint="eastAsia" w:cs="Times New Roman"/>
                      <w:b w:val="0"/>
                      <w:bCs/>
                      <w:i w:val="0"/>
                      <w:iCs w:val="0"/>
                      <w:color w:val="auto"/>
                      <w:kern w:val="21"/>
                      <w:sz w:val="21"/>
                      <w:szCs w:val="21"/>
                      <w:u w:val="none"/>
                      <w:lang w:val="en-US" w:eastAsia="zh-CN" w:bidi="ar-SA"/>
                    </w:rPr>
                    <w:t>烘干机</w:t>
                  </w:r>
                  <w:r>
                    <w:rPr>
                      <w:rFonts w:hint="default" w:ascii="Times New Roman" w:hAnsi="Times New Roman" w:eastAsia="宋体" w:cs="Times New Roman"/>
                      <w:b w:val="0"/>
                      <w:bCs/>
                      <w:i w:val="0"/>
                      <w:iCs w:val="0"/>
                      <w:color w:val="auto"/>
                      <w:kern w:val="21"/>
                      <w:sz w:val="21"/>
                      <w:szCs w:val="21"/>
                      <w:u w:val="none"/>
                      <w:lang w:val="en-US" w:eastAsia="zh-CN" w:bidi="ar-SA"/>
                    </w:rPr>
                    <w:t>密闭，均采取负压集气，产生的有机废气经配套管道收集后经管道引至一套“二级活性炭吸附”装置处理后通过1根</w:t>
                  </w:r>
                  <w:r>
                    <w:rPr>
                      <w:rFonts w:hint="eastAsia" w:cs="Times New Roman"/>
                      <w:b w:val="0"/>
                      <w:bCs/>
                      <w:i w:val="0"/>
                      <w:iCs w:val="0"/>
                      <w:color w:val="auto"/>
                      <w:kern w:val="21"/>
                      <w:sz w:val="21"/>
                      <w:szCs w:val="21"/>
                      <w:u w:val="none"/>
                      <w:lang w:val="en-US" w:eastAsia="zh-CN" w:bidi="ar-SA"/>
                    </w:rPr>
                    <w:t>23</w:t>
                  </w:r>
                  <w:r>
                    <w:rPr>
                      <w:rFonts w:hint="default" w:ascii="Times New Roman" w:hAnsi="Times New Roman" w:eastAsia="宋体" w:cs="Times New Roman"/>
                      <w:b w:val="0"/>
                      <w:bCs/>
                      <w:i w:val="0"/>
                      <w:iCs w:val="0"/>
                      <w:color w:val="auto"/>
                      <w:kern w:val="21"/>
                      <w:sz w:val="21"/>
                      <w:szCs w:val="21"/>
                      <w:u w:val="none"/>
                      <w:lang w:val="en-US" w:eastAsia="zh-CN" w:bidi="ar-SA"/>
                    </w:rPr>
                    <w:t>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rPr>
                  </w:pPr>
                </w:p>
              </w:tc>
              <w:tc>
                <w:tcPr>
                  <w:tcW w:w="678" w:type="dxa"/>
                  <w:vMerge w:val="continue"/>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rPr>
                  </w:pPr>
                </w:p>
              </w:tc>
              <w:tc>
                <w:tcPr>
                  <w:tcW w:w="1282" w:type="dxa"/>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配料过程中产生的粉尘</w:t>
                  </w:r>
                </w:p>
              </w:tc>
              <w:tc>
                <w:tcPr>
                  <w:tcW w:w="4925" w:type="dxa"/>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i w:val="0"/>
                      <w:iCs w:val="0"/>
                      <w:color w:val="auto"/>
                      <w:kern w:val="21"/>
                      <w:sz w:val="21"/>
                      <w:szCs w:val="21"/>
                      <w:u w:val="none"/>
                      <w:lang w:val="en-US" w:eastAsia="zh-CN" w:bidi="ar-SA"/>
                    </w:rPr>
                  </w:pPr>
                  <w:r>
                    <w:rPr>
                      <w:rFonts w:hint="default" w:ascii="Times New Roman" w:hAnsi="Times New Roman" w:eastAsia="宋体" w:cs="Times New Roman"/>
                      <w:b w:val="0"/>
                      <w:bCs/>
                      <w:i w:val="0"/>
                      <w:iCs w:val="0"/>
                      <w:color w:val="auto"/>
                      <w:kern w:val="21"/>
                      <w:sz w:val="21"/>
                      <w:szCs w:val="21"/>
                      <w:u w:val="none"/>
                      <w:lang w:val="en-US" w:eastAsia="zh-CN" w:bidi="ar-SA"/>
                    </w:rPr>
                    <w:t>项目设置单独密闭配料间，配料过程均在单独密闭配料间内完成，配料过程产生的少量粉尘经配料间沉降后再经车间无组织排放；同时配料间地面及时清理，确保地面无明显积尘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rPr>
                  </w:pPr>
                </w:p>
              </w:tc>
              <w:tc>
                <w:tcPr>
                  <w:tcW w:w="1960" w:type="dxa"/>
                  <w:gridSpan w:val="2"/>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噪声治理措施</w:t>
                  </w:r>
                </w:p>
              </w:tc>
              <w:tc>
                <w:tcPr>
                  <w:tcW w:w="4925" w:type="dxa"/>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eastAsia" w:ascii="Times New Roman" w:hAnsi="Times New Roman" w:eastAsia="宋体" w:cs="Times New Roman"/>
                      <w:kern w:val="21"/>
                      <w:sz w:val="21"/>
                      <w:szCs w:val="21"/>
                      <w:highlight w:val="none"/>
                      <w:u w:val="none"/>
                      <w:lang w:eastAsia="zh-CN"/>
                    </w:rPr>
                  </w:pPr>
                  <w:r>
                    <w:rPr>
                      <w:rFonts w:hint="eastAsia" w:cs="Times New Roman"/>
                      <w:kern w:val="21"/>
                      <w:sz w:val="21"/>
                      <w:szCs w:val="21"/>
                      <w:highlight w:val="none"/>
                      <w:u w:val="none"/>
                      <w:lang w:eastAsia="zh-CN"/>
                    </w:rPr>
                    <w:t>选用低噪设备、车间隔声、设备减振，加强设备维护保养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1268" w:type="dxa"/>
                  <w:vMerge w:val="continue"/>
                  <w:noWrap w:val="0"/>
                  <w:vAlign w:val="center"/>
                </w:tcPr>
                <w:p>
                  <w:pPr>
                    <w:keepLines w:val="0"/>
                    <w:pageBreakBefore w:val="0"/>
                    <w:widowControl w:val="0"/>
                    <w:tabs>
                      <w:tab w:val="left" w:pos="1081"/>
                    </w:tabs>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u w:val="none"/>
                    </w:rPr>
                  </w:pPr>
                </w:p>
              </w:tc>
              <w:tc>
                <w:tcPr>
                  <w:tcW w:w="1960" w:type="dxa"/>
                  <w:gridSpan w:val="2"/>
                  <w:noWrap w:val="0"/>
                  <w:vAlign w:val="center"/>
                </w:tcPr>
                <w:p>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rPr>
                  </w:pPr>
                  <w:r>
                    <w:rPr>
                      <w:rFonts w:hint="default" w:ascii="Times New Roman" w:hAnsi="Times New Roman" w:eastAsia="宋体" w:cs="Times New Roman"/>
                      <w:kern w:val="21"/>
                      <w:sz w:val="21"/>
                      <w:szCs w:val="21"/>
                      <w:highlight w:val="none"/>
                      <w:u w:val="none"/>
                    </w:rPr>
                    <w:t>固废治理措施</w:t>
                  </w:r>
                </w:p>
              </w:tc>
              <w:tc>
                <w:tcPr>
                  <w:tcW w:w="4925" w:type="dxa"/>
                  <w:noWrap w:val="0"/>
                  <w:vAlign w:val="center"/>
                </w:tcPr>
                <w:p>
                  <w:pPr>
                    <w:keepLines w:val="0"/>
                    <w:pageBreakBefore w:val="0"/>
                    <w:widowControl w:val="0"/>
                    <w:kinsoku/>
                    <w:wordWrap/>
                    <w:topLinePunct w:val="0"/>
                    <w:autoSpaceDE/>
                    <w:autoSpaceDN/>
                    <w:bidi w:val="0"/>
                    <w:adjustRightInd w:val="0"/>
                    <w:snapToGrid w:val="0"/>
                    <w:spacing w:line="240" w:lineRule="auto"/>
                    <w:ind w:left="0" w:firstLine="0"/>
                    <w:jc w:val="center"/>
                    <w:textAlignment w:val="auto"/>
                    <w:rPr>
                      <w:rFonts w:hint="default" w:ascii="Times New Roman" w:hAnsi="Times New Roman" w:eastAsia="宋体" w:cs="Times New Roman"/>
                      <w:kern w:val="21"/>
                      <w:sz w:val="21"/>
                      <w:szCs w:val="21"/>
                      <w:highlight w:val="none"/>
                      <w:u w:val="none"/>
                      <w:lang w:eastAsia="zh-CN"/>
                    </w:rPr>
                  </w:pPr>
                  <w:r>
                    <w:rPr>
                      <w:rFonts w:hint="eastAsia" w:ascii="Times New Roman" w:hAnsi="Times New Roman" w:eastAsia="宋体" w:cs="Times New Roman"/>
                      <w:kern w:val="21"/>
                      <w:sz w:val="21"/>
                      <w:szCs w:val="21"/>
                      <w:highlight w:val="none"/>
                      <w:u w:val="none"/>
                      <w:lang w:eastAsia="zh-CN"/>
                    </w:rPr>
                    <w:t>废边角料、废包装材料</w:t>
                  </w:r>
                  <w:r>
                    <w:rPr>
                      <w:rFonts w:hint="eastAsia" w:ascii="Times New Roman" w:hAnsi="Times New Roman" w:cs="Times New Roman"/>
                      <w:kern w:val="21"/>
                      <w:sz w:val="21"/>
                      <w:szCs w:val="21"/>
                      <w:u w:val="none"/>
                      <w:lang w:eastAsia="zh-CN"/>
                    </w:rPr>
                    <w:t>暂存于固废暂存间，</w:t>
                  </w:r>
                  <w:r>
                    <w:rPr>
                      <w:rFonts w:hint="eastAsia" w:ascii="Times New Roman" w:hAnsi="Times New Roman"/>
                      <w:b w:val="0"/>
                      <w:bCs w:val="0"/>
                      <w:kern w:val="21"/>
                      <w:sz w:val="21"/>
                      <w:szCs w:val="21"/>
                      <w:u w:val="none"/>
                      <w:lang w:val="en-US" w:eastAsia="zh-CN"/>
                    </w:rPr>
                    <w:t>收集后外售给废品收购站</w:t>
                  </w:r>
                  <w:r>
                    <w:rPr>
                      <w:rFonts w:hint="eastAsia"/>
                      <w:b w:val="0"/>
                      <w:bCs w:val="0"/>
                      <w:kern w:val="21"/>
                      <w:sz w:val="21"/>
                      <w:szCs w:val="21"/>
                      <w:u w:val="none"/>
                      <w:lang w:val="en-US" w:eastAsia="zh-CN"/>
                    </w:rPr>
                    <w:t>；</w:t>
                  </w:r>
                  <w:r>
                    <w:rPr>
                      <w:rFonts w:hint="default" w:ascii="Times New Roman" w:hAnsi="Times New Roman" w:eastAsia="宋体" w:cs="Times New Roman"/>
                      <w:kern w:val="21"/>
                      <w:sz w:val="21"/>
                      <w:szCs w:val="21"/>
                      <w:highlight w:val="none"/>
                      <w:u w:val="none"/>
                    </w:rPr>
                    <w:t>生活垃圾</w:t>
                  </w:r>
                  <w:r>
                    <w:rPr>
                      <w:rFonts w:hint="default" w:ascii="Times New Roman" w:hAnsi="Times New Roman" w:eastAsia="宋体" w:cs="Times New Roman"/>
                      <w:kern w:val="21"/>
                      <w:sz w:val="21"/>
                      <w:szCs w:val="21"/>
                      <w:u w:val="none"/>
                    </w:rPr>
                    <w:t>集中收集后清运至垃圾</w:t>
                  </w:r>
                  <w:r>
                    <w:rPr>
                      <w:rFonts w:hint="default" w:ascii="Times New Roman" w:hAnsi="Times New Roman" w:eastAsia="宋体" w:cs="Times New Roman"/>
                      <w:kern w:val="21"/>
                      <w:sz w:val="21"/>
                      <w:szCs w:val="21"/>
                      <w:u w:val="none"/>
                      <w:lang w:eastAsia="zh-CN"/>
                    </w:rPr>
                    <w:t>中转站</w:t>
                  </w:r>
                  <w:r>
                    <w:rPr>
                      <w:rFonts w:hint="default" w:ascii="Times New Roman" w:hAnsi="Times New Roman" w:eastAsia="宋体" w:cs="Times New Roman"/>
                      <w:kern w:val="21"/>
                      <w:sz w:val="21"/>
                      <w:szCs w:val="21"/>
                      <w:u w:val="none"/>
                    </w:rPr>
                    <w:t>处理</w:t>
                  </w:r>
                  <w:r>
                    <w:rPr>
                      <w:rFonts w:hint="default" w:ascii="Times New Roman" w:hAnsi="Times New Roman" w:eastAsia="宋体" w:cs="Times New Roman"/>
                      <w:kern w:val="21"/>
                      <w:sz w:val="21"/>
                      <w:szCs w:val="21"/>
                      <w:highlight w:val="none"/>
                      <w:u w:val="none"/>
                      <w:lang w:eastAsia="zh-CN"/>
                    </w:rPr>
                    <w:t>；</w:t>
                  </w:r>
                  <w:r>
                    <w:rPr>
                      <w:rFonts w:hint="eastAsia" w:ascii="Times New Roman" w:hAnsi="Times New Roman" w:eastAsia="宋体" w:cs="Times New Roman"/>
                      <w:kern w:val="21"/>
                      <w:sz w:val="21"/>
                      <w:szCs w:val="21"/>
                      <w:highlight w:val="none"/>
                      <w:u w:val="none"/>
                      <w:lang w:eastAsia="zh-CN"/>
                    </w:rPr>
                    <w:t>化粪池产生的污泥由环卫部门定期清掏；</w:t>
                  </w:r>
                  <w:r>
                    <w:rPr>
                      <w:rFonts w:hint="eastAsia" w:ascii="Times New Roman" w:hAnsi="Times New Roman" w:eastAsia="宋体" w:cs="Times New Roman"/>
                      <w:b w:val="0"/>
                      <w:bCs w:val="0"/>
                      <w:kern w:val="21"/>
                      <w:sz w:val="21"/>
                      <w:szCs w:val="21"/>
                      <w:u w:val="none"/>
                      <w:lang w:val="en-US" w:eastAsia="zh-CN"/>
                    </w:rPr>
                    <w:t>废气治理产生的</w:t>
                  </w:r>
                  <w:r>
                    <w:rPr>
                      <w:rFonts w:hint="default" w:ascii="Times New Roman" w:hAnsi="Times New Roman" w:eastAsia="宋体" w:cs="Times New Roman"/>
                      <w:b w:val="0"/>
                      <w:bCs w:val="0"/>
                      <w:kern w:val="21"/>
                      <w:sz w:val="21"/>
                      <w:szCs w:val="21"/>
                      <w:u w:val="none"/>
                      <w:lang w:val="en-US" w:eastAsia="zh-CN"/>
                    </w:rPr>
                    <w:t>废活性炭收集后暂存于危废暂存间，交有资质单位处理。</w:t>
                  </w:r>
                </w:p>
              </w:tc>
            </w:tr>
          </w:tbl>
          <w:p>
            <w:pPr>
              <w:pStyle w:val="61"/>
              <w:numPr>
                <w:ilvl w:val="0"/>
                <w:numId w:val="0"/>
              </w:numPr>
              <w:spacing w:line="500" w:lineRule="exact"/>
              <w:ind w:left="0" w:leftChars="0" w:firstLine="0" w:firstLineChars="0"/>
              <w:rPr>
                <w:rFonts w:hint="eastAsia" w:ascii="宋体" w:hAnsi="宋体" w:eastAsia="宋体" w:cs="宋体"/>
                <w:b/>
                <w:bCs/>
                <w:lang w:val="en-US" w:eastAsia="zh-CN"/>
              </w:rPr>
            </w:pPr>
            <w:r>
              <w:rPr>
                <w:rFonts w:hint="eastAsia" w:ascii="宋体" w:hAnsi="宋体" w:eastAsia="宋体" w:cs="宋体"/>
                <w:b/>
                <w:bCs/>
                <w:kern w:val="2"/>
                <w:sz w:val="24"/>
                <w:szCs w:val="24"/>
                <w:lang w:val="en-US" w:eastAsia="zh-CN" w:bidi="ar-SA"/>
              </w:rPr>
              <w:t>3、</w:t>
            </w:r>
            <w:r>
              <w:rPr>
                <w:rFonts w:hint="eastAsia" w:ascii="宋体" w:hAnsi="宋体" w:eastAsia="宋体" w:cs="宋体"/>
                <w:b/>
                <w:bCs/>
                <w:lang w:val="en-US" w:eastAsia="zh-CN"/>
              </w:rPr>
              <w:t>主要生产设备</w:t>
            </w:r>
          </w:p>
          <w:p>
            <w:pPr>
              <w:pStyle w:val="61"/>
              <w:spacing w:line="500" w:lineRule="exact"/>
              <w:ind w:firstLine="480"/>
              <w:rPr>
                <w:rFonts w:hint="eastAsia" w:ascii="Times New Roman" w:hAnsi="Times New Roman" w:cs="Times New Roman"/>
                <w:highlight w:val="none"/>
                <w:lang w:val="en-US" w:eastAsia="zh-CN"/>
              </w:rPr>
            </w:pPr>
            <w:r>
              <w:rPr>
                <w:rFonts w:hint="default" w:ascii="Times New Roman" w:hAnsi="Times New Roman" w:cs="Times New Roman"/>
                <w:highlight w:val="none"/>
              </w:rPr>
              <w:t>本项目主要生产设备见</w:t>
            </w:r>
            <w:r>
              <w:rPr>
                <w:rFonts w:hint="eastAsia" w:ascii="Times New Roman" w:hAnsi="Times New Roman" w:cs="Times New Roman"/>
                <w:highlight w:val="none"/>
                <w:lang w:val="en-US" w:eastAsia="zh-CN"/>
              </w:rPr>
              <w:t>下</w:t>
            </w:r>
            <w:r>
              <w:rPr>
                <w:rFonts w:hint="default" w:ascii="Times New Roman" w:hAnsi="Times New Roman" w:cs="Times New Roman"/>
                <w:highlight w:val="none"/>
              </w:rPr>
              <w:t>表</w:t>
            </w:r>
            <w:r>
              <w:rPr>
                <w:rFonts w:hint="eastAsia" w:ascii="Times New Roman" w:hAnsi="Times New Roman" w:cs="Times New Roman"/>
                <w:highlight w:val="none"/>
                <w:lang w:val="en-US" w:eastAsia="zh-CN"/>
              </w:rPr>
              <w:t>.</w:t>
            </w:r>
          </w:p>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w:t>
            </w:r>
            <w:r>
              <w:rPr>
                <w:rFonts w:hint="eastAsia" w:ascii="Times New Roman" w:hAnsi="Times New Roman" w:eastAsia="宋体" w:cs="Times New Roman"/>
                <w:b/>
                <w:bCs w:val="0"/>
                <w:color w:val="auto"/>
                <w:kern w:val="2"/>
                <w:sz w:val="24"/>
                <w:szCs w:val="24"/>
                <w:lang w:val="en-US" w:eastAsia="zh-CN" w:bidi="ar-SA"/>
              </w:rPr>
              <w:t>2-2</w:t>
            </w:r>
            <w:r>
              <w:rPr>
                <w:rFonts w:hint="default" w:ascii="Times New Roman" w:hAnsi="Times New Roman" w:eastAsia="宋体" w:cs="Times New Roman"/>
                <w:b/>
                <w:bCs w:val="0"/>
                <w:color w:val="auto"/>
                <w:kern w:val="2"/>
                <w:sz w:val="24"/>
                <w:szCs w:val="24"/>
                <w:lang w:val="en-US" w:eastAsia="zh-CN" w:bidi="ar-SA"/>
              </w:rPr>
              <w:t xml:space="preserve">  主要生产设备一览表</w:t>
            </w:r>
          </w:p>
          <w:tbl>
            <w:tblPr>
              <w:tblStyle w:val="26"/>
              <w:tblW w:w="815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3212"/>
              <w:gridCol w:w="1360"/>
              <w:gridCol w:w="2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noWrap w:val="0"/>
                  <w:vAlign w:val="center"/>
                </w:tcPr>
                <w:p>
                  <w:pPr>
                    <w:tabs>
                      <w:tab w:val="left" w:pos="1081"/>
                    </w:tabs>
                    <w:adjustRightInd w:val="0"/>
                    <w:snapToGrid w:val="0"/>
                    <w:spacing w:line="400" w:lineRule="exact"/>
                    <w:jc w:val="center"/>
                    <w:rPr>
                      <w:rFonts w:hint="eastAsia" w:eastAsia="宋体"/>
                      <w:b/>
                      <w:bCs/>
                      <w:color w:val="auto"/>
                      <w:u w:val="none"/>
                      <w:lang w:eastAsia="zh-CN"/>
                    </w:rPr>
                  </w:pPr>
                  <w:r>
                    <w:rPr>
                      <w:rFonts w:hint="eastAsia"/>
                      <w:b/>
                      <w:bCs/>
                      <w:color w:val="auto"/>
                      <w:u w:val="none"/>
                      <w:lang w:eastAsia="zh-CN"/>
                    </w:rPr>
                    <w:t>分类</w:t>
                  </w:r>
                </w:p>
              </w:tc>
              <w:tc>
                <w:tcPr>
                  <w:tcW w:w="3212" w:type="dxa"/>
                  <w:noWrap w:val="0"/>
                  <w:vAlign w:val="center"/>
                </w:tcPr>
                <w:p>
                  <w:pPr>
                    <w:tabs>
                      <w:tab w:val="left" w:pos="1081"/>
                    </w:tabs>
                    <w:adjustRightInd w:val="0"/>
                    <w:snapToGrid w:val="0"/>
                    <w:spacing w:line="400" w:lineRule="exact"/>
                    <w:jc w:val="center"/>
                    <w:rPr>
                      <w:rFonts w:hint="eastAsia" w:eastAsia="宋体"/>
                      <w:b/>
                      <w:bCs/>
                      <w:color w:val="auto"/>
                      <w:u w:val="none"/>
                      <w:lang w:eastAsia="zh-CN"/>
                    </w:rPr>
                  </w:pPr>
                  <w:r>
                    <w:rPr>
                      <w:rFonts w:hint="eastAsia"/>
                      <w:b/>
                      <w:bCs/>
                      <w:color w:val="auto"/>
                      <w:u w:val="none"/>
                      <w:lang w:eastAsia="zh-CN"/>
                    </w:rPr>
                    <w:t>内容</w:t>
                  </w:r>
                </w:p>
              </w:tc>
              <w:tc>
                <w:tcPr>
                  <w:tcW w:w="1360" w:type="dxa"/>
                  <w:noWrap w:val="0"/>
                  <w:vAlign w:val="center"/>
                </w:tcPr>
                <w:p>
                  <w:pPr>
                    <w:tabs>
                      <w:tab w:val="left" w:pos="1081"/>
                    </w:tabs>
                    <w:adjustRightInd w:val="0"/>
                    <w:snapToGrid w:val="0"/>
                    <w:spacing w:line="400" w:lineRule="exact"/>
                    <w:jc w:val="center"/>
                    <w:rPr>
                      <w:rFonts w:hint="eastAsia"/>
                      <w:b/>
                      <w:bCs/>
                      <w:color w:val="auto"/>
                      <w:u w:val="none"/>
                      <w:lang w:eastAsia="zh-CN"/>
                    </w:rPr>
                  </w:pPr>
                  <w:r>
                    <w:rPr>
                      <w:rFonts w:hint="eastAsia"/>
                      <w:b/>
                      <w:bCs/>
                      <w:color w:val="auto"/>
                      <w:u w:val="none"/>
                      <w:lang w:eastAsia="zh-CN"/>
                    </w:rPr>
                    <w:t>数量</w:t>
                  </w:r>
                </w:p>
              </w:tc>
              <w:tc>
                <w:tcPr>
                  <w:tcW w:w="2486" w:type="dxa"/>
                  <w:noWrap w:val="0"/>
                  <w:vAlign w:val="center"/>
                </w:tcPr>
                <w:p>
                  <w:pPr>
                    <w:tabs>
                      <w:tab w:val="left" w:pos="1081"/>
                    </w:tabs>
                    <w:adjustRightInd w:val="0"/>
                    <w:snapToGrid w:val="0"/>
                    <w:spacing w:line="400" w:lineRule="exact"/>
                    <w:jc w:val="center"/>
                    <w:rPr>
                      <w:rFonts w:hint="default"/>
                      <w:b/>
                      <w:bCs/>
                      <w:color w:val="auto"/>
                      <w:u w:val="none"/>
                      <w:lang w:val="en-US" w:eastAsia="zh-CN"/>
                    </w:rPr>
                  </w:pPr>
                  <w:r>
                    <w:rPr>
                      <w:rFonts w:hint="eastAsia"/>
                      <w:b/>
                      <w:bCs/>
                      <w:color w:val="auto"/>
                      <w:u w:val="none"/>
                      <w:lang w:eastAsia="zh-CN"/>
                    </w:rPr>
                    <w:t>处理能力</w:t>
                  </w:r>
                  <w:r>
                    <w:rPr>
                      <w:rFonts w:hint="eastAsia"/>
                      <w:b/>
                      <w:bCs/>
                      <w:color w:val="auto"/>
                      <w:u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restart"/>
                  <w:noWrap w:val="0"/>
                  <w:vAlign w:val="center"/>
                </w:tcPr>
                <w:p>
                  <w:pPr>
                    <w:spacing w:line="240" w:lineRule="atLeast"/>
                    <w:jc w:val="center"/>
                    <w:rPr>
                      <w:rFonts w:hint="default" w:ascii="Times New Roman" w:hAnsi="Times New Roman" w:cs="Times New Roman"/>
                      <w:color w:val="auto"/>
                      <w:sz w:val="21"/>
                      <w:szCs w:val="21"/>
                      <w:u w:val="none"/>
                      <w:lang w:eastAsia="zh-CN"/>
                    </w:rPr>
                  </w:pPr>
                  <w:r>
                    <w:rPr>
                      <w:rFonts w:hint="eastAsia"/>
                      <w:color w:val="auto"/>
                      <w:u w:val="none"/>
                      <w:lang w:eastAsia="zh-CN"/>
                    </w:rPr>
                    <w:t>石墨烯发热新材料生产线</w:t>
                  </w:r>
                </w:p>
              </w:tc>
              <w:tc>
                <w:tcPr>
                  <w:tcW w:w="3212" w:type="dxa"/>
                  <w:noWrap w:val="0"/>
                  <w:vAlign w:val="center"/>
                </w:tcPr>
                <w:p>
                  <w:pPr>
                    <w:spacing w:line="240" w:lineRule="atLeast"/>
                    <w:jc w:val="center"/>
                    <w:rPr>
                      <w:rFonts w:hint="eastAsia"/>
                      <w:color w:val="auto"/>
                      <w:u w:val="none"/>
                      <w:lang w:val="en-US" w:eastAsia="zh-CN"/>
                    </w:rPr>
                  </w:pPr>
                  <w:r>
                    <w:rPr>
                      <w:rFonts w:hint="eastAsia"/>
                      <w:color w:val="auto"/>
                      <w:u w:val="none"/>
                      <w:lang w:val="en-US" w:eastAsia="zh-CN"/>
                    </w:rPr>
                    <w:t>搅拌机</w:t>
                  </w:r>
                </w:p>
              </w:tc>
              <w:tc>
                <w:tcPr>
                  <w:tcW w:w="1360"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1台</w:t>
                  </w:r>
                </w:p>
              </w:tc>
              <w:tc>
                <w:tcPr>
                  <w:tcW w:w="2486" w:type="dxa"/>
                  <w:noWrap w:val="0"/>
                  <w:vAlign w:val="center"/>
                </w:tcPr>
                <w:p>
                  <w:pPr>
                    <w:spacing w:line="240" w:lineRule="atLeast"/>
                    <w:jc w:val="center"/>
                    <w:rPr>
                      <w:rFonts w:hint="default"/>
                      <w:color w:val="auto"/>
                      <w:u w:val="none"/>
                      <w:lang w:val="en-US" w:eastAsia="zh-CN"/>
                    </w:rPr>
                  </w:pPr>
                  <w:r>
                    <w:rPr>
                      <w:rFonts w:hint="default"/>
                      <w:color w:val="auto"/>
                      <w:u w:val="none"/>
                      <w:lang w:val="en-US" w:eastAsia="zh-CN"/>
                    </w:rPr>
                    <w:t>1</w:t>
                  </w:r>
                  <w:r>
                    <w:rPr>
                      <w:rFonts w:hint="eastAsia"/>
                      <w:color w:val="auto"/>
                      <w:u w:val="none"/>
                      <w:lang w:val="en-US" w:eastAsia="zh-CN"/>
                    </w:rPr>
                    <w:t>7</w:t>
                  </w:r>
                  <w:r>
                    <w:rPr>
                      <w:rFonts w:hint="default"/>
                      <w:color w:val="auto"/>
                      <w:u w:val="none"/>
                      <w:lang w:val="en-US" w:eastAsia="zh-CN"/>
                    </w:rPr>
                    <w:t>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continue"/>
                  <w:noWrap w:val="0"/>
                  <w:vAlign w:val="center"/>
                </w:tcPr>
                <w:p>
                  <w:pPr>
                    <w:spacing w:line="240" w:lineRule="atLeast"/>
                    <w:jc w:val="center"/>
                    <w:rPr>
                      <w:rFonts w:hint="eastAsia"/>
                      <w:color w:val="auto"/>
                      <w:u w:val="none"/>
                      <w:lang w:eastAsia="zh-CN"/>
                    </w:rPr>
                  </w:pPr>
                </w:p>
              </w:tc>
              <w:tc>
                <w:tcPr>
                  <w:tcW w:w="3212"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涂布机</w:t>
                  </w:r>
                </w:p>
              </w:tc>
              <w:tc>
                <w:tcPr>
                  <w:tcW w:w="1360"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1台</w:t>
                  </w:r>
                </w:p>
              </w:tc>
              <w:tc>
                <w:tcPr>
                  <w:tcW w:w="2486" w:type="dxa"/>
                  <w:noWrap w:val="0"/>
                  <w:vAlign w:val="center"/>
                </w:tcPr>
                <w:p>
                  <w:pPr>
                    <w:spacing w:line="240" w:lineRule="atLeast"/>
                    <w:jc w:val="center"/>
                    <w:rPr>
                      <w:rFonts w:hint="default"/>
                      <w:color w:val="auto"/>
                      <w:u w:val="none"/>
                      <w:lang w:val="en-US" w:eastAsia="zh-CN"/>
                    </w:rPr>
                  </w:pPr>
                  <w:r>
                    <w:rPr>
                      <w:rFonts w:hint="eastAsia"/>
                      <w:color w:val="000000" w:themeColor="text1"/>
                      <w:sz w:val="24"/>
                      <w:szCs w:val="24"/>
                      <w:u w:val="none"/>
                      <w:lang w:val="en-US" w:eastAsia="zh-CN"/>
                      <w14:textFill>
                        <w14:solidFill>
                          <w14:schemeClr w14:val="tx1"/>
                        </w14:solidFill>
                      </w14:textFill>
                    </w:rPr>
                    <w:t>4500㎡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continue"/>
                  <w:noWrap w:val="0"/>
                  <w:vAlign w:val="center"/>
                </w:tcPr>
                <w:p>
                  <w:pPr>
                    <w:spacing w:line="240" w:lineRule="atLeast"/>
                    <w:jc w:val="center"/>
                    <w:rPr>
                      <w:rFonts w:hint="eastAsia"/>
                      <w:color w:val="auto"/>
                      <w:u w:val="none"/>
                      <w:lang w:eastAsia="zh-CN"/>
                    </w:rPr>
                  </w:pPr>
                </w:p>
              </w:tc>
              <w:tc>
                <w:tcPr>
                  <w:tcW w:w="3212"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干复机</w:t>
                  </w:r>
                </w:p>
              </w:tc>
              <w:tc>
                <w:tcPr>
                  <w:tcW w:w="1360"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1台</w:t>
                  </w:r>
                </w:p>
              </w:tc>
              <w:tc>
                <w:tcPr>
                  <w:tcW w:w="2486" w:type="dxa"/>
                  <w:noWrap w:val="0"/>
                  <w:vAlign w:val="center"/>
                </w:tcPr>
                <w:p>
                  <w:pPr>
                    <w:spacing w:line="240" w:lineRule="atLeast"/>
                    <w:jc w:val="center"/>
                    <w:rPr>
                      <w:rFonts w:hint="default"/>
                      <w:color w:val="auto"/>
                      <w:u w:val="none"/>
                      <w:lang w:val="en-US" w:eastAsia="zh-CN"/>
                    </w:rPr>
                  </w:pPr>
                  <w:r>
                    <w:rPr>
                      <w:rFonts w:hint="eastAsia"/>
                      <w:color w:val="000000" w:themeColor="text1"/>
                      <w:sz w:val="24"/>
                      <w:szCs w:val="24"/>
                      <w:u w:val="none"/>
                      <w:lang w:val="en-US" w:eastAsia="zh-CN"/>
                      <w14:textFill>
                        <w14:solidFill>
                          <w14:schemeClr w14:val="tx1"/>
                        </w14:solidFill>
                      </w14:textFill>
                    </w:rPr>
                    <w:t>5000㎡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continue"/>
                  <w:noWrap w:val="0"/>
                  <w:vAlign w:val="center"/>
                </w:tcPr>
                <w:p>
                  <w:pPr>
                    <w:spacing w:line="240" w:lineRule="atLeast"/>
                    <w:jc w:val="center"/>
                    <w:rPr>
                      <w:rFonts w:hint="default" w:ascii="Times New Roman" w:hAnsi="Times New Roman" w:cs="Times New Roman"/>
                      <w:color w:val="auto"/>
                      <w:sz w:val="21"/>
                      <w:szCs w:val="21"/>
                      <w:u w:val="none"/>
                      <w:lang w:eastAsia="zh-CN"/>
                    </w:rPr>
                  </w:pPr>
                </w:p>
              </w:tc>
              <w:tc>
                <w:tcPr>
                  <w:tcW w:w="3212"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烘干机</w:t>
                  </w:r>
                </w:p>
              </w:tc>
              <w:tc>
                <w:tcPr>
                  <w:tcW w:w="1360"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1台</w:t>
                  </w:r>
                </w:p>
              </w:tc>
              <w:tc>
                <w:tcPr>
                  <w:tcW w:w="2486" w:type="dxa"/>
                  <w:noWrap w:val="0"/>
                  <w:vAlign w:val="center"/>
                </w:tcPr>
                <w:p>
                  <w:pPr>
                    <w:spacing w:line="240" w:lineRule="atLeast"/>
                    <w:jc w:val="center"/>
                    <w:rPr>
                      <w:rFonts w:hint="default"/>
                      <w:color w:val="auto"/>
                      <w:u w:val="none"/>
                      <w:lang w:val="en-US" w:eastAsia="zh-CN"/>
                    </w:rPr>
                  </w:pPr>
                  <w:r>
                    <w:rPr>
                      <w:rFonts w:hint="eastAsia"/>
                      <w:color w:val="auto"/>
                      <w:u w:val="none"/>
                      <w:lang w:val="en-US" w:eastAsia="zh-CN"/>
                    </w:rPr>
                    <w:t>电加热，可满足需求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continue"/>
                  <w:noWrap w:val="0"/>
                  <w:vAlign w:val="center"/>
                </w:tcPr>
                <w:p>
                  <w:pPr>
                    <w:tabs>
                      <w:tab w:val="left" w:pos="1081"/>
                    </w:tabs>
                    <w:adjustRightInd w:val="0"/>
                    <w:snapToGrid w:val="0"/>
                    <w:spacing w:line="400" w:lineRule="exact"/>
                    <w:jc w:val="center"/>
                    <w:rPr>
                      <w:rFonts w:hint="eastAsia"/>
                      <w:color w:val="auto"/>
                      <w:u w:val="none"/>
                      <w:lang w:eastAsia="zh-CN"/>
                    </w:rPr>
                  </w:pPr>
                </w:p>
              </w:tc>
              <w:tc>
                <w:tcPr>
                  <w:tcW w:w="3212"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分切压延机</w:t>
                  </w:r>
                </w:p>
              </w:tc>
              <w:tc>
                <w:tcPr>
                  <w:tcW w:w="1360"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1台</w:t>
                  </w:r>
                </w:p>
              </w:tc>
              <w:tc>
                <w:tcPr>
                  <w:tcW w:w="2486"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color w:val="000000" w:themeColor="text1"/>
                      <w:sz w:val="24"/>
                      <w:szCs w:val="24"/>
                      <w:u w:val="none"/>
                      <w:lang w:val="en-US" w:eastAsia="zh-CN"/>
                      <w14:textFill>
                        <w14:solidFill>
                          <w14:schemeClr w14:val="tx1"/>
                        </w14:solidFill>
                      </w14:textFill>
                    </w:rPr>
                    <w:t>5000㎡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restart"/>
                  <w:noWrap w:val="0"/>
                  <w:vAlign w:val="center"/>
                </w:tcPr>
                <w:p>
                  <w:pPr>
                    <w:spacing w:line="240" w:lineRule="atLeast"/>
                    <w:jc w:val="center"/>
                    <w:rPr>
                      <w:rFonts w:hint="eastAsia"/>
                      <w:color w:val="auto"/>
                      <w:u w:val="none"/>
                      <w:lang w:eastAsia="zh-CN"/>
                    </w:rPr>
                  </w:pPr>
                  <w:r>
                    <w:rPr>
                      <w:rFonts w:hint="eastAsia"/>
                      <w:color w:val="auto"/>
                      <w:u w:val="none"/>
                      <w:lang w:eastAsia="zh-CN"/>
                    </w:rPr>
                    <w:t>环保设备</w:t>
                  </w:r>
                </w:p>
              </w:tc>
              <w:tc>
                <w:tcPr>
                  <w:tcW w:w="3212" w:type="dxa"/>
                  <w:noWrap w:val="0"/>
                  <w:vAlign w:val="center"/>
                </w:tcPr>
                <w:p>
                  <w:pPr>
                    <w:spacing w:line="240" w:lineRule="atLeast"/>
                    <w:jc w:val="center"/>
                    <w:rPr>
                      <w:rFonts w:hint="eastAsia"/>
                      <w:color w:val="auto"/>
                      <w:u w:val="none"/>
                      <w:lang w:eastAsia="zh-CN"/>
                    </w:rPr>
                  </w:pPr>
                  <w:r>
                    <w:rPr>
                      <w:rFonts w:hint="eastAsia"/>
                      <w:color w:val="auto"/>
                      <w:u w:val="none"/>
                      <w:lang w:val="en-US" w:eastAsia="zh-CN"/>
                    </w:rPr>
                    <w:t>“二级活性炭吸附”装置</w:t>
                  </w:r>
                </w:p>
              </w:tc>
              <w:tc>
                <w:tcPr>
                  <w:tcW w:w="1360"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olor w:val="auto"/>
                      <w:u w:val="none"/>
                      <w:lang w:val="en-US" w:eastAsia="zh-CN"/>
                    </w:rPr>
                    <w:t>套</w:t>
                  </w:r>
                </w:p>
              </w:tc>
              <w:tc>
                <w:tcPr>
                  <w:tcW w:w="2486"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095" w:type="dxa"/>
                  <w:vMerge w:val="continue"/>
                  <w:noWrap w:val="0"/>
                  <w:vAlign w:val="center"/>
                </w:tcPr>
                <w:p>
                  <w:pPr>
                    <w:spacing w:line="240" w:lineRule="atLeast"/>
                    <w:jc w:val="center"/>
                    <w:rPr>
                      <w:rFonts w:hint="eastAsia"/>
                      <w:color w:val="auto"/>
                      <w:u w:val="none"/>
                      <w:lang w:eastAsia="zh-CN"/>
                    </w:rPr>
                  </w:pPr>
                </w:p>
              </w:tc>
              <w:tc>
                <w:tcPr>
                  <w:tcW w:w="3212" w:type="dxa"/>
                  <w:noWrap w:val="0"/>
                  <w:vAlign w:val="center"/>
                </w:tcPr>
                <w:p>
                  <w:pPr>
                    <w:spacing w:line="240" w:lineRule="atLeast"/>
                    <w:jc w:val="center"/>
                    <w:rPr>
                      <w:rFonts w:hint="eastAsia"/>
                      <w:color w:val="auto"/>
                      <w:u w:val="none"/>
                      <w:lang w:val="en-US" w:eastAsia="zh-CN"/>
                    </w:rPr>
                  </w:pPr>
                  <w:r>
                    <w:rPr>
                      <w:rFonts w:hint="eastAsia"/>
                      <w:color w:val="auto"/>
                      <w:u w:val="none"/>
                      <w:lang w:val="en-US" w:eastAsia="zh-CN"/>
                    </w:rPr>
                    <w:t>风机</w:t>
                  </w:r>
                </w:p>
              </w:tc>
              <w:tc>
                <w:tcPr>
                  <w:tcW w:w="1360"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1台</w:t>
                  </w:r>
                </w:p>
              </w:tc>
              <w:tc>
                <w:tcPr>
                  <w:tcW w:w="2486" w:type="dxa"/>
                  <w:noWrap w:val="0"/>
                  <w:vAlign w:val="center"/>
                </w:tcPr>
                <w:p>
                  <w:pPr>
                    <w:spacing w:line="240" w:lineRule="atLeast"/>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000m</w:t>
                  </w:r>
                  <w:r>
                    <w:rPr>
                      <w:rFonts w:hint="eastAsia" w:ascii="Times New Roman" w:hAnsi="Times New Roman" w:cs="Times New Roman"/>
                      <w:color w:val="auto"/>
                      <w:sz w:val="21"/>
                      <w:szCs w:val="21"/>
                      <w:u w:val="none"/>
                      <w:vertAlign w:val="superscript"/>
                      <w:lang w:val="en-US" w:eastAsia="zh-CN"/>
                    </w:rPr>
                    <w:t>3</w:t>
                  </w:r>
                  <w:r>
                    <w:rPr>
                      <w:rFonts w:hint="eastAsia" w:ascii="Times New Roman" w:hAnsi="Times New Roman" w:cs="Times New Roman"/>
                      <w:color w:val="auto"/>
                      <w:sz w:val="21"/>
                      <w:szCs w:val="21"/>
                      <w:u w:val="none"/>
                      <w:lang w:val="en-US" w:eastAsia="zh-CN"/>
                    </w:rPr>
                    <w:t>/h</w:t>
                  </w:r>
                </w:p>
              </w:tc>
            </w:tr>
          </w:tbl>
          <w:p>
            <w:pPr>
              <w:keepNext w:val="0"/>
              <w:keepLines w:val="0"/>
              <w:suppressLineNumbers w:val="0"/>
              <w:adjustRightInd w:val="0"/>
              <w:snapToGrid w:val="0"/>
              <w:spacing w:before="0" w:beforeAutospacing="0" w:after="0" w:afterAutospacing="0" w:line="480" w:lineRule="exact"/>
              <w:ind w:left="0" w:right="0" w:firstLine="482" w:firstLineChars="200"/>
              <w:rPr>
                <w:rFonts w:hint="default"/>
                <w:color w:val="000000" w:themeColor="text1"/>
                <w:sz w:val="24"/>
                <w:szCs w:val="24"/>
                <w:u w:val="none"/>
                <w14:textFill>
                  <w14:solidFill>
                    <w14:schemeClr w14:val="tx1"/>
                  </w14:solidFill>
                </w14:textFill>
              </w:rPr>
            </w:pPr>
            <w:r>
              <w:rPr>
                <w:rFonts w:hint="eastAsia" w:cs="宋体"/>
                <w:b/>
                <w:bCs/>
                <w:sz w:val="24"/>
                <w:szCs w:val="24"/>
                <w:u w:val="none"/>
                <w:lang w:val="en-US" w:eastAsia="zh-CN"/>
              </w:rPr>
              <w:t xml:space="preserve"> </w:t>
            </w:r>
            <w:r>
              <w:rPr>
                <w:rFonts w:hint="eastAsia"/>
                <w:color w:val="000000" w:themeColor="text1"/>
                <w:sz w:val="24"/>
                <w:szCs w:val="24"/>
                <w:u w:val="none"/>
                <w:lang w:val="en-US" w:eastAsia="zh-CN"/>
                <w14:textFill>
                  <w14:solidFill>
                    <w14:schemeClr w14:val="tx1"/>
                  </w14:solidFill>
                </w14:textFill>
              </w:rPr>
              <w:t>主要生产设备</w:t>
            </w:r>
            <w:r>
              <w:rPr>
                <w:rFonts w:hint="default"/>
                <w:color w:val="000000" w:themeColor="text1"/>
                <w:sz w:val="24"/>
                <w:szCs w:val="24"/>
                <w:u w:val="none"/>
                <w14:textFill>
                  <w14:solidFill>
                    <w14:schemeClr w14:val="tx1"/>
                  </w14:solidFill>
                </w14:textFill>
              </w:rPr>
              <w:t>产能匹配性分析：</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color w:val="auto"/>
                <w:sz w:val="24"/>
                <w:szCs w:val="24"/>
                <w:highlight w:val="none"/>
                <w:u w:val="none"/>
              </w:rPr>
            </w:pPr>
            <w:r>
              <w:rPr>
                <w:rFonts w:hint="eastAsia"/>
                <w:color w:val="auto"/>
                <w:sz w:val="24"/>
                <w:szCs w:val="24"/>
                <w:highlight w:val="none"/>
                <w:u w:val="none"/>
                <w:lang w:val="en-US" w:eastAsia="zh-CN"/>
              </w:rPr>
              <w:t>搅拌机：</w:t>
            </w:r>
            <w:r>
              <w:rPr>
                <w:rFonts w:hint="default"/>
                <w:color w:val="auto"/>
                <w:sz w:val="24"/>
                <w:szCs w:val="24"/>
                <w:highlight w:val="none"/>
                <w:u w:val="none"/>
              </w:rPr>
              <w:t>项目</w:t>
            </w:r>
            <w:r>
              <w:rPr>
                <w:rFonts w:hint="eastAsia"/>
                <w:color w:val="auto"/>
                <w:sz w:val="24"/>
                <w:szCs w:val="24"/>
                <w:highlight w:val="none"/>
                <w:u w:val="none"/>
              </w:rPr>
              <w:t>采用</w:t>
            </w:r>
            <w:r>
              <w:rPr>
                <w:rFonts w:hint="eastAsia"/>
                <w:color w:val="auto"/>
                <w:sz w:val="24"/>
                <w:szCs w:val="24"/>
                <w:highlight w:val="none"/>
                <w:u w:val="none"/>
                <w:lang w:val="en-US" w:eastAsia="zh-CN"/>
              </w:rPr>
              <w:t>搅拌机1台</w:t>
            </w:r>
            <w:r>
              <w:rPr>
                <w:rFonts w:hint="default"/>
                <w:color w:val="auto"/>
                <w:sz w:val="24"/>
                <w:szCs w:val="24"/>
                <w:highlight w:val="none"/>
                <w:u w:val="none"/>
              </w:rPr>
              <w:t>最大</w:t>
            </w:r>
            <w:r>
              <w:rPr>
                <w:rFonts w:hint="eastAsia"/>
                <w:color w:val="auto"/>
                <w:sz w:val="24"/>
                <w:szCs w:val="24"/>
                <w:highlight w:val="none"/>
                <w:u w:val="none"/>
                <w:lang w:val="en-US" w:eastAsia="zh-CN"/>
              </w:rPr>
              <w:t>处理能力</w:t>
            </w:r>
            <w:r>
              <w:rPr>
                <w:rFonts w:hint="default"/>
                <w:color w:val="auto"/>
                <w:sz w:val="24"/>
                <w:szCs w:val="24"/>
                <w:highlight w:val="none"/>
                <w:u w:val="none"/>
              </w:rPr>
              <w:t>为</w:t>
            </w:r>
            <w:r>
              <w:rPr>
                <w:rFonts w:hint="eastAsia"/>
                <w:color w:val="auto"/>
                <w:sz w:val="24"/>
                <w:szCs w:val="24"/>
                <w:highlight w:val="none"/>
                <w:u w:val="none"/>
                <w:lang w:val="en-US" w:eastAsia="zh-CN"/>
              </w:rPr>
              <w:t>17kg/d</w:t>
            </w:r>
            <w:r>
              <w:rPr>
                <w:rFonts w:hint="eastAsia"/>
                <w:color w:val="auto"/>
                <w:sz w:val="24"/>
                <w:szCs w:val="24"/>
                <w:highlight w:val="none"/>
                <w:u w:val="none"/>
              </w:rPr>
              <w:t>，</w:t>
            </w:r>
            <w:r>
              <w:rPr>
                <w:rFonts w:hint="eastAsia"/>
                <w:color w:val="auto"/>
                <w:sz w:val="24"/>
                <w:szCs w:val="24"/>
                <w:highlight w:val="none"/>
                <w:u w:val="none"/>
                <w:lang w:val="en-US" w:eastAsia="zh-CN"/>
              </w:rPr>
              <w:t>设计每天</w:t>
            </w:r>
            <w:r>
              <w:rPr>
                <w:rFonts w:hint="eastAsia"/>
                <w:color w:val="auto"/>
                <w:sz w:val="24"/>
                <w:szCs w:val="24"/>
                <w:highlight w:val="none"/>
                <w:u w:val="none"/>
              </w:rPr>
              <w:t>工作</w:t>
            </w:r>
            <w:r>
              <w:rPr>
                <w:rFonts w:hint="eastAsia"/>
                <w:color w:val="auto"/>
                <w:sz w:val="24"/>
                <w:szCs w:val="24"/>
                <w:highlight w:val="none"/>
                <w:u w:val="none"/>
                <w:lang w:val="en-US" w:eastAsia="zh-CN"/>
              </w:rPr>
              <w:t>时间最大为0.5h，</w:t>
            </w:r>
            <w:r>
              <w:rPr>
                <w:rFonts w:hint="eastAsia"/>
                <w:color w:val="auto"/>
                <w:sz w:val="24"/>
                <w:szCs w:val="24"/>
                <w:highlight w:val="none"/>
                <w:u w:val="none"/>
              </w:rPr>
              <w:t>年工作</w:t>
            </w:r>
            <w:r>
              <w:rPr>
                <w:rFonts w:hint="eastAsia"/>
                <w:color w:val="auto"/>
                <w:sz w:val="24"/>
                <w:szCs w:val="24"/>
                <w:highlight w:val="none"/>
                <w:u w:val="none"/>
                <w:lang w:val="en-US" w:eastAsia="zh-CN"/>
              </w:rPr>
              <w:t>时间为</w:t>
            </w:r>
            <w:r>
              <w:rPr>
                <w:rFonts w:hint="eastAsia"/>
                <w:color w:val="000000" w:themeColor="text1"/>
                <w:sz w:val="24"/>
                <w:szCs w:val="24"/>
                <w:u w:val="none"/>
                <w:lang w:val="en-US" w:eastAsia="zh-CN"/>
                <w14:textFill>
                  <w14:solidFill>
                    <w14:schemeClr w14:val="tx1"/>
                  </w14:solidFill>
                </w14:textFill>
              </w:rPr>
              <w:t>300天</w:t>
            </w:r>
            <w:r>
              <w:rPr>
                <w:rFonts w:hint="eastAsia"/>
                <w:color w:val="auto"/>
                <w:sz w:val="24"/>
                <w:szCs w:val="24"/>
                <w:highlight w:val="none"/>
                <w:u w:val="none"/>
                <w:lang w:val="en-US" w:eastAsia="zh-CN"/>
              </w:rPr>
              <w:t>，可满足生产</w:t>
            </w:r>
            <w:r>
              <w:rPr>
                <w:rFonts w:hint="eastAsia"/>
                <w:color w:val="auto"/>
                <w:sz w:val="24"/>
                <w:szCs w:val="24"/>
                <w:highlight w:val="none"/>
                <w:u w:val="none"/>
              </w:rPr>
              <w:t>需求；</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eastAsia="宋体"/>
                <w:color w:val="000000" w:themeColor="text1"/>
                <w:sz w:val="24"/>
                <w:szCs w:val="24"/>
                <w:u w:val="none"/>
                <w:lang w:eastAsia="zh-CN"/>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涂布机：</w:t>
            </w:r>
            <w:r>
              <w:rPr>
                <w:rFonts w:hint="default"/>
                <w:color w:val="000000" w:themeColor="text1"/>
                <w:sz w:val="24"/>
                <w:szCs w:val="24"/>
                <w:u w:val="none"/>
                <w14:textFill>
                  <w14:solidFill>
                    <w14:schemeClr w14:val="tx1"/>
                  </w14:solidFill>
                </w14:textFill>
              </w:rPr>
              <w:t>项目</w:t>
            </w:r>
            <w:r>
              <w:rPr>
                <w:rFonts w:hint="eastAsia"/>
                <w:color w:val="000000" w:themeColor="text1"/>
                <w:sz w:val="24"/>
                <w:szCs w:val="24"/>
                <w:u w:val="none"/>
                <w14:textFill>
                  <w14:solidFill>
                    <w14:schemeClr w14:val="tx1"/>
                  </w14:solidFill>
                </w14:textFill>
              </w:rPr>
              <w:t>采用</w:t>
            </w:r>
            <w:r>
              <w:rPr>
                <w:rFonts w:hint="eastAsia"/>
                <w:color w:val="000000" w:themeColor="text1"/>
                <w:sz w:val="24"/>
                <w:szCs w:val="24"/>
                <w:u w:val="none"/>
                <w:lang w:val="en-US" w:eastAsia="zh-CN"/>
                <w14:textFill>
                  <w14:solidFill>
                    <w14:schemeClr w14:val="tx1"/>
                  </w14:solidFill>
                </w14:textFill>
              </w:rPr>
              <w:t>涂布机1台</w:t>
            </w:r>
            <w:r>
              <w:rPr>
                <w:rFonts w:hint="default"/>
                <w:color w:val="000000" w:themeColor="text1"/>
                <w:sz w:val="24"/>
                <w:szCs w:val="24"/>
                <w:u w:val="none"/>
                <w14:textFill>
                  <w14:solidFill>
                    <w14:schemeClr w14:val="tx1"/>
                  </w14:solidFill>
                </w14:textFill>
              </w:rPr>
              <w:t>最大</w:t>
            </w:r>
            <w:r>
              <w:rPr>
                <w:rFonts w:hint="eastAsia"/>
                <w:color w:val="000000" w:themeColor="text1"/>
                <w:sz w:val="24"/>
                <w:szCs w:val="24"/>
                <w:u w:val="none"/>
                <w:lang w:val="en-US" w:eastAsia="zh-CN"/>
                <w14:textFill>
                  <w14:solidFill>
                    <w14:schemeClr w14:val="tx1"/>
                  </w14:solidFill>
                </w14:textFill>
              </w:rPr>
              <w:t>处理能力</w:t>
            </w:r>
            <w:r>
              <w:rPr>
                <w:rFonts w:hint="default"/>
                <w:color w:val="000000" w:themeColor="text1"/>
                <w:sz w:val="24"/>
                <w:szCs w:val="24"/>
                <w:u w:val="none"/>
                <w14:textFill>
                  <w14:solidFill>
                    <w14:schemeClr w14:val="tx1"/>
                  </w14:solidFill>
                </w14:textFill>
              </w:rPr>
              <w:t>为</w:t>
            </w:r>
            <w:r>
              <w:rPr>
                <w:rFonts w:hint="eastAsia"/>
                <w:color w:val="000000" w:themeColor="text1"/>
                <w:sz w:val="24"/>
                <w:szCs w:val="24"/>
                <w:u w:val="none"/>
                <w:lang w:val="en-US" w:eastAsia="zh-CN"/>
                <w14:textFill>
                  <w14:solidFill>
                    <w14:schemeClr w14:val="tx1"/>
                  </w14:solidFill>
                </w14:textFill>
              </w:rPr>
              <w:t>4500㎡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设计每天</w:t>
            </w:r>
            <w:r>
              <w:rPr>
                <w:rFonts w:hint="eastAsia"/>
                <w:color w:val="000000" w:themeColor="text1"/>
                <w:sz w:val="24"/>
                <w:szCs w:val="24"/>
                <w:u w:val="none"/>
                <w14:textFill>
                  <w14:solidFill>
                    <w14:schemeClr w14:val="tx1"/>
                  </w14:solidFill>
                </w14:textFill>
              </w:rPr>
              <w:t>工作</w:t>
            </w:r>
            <w:r>
              <w:rPr>
                <w:rFonts w:hint="eastAsia"/>
                <w:color w:val="000000" w:themeColor="text1"/>
                <w:sz w:val="24"/>
                <w:szCs w:val="24"/>
                <w:u w:val="none"/>
                <w:lang w:val="en-US" w:eastAsia="zh-CN"/>
                <w14:textFill>
                  <w14:solidFill>
                    <w14:schemeClr w14:val="tx1"/>
                  </w14:solidFill>
                </w14:textFill>
              </w:rPr>
              <w:t>时间最大为7.5h，年工作时间为300天，</w:t>
            </w:r>
            <w:r>
              <w:rPr>
                <w:rFonts w:hint="eastAsia"/>
                <w:color w:val="000000" w:themeColor="text1"/>
                <w:sz w:val="24"/>
                <w:szCs w:val="24"/>
                <w:u w:val="none"/>
                <w14:textFill>
                  <w14:solidFill>
                    <w14:schemeClr w14:val="tx1"/>
                  </w14:solidFill>
                </w14:textFill>
              </w:rPr>
              <w:t>年</w:t>
            </w:r>
            <w:r>
              <w:rPr>
                <w:rFonts w:hint="eastAsia"/>
                <w:color w:val="000000" w:themeColor="text1"/>
                <w:sz w:val="24"/>
                <w:szCs w:val="24"/>
                <w:u w:val="none"/>
                <w:lang w:val="en-US" w:eastAsia="zh-CN"/>
                <w14:textFill>
                  <w14:solidFill>
                    <w14:schemeClr w14:val="tx1"/>
                  </w14:solidFill>
                </w14:textFill>
              </w:rPr>
              <w:t>处理量</w:t>
            </w:r>
            <w:r>
              <w:rPr>
                <w:rFonts w:hint="eastAsia"/>
                <w:color w:val="000000" w:themeColor="text1"/>
                <w:sz w:val="24"/>
                <w:szCs w:val="24"/>
                <w:u w:val="none"/>
                <w14:textFill>
                  <w14:solidFill>
                    <w14:schemeClr w14:val="tx1"/>
                  </w14:solidFill>
                </w14:textFill>
              </w:rPr>
              <w:t>合计可达</w:t>
            </w:r>
            <w:r>
              <w:rPr>
                <w:rFonts w:hint="eastAsia"/>
                <w:color w:val="000000" w:themeColor="text1"/>
                <w:sz w:val="24"/>
                <w:szCs w:val="24"/>
                <w:u w:val="none"/>
                <w:lang w:val="en-US" w:eastAsia="zh-CN"/>
                <w14:textFill>
                  <w14:solidFill>
                    <w14:schemeClr w14:val="tx1"/>
                  </w14:solidFill>
                </w14:textFill>
              </w:rPr>
              <w:t>1012.5万㎡</w:t>
            </w:r>
            <w:r>
              <w:rPr>
                <w:rFonts w:hint="eastAsia"/>
                <w:color w:val="000000" w:themeColor="text1"/>
                <w:sz w:val="24"/>
                <w:szCs w:val="24"/>
                <w:u w:val="none"/>
                <w14:textFill>
                  <w14:solidFill>
                    <w14:schemeClr w14:val="tx1"/>
                  </w14:solidFill>
                </w14:textFill>
              </w:rPr>
              <w:t>，可满足项目</w:t>
            </w:r>
            <w:r>
              <w:rPr>
                <w:rFonts w:hint="eastAsia"/>
                <w:color w:val="000000" w:themeColor="text1"/>
                <w:sz w:val="24"/>
                <w:szCs w:val="24"/>
                <w:u w:val="none"/>
                <w:lang w:val="en-US" w:eastAsia="zh-CN"/>
                <w14:textFill>
                  <w14:solidFill>
                    <w14:schemeClr w14:val="tx1"/>
                  </w14:solidFill>
                </w14:textFill>
              </w:rPr>
              <w:t>最大涂布量</w:t>
            </w:r>
            <w:r>
              <w:rPr>
                <w:rFonts w:hint="eastAsia"/>
                <w:color w:val="000000" w:themeColor="text1"/>
                <w:sz w:val="24"/>
                <w:szCs w:val="24"/>
                <w:u w:val="none"/>
                <w14:textFill>
                  <w14:solidFill>
                    <w14:schemeClr w14:val="tx1"/>
                  </w14:solidFill>
                </w14:textFill>
              </w:rPr>
              <w:t>的需求</w:t>
            </w:r>
            <w:r>
              <w:rPr>
                <w:rFonts w:hint="eastAsia"/>
                <w:color w:val="000000" w:themeColor="text1"/>
                <w:sz w:val="24"/>
                <w:szCs w:val="24"/>
                <w:u w:val="none"/>
                <w:lang w:eastAsia="zh-CN"/>
                <w14:textFill>
                  <w14:solidFill>
                    <w14:schemeClr w14:val="tx1"/>
                  </w14:solidFill>
                </w14:textFill>
              </w:rPr>
              <w:t>；</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干复机：</w:t>
            </w:r>
            <w:r>
              <w:rPr>
                <w:rFonts w:hint="default"/>
                <w:color w:val="000000" w:themeColor="text1"/>
                <w:sz w:val="24"/>
                <w:szCs w:val="24"/>
                <w:u w:val="none"/>
                <w14:textFill>
                  <w14:solidFill>
                    <w14:schemeClr w14:val="tx1"/>
                  </w14:solidFill>
                </w14:textFill>
              </w:rPr>
              <w:t>项目</w:t>
            </w:r>
            <w:r>
              <w:rPr>
                <w:rFonts w:hint="eastAsia"/>
                <w:color w:val="000000" w:themeColor="text1"/>
                <w:sz w:val="24"/>
                <w:szCs w:val="24"/>
                <w:u w:val="none"/>
                <w14:textFill>
                  <w14:solidFill>
                    <w14:schemeClr w14:val="tx1"/>
                  </w14:solidFill>
                </w14:textFill>
              </w:rPr>
              <w:t>采用</w:t>
            </w:r>
            <w:r>
              <w:rPr>
                <w:rFonts w:hint="eastAsia"/>
                <w:color w:val="000000" w:themeColor="text1"/>
                <w:sz w:val="24"/>
                <w:szCs w:val="24"/>
                <w:u w:val="none"/>
                <w:lang w:val="en-US" w:eastAsia="zh-CN"/>
                <w14:textFill>
                  <w14:solidFill>
                    <w14:schemeClr w14:val="tx1"/>
                  </w14:solidFill>
                </w14:textFill>
              </w:rPr>
              <w:t>干复机1台</w:t>
            </w:r>
            <w:r>
              <w:rPr>
                <w:rFonts w:hint="default"/>
                <w:color w:val="000000" w:themeColor="text1"/>
                <w:sz w:val="24"/>
                <w:szCs w:val="24"/>
                <w:u w:val="none"/>
                <w14:textFill>
                  <w14:solidFill>
                    <w14:schemeClr w14:val="tx1"/>
                  </w14:solidFill>
                </w14:textFill>
              </w:rPr>
              <w:t>最大</w:t>
            </w:r>
            <w:r>
              <w:rPr>
                <w:rFonts w:hint="eastAsia"/>
                <w:color w:val="000000" w:themeColor="text1"/>
                <w:sz w:val="24"/>
                <w:szCs w:val="24"/>
                <w:u w:val="none"/>
                <w:lang w:val="en-US" w:eastAsia="zh-CN"/>
                <w14:textFill>
                  <w14:solidFill>
                    <w14:schemeClr w14:val="tx1"/>
                  </w14:solidFill>
                </w14:textFill>
              </w:rPr>
              <w:t>处理能力</w:t>
            </w:r>
            <w:r>
              <w:rPr>
                <w:rFonts w:hint="default"/>
                <w:color w:val="000000" w:themeColor="text1"/>
                <w:sz w:val="24"/>
                <w:szCs w:val="24"/>
                <w:u w:val="none"/>
                <w14:textFill>
                  <w14:solidFill>
                    <w14:schemeClr w14:val="tx1"/>
                  </w14:solidFill>
                </w14:textFill>
              </w:rPr>
              <w:t>为</w:t>
            </w:r>
            <w:r>
              <w:rPr>
                <w:rFonts w:hint="eastAsia"/>
                <w:color w:val="000000" w:themeColor="text1"/>
                <w:sz w:val="24"/>
                <w:szCs w:val="24"/>
                <w:u w:val="none"/>
                <w:lang w:val="en-US" w:eastAsia="zh-CN"/>
                <w14:textFill>
                  <w14:solidFill>
                    <w14:schemeClr w14:val="tx1"/>
                  </w14:solidFill>
                </w14:textFill>
              </w:rPr>
              <w:t>5000㎡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设计每天</w:t>
            </w:r>
            <w:r>
              <w:rPr>
                <w:rFonts w:hint="eastAsia"/>
                <w:color w:val="000000" w:themeColor="text1"/>
                <w:sz w:val="24"/>
                <w:szCs w:val="24"/>
                <w:u w:val="none"/>
                <w14:textFill>
                  <w14:solidFill>
                    <w14:schemeClr w14:val="tx1"/>
                  </w14:solidFill>
                </w14:textFill>
              </w:rPr>
              <w:t>工作</w:t>
            </w:r>
            <w:r>
              <w:rPr>
                <w:rFonts w:hint="eastAsia"/>
                <w:color w:val="000000" w:themeColor="text1"/>
                <w:sz w:val="24"/>
                <w:szCs w:val="24"/>
                <w:u w:val="none"/>
                <w:lang w:val="en-US" w:eastAsia="zh-CN"/>
                <w14:textFill>
                  <w14:solidFill>
                    <w14:schemeClr w14:val="tx1"/>
                  </w14:solidFill>
                </w14:textFill>
              </w:rPr>
              <w:t>时间最大为7.5h，年工作时间为300天，</w:t>
            </w:r>
            <w:r>
              <w:rPr>
                <w:rFonts w:hint="eastAsia"/>
                <w:color w:val="000000" w:themeColor="text1"/>
                <w:sz w:val="24"/>
                <w:szCs w:val="24"/>
                <w:u w:val="none"/>
                <w14:textFill>
                  <w14:solidFill>
                    <w14:schemeClr w14:val="tx1"/>
                  </w14:solidFill>
                </w14:textFill>
              </w:rPr>
              <w:t>年</w:t>
            </w:r>
            <w:r>
              <w:rPr>
                <w:rFonts w:hint="eastAsia"/>
                <w:color w:val="000000" w:themeColor="text1"/>
                <w:sz w:val="24"/>
                <w:szCs w:val="24"/>
                <w:u w:val="none"/>
                <w:lang w:val="en-US" w:eastAsia="zh-CN"/>
                <w14:textFill>
                  <w14:solidFill>
                    <w14:schemeClr w14:val="tx1"/>
                  </w14:solidFill>
                </w14:textFill>
              </w:rPr>
              <w:t>处理量</w:t>
            </w:r>
            <w:r>
              <w:rPr>
                <w:rFonts w:hint="eastAsia"/>
                <w:color w:val="000000" w:themeColor="text1"/>
                <w:sz w:val="24"/>
                <w:szCs w:val="24"/>
                <w:u w:val="none"/>
                <w14:textFill>
                  <w14:solidFill>
                    <w14:schemeClr w14:val="tx1"/>
                  </w14:solidFill>
                </w14:textFill>
              </w:rPr>
              <w:t>合计可达</w:t>
            </w:r>
            <w:r>
              <w:rPr>
                <w:rFonts w:hint="eastAsia"/>
                <w:color w:val="000000" w:themeColor="text1"/>
                <w:sz w:val="24"/>
                <w:szCs w:val="24"/>
                <w:u w:val="none"/>
                <w:lang w:val="en-US" w:eastAsia="zh-CN"/>
                <w14:textFill>
                  <w14:solidFill>
                    <w14:schemeClr w14:val="tx1"/>
                  </w14:solidFill>
                </w14:textFill>
              </w:rPr>
              <w:t>1125万㎡</w:t>
            </w:r>
            <w:r>
              <w:rPr>
                <w:rFonts w:hint="eastAsia"/>
                <w:color w:val="000000" w:themeColor="text1"/>
                <w:sz w:val="24"/>
                <w:szCs w:val="24"/>
                <w:u w:val="none"/>
                <w14:textFill>
                  <w14:solidFill>
                    <w14:schemeClr w14:val="tx1"/>
                  </w14:solidFill>
                </w14:textFill>
              </w:rPr>
              <w:t>，可满足项目</w:t>
            </w:r>
            <w:r>
              <w:rPr>
                <w:rFonts w:hint="eastAsia"/>
                <w:color w:val="000000" w:themeColor="text1"/>
                <w:sz w:val="24"/>
                <w:szCs w:val="24"/>
                <w:u w:val="none"/>
                <w:lang w:val="en-US" w:eastAsia="zh-CN"/>
                <w14:textFill>
                  <w14:solidFill>
                    <w14:schemeClr w14:val="tx1"/>
                  </w14:solidFill>
                </w14:textFill>
              </w:rPr>
              <w:t>最大干复量</w:t>
            </w:r>
            <w:r>
              <w:rPr>
                <w:rFonts w:hint="eastAsia"/>
                <w:color w:val="000000" w:themeColor="text1"/>
                <w:sz w:val="24"/>
                <w:szCs w:val="24"/>
                <w:u w:val="none"/>
                <w14:textFill>
                  <w14:solidFill>
                    <w14:schemeClr w14:val="tx1"/>
                  </w14:solidFill>
                </w14:textFill>
              </w:rPr>
              <w:t>的需求</w:t>
            </w:r>
            <w:r>
              <w:rPr>
                <w:rFonts w:hint="eastAsia"/>
                <w:color w:val="000000" w:themeColor="text1"/>
                <w:sz w:val="24"/>
                <w:szCs w:val="24"/>
                <w:u w:val="none"/>
                <w:lang w:eastAsia="zh-CN"/>
                <w14:textFill>
                  <w14:solidFill>
                    <w14:schemeClr w14:val="tx1"/>
                  </w14:solidFill>
                </w14:textFill>
              </w:rPr>
              <w:t>；</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color w:val="000000" w:themeColor="text1"/>
                <w:sz w:val="24"/>
                <w:szCs w:val="24"/>
                <w:u w:val="none"/>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烘干机</w:t>
            </w:r>
            <w:r>
              <w:rPr>
                <w:rFonts w:hint="eastAsia"/>
                <w:color w:val="000000" w:themeColor="text1"/>
                <w:sz w:val="24"/>
                <w:szCs w:val="24"/>
                <w:u w:val="none"/>
                <w:lang w:val="en-US" w:eastAsia="zh-CN"/>
                <w14:textFill>
                  <w14:solidFill>
                    <w14:schemeClr w14:val="tx1"/>
                  </w14:solidFill>
                </w14:textFill>
              </w:rPr>
              <w:t>：</w:t>
            </w:r>
            <w:r>
              <w:rPr>
                <w:rFonts w:hint="default"/>
                <w:color w:val="000000" w:themeColor="text1"/>
                <w:sz w:val="24"/>
                <w:szCs w:val="24"/>
                <w:u w:val="none"/>
                <w14:textFill>
                  <w14:solidFill>
                    <w14:schemeClr w14:val="tx1"/>
                  </w14:solidFill>
                </w14:textFill>
              </w:rPr>
              <w:t>项目</w:t>
            </w:r>
            <w:r>
              <w:rPr>
                <w:rFonts w:hint="eastAsia"/>
                <w:color w:val="000000" w:themeColor="text1"/>
                <w:sz w:val="24"/>
                <w:szCs w:val="24"/>
                <w:u w:val="none"/>
                <w14:textFill>
                  <w14:solidFill>
                    <w14:schemeClr w14:val="tx1"/>
                  </w14:solidFill>
                </w14:textFill>
              </w:rPr>
              <w:t>采用</w:t>
            </w:r>
            <w:r>
              <w:rPr>
                <w:rFonts w:hint="eastAsia"/>
                <w:color w:val="000000" w:themeColor="text1"/>
                <w:sz w:val="24"/>
                <w:szCs w:val="24"/>
                <w:u w:val="none"/>
                <w:lang w:val="en-US" w:eastAsia="zh-CN"/>
                <w14:textFill>
                  <w14:solidFill>
                    <w14:schemeClr w14:val="tx1"/>
                  </w14:solidFill>
                </w14:textFill>
              </w:rPr>
              <w:t>烘干机1台</w:t>
            </w:r>
            <w:r>
              <w:rPr>
                <w:rFonts w:hint="default"/>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设计每天平均工作7.5h，可满足</w:t>
            </w:r>
            <w:r>
              <w:rPr>
                <w:rFonts w:hint="eastAsia"/>
                <w:color w:val="auto"/>
                <w:sz w:val="24"/>
                <w:szCs w:val="24"/>
                <w:highlight w:val="none"/>
                <w:u w:val="none"/>
                <w:lang w:val="en-US" w:eastAsia="zh-CN"/>
              </w:rPr>
              <w:t>生产</w:t>
            </w:r>
            <w:r>
              <w:rPr>
                <w:rFonts w:hint="eastAsia"/>
                <w:color w:val="000000" w:themeColor="text1"/>
                <w:sz w:val="24"/>
                <w:szCs w:val="24"/>
                <w:u w:val="none"/>
                <w14:textFill>
                  <w14:solidFill>
                    <w14:schemeClr w14:val="tx1"/>
                  </w14:solidFill>
                </w14:textFill>
              </w:rPr>
              <w:t>需求；</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eastAsia="宋体"/>
                <w:color w:val="000000" w:themeColor="text1"/>
                <w:sz w:val="24"/>
                <w:szCs w:val="24"/>
                <w:u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分切压延机</w:t>
            </w:r>
            <w:r>
              <w:rPr>
                <w:rFonts w:hint="eastAsia"/>
                <w:color w:val="000000" w:themeColor="text1"/>
                <w:sz w:val="24"/>
                <w:szCs w:val="24"/>
                <w:u w:val="none"/>
                <w:lang w:val="en-US" w:eastAsia="zh-CN"/>
                <w14:textFill>
                  <w14:solidFill>
                    <w14:schemeClr w14:val="tx1"/>
                  </w14:solidFill>
                </w14:textFill>
              </w:rPr>
              <w:t>：</w:t>
            </w:r>
            <w:r>
              <w:rPr>
                <w:rFonts w:hint="default"/>
                <w:color w:val="000000" w:themeColor="text1"/>
                <w:sz w:val="24"/>
                <w:szCs w:val="24"/>
                <w:u w:val="none"/>
                <w14:textFill>
                  <w14:solidFill>
                    <w14:schemeClr w14:val="tx1"/>
                  </w14:solidFill>
                </w14:textFill>
              </w:rPr>
              <w:t>项目</w:t>
            </w:r>
            <w:r>
              <w:rPr>
                <w:rFonts w:hint="eastAsia"/>
                <w:color w:val="000000" w:themeColor="text1"/>
                <w:sz w:val="24"/>
                <w:szCs w:val="24"/>
                <w:u w:val="none"/>
                <w14:textFill>
                  <w14:solidFill>
                    <w14:schemeClr w14:val="tx1"/>
                  </w14:solidFill>
                </w14:textFill>
              </w:rPr>
              <w:t>采用</w:t>
            </w:r>
            <w:r>
              <w:rPr>
                <w:rFonts w:hint="eastAsia"/>
                <w:color w:val="000000" w:themeColor="text1"/>
                <w:sz w:val="24"/>
                <w:szCs w:val="24"/>
                <w:u w:val="none"/>
                <w:lang w:val="en-US" w:eastAsia="zh-CN"/>
                <w14:textFill>
                  <w14:solidFill>
                    <w14:schemeClr w14:val="tx1"/>
                  </w14:solidFill>
                </w14:textFill>
              </w:rPr>
              <w:t>分切压延机1台</w:t>
            </w:r>
            <w:r>
              <w:rPr>
                <w:rFonts w:hint="default"/>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每小时</w:t>
            </w:r>
            <w:r>
              <w:rPr>
                <w:rFonts w:hint="default"/>
                <w:color w:val="000000" w:themeColor="text1"/>
                <w:sz w:val="24"/>
                <w:szCs w:val="24"/>
                <w:u w:val="none"/>
                <w14:textFill>
                  <w14:solidFill>
                    <w14:schemeClr w14:val="tx1"/>
                  </w14:solidFill>
                </w14:textFill>
              </w:rPr>
              <w:t>最大</w:t>
            </w:r>
            <w:r>
              <w:rPr>
                <w:rFonts w:hint="eastAsia"/>
                <w:color w:val="000000" w:themeColor="text1"/>
                <w:sz w:val="24"/>
                <w:szCs w:val="24"/>
                <w:u w:val="none"/>
                <w:lang w:val="en-US" w:eastAsia="zh-CN"/>
                <w14:textFill>
                  <w14:solidFill>
                    <w14:schemeClr w14:val="tx1"/>
                  </w14:solidFill>
                </w14:textFill>
              </w:rPr>
              <w:t>处理能力为5000㎡</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h，设计每天</w:t>
            </w:r>
            <w:r>
              <w:rPr>
                <w:rFonts w:hint="eastAsia"/>
                <w:color w:val="000000" w:themeColor="text1"/>
                <w:sz w:val="24"/>
                <w:szCs w:val="24"/>
                <w:u w:val="none"/>
                <w14:textFill>
                  <w14:solidFill>
                    <w14:schemeClr w14:val="tx1"/>
                  </w14:solidFill>
                </w14:textFill>
              </w:rPr>
              <w:t>工作</w:t>
            </w:r>
            <w:r>
              <w:rPr>
                <w:rFonts w:hint="eastAsia"/>
                <w:color w:val="000000" w:themeColor="text1"/>
                <w:sz w:val="24"/>
                <w:szCs w:val="24"/>
                <w:u w:val="none"/>
                <w:lang w:val="en-US" w:eastAsia="zh-CN"/>
                <w14:textFill>
                  <w14:solidFill>
                    <w14:schemeClr w14:val="tx1"/>
                  </w14:solidFill>
                </w14:textFill>
              </w:rPr>
              <w:t>时间最大为7.5h，</w:t>
            </w:r>
            <w:r>
              <w:rPr>
                <w:rFonts w:hint="eastAsia"/>
                <w:color w:val="000000" w:themeColor="text1"/>
                <w:sz w:val="24"/>
                <w:szCs w:val="24"/>
                <w:u w:val="none"/>
                <w14:textFill>
                  <w14:solidFill>
                    <w14:schemeClr w14:val="tx1"/>
                  </w14:solidFill>
                </w14:textFill>
              </w:rPr>
              <w:t>年</w:t>
            </w:r>
            <w:r>
              <w:rPr>
                <w:rFonts w:hint="eastAsia"/>
                <w:color w:val="000000" w:themeColor="text1"/>
                <w:sz w:val="24"/>
                <w:szCs w:val="24"/>
                <w:u w:val="none"/>
                <w:lang w:val="en-US" w:eastAsia="zh-CN"/>
                <w14:textFill>
                  <w14:solidFill>
                    <w14:schemeClr w14:val="tx1"/>
                  </w14:solidFill>
                </w14:textFill>
              </w:rPr>
              <w:t>处理量</w:t>
            </w:r>
            <w:r>
              <w:rPr>
                <w:rFonts w:hint="eastAsia"/>
                <w:color w:val="000000" w:themeColor="text1"/>
                <w:sz w:val="24"/>
                <w:szCs w:val="24"/>
                <w:u w:val="none"/>
                <w14:textFill>
                  <w14:solidFill>
                    <w14:schemeClr w14:val="tx1"/>
                  </w14:solidFill>
                </w14:textFill>
              </w:rPr>
              <w:t>合计可达</w:t>
            </w:r>
            <w:r>
              <w:rPr>
                <w:rFonts w:hint="eastAsia"/>
                <w:color w:val="000000" w:themeColor="text1"/>
                <w:sz w:val="24"/>
                <w:szCs w:val="24"/>
                <w:u w:val="none"/>
                <w:lang w:val="en-US" w:eastAsia="zh-CN"/>
                <w14:textFill>
                  <w14:solidFill>
                    <w14:schemeClr w14:val="tx1"/>
                  </w14:solidFill>
                </w14:textFill>
              </w:rPr>
              <w:t>1125万㎡</w:t>
            </w:r>
            <w:r>
              <w:rPr>
                <w:rFonts w:hint="eastAsia"/>
                <w:color w:val="000000" w:themeColor="text1"/>
                <w:sz w:val="24"/>
                <w:szCs w:val="24"/>
                <w:u w:val="none"/>
                <w14:textFill>
                  <w14:solidFill>
                    <w14:schemeClr w14:val="tx1"/>
                  </w14:solidFill>
                </w14:textFill>
              </w:rPr>
              <w:t>，可满足项目需求</w:t>
            </w:r>
            <w:r>
              <w:rPr>
                <w:rFonts w:hint="eastAsia"/>
                <w:color w:val="000000" w:themeColor="text1"/>
                <w:sz w:val="24"/>
                <w:szCs w:val="24"/>
                <w:u w:val="none"/>
                <w:lang w:eastAsia="zh-CN"/>
                <w14:textFill>
                  <w14:solidFill>
                    <w14:schemeClr w14:val="tx1"/>
                  </w14:solidFill>
                </w14:textFill>
              </w:rPr>
              <w:t>；</w:t>
            </w:r>
          </w:p>
          <w:p>
            <w:pPr>
              <w:keepNext w:val="0"/>
              <w:keepLines w:val="0"/>
              <w:suppressLineNumbers w:val="0"/>
              <w:adjustRightInd w:val="0"/>
              <w:snapToGrid w:val="0"/>
              <w:spacing w:before="0" w:beforeAutospacing="0" w:after="0" w:afterAutospacing="0" w:line="480" w:lineRule="exact"/>
              <w:ind w:left="0" w:right="0" w:firstLine="480" w:firstLineChars="200"/>
              <w:rPr>
                <w:rFonts w:hint="eastAsia"/>
                <w:color w:val="000000" w:themeColor="text1"/>
                <w:sz w:val="24"/>
                <w:szCs w:val="24"/>
                <w:u w:val="none"/>
                <w:lang w:val="en-US" w:eastAsia="zh-CN"/>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项目原料艾绒布用量约为1001万平方/a，搅拌机、涂布机、</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干复机</w:t>
            </w:r>
            <w:r>
              <w:rPr>
                <w:rFonts w:hint="eastAsia"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烘干机、分切压延机</w:t>
            </w:r>
            <w:r>
              <w:rPr>
                <w:rFonts w:hint="eastAsia"/>
                <w:color w:val="000000" w:themeColor="text1"/>
                <w:sz w:val="24"/>
                <w:szCs w:val="24"/>
                <w:u w:val="none"/>
                <w:lang w:val="en-US" w:eastAsia="zh-CN"/>
                <w14:textFill>
                  <w14:solidFill>
                    <w14:schemeClr w14:val="tx1"/>
                  </w14:solidFill>
                </w14:textFill>
              </w:rPr>
              <w:t>均可满足项目需求，考虑加工过程中原料耗材损失，故项目最终设计产能为年产1000万平方/a。</w:t>
            </w:r>
          </w:p>
          <w:p>
            <w:pPr>
              <w:pStyle w:val="61"/>
              <w:spacing w:line="500" w:lineRule="exact"/>
              <w:ind w:left="0" w:leftChars="0" w:firstLine="0" w:firstLineChars="0"/>
              <w:rPr>
                <w:rFonts w:hint="eastAsia" w:ascii="宋体" w:hAnsi="宋体" w:eastAsia="宋体" w:cs="宋体"/>
                <w:b/>
                <w:bCs/>
              </w:rPr>
            </w:pPr>
            <w:r>
              <w:rPr>
                <w:rFonts w:hint="eastAsia" w:ascii="宋体" w:hAnsi="宋体" w:eastAsia="宋体" w:cs="宋体"/>
                <w:b/>
                <w:bCs/>
                <w:lang w:val="en-US" w:eastAsia="zh-CN"/>
              </w:rPr>
              <w:t>4</w:t>
            </w:r>
            <w:r>
              <w:rPr>
                <w:rFonts w:hint="eastAsia" w:ascii="宋体" w:hAnsi="宋体" w:eastAsia="宋体" w:cs="宋体"/>
                <w:b/>
                <w:bCs/>
              </w:rPr>
              <w:t>、主要原辅材料用量</w:t>
            </w:r>
          </w:p>
          <w:p>
            <w:pPr>
              <w:pStyle w:val="61"/>
              <w:spacing w:line="500" w:lineRule="exact"/>
              <w:ind w:firstLine="480"/>
              <w:rPr>
                <w:rFonts w:hint="default" w:ascii="Times New Roman" w:hAnsi="Times New Roman" w:cs="Times New Roman"/>
              </w:rPr>
            </w:pPr>
            <w:r>
              <w:rPr>
                <w:rFonts w:hint="default" w:ascii="Times New Roman" w:hAnsi="Times New Roman" w:cs="Times New Roman"/>
              </w:rPr>
              <w:t>本项目主要原料</w:t>
            </w:r>
            <w:r>
              <w:rPr>
                <w:rFonts w:hint="eastAsia" w:ascii="Times New Roman" w:hAnsi="Times New Roman" w:cs="Times New Roman"/>
                <w:lang w:eastAsia="zh-CN"/>
              </w:rPr>
              <w:t>及</w:t>
            </w:r>
            <w:r>
              <w:rPr>
                <w:rFonts w:hint="default" w:ascii="Times New Roman" w:hAnsi="Times New Roman" w:cs="Times New Roman"/>
              </w:rPr>
              <w:t>其消耗量</w:t>
            </w:r>
            <w:r>
              <w:rPr>
                <w:rFonts w:hint="eastAsia" w:ascii="Times New Roman" w:hAnsi="Times New Roman" w:cs="Times New Roman"/>
                <w:lang w:val="en-US" w:eastAsia="zh-CN"/>
              </w:rPr>
              <w:t>下</w:t>
            </w:r>
            <w:r>
              <w:rPr>
                <w:rFonts w:hint="default" w:ascii="Times New Roman" w:hAnsi="Times New Roman" w:cs="Times New Roman"/>
              </w:rPr>
              <w:t>表。</w:t>
            </w:r>
          </w:p>
          <w:p>
            <w:pPr>
              <w:pStyle w:val="61"/>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w:t>
            </w:r>
            <w:r>
              <w:rPr>
                <w:rFonts w:hint="eastAsia" w:ascii="Times New Roman" w:hAnsi="Times New Roman" w:eastAsia="宋体" w:cs="Times New Roman"/>
                <w:b/>
                <w:bCs w:val="0"/>
                <w:color w:val="auto"/>
                <w:kern w:val="2"/>
                <w:sz w:val="24"/>
                <w:szCs w:val="24"/>
                <w:lang w:val="en-US" w:eastAsia="zh-CN" w:bidi="ar-SA"/>
              </w:rPr>
              <w:t>2-3   主要原辅材料及能源消耗一览表</w:t>
            </w:r>
          </w:p>
          <w:tbl>
            <w:tblPr>
              <w:tblStyle w:val="26"/>
              <w:tblW w:w="815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2081"/>
              <w:gridCol w:w="1569"/>
              <w:gridCol w:w="3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noWrap w:val="0"/>
                  <w:vAlign w:val="center"/>
                </w:tcPr>
                <w:p>
                  <w:pPr>
                    <w:tabs>
                      <w:tab w:val="left" w:pos="1081"/>
                    </w:tabs>
                    <w:adjustRightInd w:val="0"/>
                    <w:snapToGrid w:val="0"/>
                    <w:spacing w:line="240" w:lineRule="auto"/>
                    <w:jc w:val="center"/>
                    <w:rPr>
                      <w:rFonts w:hint="eastAsia"/>
                      <w:b/>
                      <w:bCs/>
                      <w:sz w:val="21"/>
                      <w:szCs w:val="21"/>
                      <w:lang w:eastAsia="zh-CN"/>
                    </w:rPr>
                  </w:pPr>
                  <w:r>
                    <w:rPr>
                      <w:rFonts w:hint="eastAsia"/>
                      <w:b/>
                      <w:bCs/>
                      <w:sz w:val="21"/>
                      <w:szCs w:val="21"/>
                      <w:lang w:val="en-US" w:eastAsia="zh-CN"/>
                    </w:rPr>
                    <w:t>序号</w:t>
                  </w:r>
                </w:p>
              </w:tc>
              <w:tc>
                <w:tcPr>
                  <w:tcW w:w="2081" w:type="dxa"/>
                  <w:noWrap w:val="0"/>
                  <w:vAlign w:val="center"/>
                </w:tcPr>
                <w:p>
                  <w:pPr>
                    <w:tabs>
                      <w:tab w:val="left" w:pos="1081"/>
                    </w:tabs>
                    <w:adjustRightInd w:val="0"/>
                    <w:snapToGrid w:val="0"/>
                    <w:spacing w:line="240" w:lineRule="auto"/>
                    <w:jc w:val="center"/>
                    <w:rPr>
                      <w:rFonts w:hint="eastAsia"/>
                      <w:b/>
                      <w:bCs/>
                      <w:sz w:val="21"/>
                      <w:szCs w:val="21"/>
                      <w:lang w:eastAsia="zh-CN"/>
                    </w:rPr>
                  </w:pPr>
                  <w:r>
                    <w:rPr>
                      <w:b/>
                      <w:bCs/>
                      <w:sz w:val="21"/>
                      <w:szCs w:val="21"/>
                    </w:rPr>
                    <w:t>原材料</w:t>
                  </w:r>
                  <w:r>
                    <w:rPr>
                      <w:rFonts w:hint="eastAsia"/>
                      <w:b/>
                      <w:bCs/>
                      <w:sz w:val="21"/>
                      <w:szCs w:val="21"/>
                      <w:lang w:eastAsia="zh-CN"/>
                    </w:rPr>
                    <w:t>名称</w:t>
                  </w:r>
                </w:p>
              </w:tc>
              <w:tc>
                <w:tcPr>
                  <w:tcW w:w="1569" w:type="dxa"/>
                  <w:noWrap w:val="0"/>
                  <w:vAlign w:val="top"/>
                </w:tcPr>
                <w:p>
                  <w:pPr>
                    <w:tabs>
                      <w:tab w:val="left" w:pos="1081"/>
                    </w:tabs>
                    <w:adjustRightInd w:val="0"/>
                    <w:snapToGrid w:val="0"/>
                    <w:spacing w:line="240" w:lineRule="auto"/>
                    <w:jc w:val="center"/>
                    <w:rPr>
                      <w:rFonts w:hint="eastAsia"/>
                      <w:b/>
                      <w:bCs/>
                      <w:sz w:val="21"/>
                      <w:szCs w:val="21"/>
                      <w:lang w:eastAsia="zh-CN"/>
                    </w:rPr>
                  </w:pPr>
                  <w:r>
                    <w:rPr>
                      <w:rFonts w:hint="eastAsia"/>
                      <w:b/>
                      <w:bCs/>
                      <w:sz w:val="21"/>
                      <w:szCs w:val="21"/>
                      <w:lang w:eastAsia="zh-CN"/>
                    </w:rPr>
                    <w:t>年用量</w:t>
                  </w:r>
                </w:p>
              </w:tc>
              <w:tc>
                <w:tcPr>
                  <w:tcW w:w="3705" w:type="dxa"/>
                  <w:noWrap w:val="0"/>
                  <w:vAlign w:val="center"/>
                </w:tcPr>
                <w:p>
                  <w:pPr>
                    <w:tabs>
                      <w:tab w:val="left" w:pos="1081"/>
                    </w:tabs>
                    <w:adjustRightInd w:val="0"/>
                    <w:snapToGrid w:val="0"/>
                    <w:spacing w:line="240" w:lineRule="auto"/>
                    <w:jc w:val="center"/>
                    <w:rPr>
                      <w:b/>
                      <w:bCs/>
                      <w:sz w:val="21"/>
                      <w:szCs w:val="21"/>
                    </w:rPr>
                  </w:pPr>
                  <w:r>
                    <w:rPr>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shd w:val="clear" w:color="auto" w:fill="auto"/>
                  <w:noWrap w:val="0"/>
                  <w:vAlign w:val="center"/>
                </w:tcPr>
                <w:p>
                  <w:pPr>
                    <w:tabs>
                      <w:tab w:val="left" w:pos="1081"/>
                    </w:tabs>
                    <w:adjustRightInd w:val="0"/>
                    <w:snapToGrid w:val="0"/>
                    <w:spacing w:line="240" w:lineRule="auto"/>
                    <w:jc w:val="center"/>
                    <w:rPr>
                      <w:rFonts w:hint="eastAsia"/>
                      <w:sz w:val="21"/>
                      <w:szCs w:val="21"/>
                      <w:lang w:val="en-US" w:eastAsia="zh-CN"/>
                    </w:rPr>
                  </w:pPr>
                  <w:r>
                    <w:rPr>
                      <w:rFonts w:hint="eastAsia"/>
                      <w:sz w:val="21"/>
                      <w:szCs w:val="21"/>
                      <w:lang w:val="en-US" w:eastAsia="zh-CN"/>
                    </w:rPr>
                    <w:t>1</w:t>
                  </w:r>
                </w:p>
              </w:tc>
              <w:tc>
                <w:tcPr>
                  <w:tcW w:w="2081" w:type="dxa"/>
                  <w:shd w:val="clear" w:color="auto" w:fill="auto"/>
                  <w:noWrap w:val="0"/>
                  <w:vAlign w:val="center"/>
                </w:tcPr>
                <w:p>
                  <w:pPr>
                    <w:tabs>
                      <w:tab w:val="left" w:pos="1081"/>
                    </w:tabs>
                    <w:adjustRightInd w:val="0"/>
                    <w:snapToGrid w:val="0"/>
                    <w:spacing w:line="240" w:lineRule="auto"/>
                    <w:jc w:val="center"/>
                    <w:rPr>
                      <w:rFonts w:hint="eastAsia"/>
                      <w:sz w:val="21"/>
                      <w:szCs w:val="21"/>
                      <w:lang w:val="en-US" w:eastAsia="zh-CN"/>
                    </w:rPr>
                  </w:pPr>
                  <w:r>
                    <w:rPr>
                      <w:rFonts w:hint="eastAsia"/>
                      <w:sz w:val="21"/>
                      <w:szCs w:val="21"/>
                      <w:lang w:val="en-US" w:eastAsia="zh-CN"/>
                    </w:rPr>
                    <w:t>石墨烯分散材料</w:t>
                  </w:r>
                </w:p>
              </w:tc>
              <w:tc>
                <w:tcPr>
                  <w:tcW w:w="1569" w:type="dxa"/>
                  <w:shd w:val="clear" w:color="auto" w:fill="auto"/>
                  <w:noWrap w:val="0"/>
                  <w:vAlign w:val="center"/>
                </w:tcPr>
                <w:p>
                  <w:pPr>
                    <w:tabs>
                      <w:tab w:val="left" w:pos="1081"/>
                    </w:tabs>
                    <w:adjustRightInd w:val="0"/>
                    <w:snapToGrid w:val="0"/>
                    <w:spacing w:line="240" w:lineRule="auto"/>
                    <w:jc w:val="center"/>
                    <w:rPr>
                      <w:rFonts w:hint="eastAsia"/>
                      <w:sz w:val="21"/>
                      <w:szCs w:val="21"/>
                      <w:lang w:val="en-US" w:eastAsia="zh-CN"/>
                    </w:rPr>
                  </w:pPr>
                  <w:r>
                    <w:rPr>
                      <w:rFonts w:hint="eastAsia"/>
                      <w:sz w:val="21"/>
                      <w:szCs w:val="21"/>
                      <w:lang w:val="en-US" w:eastAsia="zh-CN"/>
                    </w:rPr>
                    <w:t>5.006t/a</w:t>
                  </w:r>
                </w:p>
              </w:tc>
              <w:tc>
                <w:tcPr>
                  <w:tcW w:w="3705" w:type="dxa"/>
                  <w:shd w:val="clear" w:color="auto" w:fill="auto"/>
                  <w:noWrap w:val="0"/>
                  <w:vAlign w:val="center"/>
                </w:tcPr>
                <w:p>
                  <w:pPr>
                    <w:tabs>
                      <w:tab w:val="left" w:pos="1081"/>
                    </w:tabs>
                    <w:adjustRightInd w:val="0"/>
                    <w:snapToGrid w:val="0"/>
                    <w:spacing w:line="240" w:lineRule="auto"/>
                    <w:jc w:val="center"/>
                    <w:rPr>
                      <w:rFonts w:hint="eastAsia"/>
                      <w:sz w:val="21"/>
                      <w:szCs w:val="21"/>
                      <w:lang w:val="en-US" w:eastAsia="zh-CN"/>
                    </w:rPr>
                  </w:pPr>
                  <w:r>
                    <w:rPr>
                      <w:rFonts w:hint="eastAsia"/>
                      <w:sz w:val="21"/>
                      <w:szCs w:val="21"/>
                      <w:lang w:val="en-US" w:eastAsia="zh-CN"/>
                    </w:rPr>
                    <w:t>外购，粉状，袋装，20kg/袋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noWrap w:val="0"/>
                  <w:vAlign w:val="center"/>
                </w:tcPr>
                <w:p>
                  <w:pPr>
                    <w:tabs>
                      <w:tab w:val="left" w:pos="1081"/>
                    </w:tabs>
                    <w:adjustRightInd w:val="0"/>
                    <w:snapToGrid w:val="0"/>
                    <w:spacing w:line="240" w:lineRule="auto"/>
                    <w:jc w:val="center"/>
                    <w:rPr>
                      <w:rFonts w:hint="default"/>
                      <w:sz w:val="21"/>
                      <w:szCs w:val="21"/>
                      <w:lang w:val="en-US" w:eastAsia="zh-CN"/>
                    </w:rPr>
                  </w:pPr>
                  <w:r>
                    <w:rPr>
                      <w:rFonts w:hint="eastAsia"/>
                      <w:sz w:val="21"/>
                      <w:szCs w:val="21"/>
                      <w:lang w:val="en-US" w:eastAsia="zh-CN"/>
                    </w:rPr>
                    <w:t>2</w:t>
                  </w:r>
                </w:p>
              </w:tc>
              <w:tc>
                <w:tcPr>
                  <w:tcW w:w="2081" w:type="dxa"/>
                  <w:noWrap w:val="0"/>
                  <w:vAlign w:val="center"/>
                </w:tcPr>
                <w:p>
                  <w:pPr>
                    <w:tabs>
                      <w:tab w:val="left" w:pos="1081"/>
                    </w:tabs>
                    <w:adjustRightInd w:val="0"/>
                    <w:snapToGrid w:val="0"/>
                    <w:spacing w:line="240" w:lineRule="auto"/>
                    <w:jc w:val="center"/>
                    <w:rPr>
                      <w:rFonts w:hint="default"/>
                      <w:color w:val="auto"/>
                      <w:sz w:val="21"/>
                      <w:szCs w:val="21"/>
                      <w:lang w:val="en-US" w:eastAsia="zh-CN"/>
                    </w:rPr>
                  </w:pPr>
                  <w:r>
                    <w:rPr>
                      <w:rFonts w:hint="eastAsia"/>
                      <w:color w:val="auto"/>
                      <w:sz w:val="21"/>
                      <w:szCs w:val="21"/>
                      <w:lang w:val="en-US" w:eastAsia="zh-CN"/>
                    </w:rPr>
                    <w:t>PE膜</w:t>
                  </w:r>
                </w:p>
              </w:tc>
              <w:tc>
                <w:tcPr>
                  <w:tcW w:w="1569" w:type="dxa"/>
                  <w:noWrap w:val="0"/>
                  <w:vAlign w:val="center"/>
                </w:tcPr>
                <w:p>
                  <w:pPr>
                    <w:tabs>
                      <w:tab w:val="left" w:pos="1081"/>
                    </w:tabs>
                    <w:adjustRightInd w:val="0"/>
                    <w:snapToGrid w:val="0"/>
                    <w:spacing w:line="240" w:lineRule="auto"/>
                    <w:jc w:val="center"/>
                    <w:rPr>
                      <w:rFonts w:hint="default"/>
                      <w:color w:val="auto"/>
                      <w:sz w:val="21"/>
                      <w:szCs w:val="21"/>
                      <w:lang w:val="en-US" w:eastAsia="zh-CN"/>
                    </w:rPr>
                  </w:pPr>
                  <w:r>
                    <w:rPr>
                      <w:rFonts w:hint="eastAsia"/>
                      <w:color w:val="auto"/>
                      <w:sz w:val="21"/>
                      <w:szCs w:val="21"/>
                      <w:lang w:val="en-US" w:eastAsia="zh-CN"/>
                    </w:rPr>
                    <w:t>1001万平方/a</w:t>
                  </w:r>
                </w:p>
              </w:tc>
              <w:tc>
                <w:tcPr>
                  <w:tcW w:w="3705" w:type="dxa"/>
                  <w:noWrap w:val="0"/>
                  <w:vAlign w:val="center"/>
                </w:tcPr>
                <w:p>
                  <w:pPr>
                    <w:tabs>
                      <w:tab w:val="left" w:pos="1081"/>
                    </w:tabs>
                    <w:adjustRightInd w:val="0"/>
                    <w:snapToGrid w:val="0"/>
                    <w:spacing w:line="240" w:lineRule="auto"/>
                    <w:jc w:val="center"/>
                    <w:rPr>
                      <w:rFonts w:hint="default" w:eastAsia="宋体"/>
                      <w:color w:val="auto"/>
                      <w:sz w:val="21"/>
                      <w:szCs w:val="21"/>
                      <w:vertAlign w:val="superscript"/>
                      <w:lang w:val="en-US" w:eastAsia="zh-CN"/>
                    </w:rPr>
                  </w:pPr>
                  <w:r>
                    <w:rPr>
                      <w:rFonts w:hint="eastAsia"/>
                      <w:color w:val="auto"/>
                      <w:kern w:val="0"/>
                      <w:sz w:val="21"/>
                      <w:szCs w:val="21"/>
                      <w:u w:val="none"/>
                    </w:rPr>
                    <w:t>外购，卷装</w:t>
                  </w:r>
                  <w:r>
                    <w:rPr>
                      <w:rFonts w:hint="eastAsia"/>
                      <w:color w:val="auto"/>
                      <w:kern w:val="0"/>
                      <w:sz w:val="21"/>
                      <w:szCs w:val="21"/>
                      <w:u w:val="none"/>
                      <w:lang w:eastAsia="zh-CN"/>
                    </w:rPr>
                    <w:t>，</w:t>
                  </w:r>
                  <w:r>
                    <w:rPr>
                      <w:rFonts w:hint="eastAsia"/>
                      <w:color w:val="auto"/>
                      <w:kern w:val="0"/>
                      <w:sz w:val="21"/>
                      <w:szCs w:val="21"/>
                      <w:u w:val="none"/>
                      <w:lang w:val="en-US" w:eastAsia="zh-CN"/>
                    </w:rPr>
                    <w:t>20kg/卷，20g/m</w:t>
                  </w:r>
                  <w:r>
                    <w:rPr>
                      <w:rFonts w:hint="eastAsia"/>
                      <w:color w:val="auto"/>
                      <w:kern w:val="0"/>
                      <w:sz w:val="21"/>
                      <w:szCs w:val="21"/>
                      <w:u w:val="none"/>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noWrap w:val="0"/>
                  <w:vAlign w:val="center"/>
                </w:tcPr>
                <w:p>
                  <w:pPr>
                    <w:tabs>
                      <w:tab w:val="left" w:pos="1081"/>
                    </w:tabs>
                    <w:adjustRightInd w:val="0"/>
                    <w:snapToGrid w:val="0"/>
                    <w:spacing w:line="240" w:lineRule="auto"/>
                    <w:jc w:val="center"/>
                    <w:rPr>
                      <w:rFonts w:hint="default"/>
                      <w:sz w:val="21"/>
                      <w:szCs w:val="21"/>
                      <w:lang w:val="en-US" w:eastAsia="zh-CN"/>
                    </w:rPr>
                  </w:pPr>
                  <w:r>
                    <w:rPr>
                      <w:rFonts w:hint="eastAsia"/>
                      <w:sz w:val="21"/>
                      <w:szCs w:val="21"/>
                      <w:lang w:val="en-US" w:eastAsia="zh-CN"/>
                    </w:rPr>
                    <w:t>3</w:t>
                  </w:r>
                </w:p>
              </w:tc>
              <w:tc>
                <w:tcPr>
                  <w:tcW w:w="2081" w:type="dxa"/>
                  <w:noWrap w:val="0"/>
                  <w:vAlign w:val="center"/>
                </w:tcPr>
                <w:p>
                  <w:pPr>
                    <w:tabs>
                      <w:tab w:val="left" w:pos="1081"/>
                    </w:tabs>
                    <w:adjustRightInd w:val="0"/>
                    <w:snapToGrid w:val="0"/>
                    <w:spacing w:line="240" w:lineRule="auto"/>
                    <w:jc w:val="center"/>
                    <w:rPr>
                      <w:rFonts w:hint="eastAsia"/>
                      <w:color w:val="auto"/>
                      <w:sz w:val="21"/>
                      <w:szCs w:val="21"/>
                      <w:lang w:val="en-US" w:eastAsia="zh-CN"/>
                    </w:rPr>
                  </w:pPr>
                  <w:r>
                    <w:rPr>
                      <w:rFonts w:hint="eastAsia"/>
                      <w:color w:val="auto"/>
                      <w:sz w:val="21"/>
                      <w:szCs w:val="21"/>
                      <w:lang w:val="en-US" w:eastAsia="zh-CN"/>
                    </w:rPr>
                    <w:t>艾绒布</w:t>
                  </w:r>
                </w:p>
              </w:tc>
              <w:tc>
                <w:tcPr>
                  <w:tcW w:w="1569" w:type="dxa"/>
                  <w:noWrap w:val="0"/>
                  <w:vAlign w:val="center"/>
                </w:tcPr>
                <w:p>
                  <w:pPr>
                    <w:tabs>
                      <w:tab w:val="left" w:pos="1081"/>
                    </w:tabs>
                    <w:adjustRightInd w:val="0"/>
                    <w:snapToGrid w:val="0"/>
                    <w:spacing w:line="240" w:lineRule="auto"/>
                    <w:jc w:val="center"/>
                    <w:rPr>
                      <w:rFonts w:hint="default"/>
                      <w:color w:val="auto"/>
                      <w:sz w:val="21"/>
                      <w:szCs w:val="21"/>
                      <w:lang w:val="en-US" w:eastAsia="zh-CN"/>
                    </w:rPr>
                  </w:pPr>
                  <w:r>
                    <w:rPr>
                      <w:rFonts w:hint="eastAsia"/>
                      <w:color w:val="auto"/>
                      <w:sz w:val="21"/>
                      <w:szCs w:val="21"/>
                      <w:lang w:val="en-US" w:eastAsia="zh-CN"/>
                    </w:rPr>
                    <w:t>1001万平方/a</w:t>
                  </w:r>
                </w:p>
              </w:tc>
              <w:tc>
                <w:tcPr>
                  <w:tcW w:w="3705" w:type="dxa"/>
                  <w:noWrap w:val="0"/>
                  <w:vAlign w:val="center"/>
                </w:tcPr>
                <w:p>
                  <w:pPr>
                    <w:tabs>
                      <w:tab w:val="left" w:pos="1081"/>
                    </w:tabs>
                    <w:adjustRightInd w:val="0"/>
                    <w:snapToGrid w:val="0"/>
                    <w:spacing w:line="240" w:lineRule="auto"/>
                    <w:jc w:val="center"/>
                    <w:rPr>
                      <w:rFonts w:hint="default" w:eastAsia="宋体"/>
                      <w:color w:val="auto"/>
                      <w:sz w:val="21"/>
                      <w:szCs w:val="21"/>
                      <w:lang w:val="en-US" w:eastAsia="zh-CN"/>
                    </w:rPr>
                  </w:pPr>
                  <w:r>
                    <w:rPr>
                      <w:rFonts w:hint="eastAsia"/>
                      <w:color w:val="auto"/>
                      <w:kern w:val="0"/>
                      <w:sz w:val="21"/>
                      <w:szCs w:val="21"/>
                      <w:u w:val="none"/>
                    </w:rPr>
                    <w:t>外购，卷装</w:t>
                  </w:r>
                  <w:r>
                    <w:rPr>
                      <w:rFonts w:hint="eastAsia"/>
                      <w:color w:val="auto"/>
                      <w:kern w:val="0"/>
                      <w:sz w:val="21"/>
                      <w:szCs w:val="21"/>
                      <w:u w:val="none"/>
                      <w:lang w:eastAsia="zh-CN"/>
                    </w:rPr>
                    <w:t>，</w:t>
                  </w:r>
                  <w:r>
                    <w:rPr>
                      <w:rFonts w:hint="eastAsia"/>
                      <w:color w:val="auto"/>
                      <w:kern w:val="0"/>
                      <w:sz w:val="21"/>
                      <w:szCs w:val="21"/>
                      <w:u w:val="none"/>
                      <w:lang w:val="en-US" w:eastAsia="zh-CN"/>
                    </w:rPr>
                    <w:t>20~25kg/卷，25g/m</w:t>
                  </w:r>
                  <w:r>
                    <w:rPr>
                      <w:rFonts w:hint="eastAsia"/>
                      <w:color w:val="auto"/>
                      <w:kern w:val="0"/>
                      <w:sz w:val="21"/>
                      <w:szCs w:val="21"/>
                      <w:u w:val="none"/>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noWrap w:val="0"/>
                  <w:vAlign w:val="center"/>
                </w:tcPr>
                <w:p>
                  <w:pPr>
                    <w:tabs>
                      <w:tab w:val="left" w:pos="1081"/>
                    </w:tabs>
                    <w:adjustRightInd w:val="0"/>
                    <w:snapToGrid w:val="0"/>
                    <w:spacing w:line="240" w:lineRule="auto"/>
                    <w:jc w:val="center"/>
                    <w:rPr>
                      <w:rFonts w:hint="default"/>
                      <w:sz w:val="21"/>
                      <w:szCs w:val="21"/>
                      <w:lang w:val="en-US" w:eastAsia="zh-CN"/>
                    </w:rPr>
                  </w:pPr>
                  <w:r>
                    <w:rPr>
                      <w:rFonts w:hint="eastAsia"/>
                      <w:sz w:val="21"/>
                      <w:szCs w:val="21"/>
                      <w:lang w:val="en-US" w:eastAsia="zh-CN"/>
                    </w:rPr>
                    <w:t>4</w:t>
                  </w:r>
                </w:p>
              </w:tc>
              <w:tc>
                <w:tcPr>
                  <w:tcW w:w="2081" w:type="dxa"/>
                  <w:noWrap w:val="0"/>
                  <w:vAlign w:val="center"/>
                </w:tcPr>
                <w:p>
                  <w:pPr>
                    <w:tabs>
                      <w:tab w:val="left" w:pos="1081"/>
                    </w:tabs>
                    <w:adjustRightInd w:val="0"/>
                    <w:snapToGrid w:val="0"/>
                    <w:spacing w:line="240" w:lineRule="auto"/>
                    <w:jc w:val="center"/>
                    <w:rPr>
                      <w:color w:val="auto"/>
                      <w:sz w:val="21"/>
                      <w:szCs w:val="21"/>
                    </w:rPr>
                  </w:pPr>
                  <w:r>
                    <w:rPr>
                      <w:color w:val="auto"/>
                      <w:sz w:val="21"/>
                      <w:szCs w:val="21"/>
                    </w:rPr>
                    <w:t>电</w:t>
                  </w:r>
                </w:p>
              </w:tc>
              <w:tc>
                <w:tcPr>
                  <w:tcW w:w="1569" w:type="dxa"/>
                  <w:noWrap w:val="0"/>
                  <w:vAlign w:val="center"/>
                </w:tcPr>
                <w:p>
                  <w:pPr>
                    <w:tabs>
                      <w:tab w:val="left" w:pos="1081"/>
                    </w:tabs>
                    <w:adjustRightInd w:val="0"/>
                    <w:snapToGrid w:val="0"/>
                    <w:spacing w:line="240" w:lineRule="auto"/>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6</w:t>
                  </w:r>
                  <w:r>
                    <w:rPr>
                      <w:rFonts w:hint="default" w:ascii="Times New Roman" w:hAnsi="Times New Roman" w:eastAsia="宋体" w:cs="Times New Roman"/>
                      <w:color w:val="auto"/>
                      <w:sz w:val="21"/>
                      <w:szCs w:val="21"/>
                    </w:rPr>
                    <w:t>万KW﹒h/a</w:t>
                  </w:r>
                </w:p>
              </w:tc>
              <w:tc>
                <w:tcPr>
                  <w:tcW w:w="3705" w:type="dxa"/>
                  <w:noWrap w:val="0"/>
                  <w:vAlign w:val="center"/>
                </w:tcPr>
                <w:p>
                  <w:pPr>
                    <w:adjustRightInd w:val="0"/>
                    <w:snapToGrid w:val="0"/>
                    <w:spacing w:line="240" w:lineRule="auto"/>
                    <w:jc w:val="center"/>
                    <w:rPr>
                      <w:sz w:val="21"/>
                      <w:szCs w:val="21"/>
                    </w:rPr>
                  </w:pPr>
                  <w:r>
                    <w:rPr>
                      <w:sz w:val="21"/>
                      <w:szCs w:val="21"/>
                    </w:rPr>
                    <w:t>由</w:t>
                  </w:r>
                  <w:r>
                    <w:rPr>
                      <w:rFonts w:hint="eastAsia"/>
                      <w:sz w:val="21"/>
                      <w:szCs w:val="21"/>
                      <w:lang w:eastAsia="zh-CN"/>
                    </w:rPr>
                    <w:t>市供电公司电网统一供给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798" w:type="dxa"/>
                  <w:noWrap w:val="0"/>
                  <w:vAlign w:val="center"/>
                </w:tcPr>
                <w:p>
                  <w:pPr>
                    <w:tabs>
                      <w:tab w:val="left" w:pos="1081"/>
                    </w:tabs>
                    <w:adjustRightInd w:val="0"/>
                    <w:snapToGrid w:val="0"/>
                    <w:spacing w:line="240" w:lineRule="auto"/>
                    <w:jc w:val="center"/>
                    <w:rPr>
                      <w:rFonts w:hint="eastAsia" w:eastAsia="宋体"/>
                      <w:sz w:val="21"/>
                      <w:szCs w:val="21"/>
                      <w:lang w:val="en-US" w:eastAsia="zh-CN"/>
                    </w:rPr>
                  </w:pPr>
                  <w:r>
                    <w:rPr>
                      <w:rFonts w:hint="eastAsia"/>
                      <w:sz w:val="21"/>
                      <w:szCs w:val="21"/>
                      <w:lang w:val="en-US" w:eastAsia="zh-CN"/>
                    </w:rPr>
                    <w:t>5</w:t>
                  </w:r>
                </w:p>
              </w:tc>
              <w:tc>
                <w:tcPr>
                  <w:tcW w:w="2081" w:type="dxa"/>
                  <w:noWrap w:val="0"/>
                  <w:vAlign w:val="center"/>
                </w:tcPr>
                <w:p>
                  <w:pPr>
                    <w:tabs>
                      <w:tab w:val="left" w:pos="1081"/>
                    </w:tabs>
                    <w:adjustRightInd w:val="0"/>
                    <w:snapToGrid w:val="0"/>
                    <w:spacing w:line="240" w:lineRule="auto"/>
                    <w:jc w:val="center"/>
                    <w:rPr>
                      <w:color w:val="auto"/>
                      <w:sz w:val="21"/>
                      <w:szCs w:val="21"/>
                    </w:rPr>
                  </w:pPr>
                  <w:r>
                    <w:rPr>
                      <w:color w:val="auto"/>
                      <w:sz w:val="21"/>
                      <w:szCs w:val="21"/>
                    </w:rPr>
                    <w:t>新鲜水</w:t>
                  </w:r>
                </w:p>
              </w:tc>
              <w:tc>
                <w:tcPr>
                  <w:tcW w:w="1569" w:type="dxa"/>
                  <w:noWrap w:val="0"/>
                  <w:vAlign w:val="center"/>
                </w:tcPr>
                <w:p>
                  <w:pPr>
                    <w:tabs>
                      <w:tab w:val="left" w:pos="1081"/>
                    </w:tabs>
                    <w:adjustRightInd w:val="0"/>
                    <w:snapToGrid w:val="0"/>
                    <w:spacing w:line="240" w:lineRule="auto"/>
                    <w:jc w:val="center"/>
                    <w:rPr>
                      <w:color w:val="auto"/>
                      <w:sz w:val="21"/>
                      <w:szCs w:val="21"/>
                      <w:highlight w:val="none"/>
                    </w:rPr>
                  </w:pPr>
                  <w:r>
                    <w:rPr>
                      <w:rFonts w:hint="eastAsia" w:cs="Times New Roman"/>
                      <w:color w:val="auto"/>
                      <w:sz w:val="21"/>
                      <w:szCs w:val="21"/>
                      <w:highlight w:val="none"/>
                      <w:lang w:val="en-US" w:eastAsia="zh-CN"/>
                    </w:rPr>
                    <w:t>260.24</w:t>
                  </w:r>
                  <w:r>
                    <w:rPr>
                      <w:color w:val="auto"/>
                      <w:sz w:val="21"/>
                      <w:szCs w:val="21"/>
                      <w:highlight w:val="none"/>
                    </w:rPr>
                    <w:t>m</w:t>
                  </w:r>
                  <w:r>
                    <w:rPr>
                      <w:color w:val="auto"/>
                      <w:sz w:val="21"/>
                      <w:szCs w:val="21"/>
                      <w:highlight w:val="none"/>
                      <w:vertAlign w:val="superscript"/>
                    </w:rPr>
                    <w:t>3</w:t>
                  </w:r>
                  <w:r>
                    <w:rPr>
                      <w:color w:val="auto"/>
                      <w:sz w:val="21"/>
                      <w:szCs w:val="21"/>
                      <w:highlight w:val="none"/>
                    </w:rPr>
                    <w:t>/a</w:t>
                  </w:r>
                </w:p>
              </w:tc>
              <w:tc>
                <w:tcPr>
                  <w:tcW w:w="3705" w:type="dxa"/>
                  <w:noWrap w:val="0"/>
                  <w:vAlign w:val="center"/>
                </w:tcPr>
                <w:p>
                  <w:pPr>
                    <w:tabs>
                      <w:tab w:val="left" w:pos="1081"/>
                    </w:tabs>
                    <w:adjustRightInd w:val="0"/>
                    <w:snapToGrid w:val="0"/>
                    <w:spacing w:line="240" w:lineRule="auto"/>
                    <w:jc w:val="center"/>
                    <w:rPr>
                      <w:rFonts w:hint="eastAsia" w:eastAsia="宋体"/>
                      <w:sz w:val="21"/>
                      <w:szCs w:val="21"/>
                      <w:highlight w:val="none"/>
                      <w:lang w:eastAsia="zh-CN"/>
                    </w:rPr>
                  </w:pPr>
                  <w:r>
                    <w:rPr>
                      <w:sz w:val="21"/>
                      <w:szCs w:val="21"/>
                      <w:highlight w:val="none"/>
                    </w:rPr>
                    <w:t>由</w:t>
                  </w:r>
                  <w:r>
                    <w:rPr>
                      <w:rFonts w:hint="eastAsia"/>
                      <w:sz w:val="21"/>
                      <w:szCs w:val="21"/>
                      <w:highlight w:val="none"/>
                      <w:lang w:eastAsia="zh-CN"/>
                    </w:rPr>
                    <w:t>市政自来水供给</w:t>
                  </w:r>
                </w:p>
              </w:tc>
            </w:tr>
          </w:tbl>
          <w:p>
            <w:pPr>
              <w:pStyle w:val="61"/>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PE膜：</w:t>
            </w:r>
            <w:r>
              <w:rPr>
                <w:rFonts w:hint="eastAsia"/>
                <w:color w:val="auto"/>
                <w:kern w:val="0"/>
                <w:szCs w:val="21"/>
                <w:u w:val="none"/>
              </w:rPr>
              <w:t>卷装</w:t>
            </w:r>
            <w:r>
              <w:rPr>
                <w:rFonts w:hint="eastAsia"/>
                <w:color w:val="auto"/>
                <w:kern w:val="0"/>
                <w:szCs w:val="21"/>
                <w:u w:val="none"/>
                <w:lang w:eastAsia="zh-CN"/>
              </w:rPr>
              <w:t>，</w:t>
            </w:r>
            <w:r>
              <w:rPr>
                <w:rFonts w:hint="eastAsia" w:ascii="Times New Roman" w:hAnsi="Times New Roman" w:cs="Times New Roman"/>
                <w:color w:val="auto"/>
                <w:sz w:val="24"/>
                <w:szCs w:val="24"/>
                <w:highlight w:val="none"/>
                <w:lang w:val="en-US" w:eastAsia="zh-CN"/>
              </w:rPr>
              <w:t>是结构最简单的高分子有机化合物，耐候性好，较低可承受零下70度的低温，较高可达150度，防止水蒸气渗透，具有良好的水蒸气阻挡功能，保护性能强，环保材料，无毒无污染。</w:t>
            </w:r>
          </w:p>
          <w:p>
            <w:pPr>
              <w:pStyle w:val="61"/>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Times New Roman" w:hAnsi="Times New Roman" w:cs="Times New Roman"/>
                <w:color w:val="auto"/>
                <w:sz w:val="24"/>
                <w:szCs w:val="24"/>
                <w:highlight w:val="none"/>
                <w:u w:val="none"/>
                <w:lang w:val="en-US" w:eastAsia="zh-CN"/>
              </w:rPr>
            </w:pPr>
            <w:r>
              <w:rPr>
                <w:rFonts w:hint="eastAsia" w:ascii="Times New Roman" w:hAnsi="Times New Roman" w:cs="Times New Roman"/>
                <w:color w:val="auto"/>
                <w:sz w:val="24"/>
                <w:szCs w:val="24"/>
                <w:highlight w:val="none"/>
                <w:u w:val="none"/>
                <w:lang w:val="en-US" w:eastAsia="zh-CN"/>
              </w:rPr>
              <w:t>石墨烯分散材料：粉状，由石墨烯与石墨烯分散剂混合而成。其中，石墨</w:t>
            </w:r>
          </w:p>
          <w:p>
            <w:pPr>
              <w:pStyle w:val="61"/>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eastAsia" w:ascii="Times New Roman" w:hAnsi="Times New Roman" w:cs="Times New Roman"/>
                <w:color w:val="auto"/>
                <w:sz w:val="24"/>
                <w:szCs w:val="24"/>
                <w:highlight w:val="none"/>
                <w:u w:val="none"/>
                <w:lang w:val="en-US" w:eastAsia="zh-CN"/>
              </w:rPr>
              <w:t>烯是碳的同素异形体，是碳原子以sp</w:t>
            </w:r>
            <w:r>
              <w:rPr>
                <w:rFonts w:hint="eastAsia" w:ascii="Times New Roman" w:hAnsi="Times New Roman" w:cs="Times New Roman"/>
                <w:color w:val="auto"/>
                <w:sz w:val="24"/>
                <w:szCs w:val="24"/>
                <w:highlight w:val="none"/>
                <w:u w:val="none"/>
                <w:vertAlign w:val="superscript"/>
                <w:lang w:val="en-US" w:eastAsia="zh-CN"/>
              </w:rPr>
              <w:t>2</w:t>
            </w:r>
            <w:r>
              <w:rPr>
                <w:rFonts w:hint="eastAsia" w:ascii="Times New Roman" w:hAnsi="Times New Roman" w:cs="Times New Roman"/>
                <w:color w:val="auto"/>
                <w:sz w:val="24"/>
                <w:szCs w:val="24"/>
                <w:highlight w:val="none"/>
                <w:u w:val="none"/>
                <w:lang w:val="en-US" w:eastAsia="zh-CN"/>
              </w:rPr>
              <w:t>杂化键合形成的单层六边形蜂窝晶格；石墨烯分散剂则是用于改善石墨烯在溶剂中的分散性能，确保其稳定性和均匀性，一般分为油性分散剂和水系分散剂，本项目采用水系分散剂，主要是由具有电活性的苯氨基聚物组成，这类分散剂通过与石墨烯表面的官能团发生化学反应，改变石墨烯的表面性质，降低石墨烯片层间的相互作用力，实现分散的效果，同时具有非常好的导电性和良好的拉伸响应性及电加热性能，并体现出良好的耐水洗及耐溶剂性。本项目主要利用该材料的导电性和电加热性能</w:t>
            </w:r>
            <w:r>
              <w:rPr>
                <w:rFonts w:hint="eastAsia" w:ascii="Times New Roman" w:hAnsi="Times New Roman" w:eastAsia="宋体" w:cs="Times New Roman"/>
                <w:color w:val="auto"/>
                <w:sz w:val="24"/>
                <w:szCs w:val="24"/>
                <w:highlight w:val="none"/>
                <w:u w:val="none"/>
                <w:lang w:val="en-US" w:eastAsia="zh-CN"/>
              </w:rPr>
              <w:t>。</w:t>
            </w:r>
          </w:p>
          <w:p>
            <w:pPr>
              <w:pStyle w:val="61"/>
              <w:numPr>
                <w:ilvl w:val="0"/>
                <w:numId w:val="0"/>
              </w:numPr>
              <w:spacing w:line="500" w:lineRule="exact"/>
              <w:ind w:left="0" w:leftChars="0" w:firstLine="0" w:firstLineChars="0"/>
              <w:rPr>
                <w:rFonts w:hint="eastAsia" w:ascii="Times New Roman" w:hAnsi="Times New Roman" w:cs="Times New Roman"/>
                <w:b/>
                <w:bCs/>
                <w:color w:val="auto"/>
                <w:lang w:val="en-US" w:eastAsia="zh-CN"/>
              </w:rPr>
            </w:pPr>
            <w:r>
              <w:rPr>
                <w:rFonts w:hint="eastAsia" w:ascii="Times New Roman" w:hAnsi="Times New Roman" w:cs="Times New Roman"/>
                <w:b/>
                <w:bCs/>
                <w:color w:val="auto"/>
                <w:kern w:val="2"/>
                <w:sz w:val="24"/>
                <w:szCs w:val="24"/>
                <w:lang w:val="en-US" w:eastAsia="zh-CN" w:bidi="ar-SA"/>
              </w:rPr>
              <w:t>5</w:t>
            </w:r>
            <w:r>
              <w:rPr>
                <w:rFonts w:hint="eastAsia" w:ascii="Times New Roman" w:hAnsi="Times New Roman" w:eastAsia="宋体" w:cs="Times New Roman"/>
                <w:b/>
                <w:bCs/>
                <w:color w:val="auto"/>
                <w:kern w:val="2"/>
                <w:sz w:val="24"/>
                <w:szCs w:val="24"/>
                <w:lang w:val="en-US" w:eastAsia="zh-CN" w:bidi="ar-SA"/>
              </w:rPr>
              <w:t>、</w:t>
            </w:r>
            <w:r>
              <w:rPr>
                <w:rFonts w:hint="eastAsia" w:ascii="Times New Roman" w:hAnsi="Times New Roman" w:cs="Times New Roman"/>
                <w:b/>
                <w:bCs/>
                <w:color w:val="auto"/>
                <w:lang w:val="en-US" w:eastAsia="zh-CN"/>
              </w:rPr>
              <w:t>产品及规模</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本项目主要产品为石墨烯发热新材料。</w:t>
            </w:r>
          </w:p>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表2-4 项目产品方案一览表</w:t>
            </w:r>
          </w:p>
          <w:tbl>
            <w:tblPr>
              <w:tblStyle w:val="26"/>
              <w:tblW w:w="81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790"/>
              <w:gridCol w:w="1755"/>
              <w:gridCol w:w="2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15" w:type="dxa"/>
                  <w:noWrap w:val="0"/>
                  <w:vAlign w:val="center"/>
                </w:tcPr>
                <w:p>
                  <w:pPr>
                    <w:adjustRightInd w:val="0"/>
                    <w:snapToGrid w:val="0"/>
                    <w:spacing w:line="240" w:lineRule="auto"/>
                    <w:jc w:val="center"/>
                    <w:rPr>
                      <w:rFonts w:hint="eastAsia"/>
                      <w:b/>
                      <w:bCs/>
                      <w:sz w:val="21"/>
                      <w:szCs w:val="21"/>
                      <w:lang w:eastAsia="zh-CN"/>
                    </w:rPr>
                  </w:pPr>
                  <w:r>
                    <w:rPr>
                      <w:rFonts w:hint="eastAsia"/>
                      <w:b/>
                      <w:bCs/>
                      <w:sz w:val="21"/>
                      <w:szCs w:val="21"/>
                      <w:lang w:eastAsia="zh-CN"/>
                    </w:rPr>
                    <w:t>序号</w:t>
                  </w:r>
                </w:p>
              </w:tc>
              <w:tc>
                <w:tcPr>
                  <w:tcW w:w="2790" w:type="dxa"/>
                  <w:noWrap w:val="0"/>
                  <w:vAlign w:val="center"/>
                </w:tcPr>
                <w:p>
                  <w:pPr>
                    <w:adjustRightInd w:val="0"/>
                    <w:snapToGrid w:val="0"/>
                    <w:spacing w:line="240" w:lineRule="auto"/>
                    <w:jc w:val="center"/>
                    <w:rPr>
                      <w:rFonts w:hint="eastAsia"/>
                      <w:b/>
                      <w:bCs/>
                      <w:sz w:val="21"/>
                      <w:szCs w:val="21"/>
                    </w:rPr>
                  </w:pPr>
                  <w:r>
                    <w:rPr>
                      <w:rFonts w:hint="eastAsia"/>
                      <w:b/>
                      <w:bCs/>
                      <w:sz w:val="21"/>
                      <w:szCs w:val="21"/>
                    </w:rPr>
                    <w:t>产品名称</w:t>
                  </w:r>
                </w:p>
              </w:tc>
              <w:tc>
                <w:tcPr>
                  <w:tcW w:w="1755" w:type="dxa"/>
                  <w:noWrap w:val="0"/>
                  <w:vAlign w:val="center"/>
                </w:tcPr>
                <w:p>
                  <w:pPr>
                    <w:adjustRightInd w:val="0"/>
                    <w:snapToGrid w:val="0"/>
                    <w:spacing w:line="240" w:lineRule="auto"/>
                    <w:jc w:val="center"/>
                    <w:rPr>
                      <w:rFonts w:hint="eastAsia"/>
                      <w:b/>
                      <w:bCs/>
                      <w:sz w:val="21"/>
                      <w:szCs w:val="21"/>
                    </w:rPr>
                  </w:pPr>
                  <w:r>
                    <w:rPr>
                      <w:rFonts w:hint="eastAsia"/>
                      <w:b/>
                      <w:bCs/>
                      <w:sz w:val="21"/>
                      <w:szCs w:val="21"/>
                    </w:rPr>
                    <w:t>年产量</w:t>
                  </w:r>
                </w:p>
              </w:tc>
              <w:tc>
                <w:tcPr>
                  <w:tcW w:w="2685" w:type="dxa"/>
                  <w:noWrap w:val="0"/>
                  <w:vAlign w:val="center"/>
                </w:tcPr>
                <w:p>
                  <w:pPr>
                    <w:adjustRightInd w:val="0"/>
                    <w:snapToGrid w:val="0"/>
                    <w:spacing w:line="240" w:lineRule="auto"/>
                    <w:jc w:val="center"/>
                    <w:rPr>
                      <w:rFonts w:hint="eastAsia"/>
                      <w:b/>
                      <w:bCs/>
                      <w:sz w:val="21"/>
                      <w:szCs w:val="21"/>
                    </w:rPr>
                  </w:pPr>
                  <w:r>
                    <w:rPr>
                      <w:rFonts w:hint="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15" w:type="dxa"/>
                  <w:noWrap w:val="0"/>
                  <w:vAlign w:val="center"/>
                </w:tcPr>
                <w:p>
                  <w:pPr>
                    <w:adjustRightInd w:val="0"/>
                    <w:snapToGrid w:val="0"/>
                    <w:spacing w:line="240" w:lineRule="auto"/>
                    <w:jc w:val="center"/>
                    <w:rPr>
                      <w:rFonts w:hint="eastAsia"/>
                      <w:sz w:val="21"/>
                      <w:szCs w:val="21"/>
                      <w:lang w:eastAsia="zh-CN"/>
                    </w:rPr>
                  </w:pPr>
                  <w:r>
                    <w:rPr>
                      <w:rFonts w:hint="eastAsia"/>
                      <w:sz w:val="21"/>
                      <w:szCs w:val="21"/>
                      <w:lang w:eastAsia="zh-CN"/>
                    </w:rPr>
                    <w:t>1</w:t>
                  </w:r>
                </w:p>
              </w:tc>
              <w:tc>
                <w:tcPr>
                  <w:tcW w:w="2790" w:type="dxa"/>
                  <w:noWrap w:val="0"/>
                  <w:vAlign w:val="center"/>
                </w:tcPr>
                <w:p>
                  <w:pPr>
                    <w:adjustRightInd w:val="0"/>
                    <w:snapToGrid w:val="0"/>
                    <w:spacing w:line="240" w:lineRule="auto"/>
                    <w:jc w:val="center"/>
                    <w:rPr>
                      <w:rFonts w:hint="eastAsia"/>
                      <w:sz w:val="21"/>
                      <w:szCs w:val="21"/>
                      <w:lang w:eastAsia="zh-CN"/>
                    </w:rPr>
                  </w:pPr>
                  <w:r>
                    <w:rPr>
                      <w:rFonts w:hint="eastAsia"/>
                      <w:sz w:val="21"/>
                      <w:szCs w:val="21"/>
                      <w:lang w:eastAsia="zh-CN"/>
                    </w:rPr>
                    <w:t>石墨烯发热新材料</w:t>
                  </w:r>
                </w:p>
              </w:tc>
              <w:tc>
                <w:tcPr>
                  <w:tcW w:w="1755" w:type="dxa"/>
                  <w:noWrap w:val="0"/>
                  <w:vAlign w:val="center"/>
                </w:tcPr>
                <w:p>
                  <w:pPr>
                    <w:adjustRightInd w:val="0"/>
                    <w:snapToGrid w:val="0"/>
                    <w:spacing w:line="240" w:lineRule="auto"/>
                    <w:jc w:val="center"/>
                    <w:rPr>
                      <w:rFonts w:hint="default"/>
                      <w:color w:val="FF0000"/>
                      <w:sz w:val="21"/>
                      <w:szCs w:val="21"/>
                      <w:lang w:val="en-US" w:eastAsia="zh-CN"/>
                    </w:rPr>
                  </w:pPr>
                  <w:r>
                    <w:rPr>
                      <w:rFonts w:hint="eastAsia"/>
                      <w:color w:val="auto"/>
                      <w:sz w:val="21"/>
                      <w:szCs w:val="21"/>
                      <w:lang w:val="en-US" w:eastAsia="zh-CN"/>
                    </w:rPr>
                    <w:t>1000万平方米</w:t>
                  </w:r>
                </w:p>
              </w:tc>
              <w:tc>
                <w:tcPr>
                  <w:tcW w:w="2685" w:type="dxa"/>
                  <w:noWrap w:val="0"/>
                  <w:vAlign w:val="center"/>
                </w:tcPr>
                <w:p>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成品后</w:t>
                  </w:r>
                  <w:r>
                    <w:rPr>
                      <w:rFonts w:hint="eastAsia"/>
                      <w:color w:val="auto"/>
                      <w:kern w:val="0"/>
                      <w:sz w:val="21"/>
                      <w:szCs w:val="21"/>
                      <w:u w:val="none"/>
                    </w:rPr>
                    <w:t>卷装</w:t>
                  </w:r>
                  <w:r>
                    <w:rPr>
                      <w:rFonts w:hint="eastAsia"/>
                      <w:color w:val="auto"/>
                      <w:kern w:val="0"/>
                      <w:sz w:val="21"/>
                      <w:szCs w:val="21"/>
                      <w:u w:val="none"/>
                      <w:lang w:eastAsia="zh-CN"/>
                    </w:rPr>
                    <w:t>，</w:t>
                  </w:r>
                  <w:r>
                    <w:rPr>
                      <w:rFonts w:hint="eastAsia"/>
                      <w:color w:val="auto"/>
                      <w:kern w:val="0"/>
                      <w:sz w:val="21"/>
                      <w:szCs w:val="21"/>
                      <w:u w:val="none"/>
                      <w:lang w:val="en-US" w:eastAsia="zh-CN"/>
                    </w:rPr>
                    <w:t>用于艾制品理疗及养生领域</w:t>
                  </w:r>
                </w:p>
              </w:tc>
            </w:tr>
          </w:tbl>
          <w:p>
            <w:pPr>
              <w:spacing w:line="520" w:lineRule="exact"/>
              <w:rPr>
                <w:rFonts w:hint="default" w:ascii="Times New Roman" w:hAnsi="Times New Roman" w:cs="Times New Roman"/>
                <w:b/>
                <w:bCs/>
                <w:color w:val="auto"/>
                <w:sz w:val="24"/>
              </w:rPr>
            </w:pPr>
            <w:r>
              <w:rPr>
                <w:rFonts w:hint="eastAsia" w:cs="Times New Roman"/>
                <w:b/>
                <w:bCs/>
                <w:color w:val="auto"/>
                <w:sz w:val="24"/>
                <w:lang w:val="en-US" w:eastAsia="zh-CN"/>
              </w:rPr>
              <w:t>6、</w:t>
            </w:r>
            <w:r>
              <w:rPr>
                <w:rFonts w:hint="default" w:ascii="Times New Roman" w:hAnsi="Times New Roman" w:cs="Times New Roman"/>
                <w:b/>
                <w:bCs/>
                <w:color w:val="auto"/>
                <w:sz w:val="24"/>
              </w:rPr>
              <w:t>公用工程</w:t>
            </w:r>
          </w:p>
          <w:p>
            <w:pPr>
              <w:pStyle w:val="61"/>
              <w:spacing w:line="500" w:lineRule="exact"/>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eastAsia="zh-CN"/>
              </w:rPr>
              <w:t>供</w:t>
            </w:r>
            <w:r>
              <w:rPr>
                <w:rFonts w:hint="default" w:ascii="Times New Roman" w:hAnsi="Times New Roman" w:cs="Times New Roman"/>
                <w:color w:val="auto"/>
                <w:sz w:val="24"/>
                <w:szCs w:val="24"/>
              </w:rPr>
              <w:t>水</w:t>
            </w:r>
            <w:r>
              <w:rPr>
                <w:rFonts w:hint="eastAsia" w:ascii="Times New Roman" w:hAnsi="Times New Roman" w:cs="Times New Roman"/>
                <w:color w:val="auto"/>
                <w:sz w:val="24"/>
                <w:szCs w:val="24"/>
                <w:lang w:eastAsia="zh-CN"/>
              </w:rPr>
              <w:t>：项目用水</w:t>
            </w:r>
            <w:r>
              <w:rPr>
                <w:rFonts w:hint="default" w:ascii="Times New Roman" w:hAnsi="Times New Roman" w:cs="Times New Roman"/>
                <w:color w:val="auto"/>
                <w:sz w:val="24"/>
                <w:szCs w:val="24"/>
              </w:rPr>
              <w:t>由</w:t>
            </w:r>
            <w:r>
              <w:rPr>
                <w:rFonts w:hint="eastAsia" w:ascii="Times New Roman" w:hAnsi="Times New Roman" w:cs="Times New Roman"/>
                <w:color w:val="auto"/>
                <w:sz w:val="24"/>
                <w:szCs w:val="24"/>
                <w:lang w:eastAsia="zh-CN"/>
              </w:rPr>
              <w:t>市政自来水供给</w:t>
            </w:r>
            <w:r>
              <w:rPr>
                <w:rFonts w:hint="default" w:ascii="Times New Roman" w:hAnsi="Times New Roman"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cs="Times New Roman"/>
                <w:sz w:val="24"/>
                <w:szCs w:val="24"/>
                <w:lang w:val="en-US"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w:t>
            </w:r>
            <w:r>
              <w:rPr>
                <w:rFonts w:hint="default" w:ascii="Times New Roman" w:hAnsi="Times New Roman" w:cs="Times New Roman"/>
                <w:sz w:val="24"/>
                <w:szCs w:val="24"/>
              </w:rPr>
              <w:t>供电：由</w:t>
            </w:r>
            <w:r>
              <w:rPr>
                <w:rFonts w:hint="eastAsia" w:ascii="Times New Roman" w:hAnsi="Times New Roman" w:cs="Times New Roman"/>
                <w:sz w:val="24"/>
                <w:szCs w:val="24"/>
                <w:lang w:eastAsia="zh-CN"/>
              </w:rPr>
              <w:t>市供电公司电网统一供给</w:t>
            </w:r>
            <w:r>
              <w:rPr>
                <w:rFonts w:hint="default" w:ascii="Times New Roman" w:hAnsi="Times New Roman" w:cs="Times New Roman"/>
                <w:sz w:val="24"/>
                <w:szCs w:val="24"/>
              </w:rPr>
              <w:t>，可满足项目用电需要。</w:t>
            </w:r>
          </w:p>
          <w:p>
            <w:pPr>
              <w:numPr>
                <w:ilvl w:val="0"/>
                <w:numId w:val="0"/>
              </w:num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kern w:val="2"/>
                <w:sz w:val="24"/>
                <w:szCs w:val="24"/>
                <w:lang w:val="en-US" w:eastAsia="zh-CN" w:bidi="ar-SA"/>
              </w:rPr>
              <w:t>（3）</w:t>
            </w:r>
            <w:r>
              <w:rPr>
                <w:rFonts w:hint="eastAsia" w:ascii="Times New Roman" w:hAnsi="Times New Roman" w:cs="Times New Roman"/>
                <w:color w:val="auto"/>
                <w:sz w:val="24"/>
                <w:szCs w:val="24"/>
                <w:lang w:eastAsia="zh-CN"/>
              </w:rPr>
              <w:t>排水：</w:t>
            </w:r>
            <w:r>
              <w:rPr>
                <w:rFonts w:hint="default" w:ascii="Times New Roman" w:hAnsi="Times New Roman" w:eastAsia="宋体" w:cs="Times New Roman"/>
                <w:color w:val="auto"/>
                <w:sz w:val="24"/>
                <w:szCs w:val="24"/>
                <w:highlight w:val="none"/>
                <w:lang w:val="en-US" w:eastAsia="zh-CN"/>
              </w:rPr>
              <w:t>项目雨污分流，雨水经管埋地排入区域雨水管网，经雨水管网收集后向南排入自然沟</w:t>
            </w:r>
            <w:r>
              <w:rPr>
                <w:rFonts w:hint="eastAsia" w:cs="Times New Roman"/>
                <w:color w:val="auto"/>
                <w:sz w:val="24"/>
                <w:szCs w:val="24"/>
                <w:highlight w:val="none"/>
                <w:lang w:val="en-US" w:eastAsia="zh-CN"/>
              </w:rPr>
              <w:t>，最终进入泗水河</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生活污水由园区配套的化粪池（10m³）处理后，进入</w:t>
            </w:r>
            <w:r>
              <w:rPr>
                <w:rFonts w:hint="eastAsia" w:cs="Times New Roman"/>
                <w:color w:val="auto"/>
                <w:sz w:val="24"/>
                <w:szCs w:val="24"/>
                <w:lang w:val="en-US" w:eastAsia="zh-CN"/>
              </w:rPr>
              <w:t>艾草产业园污水处理设备</w:t>
            </w:r>
            <w:r>
              <w:rPr>
                <w:rFonts w:hint="default" w:ascii="Times New Roman" w:hAnsi="Times New Roman" w:eastAsia="宋体" w:cs="Times New Roman"/>
                <w:color w:val="auto"/>
                <w:sz w:val="24"/>
                <w:szCs w:val="24"/>
                <w:lang w:val="en-US" w:eastAsia="zh-CN"/>
              </w:rPr>
              <w:t>，达标后</w:t>
            </w:r>
            <w:r>
              <w:rPr>
                <w:rFonts w:hint="eastAsia" w:cs="Times New Roman"/>
                <w:color w:val="auto"/>
                <w:sz w:val="24"/>
                <w:szCs w:val="24"/>
                <w:lang w:val="en-US" w:eastAsia="zh-CN"/>
              </w:rPr>
              <w:t>经城镇污水管网排入泗水河</w:t>
            </w:r>
            <w:r>
              <w:rPr>
                <w:rFonts w:hint="eastAsia" w:ascii="Times New Roman" w:hAnsi="Times New Roman" w:cs="Times New Roman"/>
                <w:sz w:val="24"/>
                <w:szCs w:val="24"/>
                <w:lang w:eastAsia="zh-CN"/>
              </w:rPr>
              <w:t>。</w:t>
            </w:r>
          </w:p>
          <w:p>
            <w:pPr>
              <w:spacing w:line="520" w:lineRule="exact"/>
              <w:rPr>
                <w:rFonts w:hint="default" w:ascii="Times New Roman" w:hAnsi="Times New Roman" w:cs="Times New Roman"/>
                <w:b/>
                <w:bCs/>
                <w:sz w:val="24"/>
              </w:rPr>
            </w:pPr>
            <w:r>
              <w:rPr>
                <w:rFonts w:hint="eastAsia" w:ascii="Times New Roman" w:hAnsi="Times New Roman" w:cs="Times New Roman"/>
                <w:b/>
                <w:bCs/>
                <w:sz w:val="24"/>
                <w:lang w:val="en-US" w:eastAsia="zh-CN"/>
              </w:rPr>
              <w:t>7</w:t>
            </w:r>
            <w:r>
              <w:rPr>
                <w:rFonts w:hint="default" w:ascii="Times New Roman" w:hAnsi="Times New Roman" w:cs="Times New Roman"/>
                <w:b/>
                <w:bCs/>
                <w:sz w:val="24"/>
              </w:rPr>
              <w:t>、劳动定员和工作制度</w:t>
            </w:r>
          </w:p>
          <w:p>
            <w:pPr>
              <w:pStyle w:val="61"/>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项目劳动定员</w:t>
            </w:r>
            <w:r>
              <w:rPr>
                <w:rFonts w:hint="eastAsia" w:ascii="Times New Roman" w:hAnsi="Times New Roman" w:cs="Times New Roman"/>
                <w:color w:val="auto"/>
                <w:sz w:val="24"/>
                <w:lang w:val="en-US" w:eastAsia="zh-CN"/>
              </w:rPr>
              <w:t>4</w:t>
            </w:r>
            <w:r>
              <w:rPr>
                <w:rFonts w:hint="default" w:ascii="Times New Roman" w:hAnsi="Times New Roman" w:cs="Times New Roman"/>
                <w:sz w:val="24"/>
              </w:rPr>
              <w:t>人，职工均不在厂区食宿，项目采用单班8h工作制，年工作日</w:t>
            </w:r>
            <w:r>
              <w:rPr>
                <w:rFonts w:hint="eastAsia" w:ascii="Times New Roman" w:hAnsi="Times New Roman" w:cs="Times New Roman"/>
                <w:sz w:val="24"/>
                <w:lang w:val="en-US" w:eastAsia="zh-CN"/>
              </w:rPr>
              <w:t>300</w:t>
            </w:r>
            <w:r>
              <w:rPr>
                <w:rFonts w:hint="default" w:ascii="Times New Roman" w:hAnsi="Times New Roman" w:cs="Times New Roman"/>
                <w:sz w:val="24"/>
              </w:rPr>
              <w:t>天。</w:t>
            </w:r>
          </w:p>
          <w:p>
            <w:pPr>
              <w:pStyle w:val="61"/>
              <w:numPr>
                <w:ilvl w:val="0"/>
                <w:numId w:val="0"/>
              </w:numPr>
              <w:spacing w:line="500" w:lineRule="exact"/>
              <w:ind w:left="0" w:leftChars="0" w:firstLine="0" w:firstLineChars="0"/>
              <w:rPr>
                <w:rFonts w:hint="eastAsia" w:ascii="Times New Roman" w:hAnsi="Times New Roman" w:cs="Times New Roman"/>
                <w:b/>
                <w:bCs/>
                <w:sz w:val="24"/>
                <w:lang w:val="en-US" w:eastAsia="zh-CN"/>
              </w:rPr>
            </w:pPr>
            <w:r>
              <w:rPr>
                <w:rFonts w:hint="eastAsia" w:ascii="Times New Roman" w:hAnsi="Times New Roman" w:eastAsia="宋体" w:cs="Times New Roman"/>
                <w:b/>
                <w:bCs/>
                <w:kern w:val="2"/>
                <w:sz w:val="24"/>
                <w:szCs w:val="24"/>
                <w:lang w:val="en-US" w:eastAsia="zh-CN" w:bidi="ar-SA"/>
              </w:rPr>
              <w:t>8、</w:t>
            </w:r>
            <w:r>
              <w:rPr>
                <w:rFonts w:hint="eastAsia" w:ascii="Times New Roman" w:hAnsi="Times New Roman" w:cs="Times New Roman"/>
                <w:b/>
                <w:bCs/>
                <w:sz w:val="24"/>
                <w:lang w:val="en-US" w:eastAsia="zh-CN"/>
              </w:rPr>
              <w:t>厂区平面布置</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u w:val="none"/>
                <w:lang w:val="en-US" w:eastAsia="zh-CN"/>
              </w:rPr>
            </w:pPr>
            <w:r>
              <w:rPr>
                <w:rFonts w:hint="eastAsia" w:ascii="Times New Roman" w:hAnsi="Times New Roman" w:cs="Times New Roman"/>
                <w:b w:val="0"/>
                <w:bCs w:val="0"/>
                <w:sz w:val="24"/>
                <w:lang w:val="en-US" w:eastAsia="zh-CN"/>
              </w:rPr>
              <w:t>项目位于卧龙区田营村卧龙艾草产业园内E5厂房。E5厂房分三层，一层为生产区、配料间、成品区、办公休息区、固废暂存间、危废暂存间，二层为成品存储、三层为原料存储，</w:t>
            </w:r>
            <w:r>
              <w:rPr>
                <w:rFonts w:hint="eastAsia" w:ascii="Times New Roman" w:hAnsi="Times New Roman" w:cs="Times New Roman"/>
                <w:b w:val="0"/>
                <w:bCs w:val="0"/>
                <w:sz w:val="24"/>
                <w:u w:val="none"/>
                <w:lang w:val="en-US" w:eastAsia="zh-CN"/>
              </w:rPr>
              <w:t>楼内设置电梯，物料可通过板车及电梯运送。</w:t>
            </w:r>
            <w:r>
              <w:rPr>
                <w:rFonts w:hint="eastAsia" w:ascii="Times New Roman" w:hAnsi="Times New Roman" w:cs="Times New Roman"/>
                <w:b w:val="0"/>
                <w:bCs w:val="0"/>
                <w:sz w:val="24"/>
                <w:lang w:val="en-US" w:eastAsia="zh-CN"/>
              </w:rPr>
              <w:t>空间</w:t>
            </w:r>
            <w:r>
              <w:rPr>
                <w:rFonts w:hint="default" w:ascii="Times New Roman" w:hAnsi="Times New Roman" w:cs="Times New Roman"/>
                <w:color w:val="auto"/>
                <w:u w:val="none"/>
                <w:lang w:val="en-US" w:eastAsia="zh-CN"/>
              </w:rPr>
              <w:t>布置合理，有利于各生产工序间的协作，提高工作效率，平面布局合理。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823" w:type="dxa"/>
            <w:noWrap w:val="0"/>
            <w:vAlign w:val="center"/>
          </w:tcPr>
          <w:p>
            <w:pPr>
              <w:pStyle w:val="21"/>
              <w:adjustRightInd w:val="0"/>
              <w:snapToGrid w:val="0"/>
              <w:spacing w:before="0" w:beforeAutospacing="0" w:after="0" w:afterAutospacing="0"/>
              <w:jc w:val="center"/>
              <w:rPr>
                <w:rFonts w:cs="宋体"/>
                <w:sz w:val="21"/>
                <w:szCs w:val="21"/>
              </w:rPr>
            </w:pPr>
            <w:r>
              <w:rPr>
                <w:rFonts w:hint="eastAsia" w:ascii="Cambria" w:hAnsi="Cambria" w:eastAsia="宋体" w:cs="Times New Roman"/>
                <w:b/>
                <w:kern w:val="2"/>
                <w:sz w:val="28"/>
                <w:szCs w:val="24"/>
                <w:lang w:val="en-US" w:eastAsia="zh-CN" w:bidi="ar-SA"/>
              </w:rPr>
              <w:t>工艺流程和产排污环节</w:t>
            </w:r>
          </w:p>
        </w:tc>
        <w:tc>
          <w:tcPr>
            <w:tcW w:w="8382" w:type="dxa"/>
            <w:noWrap w:val="0"/>
            <w:vAlign w:val="top"/>
          </w:tcPr>
          <w:p>
            <w:pPr>
              <w:pStyle w:val="61"/>
              <w:spacing w:line="500" w:lineRule="exact"/>
              <w:ind w:left="0" w:leftChars="0" w:firstLine="0" w:firstLineChars="0"/>
              <w:rPr>
                <w:rFonts w:hint="eastAsia" w:ascii="Times New Roman" w:hAnsi="Times New Roman" w:cs="Times New Roman"/>
                <w:b/>
                <w:bCs/>
                <w:i w:val="0"/>
                <w:iCs w:val="0"/>
                <w:lang w:val="en-US" w:eastAsia="zh-CN"/>
              </w:rPr>
            </w:pPr>
            <w:r>
              <w:rPr>
                <w:rFonts w:hint="eastAsia" w:ascii="Times New Roman" w:hAnsi="Times New Roman" w:cs="Times New Roman"/>
                <w:b/>
                <w:bCs/>
                <w:i w:val="0"/>
                <w:iCs w:val="0"/>
                <w:lang w:val="en-US" w:eastAsia="zh-CN"/>
              </w:rPr>
              <w:t>1、施工期主要产排污环节</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宋体" w:hAnsi="宋体" w:eastAsia="宋体" w:cs="Times New Roman"/>
                <w:color w:val="auto"/>
                <w:sz w:val="24"/>
                <w:szCs w:val="24"/>
                <w:u w:val="none" w:color="auto"/>
                <w:lang w:eastAsia="zh-CN"/>
              </w:rPr>
            </w:pPr>
            <w:r>
              <w:rPr>
                <w:rFonts w:hint="default"/>
                <w:color w:val="auto"/>
                <w:sz w:val="24"/>
                <w:szCs w:val="24"/>
                <w:lang w:val="en-US" w:eastAsia="zh-CN"/>
              </w:rPr>
              <w:t>本项目为利用现有厂房进行</w:t>
            </w:r>
            <w:r>
              <w:rPr>
                <w:rFonts w:hint="eastAsia"/>
                <w:color w:val="auto"/>
                <w:sz w:val="24"/>
                <w:szCs w:val="24"/>
                <w:lang w:val="en-US" w:eastAsia="zh-CN"/>
              </w:rPr>
              <w:t>建设</w:t>
            </w:r>
            <w:r>
              <w:rPr>
                <w:rFonts w:hint="default"/>
                <w:color w:val="auto"/>
                <w:sz w:val="24"/>
                <w:szCs w:val="24"/>
                <w:lang w:val="en-US" w:eastAsia="zh-CN"/>
              </w:rPr>
              <w:t>，施工期需要进行车间装修及设备安装，主要污染为施工期装修噪声、安装工作人员产生的生活污水、生活垃圾及建筑垃圾等。本项目施工期较短，随着施工期的结束，施工期影响也将结束，预计不会对周围环境产生大的影响。</w:t>
            </w: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2、营运期</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2.1、生产工艺</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color w:val="auto"/>
                <w:sz w:val="24"/>
                <w:szCs w:val="24"/>
                <w:u w:val="none" w:color="auto"/>
                <w:lang w:val="en-US" w:eastAsia="zh-CN"/>
              </w:rPr>
              <w:t>本项目主要生产石墨烯发热新材料。</w:t>
            </w:r>
          </w:p>
          <w:tbl>
            <w:tblPr>
              <w:tblStyle w:val="27"/>
              <w:tblW w:w="81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66" w:type="dxa"/>
                </w:tcPr>
                <w:p>
                  <w:pPr>
                    <w:pStyle w:val="61"/>
                    <w:widowControl w:val="0"/>
                    <w:numPr>
                      <w:ilvl w:val="0"/>
                      <w:numId w:val="0"/>
                    </w:numPr>
                    <w:spacing w:line="240" w:lineRule="auto"/>
                    <w:jc w:val="center"/>
                    <w:rPr>
                      <w:rFonts w:hint="eastAsia"/>
                      <w:b/>
                      <w:bCs/>
                      <w:sz w:val="24"/>
                      <w:szCs w:val="24"/>
                      <w:vertAlign w:val="baseline"/>
                      <w:lang w:eastAsia="zh-CN"/>
                    </w:rPr>
                  </w:pPr>
                  <w:r>
                    <w:rPr>
                      <w:rFonts w:hint="eastAsia"/>
                      <w:b/>
                      <w:bCs/>
                      <w:sz w:val="24"/>
                      <w:szCs w:val="24"/>
                      <w:vertAlign w:val="baseline"/>
                      <w:lang w:eastAsia="zh-CN"/>
                    </w:rPr>
                    <w:drawing>
                      <wp:inline distT="0" distB="0" distL="114300" distR="114300">
                        <wp:extent cx="5033010" cy="805180"/>
                        <wp:effectExtent l="0" t="0" r="15240" b="13970"/>
                        <wp:docPr id="37" name="图片 37" descr="172922220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29222201137"/>
                                <pic:cNvPicPr>
                                  <a:picLocks noChangeAspect="1"/>
                                </pic:cNvPicPr>
                              </pic:nvPicPr>
                              <pic:blipFill>
                                <a:blip r:embed="rId14"/>
                                <a:stretch>
                                  <a:fillRect/>
                                </a:stretch>
                              </pic:blipFill>
                              <pic:spPr>
                                <a:xfrm>
                                  <a:off x="0" y="0"/>
                                  <a:ext cx="5033010" cy="805180"/>
                                </a:xfrm>
                                <a:prstGeom prst="rect">
                                  <a:avLst/>
                                </a:prstGeom>
                              </pic:spPr>
                            </pic:pic>
                          </a:graphicData>
                        </a:graphic>
                      </wp:inline>
                    </w:drawing>
                  </w:r>
                </w:p>
              </w:tc>
            </w:tr>
          </w:tbl>
          <w:p>
            <w:pPr>
              <w:pStyle w:val="61"/>
              <w:widowControl w:val="0"/>
              <w:numPr>
                <w:ilvl w:val="0"/>
                <w:numId w:val="0"/>
              </w:numPr>
              <w:spacing w:line="500" w:lineRule="exact"/>
              <w:jc w:val="center"/>
              <w:rPr>
                <w:rFonts w:hint="default" w:eastAsia="宋体"/>
                <w:b/>
                <w:bCs/>
                <w:sz w:val="24"/>
                <w:szCs w:val="24"/>
                <w:lang w:val="en-US" w:eastAsia="zh-CN"/>
              </w:rPr>
            </w:pPr>
            <w:r>
              <w:rPr>
                <w:rFonts w:hint="default" w:ascii="Times New Roman" w:hAnsi="Times New Roman" w:cs="Times New Roman"/>
                <w:b/>
                <w:bCs/>
                <w:sz w:val="24"/>
                <w:szCs w:val="24"/>
                <w:lang w:eastAsia="zh-CN"/>
              </w:rPr>
              <w:t>图</w:t>
            </w:r>
            <w:r>
              <w:rPr>
                <w:rFonts w:hint="default" w:ascii="Times New Roman" w:hAnsi="Times New Roman" w:cs="Times New Roman"/>
                <w:b/>
                <w:bCs/>
                <w:sz w:val="24"/>
                <w:szCs w:val="24"/>
                <w:lang w:val="en-US" w:eastAsia="zh-CN"/>
              </w:rPr>
              <w:t>2-</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 xml:space="preserve">  石墨烯发热新材料</w:t>
            </w:r>
            <w:r>
              <w:rPr>
                <w:rFonts w:hint="eastAsia"/>
                <w:b/>
                <w:bCs/>
                <w:sz w:val="24"/>
                <w:szCs w:val="24"/>
                <w:lang w:val="en-US" w:eastAsia="zh-CN"/>
              </w:rPr>
              <w:t>生产工艺及产污环节示意图</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eastAsia"/>
                <w:b/>
                <w:bCs/>
                <w:color w:val="auto"/>
                <w:kern w:val="52"/>
                <w:sz w:val="24"/>
                <w:highlight w:val="none"/>
                <w:u w:val="none"/>
                <w:lang w:eastAsia="zh-CN"/>
              </w:rPr>
            </w:pPr>
            <w:r>
              <w:rPr>
                <w:rFonts w:hint="eastAsia"/>
                <w:b/>
                <w:bCs/>
                <w:color w:val="auto"/>
                <w:kern w:val="52"/>
                <w:sz w:val="24"/>
                <w:highlight w:val="none"/>
                <w:u w:val="none"/>
                <w:lang w:eastAsia="zh-CN"/>
              </w:rPr>
              <w:t>工艺流程：</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default" w:ascii="Times New Roman" w:hAnsi="Times New Roman" w:cs="Times New Roman"/>
                <w:color w:val="auto"/>
                <w:sz w:val="24"/>
                <w:szCs w:val="20"/>
                <w:u w:val="none"/>
                <w:lang w:eastAsia="zh-CN"/>
              </w:rPr>
            </w:pPr>
            <w:r>
              <w:rPr>
                <w:rFonts w:hint="eastAsia"/>
                <w:b/>
                <w:bCs/>
                <w:color w:val="auto"/>
                <w:kern w:val="52"/>
                <w:sz w:val="24"/>
                <w:highlight w:val="none"/>
                <w:u w:val="none"/>
                <w:lang w:val="en-US" w:eastAsia="zh-CN"/>
              </w:rPr>
              <w:t>配料：</w:t>
            </w:r>
            <w:r>
              <w:rPr>
                <w:rFonts w:hint="default" w:ascii="Times New Roman" w:hAnsi="Times New Roman" w:cs="Times New Roman"/>
                <w:color w:val="000000" w:themeColor="text1"/>
                <w:sz w:val="24"/>
                <w:szCs w:val="24"/>
                <w:u w:val="none"/>
                <w:lang w:val="en-US" w:eastAsia="zh-CN"/>
                <w14:textFill>
                  <w14:solidFill>
                    <w14:schemeClr w14:val="tx1"/>
                  </w14:solidFill>
                </w14:textFill>
              </w:rPr>
              <w:t>原料石墨烯分散材料袋装（20kg/袋），配料过程人工破袋并倒入小型搅拌机搅拌桶（30L）中，石墨烯与水配比为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1:40</w:t>
            </w:r>
            <w:r>
              <w:rPr>
                <w:rFonts w:hint="default" w:ascii="Times New Roman" w:hAnsi="Times New Roman" w:cs="Times New Roman"/>
                <w:color w:val="000000" w:themeColor="text1"/>
                <w:sz w:val="24"/>
                <w:szCs w:val="24"/>
                <w:u w:val="none"/>
                <w:lang w:val="en-US" w:eastAsia="zh-CN"/>
                <w14:textFill>
                  <w14:solidFill>
                    <w14:schemeClr w14:val="tx1"/>
                  </w14:solidFill>
                </w14:textFill>
              </w:rPr>
              <w:t>，配料过程操作条件缓和，加水后搅拌过程搅拌桶加盖密闭，无明显粉尘产生，配料</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混合搅拌后为液体</w:t>
            </w:r>
            <w:r>
              <w:rPr>
                <w:rFonts w:hint="eastAsia"/>
                <w:u w:val="none"/>
                <w:lang w:val="en-US" w:eastAsia="zh-CN"/>
              </w:rPr>
              <w:t>均匀状态</w:t>
            </w:r>
            <w:r>
              <w:rPr>
                <w:rFonts w:hint="default" w:ascii="Times New Roman" w:hAnsi="Times New Roman" w:cs="Times New Roman"/>
                <w:color w:val="auto"/>
                <w:sz w:val="24"/>
                <w:szCs w:val="20"/>
                <w:u w:val="none"/>
                <w:lang w:eastAsia="zh-CN"/>
              </w:rPr>
              <w:t>。</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b/>
                <w:bCs/>
                <w:color w:val="auto"/>
                <w:sz w:val="24"/>
                <w:szCs w:val="20"/>
                <w:u w:val="none"/>
                <w:lang w:val="en-US" w:eastAsia="zh-CN"/>
              </w:rPr>
              <w:t>涂布：</w:t>
            </w:r>
            <w:r>
              <w:rPr>
                <w:rFonts w:hint="eastAsia" w:ascii="Times New Roman" w:hAnsi="Times New Roman" w:cs="Times New Roman"/>
                <w:color w:val="auto"/>
                <w:sz w:val="24"/>
                <w:szCs w:val="24"/>
                <w:u w:val="none"/>
                <w:lang w:val="en-US" w:eastAsia="zh-CN"/>
              </w:rPr>
              <w:t>将</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准备好的</w:t>
            </w:r>
            <w:r>
              <w:rPr>
                <w:rFonts w:hint="default" w:ascii="Times New Roman" w:hAnsi="Times New Roman" w:cs="Times New Roman"/>
                <w:color w:val="000000" w:themeColor="text1"/>
                <w:sz w:val="24"/>
                <w:szCs w:val="24"/>
                <w:u w:val="none"/>
                <w:lang w:val="en-US" w:eastAsia="zh-CN"/>
                <w14:textFill>
                  <w14:solidFill>
                    <w14:schemeClr w14:val="tx1"/>
                  </w14:solidFill>
                </w14:textFill>
              </w:rPr>
              <w:t>石墨烯分散材料</w:t>
            </w:r>
            <w:r>
              <w:rPr>
                <w:rFonts w:hint="eastAsia" w:ascii="Times New Roman" w:hAnsi="Times New Roman" w:cs="Times New Roman"/>
                <w:color w:val="000000" w:themeColor="text1"/>
                <w:sz w:val="24"/>
                <w:szCs w:val="24"/>
                <w:u w:val="none"/>
                <w:lang w:val="en-US" w:eastAsia="zh-CN"/>
                <w14:textFill>
                  <w14:solidFill>
                    <w14:schemeClr w14:val="tx1"/>
                  </w14:solidFill>
                </w14:textFill>
              </w:rPr>
              <w:t>通过人工倾倒至涂布机料斗内，涂布机采用辊筒方式进行涂布，将</w:t>
            </w:r>
            <w:r>
              <w:rPr>
                <w:rFonts w:hint="default" w:ascii="Times New Roman" w:hAnsi="Times New Roman" w:cs="Times New Roman"/>
                <w:color w:val="000000" w:themeColor="text1"/>
                <w:sz w:val="24"/>
                <w:szCs w:val="24"/>
                <w:u w:val="none"/>
                <w:lang w:val="en-US" w:eastAsia="zh-CN"/>
                <w14:textFill>
                  <w14:solidFill>
                    <w14:schemeClr w14:val="tx1"/>
                  </w14:solidFill>
                </w14:textFill>
              </w:rPr>
              <w:t>石墨烯分散材料</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均匀涂覆在PE膜上。</w:t>
            </w:r>
            <w:r>
              <w:rPr>
                <w:rFonts w:hint="default" w:ascii="Times New Roman" w:hAnsi="Times New Roman" w:cs="Times New Roman"/>
                <w:color w:val="auto"/>
                <w:sz w:val="24"/>
                <w:szCs w:val="24"/>
                <w:u w:val="none"/>
                <w:lang w:val="en-US" w:eastAsia="zh-CN"/>
              </w:rPr>
              <w:t>涂布工序工作温度约为75℃，每天工作时间最大为7.5h</w:t>
            </w:r>
            <w:r>
              <w:rPr>
                <w:rFonts w:hint="eastAsia" w:ascii="Times New Roman" w:hAnsi="Times New Roman" w:cs="Times New Roman"/>
                <w:color w:val="auto"/>
                <w:sz w:val="24"/>
                <w:szCs w:val="24"/>
                <w:u w:val="none"/>
                <w:lang w:val="en-US" w:eastAsia="zh-CN"/>
              </w:rPr>
              <w:t>。</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eastAsia" w:ascii="Times New Roman" w:hAnsi="Times New Roman" w:cs="Times New Roman"/>
                <w:color w:val="auto"/>
                <w:sz w:val="24"/>
                <w:szCs w:val="24"/>
                <w:u w:val="none"/>
                <w:lang w:val="en-US" w:eastAsia="zh-CN"/>
              </w:rPr>
            </w:pPr>
            <w:r>
              <w:rPr>
                <w:rFonts w:hint="default" w:ascii="Times New Roman" w:hAnsi="Times New Roman" w:cs="Times New Roman"/>
                <w:b/>
                <w:bCs/>
                <w:color w:val="auto"/>
                <w:sz w:val="24"/>
                <w:szCs w:val="24"/>
                <w:u w:val="none"/>
                <w:lang w:val="en-US" w:eastAsia="zh-CN"/>
              </w:rPr>
              <w:t>干复</w:t>
            </w:r>
            <w:r>
              <w:rPr>
                <w:rFonts w:hint="eastAsia" w:ascii="Times New Roman" w:hAnsi="Times New Roman" w:cs="Times New Roman"/>
                <w:b/>
                <w:bCs/>
                <w:color w:val="auto"/>
                <w:sz w:val="24"/>
                <w:szCs w:val="24"/>
                <w:u w:val="none"/>
                <w:lang w:val="en-US" w:eastAsia="zh-CN"/>
              </w:rPr>
              <w:t>：</w:t>
            </w:r>
            <w:r>
              <w:rPr>
                <w:rFonts w:hint="default" w:ascii="Times New Roman" w:hAnsi="Times New Roman" w:cs="Times New Roman"/>
                <w:color w:val="auto"/>
                <w:sz w:val="24"/>
                <w:szCs w:val="24"/>
                <w:u w:val="none"/>
                <w:lang w:val="en-US" w:eastAsia="zh-CN"/>
              </w:rPr>
              <w:t>将涂布</w:t>
            </w:r>
            <w:r>
              <w:rPr>
                <w:rFonts w:hint="eastAsia" w:ascii="Times New Roman" w:hAnsi="Times New Roman" w:cs="Times New Roman"/>
                <w:color w:val="auto"/>
                <w:sz w:val="24"/>
                <w:szCs w:val="24"/>
                <w:u w:val="none"/>
                <w:lang w:val="en-US" w:eastAsia="zh-CN"/>
              </w:rPr>
              <w:t>后的</w:t>
            </w:r>
            <w:r>
              <w:rPr>
                <w:rFonts w:hint="default" w:ascii="Times New Roman" w:hAnsi="Times New Roman" w:cs="Times New Roman"/>
                <w:color w:val="auto"/>
                <w:sz w:val="24"/>
                <w:szCs w:val="24"/>
                <w:u w:val="none"/>
                <w:lang w:val="en-US" w:eastAsia="zh-CN"/>
              </w:rPr>
              <w:t>PE膜</w:t>
            </w:r>
            <w:r>
              <w:rPr>
                <w:rFonts w:hint="eastAsia" w:ascii="Times New Roman" w:hAnsi="Times New Roman" w:cs="Times New Roman"/>
                <w:color w:val="auto"/>
                <w:sz w:val="24"/>
                <w:szCs w:val="24"/>
                <w:u w:val="none"/>
                <w:lang w:val="en-US" w:eastAsia="zh-CN"/>
              </w:rPr>
              <w:t>与</w:t>
            </w:r>
            <w:r>
              <w:rPr>
                <w:rFonts w:hint="default" w:ascii="Times New Roman" w:hAnsi="Times New Roman" w:cs="Times New Roman"/>
                <w:color w:val="auto"/>
                <w:sz w:val="24"/>
                <w:szCs w:val="24"/>
                <w:u w:val="none"/>
                <w:lang w:val="en-US" w:eastAsia="zh-CN"/>
              </w:rPr>
              <w:t>艾绒布复合在一起形成石墨烯发热新材料</w:t>
            </w:r>
            <w:r>
              <w:rPr>
                <w:rFonts w:hint="eastAsia" w:ascii="Times New Roman" w:hAnsi="Times New Roman" w:cs="Times New Roman"/>
                <w:color w:val="auto"/>
                <w:sz w:val="24"/>
                <w:szCs w:val="24"/>
                <w:u w:val="none"/>
                <w:lang w:val="en-US" w:eastAsia="zh-CN"/>
              </w:rPr>
              <w:t>。</w:t>
            </w:r>
            <w:r>
              <w:rPr>
                <w:rFonts w:hint="default" w:ascii="Times New Roman" w:hAnsi="Times New Roman" w:cs="Times New Roman"/>
                <w:color w:val="auto"/>
                <w:sz w:val="24"/>
                <w:szCs w:val="24"/>
                <w:u w:val="none"/>
                <w:lang w:val="en-US" w:eastAsia="zh-CN"/>
              </w:rPr>
              <w:t>干复工序工作温度约为75℃，每天工作时间最大为7.5h</w:t>
            </w:r>
            <w:r>
              <w:rPr>
                <w:rFonts w:hint="eastAsia" w:ascii="Times New Roman" w:hAnsi="Times New Roman" w:cs="Times New Roman"/>
                <w:color w:val="auto"/>
                <w:sz w:val="24"/>
                <w:szCs w:val="24"/>
                <w:u w:val="none"/>
                <w:lang w:val="en-US" w:eastAsia="zh-CN"/>
              </w:rPr>
              <w:t>。</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eastAsia" w:ascii="Times New Roman" w:hAnsi="Times New Roman" w:cs="Times New Roman"/>
                <w:color w:val="auto"/>
                <w:sz w:val="24"/>
                <w:szCs w:val="24"/>
                <w:u w:val="none"/>
                <w:lang w:val="en-US" w:eastAsia="zh-CN"/>
              </w:rPr>
            </w:pPr>
            <w:r>
              <w:rPr>
                <w:rFonts w:hint="default" w:ascii="Times New Roman" w:hAnsi="Times New Roman" w:cs="Times New Roman"/>
                <w:b/>
                <w:bCs/>
                <w:color w:val="auto"/>
                <w:sz w:val="24"/>
                <w:szCs w:val="24"/>
                <w:u w:val="none"/>
                <w:lang w:val="en-US" w:eastAsia="zh-CN"/>
              </w:rPr>
              <w:t>烘干</w:t>
            </w:r>
            <w:r>
              <w:rPr>
                <w:rFonts w:hint="eastAsia" w:ascii="Times New Roman" w:hAnsi="Times New Roman" w:cs="Times New Roman"/>
                <w:b/>
                <w:bCs/>
                <w:color w:val="auto"/>
                <w:sz w:val="24"/>
                <w:szCs w:val="24"/>
                <w:u w:val="none"/>
                <w:lang w:val="en-US" w:eastAsia="zh-CN"/>
              </w:rPr>
              <w:t>：</w:t>
            </w:r>
            <w:r>
              <w:rPr>
                <w:rFonts w:hint="eastAsia" w:ascii="Times New Roman" w:hAnsi="Times New Roman" w:cs="Times New Roman"/>
                <w:color w:val="auto"/>
                <w:sz w:val="24"/>
                <w:szCs w:val="24"/>
                <w:u w:val="none"/>
                <w:lang w:val="en-US" w:eastAsia="zh-CN"/>
              </w:rPr>
              <w:t>采用电烘干</w:t>
            </w:r>
            <w:r>
              <w:rPr>
                <w:rFonts w:hint="default" w:ascii="Times New Roman" w:hAnsi="Times New Roman" w:cs="Times New Roman"/>
                <w:color w:val="auto"/>
                <w:sz w:val="24"/>
                <w:szCs w:val="24"/>
                <w:u w:val="none"/>
                <w:lang w:val="en-US" w:eastAsia="zh-CN"/>
              </w:rPr>
              <w:t>，以去除复合材料中剩余的水分</w:t>
            </w:r>
            <w:r>
              <w:rPr>
                <w:rFonts w:hint="eastAsia" w:ascii="Times New Roman" w:hAnsi="Times New Roman" w:cs="Times New Roman"/>
                <w:color w:val="auto"/>
                <w:sz w:val="24"/>
                <w:szCs w:val="24"/>
                <w:u w:val="none"/>
                <w:lang w:val="en-US" w:eastAsia="zh-CN"/>
              </w:rPr>
              <w:t>，</w:t>
            </w:r>
            <w:r>
              <w:rPr>
                <w:rFonts w:hint="default" w:ascii="Times New Roman" w:hAnsi="Times New Roman" w:cs="Times New Roman"/>
                <w:color w:val="auto"/>
                <w:sz w:val="24"/>
                <w:szCs w:val="24"/>
                <w:u w:val="none"/>
                <w:lang w:val="en-US" w:eastAsia="zh-CN"/>
              </w:rPr>
              <w:t>烘干工序工作温度约为40℃，烘干</w:t>
            </w:r>
            <w:r>
              <w:rPr>
                <w:rFonts w:hint="eastAsia" w:ascii="Times New Roman" w:hAnsi="Times New Roman" w:cs="Times New Roman"/>
                <w:color w:val="auto"/>
                <w:sz w:val="24"/>
                <w:szCs w:val="24"/>
                <w:u w:val="none"/>
                <w:lang w:val="en-US" w:eastAsia="zh-CN"/>
              </w:rPr>
              <w:t>机长度约</w:t>
            </w:r>
            <w:r>
              <w:rPr>
                <w:rFonts w:hint="default" w:ascii="Times New Roman" w:hAnsi="Times New Roman" w:cs="Times New Roman"/>
                <w:color w:val="auto"/>
                <w:sz w:val="24"/>
                <w:szCs w:val="24"/>
                <w:u w:val="none"/>
                <w:lang w:val="en-US" w:eastAsia="zh-CN"/>
              </w:rPr>
              <w:t>140</w:t>
            </w:r>
            <w:r>
              <w:rPr>
                <w:rFonts w:hint="eastAsia" w:ascii="Times New Roman" w:hAnsi="Times New Roman" w:cs="Times New Roman"/>
                <w:color w:val="auto"/>
                <w:sz w:val="24"/>
                <w:szCs w:val="24"/>
                <w:u w:val="none"/>
                <w:lang w:val="en-US" w:eastAsia="zh-CN"/>
              </w:rPr>
              <w:t>cm，</w:t>
            </w:r>
            <w:r>
              <w:rPr>
                <w:rFonts w:hint="default" w:ascii="Times New Roman" w:hAnsi="Times New Roman" w:cs="Times New Roman"/>
                <w:color w:val="auto"/>
                <w:sz w:val="24"/>
                <w:szCs w:val="24"/>
                <w:u w:val="none"/>
                <w:lang w:val="en-US" w:eastAsia="zh-CN"/>
              </w:rPr>
              <w:t>每天工作时间最大为7.5h</w:t>
            </w:r>
            <w:r>
              <w:rPr>
                <w:rFonts w:hint="eastAsia" w:ascii="Times New Roman" w:hAnsi="Times New Roman" w:cs="Times New Roman"/>
                <w:color w:val="auto"/>
                <w:sz w:val="24"/>
                <w:szCs w:val="24"/>
                <w:u w:val="none"/>
                <w:lang w:val="en-US" w:eastAsia="zh-CN"/>
              </w:rPr>
              <w:t>。</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color w:val="auto"/>
                <w:sz w:val="24"/>
                <w:szCs w:val="24"/>
                <w:u w:val="none"/>
                <w:lang w:val="en-US" w:eastAsia="zh-CN"/>
              </w:rPr>
            </w:pPr>
            <w:r>
              <w:rPr>
                <w:rFonts w:hint="default" w:ascii="Times New Roman" w:hAnsi="Times New Roman" w:cs="Times New Roman"/>
                <w:color w:val="auto"/>
                <w:sz w:val="24"/>
                <w:szCs w:val="24"/>
                <w:u w:val="none"/>
                <w:lang w:val="en-US" w:eastAsia="zh-CN"/>
              </w:rPr>
              <w:t>PE膜在加热复合过程会产生少量的有机废气</w:t>
            </w:r>
            <w:r>
              <w:rPr>
                <w:rFonts w:hint="eastAsia" w:ascii="Times New Roman" w:hAnsi="Times New Roman" w:cs="Times New Roman"/>
                <w:color w:val="auto"/>
                <w:sz w:val="24"/>
                <w:szCs w:val="24"/>
                <w:u w:val="none"/>
                <w:lang w:val="en-US" w:eastAsia="zh-CN"/>
              </w:rPr>
              <w:t>，本项目在涂布机、干复机工作台以上进行二次密闭，烘干机全密闭，均采取负压集气，产生的有机废气经配套管道收集后经管道引至一套“二级活性炭吸附”装置处理后通过1根23m排气筒排放。</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jc w:val="both"/>
              <w:textAlignment w:val="auto"/>
              <w:rPr>
                <w:rFonts w:hint="eastAsia"/>
                <w:b/>
                <w:bCs/>
                <w:u w:val="none"/>
                <w:lang w:val="en-US" w:eastAsia="zh-CN"/>
              </w:rPr>
            </w:pPr>
            <w:r>
              <w:rPr>
                <w:rFonts w:hint="eastAsia" w:ascii="Times New Roman" w:hAnsi="Times New Roman" w:cs="Times New Roman"/>
                <w:b/>
                <w:bCs/>
                <w:color w:val="auto"/>
                <w:sz w:val="24"/>
                <w:szCs w:val="24"/>
                <w:u w:val="none"/>
                <w:lang w:val="en-US" w:eastAsia="zh-CN"/>
              </w:rPr>
              <w:t>分切、检验：</w:t>
            </w:r>
            <w:r>
              <w:rPr>
                <w:rFonts w:hint="eastAsia" w:ascii="Times New Roman" w:hAnsi="Times New Roman" w:cs="Times New Roman"/>
                <w:color w:val="auto"/>
                <w:sz w:val="24"/>
                <w:szCs w:val="24"/>
                <w:u w:val="none"/>
                <w:lang w:val="en-US" w:eastAsia="zh-CN"/>
              </w:rPr>
              <w:t>烘干后的</w:t>
            </w:r>
            <w:r>
              <w:rPr>
                <w:rFonts w:hint="default" w:ascii="Times New Roman" w:hAnsi="Times New Roman" w:cs="Times New Roman"/>
                <w:color w:val="auto"/>
                <w:sz w:val="24"/>
                <w:szCs w:val="24"/>
                <w:u w:val="none"/>
                <w:lang w:val="en-US" w:eastAsia="zh-CN"/>
              </w:rPr>
              <w:t>石墨烯发热新材料</w:t>
            </w:r>
            <w:r>
              <w:rPr>
                <w:rFonts w:hint="default" w:ascii="Times New Roman" w:hAnsi="Times New Roman" w:cs="Times New Roman"/>
                <w:color w:val="auto"/>
                <w:kern w:val="52"/>
                <w:sz w:val="24"/>
                <w:highlight w:val="none"/>
                <w:u w:val="none"/>
                <w:lang w:eastAsia="zh-CN"/>
              </w:rPr>
              <w:t>经传送带送到</w:t>
            </w:r>
            <w:r>
              <w:rPr>
                <w:rFonts w:hint="default" w:ascii="Times New Roman" w:hAnsi="Times New Roman" w:cs="Times New Roman"/>
                <w:color w:val="auto"/>
                <w:kern w:val="52"/>
                <w:sz w:val="24"/>
                <w:highlight w:val="none"/>
                <w:u w:val="none"/>
                <w:lang w:val="en-US" w:eastAsia="zh-CN"/>
              </w:rPr>
              <w:t>分切压延机</w:t>
            </w:r>
            <w:r>
              <w:rPr>
                <w:rFonts w:hint="default" w:ascii="Times New Roman" w:hAnsi="Times New Roman" w:cs="Times New Roman"/>
                <w:color w:val="auto"/>
                <w:kern w:val="52"/>
                <w:sz w:val="24"/>
                <w:highlight w:val="none"/>
                <w:u w:val="none"/>
                <w:lang w:eastAsia="zh-CN"/>
              </w:rPr>
              <w:t>设备上，</w:t>
            </w:r>
            <w:r>
              <w:rPr>
                <w:rFonts w:hint="default" w:ascii="Times New Roman" w:hAnsi="Times New Roman" w:cs="Times New Roman"/>
                <w:color w:val="auto"/>
                <w:kern w:val="52"/>
                <w:sz w:val="24"/>
                <w:highlight w:val="none"/>
                <w:u w:val="none"/>
                <w:lang w:val="en-US" w:eastAsia="zh-CN"/>
              </w:rPr>
              <w:t>分切压延</w:t>
            </w:r>
            <w:r>
              <w:rPr>
                <w:rFonts w:hint="default" w:ascii="Times New Roman" w:hAnsi="Times New Roman" w:cs="Times New Roman"/>
                <w:color w:val="auto"/>
                <w:kern w:val="52"/>
                <w:sz w:val="24"/>
                <w:highlight w:val="none"/>
                <w:u w:val="none"/>
                <w:lang w:eastAsia="zh-CN"/>
              </w:rPr>
              <w:t>成型，成品</w:t>
            </w:r>
            <w:r>
              <w:rPr>
                <w:rFonts w:hint="eastAsia" w:ascii="Times New Roman" w:hAnsi="Times New Roman" w:cs="Times New Roman"/>
                <w:color w:val="auto"/>
                <w:kern w:val="52"/>
                <w:sz w:val="24"/>
                <w:highlight w:val="none"/>
                <w:u w:val="none"/>
                <w:lang w:val="en-US" w:eastAsia="zh-CN"/>
              </w:rPr>
              <w:t>为卷装，放入仓库</w:t>
            </w:r>
            <w:r>
              <w:rPr>
                <w:rFonts w:hint="default" w:ascii="Times New Roman" w:hAnsi="Times New Roman" w:cs="Times New Roman"/>
                <w:color w:val="auto"/>
                <w:kern w:val="52"/>
                <w:sz w:val="24"/>
                <w:highlight w:val="none"/>
                <w:u w:val="none"/>
                <w:lang w:eastAsia="zh-CN"/>
              </w:rPr>
              <w:t>。</w:t>
            </w:r>
          </w:p>
          <w:p>
            <w:pPr>
              <w:pStyle w:val="61"/>
              <w:widowControl w:val="0"/>
              <w:numPr>
                <w:ilvl w:val="0"/>
                <w:numId w:val="0"/>
              </w:numPr>
              <w:spacing w:line="500" w:lineRule="exact"/>
              <w:ind w:firstLine="482" w:firstLineChars="200"/>
              <w:jc w:val="both"/>
              <w:rPr>
                <w:rFonts w:hint="default" w:ascii="Times New Roman" w:hAnsi="Times New Roman" w:cs="Times New Roman"/>
                <w:b/>
                <w:bCs/>
                <w:color w:val="auto"/>
                <w:kern w:val="52"/>
                <w:sz w:val="24"/>
                <w:highlight w:val="none"/>
                <w:u w:val="none"/>
                <w:lang w:val="en-US" w:eastAsia="zh-CN"/>
              </w:rPr>
            </w:pPr>
            <w:r>
              <w:rPr>
                <w:rFonts w:hint="default" w:ascii="Times New Roman" w:hAnsi="Times New Roman" w:cs="Times New Roman"/>
                <w:b/>
                <w:bCs/>
                <w:color w:val="auto"/>
                <w:kern w:val="52"/>
                <w:sz w:val="24"/>
                <w:highlight w:val="none"/>
                <w:u w:val="none"/>
                <w:lang w:val="en-US" w:eastAsia="zh-CN"/>
              </w:rPr>
              <w:t>2.2产污环节分析</w:t>
            </w:r>
          </w:p>
          <w:p>
            <w:pPr>
              <w:pStyle w:val="61"/>
              <w:widowControl w:val="0"/>
              <w:numPr>
                <w:ilvl w:val="0"/>
                <w:numId w:val="0"/>
              </w:numPr>
              <w:spacing w:line="500" w:lineRule="exact"/>
              <w:ind w:firstLine="482" w:firstLineChars="200"/>
              <w:jc w:val="both"/>
              <w:rPr>
                <w:rFonts w:hint="default" w:ascii="Times New Roman" w:hAnsi="Times New Roman" w:cs="Times New Roman"/>
                <w:b/>
                <w:bCs/>
                <w:color w:val="auto"/>
                <w:kern w:val="52"/>
                <w:sz w:val="24"/>
                <w:highlight w:val="none"/>
                <w:u w:val="none"/>
                <w:lang w:eastAsia="zh-CN"/>
              </w:rPr>
            </w:pPr>
            <w:r>
              <w:rPr>
                <w:rFonts w:hint="default" w:ascii="Times New Roman" w:hAnsi="Times New Roman" w:cs="Times New Roman"/>
                <w:b/>
                <w:bCs/>
                <w:color w:val="auto"/>
                <w:kern w:val="52"/>
                <w:sz w:val="24"/>
                <w:highlight w:val="none"/>
                <w:u w:val="none"/>
                <w:lang w:eastAsia="zh-CN"/>
              </w:rPr>
              <w:t>（1）废水</w:t>
            </w:r>
          </w:p>
          <w:p>
            <w:pPr>
              <w:pStyle w:val="61"/>
              <w:widowControl w:val="0"/>
              <w:numPr>
                <w:ilvl w:val="0"/>
                <w:numId w:val="0"/>
              </w:numPr>
              <w:spacing w:line="500" w:lineRule="exact"/>
              <w:ind w:firstLine="480" w:firstLineChars="200"/>
              <w:jc w:val="both"/>
              <w:rPr>
                <w:rFonts w:hint="default" w:ascii="Times New Roman" w:hAnsi="Times New Roman" w:cs="Times New Roman"/>
                <w:color w:val="auto"/>
                <w:kern w:val="52"/>
                <w:sz w:val="24"/>
                <w:highlight w:val="none"/>
                <w:u w:val="none"/>
                <w:lang w:eastAsia="zh-CN"/>
              </w:rPr>
            </w:pPr>
            <w:r>
              <w:rPr>
                <w:rFonts w:hint="default" w:ascii="Times New Roman" w:hAnsi="Times New Roman" w:cs="Times New Roman"/>
                <w:color w:val="auto"/>
                <w:kern w:val="52"/>
                <w:sz w:val="24"/>
                <w:highlight w:val="none"/>
                <w:u w:val="none"/>
                <w:lang w:eastAsia="zh-CN"/>
              </w:rPr>
              <w:t>项目运营期废水主要为职工生活污水。</w:t>
            </w:r>
          </w:p>
          <w:p>
            <w:pPr>
              <w:pStyle w:val="61"/>
              <w:widowControl w:val="0"/>
              <w:numPr>
                <w:ilvl w:val="0"/>
                <w:numId w:val="0"/>
              </w:numPr>
              <w:spacing w:line="500" w:lineRule="exact"/>
              <w:ind w:left="-60" w:leftChars="0" w:firstLine="480" w:firstLineChars="0"/>
              <w:jc w:val="both"/>
              <w:rPr>
                <w:rFonts w:hint="default" w:ascii="Times New Roman" w:hAnsi="Times New Roman" w:cs="Times New Roman"/>
                <w:b/>
                <w:bCs/>
                <w:color w:val="auto"/>
                <w:kern w:val="52"/>
                <w:sz w:val="24"/>
                <w:highlight w:val="none"/>
                <w:u w:val="none"/>
                <w:lang w:eastAsia="zh-CN"/>
              </w:rPr>
            </w:pPr>
            <w:r>
              <w:rPr>
                <w:rFonts w:hint="default" w:ascii="Times New Roman" w:hAnsi="Times New Roman" w:eastAsia="宋体" w:cs="Times New Roman"/>
                <w:b/>
                <w:bCs/>
                <w:color w:val="auto"/>
                <w:kern w:val="52"/>
                <w:sz w:val="24"/>
                <w:szCs w:val="24"/>
                <w:lang w:val="en-US" w:eastAsia="zh-CN" w:bidi="ar-SA"/>
              </w:rPr>
              <w:t>（2）</w:t>
            </w:r>
            <w:r>
              <w:rPr>
                <w:rFonts w:hint="default" w:ascii="Times New Roman" w:hAnsi="Times New Roman" w:cs="Times New Roman"/>
                <w:b/>
                <w:bCs/>
                <w:color w:val="auto"/>
                <w:kern w:val="52"/>
                <w:sz w:val="24"/>
                <w:highlight w:val="none"/>
                <w:u w:val="none"/>
                <w:lang w:eastAsia="zh-CN"/>
              </w:rPr>
              <w:t>废气</w:t>
            </w:r>
          </w:p>
          <w:p>
            <w:pPr>
              <w:pStyle w:val="61"/>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color w:val="auto"/>
                <w:kern w:val="52"/>
                <w:sz w:val="24"/>
                <w:highlight w:val="none"/>
                <w:u w:val="none"/>
                <w:lang w:val="en-US" w:eastAsia="zh-CN"/>
              </w:rPr>
            </w:pPr>
            <w:r>
              <w:rPr>
                <w:rFonts w:hint="default" w:ascii="Times New Roman" w:hAnsi="Times New Roman" w:cs="Times New Roman"/>
                <w:color w:val="auto"/>
                <w:kern w:val="52"/>
                <w:sz w:val="24"/>
                <w:highlight w:val="none"/>
                <w:u w:val="none"/>
                <w:lang w:eastAsia="zh-CN"/>
              </w:rPr>
              <w:t>项目营运期大气污染物主要是生产配料过程中产生的粉尘，以及涂布、干复、烘干过程产生的有机废气。有机废气成分按非甲烷总烃计</w:t>
            </w:r>
            <w:r>
              <w:rPr>
                <w:rFonts w:hint="default" w:ascii="Times New Roman" w:hAnsi="Times New Roman" w:cs="Times New Roman"/>
                <w:color w:val="auto"/>
                <w:kern w:val="52"/>
                <w:sz w:val="24"/>
                <w:highlight w:val="none"/>
                <w:u w:val="none"/>
                <w:lang w:val="en-US" w:eastAsia="zh-CN"/>
              </w:rPr>
              <w:t>。</w:t>
            </w:r>
          </w:p>
          <w:p>
            <w:pPr>
              <w:pStyle w:val="61"/>
              <w:widowControl w:val="0"/>
              <w:numPr>
                <w:ilvl w:val="0"/>
                <w:numId w:val="0"/>
              </w:numPr>
              <w:spacing w:line="500" w:lineRule="exact"/>
              <w:ind w:firstLine="482" w:firstLineChars="200"/>
              <w:jc w:val="both"/>
              <w:rPr>
                <w:rFonts w:hint="default" w:ascii="Times New Roman" w:hAnsi="Times New Roman" w:cs="Times New Roman"/>
                <w:b/>
                <w:bCs/>
                <w:color w:val="auto"/>
                <w:kern w:val="52"/>
                <w:sz w:val="24"/>
                <w:highlight w:val="none"/>
                <w:u w:val="none"/>
                <w:lang w:eastAsia="zh-CN"/>
              </w:rPr>
            </w:pPr>
            <w:r>
              <w:rPr>
                <w:rFonts w:hint="default" w:ascii="Times New Roman" w:hAnsi="Times New Roman" w:cs="Times New Roman"/>
                <w:b/>
                <w:bCs/>
                <w:color w:val="auto"/>
                <w:kern w:val="52"/>
                <w:sz w:val="24"/>
                <w:highlight w:val="none"/>
                <w:u w:val="none"/>
                <w:lang w:eastAsia="zh-CN"/>
              </w:rPr>
              <w:t>（3）噪声</w:t>
            </w:r>
          </w:p>
          <w:p>
            <w:pPr>
              <w:pStyle w:val="61"/>
              <w:widowControl w:val="0"/>
              <w:numPr>
                <w:ilvl w:val="0"/>
                <w:numId w:val="0"/>
              </w:numPr>
              <w:spacing w:line="500" w:lineRule="exact"/>
              <w:ind w:firstLine="480" w:firstLineChars="200"/>
              <w:jc w:val="both"/>
              <w:rPr>
                <w:rFonts w:hint="default" w:ascii="Times New Roman" w:hAnsi="Times New Roman" w:cs="Times New Roman"/>
                <w:color w:val="auto"/>
                <w:kern w:val="52"/>
                <w:sz w:val="24"/>
                <w:highlight w:val="none"/>
                <w:u w:val="none"/>
                <w:lang w:eastAsia="zh-CN"/>
              </w:rPr>
            </w:pPr>
            <w:r>
              <w:rPr>
                <w:rFonts w:hint="default" w:ascii="Times New Roman" w:hAnsi="Times New Roman" w:cs="Times New Roman"/>
                <w:color w:val="auto"/>
                <w:kern w:val="52"/>
                <w:sz w:val="24"/>
                <w:highlight w:val="none"/>
                <w:u w:val="none"/>
                <w:lang w:eastAsia="zh-CN"/>
              </w:rPr>
              <w:t>主要为各种生产设备运行过程产生的噪声。</w:t>
            </w:r>
          </w:p>
          <w:p>
            <w:pPr>
              <w:pStyle w:val="61"/>
              <w:widowControl w:val="0"/>
              <w:numPr>
                <w:ilvl w:val="0"/>
                <w:numId w:val="0"/>
              </w:numPr>
              <w:spacing w:line="500" w:lineRule="exact"/>
              <w:ind w:firstLine="482" w:firstLineChars="200"/>
              <w:jc w:val="both"/>
              <w:rPr>
                <w:rFonts w:hint="default" w:ascii="Times New Roman" w:hAnsi="Times New Roman" w:cs="Times New Roman"/>
                <w:b/>
                <w:bCs/>
                <w:color w:val="auto"/>
                <w:kern w:val="52"/>
                <w:sz w:val="24"/>
                <w:highlight w:val="none"/>
                <w:u w:val="none"/>
                <w:lang w:eastAsia="zh-CN"/>
              </w:rPr>
            </w:pPr>
            <w:r>
              <w:rPr>
                <w:rFonts w:hint="default" w:ascii="Times New Roman" w:hAnsi="Times New Roman" w:cs="Times New Roman"/>
                <w:b/>
                <w:bCs/>
                <w:color w:val="auto"/>
                <w:kern w:val="52"/>
                <w:sz w:val="24"/>
                <w:highlight w:val="none"/>
                <w:u w:val="none"/>
                <w:lang w:eastAsia="zh-CN"/>
              </w:rPr>
              <w:t>（4）固废</w:t>
            </w:r>
          </w:p>
          <w:p>
            <w:pPr>
              <w:adjustRightInd w:val="0"/>
              <w:snapToGrid w:val="0"/>
              <w:spacing w:line="360" w:lineRule="auto"/>
              <w:ind w:firstLine="480" w:firstLineChars="200"/>
              <w:rPr>
                <w:rFonts w:hint="default"/>
                <w:sz w:val="24"/>
                <w:lang w:val="en-US" w:eastAsia="zh-CN"/>
              </w:rPr>
            </w:pPr>
            <w:r>
              <w:rPr>
                <w:rFonts w:hint="default" w:ascii="宋体" w:hAnsi="宋体" w:eastAsia="宋体" w:cs="宋体"/>
                <w:color w:val="auto"/>
                <w:kern w:val="52"/>
                <w:sz w:val="24"/>
                <w:szCs w:val="24"/>
                <w:highlight w:val="none"/>
                <w:u w:val="none"/>
                <w:lang w:val="en-US" w:eastAsia="zh-CN" w:bidi="ar-SA"/>
              </w:rPr>
              <w:t>本项目营运期固体废物主要</w:t>
            </w:r>
            <w:r>
              <w:rPr>
                <w:rFonts w:hint="default" w:ascii="Times New Roman" w:hAnsi="Times New Roman" w:eastAsia="宋体" w:cs="Times New Roman"/>
                <w:color w:val="auto"/>
                <w:kern w:val="52"/>
                <w:sz w:val="24"/>
                <w:szCs w:val="24"/>
                <w:highlight w:val="none"/>
                <w:u w:val="none"/>
                <w:lang w:val="en-US" w:eastAsia="zh-CN" w:bidi="ar-SA"/>
              </w:rPr>
              <w:t>为</w:t>
            </w:r>
            <w:r>
              <w:rPr>
                <w:rFonts w:hint="eastAsia" w:cs="Times New Roman"/>
                <w:color w:val="auto"/>
                <w:kern w:val="52"/>
                <w:sz w:val="24"/>
                <w:szCs w:val="24"/>
                <w:highlight w:val="none"/>
                <w:u w:val="none"/>
                <w:lang w:val="en-US" w:eastAsia="zh-CN" w:bidi="ar-SA"/>
              </w:rPr>
              <w:t>分</w:t>
            </w:r>
            <w:r>
              <w:rPr>
                <w:rFonts w:hint="default" w:ascii="Times New Roman" w:hAnsi="Times New Roman" w:eastAsia="宋体" w:cs="Times New Roman"/>
                <w:color w:val="auto"/>
                <w:kern w:val="52"/>
                <w:sz w:val="24"/>
                <w:szCs w:val="24"/>
                <w:highlight w:val="none"/>
                <w:u w:val="none"/>
                <w:lang w:val="en-US" w:eastAsia="zh-CN" w:bidi="ar-SA"/>
              </w:rPr>
              <w:t>切过程产生的废边角料、废包装材料、生活垃圾、化粪池污泥、废活性炭</w:t>
            </w:r>
            <w:r>
              <w:rPr>
                <w:rFonts w:hint="eastAsia" w:ascii="宋体" w:hAnsi="宋体" w:eastAsia="宋体" w:cs="宋体"/>
                <w:color w:val="auto"/>
                <w:kern w:val="52"/>
                <w:sz w:val="24"/>
                <w:szCs w:val="24"/>
                <w:highlight w:val="none"/>
                <w:u w:val="none"/>
                <w:lang w:val="en-US" w:eastAsia="zh-CN" w:bidi="ar-SA"/>
              </w:rPr>
              <w:t>等</w:t>
            </w:r>
            <w:r>
              <w:rPr>
                <w:rFonts w:hint="default" w:ascii="宋体" w:hAnsi="宋体" w:eastAsia="宋体" w:cs="宋体"/>
                <w:color w:val="auto"/>
                <w:kern w:val="52"/>
                <w:sz w:val="24"/>
                <w:szCs w:val="24"/>
                <w:highlight w:val="none"/>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963" w:hRule="atLeast"/>
          <w:jc w:val="center"/>
        </w:trPr>
        <w:tc>
          <w:tcPr>
            <w:tcW w:w="823" w:type="dxa"/>
            <w:noWrap w:val="0"/>
            <w:vAlign w:val="center"/>
          </w:tcPr>
          <w:p>
            <w:pPr>
              <w:pStyle w:val="21"/>
              <w:adjustRightInd w:val="0"/>
              <w:snapToGrid w:val="0"/>
              <w:spacing w:before="0" w:beforeAutospacing="0" w:after="0" w:afterAutospacing="0"/>
              <w:jc w:val="center"/>
              <w:rPr>
                <w:rFonts w:cs="宋体"/>
                <w:sz w:val="21"/>
                <w:szCs w:val="21"/>
              </w:rPr>
            </w:pPr>
            <w:r>
              <w:rPr>
                <w:rFonts w:hint="eastAsia" w:ascii="Cambria" w:hAnsi="Cambria" w:eastAsia="宋体" w:cs="Times New Roman"/>
                <w:b/>
                <w:kern w:val="2"/>
                <w:sz w:val="28"/>
                <w:szCs w:val="24"/>
                <w:lang w:val="en-US" w:eastAsia="zh-CN" w:bidi="ar-SA"/>
              </w:rPr>
              <w:t>与项目有关的原有环境污染问题</w:t>
            </w:r>
          </w:p>
        </w:tc>
        <w:tc>
          <w:tcPr>
            <w:tcW w:w="8382" w:type="dxa"/>
            <w:noWrap w:val="0"/>
            <w:vAlign w:val="top"/>
          </w:tcPr>
          <w:p>
            <w:pPr>
              <w:tabs>
                <w:tab w:val="left" w:pos="1081"/>
              </w:tabs>
              <w:adjustRightInd w:val="0"/>
              <w:snapToGrid w:val="0"/>
              <w:spacing w:line="360" w:lineRule="auto"/>
              <w:ind w:firstLine="480" w:firstLineChars="200"/>
              <w:rPr>
                <w:rFonts w:hint="eastAsia"/>
                <w:sz w:val="24"/>
              </w:rPr>
            </w:pPr>
          </w:p>
          <w:p>
            <w:pPr>
              <w:pStyle w:val="31"/>
              <w:spacing w:line="360" w:lineRule="auto"/>
              <w:ind w:firstLine="480" w:firstLineChars="200"/>
              <w:rPr>
                <w:rFonts w:ascii="宋体" w:hAnsi="宋体"/>
                <w:bCs/>
                <w:szCs w:val="21"/>
              </w:rPr>
            </w:pPr>
            <w:r>
              <w:rPr>
                <w:rFonts w:hint="eastAsia"/>
                <w:sz w:val="24"/>
              </w:rPr>
              <w:t>经现场调查，该项目现场</w:t>
            </w:r>
            <w:r>
              <w:rPr>
                <w:rFonts w:hint="eastAsia"/>
                <w:sz w:val="24"/>
                <w:lang w:eastAsia="zh-CN"/>
              </w:rPr>
              <w:t>库房为</w:t>
            </w:r>
            <w:r>
              <w:rPr>
                <w:rFonts w:hint="eastAsia"/>
                <w:sz w:val="24"/>
              </w:rPr>
              <w:t>空厂房，因此不涉及与项目有关的原有环境污染问题。</w:t>
            </w:r>
          </w:p>
        </w:tc>
      </w:tr>
    </w:tbl>
    <w:p>
      <w:pPr>
        <w:pStyle w:val="21"/>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1"/>
        <w:adjustRightInd w:val="0"/>
        <w:snapToGrid w:val="0"/>
        <w:spacing w:before="0" w:beforeAutospacing="0" w:after="0" w:afterAutospacing="0" w:line="14" w:lineRule="auto"/>
        <w:jc w:val="center"/>
        <w:outlineLvl w:val="9"/>
        <w:rPr>
          <w:rFonts w:hint="eastAsia" w:ascii="黑体" w:hAnsi="黑体" w:eastAsia="黑体"/>
          <w:snapToGrid w:val="0"/>
          <w:sz w:val="30"/>
          <w:szCs w:val="30"/>
        </w:rPr>
      </w:pP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6"/>
        <w:tblW w:w="932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5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00" w:type="dxa"/>
            <w:noWrap w:val="0"/>
            <w:vAlign w:val="center"/>
          </w:tcPr>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区</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域</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环</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境</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质</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量</w:t>
            </w:r>
          </w:p>
          <w:p>
            <w:pPr>
              <w:spacing w:line="240" w:lineRule="auto"/>
              <w:jc w:val="center"/>
              <w:rPr>
                <w:rFonts w:hint="eastAsia" w:ascii="Cambria" w:hAnsi="Cambria" w:eastAsia="宋体" w:cs="Times New Roman"/>
                <w:b/>
                <w:sz w:val="24"/>
                <w:szCs w:val="24"/>
                <w:lang w:val="en-US" w:eastAsia="zh-CN"/>
              </w:rPr>
            </w:pPr>
            <w:r>
              <w:rPr>
                <w:rFonts w:hint="eastAsia" w:ascii="Cambria" w:hAnsi="Cambria" w:eastAsia="宋体" w:cs="Times New Roman"/>
                <w:b/>
                <w:sz w:val="24"/>
                <w:szCs w:val="24"/>
                <w:lang w:val="en-US" w:eastAsia="zh-CN"/>
              </w:rPr>
              <w:t>现</w:t>
            </w:r>
          </w:p>
          <w:p>
            <w:pPr>
              <w:spacing w:line="240" w:lineRule="auto"/>
              <w:jc w:val="center"/>
              <w:rPr>
                <w:rFonts w:ascii="宋体" w:hAnsi="宋体" w:cs="宋体"/>
                <w:kern w:val="0"/>
                <w:szCs w:val="21"/>
              </w:rPr>
            </w:pPr>
            <w:r>
              <w:rPr>
                <w:rFonts w:hint="eastAsia" w:ascii="Cambria" w:hAnsi="Cambria" w:eastAsia="宋体" w:cs="Times New Roman"/>
                <w:b/>
                <w:sz w:val="24"/>
                <w:szCs w:val="24"/>
                <w:lang w:val="en-US" w:eastAsia="zh-CN"/>
              </w:rPr>
              <w:t>状</w:t>
            </w:r>
          </w:p>
        </w:tc>
        <w:tc>
          <w:tcPr>
            <w:tcW w:w="8528" w:type="dxa"/>
            <w:noWrap w:val="0"/>
            <w:vAlign w:val="center"/>
          </w:tcPr>
          <w:p>
            <w:pPr>
              <w:adjustRightInd w:val="0"/>
              <w:snapToGrid w:val="0"/>
              <w:spacing w:line="360" w:lineRule="auto"/>
              <w:rPr>
                <w:rFonts w:hint="default"/>
                <w:b/>
                <w:color w:val="auto"/>
                <w:sz w:val="24"/>
              </w:rPr>
            </w:pPr>
            <w:r>
              <w:rPr>
                <w:rFonts w:hint="default"/>
                <w:b/>
                <w:color w:val="auto"/>
                <w:sz w:val="24"/>
              </w:rPr>
              <w:t>1、环境空气质量现状</w:t>
            </w:r>
          </w:p>
          <w:p>
            <w:pPr>
              <w:adjustRightInd w:val="0"/>
              <w:snapToGrid w:val="0"/>
              <w:spacing w:line="360" w:lineRule="auto"/>
              <w:ind w:firstLine="480" w:firstLineChars="200"/>
              <w:rPr>
                <w:rFonts w:hint="eastAsia" w:hAnsi="宋体"/>
                <w:b w:val="0"/>
                <w:bCs/>
                <w:i w:val="0"/>
                <w:iCs w:val="0"/>
                <w:color w:val="auto"/>
                <w:kern w:val="2"/>
                <w:sz w:val="24"/>
                <w:szCs w:val="24"/>
                <w:u w:val="none"/>
                <w:lang w:val="en-US" w:eastAsia="zh-CN" w:bidi="ar-SA"/>
              </w:rPr>
            </w:pPr>
            <w:r>
              <w:rPr>
                <w:rFonts w:hint="default" w:ascii="Times New Roman" w:hAnsi="Times New Roman" w:eastAsia="宋体" w:cs="Times New Roman"/>
                <w:b w:val="0"/>
                <w:bCs/>
                <w:i w:val="0"/>
                <w:iCs w:val="0"/>
                <w:color w:val="auto"/>
                <w:sz w:val="24"/>
                <w:szCs w:val="24"/>
                <w:highlight w:val="none"/>
                <w:u w:val="none"/>
              </w:rPr>
              <w:t>本次评价依据《202</w:t>
            </w:r>
            <w:r>
              <w:rPr>
                <w:rFonts w:hint="eastAsia" w:cs="Times New Roman"/>
                <w:b w:val="0"/>
                <w:bCs/>
                <w:i w:val="0"/>
                <w:iCs w:val="0"/>
                <w:color w:val="auto"/>
                <w:sz w:val="24"/>
                <w:szCs w:val="24"/>
                <w:highlight w:val="none"/>
                <w:u w:val="none"/>
                <w:lang w:val="en-US" w:eastAsia="zh-CN"/>
              </w:rPr>
              <w:t>3</w:t>
            </w:r>
            <w:r>
              <w:rPr>
                <w:rFonts w:hint="default" w:ascii="Times New Roman" w:hAnsi="Times New Roman" w:eastAsia="宋体" w:cs="Times New Roman"/>
                <w:b w:val="0"/>
                <w:bCs/>
                <w:i w:val="0"/>
                <w:iCs w:val="0"/>
                <w:color w:val="auto"/>
                <w:sz w:val="24"/>
                <w:szCs w:val="24"/>
                <w:highlight w:val="none"/>
                <w:u w:val="none"/>
              </w:rPr>
              <w:t>年河南省南阳市生态环境质量报告》中的监测数据， 监测项目包括：PM</w:t>
            </w:r>
            <w:r>
              <w:rPr>
                <w:rFonts w:hint="default" w:ascii="Times New Roman" w:hAnsi="Times New Roman" w:eastAsia="宋体" w:cs="Times New Roman"/>
                <w:b w:val="0"/>
                <w:bCs/>
                <w:i w:val="0"/>
                <w:iCs w:val="0"/>
                <w:color w:val="auto"/>
                <w:sz w:val="24"/>
                <w:szCs w:val="24"/>
                <w:highlight w:val="none"/>
                <w:u w:val="none"/>
                <w:vertAlign w:val="subscript"/>
              </w:rPr>
              <w:t>10</w:t>
            </w:r>
            <w:r>
              <w:rPr>
                <w:rFonts w:hint="default" w:ascii="Times New Roman" w:hAnsi="Times New Roman" w:eastAsia="宋体" w:cs="Times New Roman"/>
                <w:b w:val="0"/>
                <w:bCs/>
                <w:i w:val="0"/>
                <w:iCs w:val="0"/>
                <w:color w:val="auto"/>
                <w:sz w:val="24"/>
                <w:szCs w:val="24"/>
                <w:highlight w:val="none"/>
                <w:u w:val="none"/>
              </w:rPr>
              <w:t>、PM</w:t>
            </w:r>
            <w:r>
              <w:rPr>
                <w:rFonts w:hint="default" w:ascii="Times New Roman" w:hAnsi="Times New Roman" w:eastAsia="宋体" w:cs="Times New Roman"/>
                <w:b w:val="0"/>
                <w:bCs/>
                <w:i w:val="0"/>
                <w:iCs w:val="0"/>
                <w:color w:val="auto"/>
                <w:sz w:val="24"/>
                <w:szCs w:val="24"/>
                <w:highlight w:val="none"/>
                <w:u w:val="none"/>
                <w:vertAlign w:val="subscript"/>
              </w:rPr>
              <w:t>2.5</w:t>
            </w:r>
            <w:r>
              <w:rPr>
                <w:rFonts w:hint="default" w:ascii="Times New Roman" w:hAnsi="Times New Roman" w:eastAsia="宋体" w:cs="Times New Roman"/>
                <w:b w:val="0"/>
                <w:bCs/>
                <w:i w:val="0"/>
                <w:iCs w:val="0"/>
                <w:color w:val="auto"/>
                <w:sz w:val="24"/>
                <w:szCs w:val="24"/>
                <w:highlight w:val="none"/>
                <w:u w:val="none"/>
              </w:rPr>
              <w:t>、SO</w:t>
            </w:r>
            <w:r>
              <w:rPr>
                <w:rFonts w:hint="default" w:ascii="Times New Roman" w:hAnsi="Times New Roman" w:eastAsia="宋体" w:cs="Times New Roman"/>
                <w:b w:val="0"/>
                <w:bCs/>
                <w:i w:val="0"/>
                <w:iCs w:val="0"/>
                <w:color w:val="auto"/>
                <w:sz w:val="24"/>
                <w:szCs w:val="24"/>
                <w:highlight w:val="none"/>
                <w:u w:val="none"/>
                <w:vertAlign w:val="subscript"/>
              </w:rPr>
              <w:t>2</w:t>
            </w:r>
            <w:r>
              <w:rPr>
                <w:rFonts w:hint="default" w:ascii="Times New Roman" w:hAnsi="Times New Roman" w:eastAsia="宋体" w:cs="Times New Roman"/>
                <w:b w:val="0"/>
                <w:bCs/>
                <w:i w:val="0"/>
                <w:iCs w:val="0"/>
                <w:color w:val="auto"/>
                <w:sz w:val="24"/>
                <w:szCs w:val="24"/>
                <w:highlight w:val="none"/>
                <w:u w:val="none"/>
              </w:rPr>
              <w:t>、NO</w:t>
            </w:r>
            <w:r>
              <w:rPr>
                <w:rFonts w:hint="default" w:ascii="Times New Roman" w:hAnsi="Times New Roman" w:eastAsia="宋体" w:cs="Times New Roman"/>
                <w:b w:val="0"/>
                <w:bCs/>
                <w:i w:val="0"/>
                <w:iCs w:val="0"/>
                <w:color w:val="auto"/>
                <w:sz w:val="24"/>
                <w:szCs w:val="24"/>
                <w:highlight w:val="none"/>
                <w:u w:val="none"/>
                <w:vertAlign w:val="subscript"/>
              </w:rPr>
              <w:t>2</w:t>
            </w:r>
            <w:r>
              <w:rPr>
                <w:rFonts w:hint="default" w:ascii="Times New Roman" w:hAnsi="Times New Roman" w:eastAsia="宋体" w:cs="Times New Roman"/>
                <w:b w:val="0"/>
                <w:bCs/>
                <w:i w:val="0"/>
                <w:iCs w:val="0"/>
                <w:color w:val="auto"/>
                <w:sz w:val="24"/>
                <w:szCs w:val="24"/>
                <w:highlight w:val="none"/>
                <w:u w:val="none"/>
              </w:rPr>
              <w:t>、CO、O</w:t>
            </w:r>
            <w:r>
              <w:rPr>
                <w:rFonts w:hint="default" w:ascii="Times New Roman" w:hAnsi="Times New Roman" w:eastAsia="宋体" w:cs="Times New Roman"/>
                <w:b w:val="0"/>
                <w:bCs/>
                <w:i w:val="0"/>
                <w:iCs w:val="0"/>
                <w:color w:val="auto"/>
                <w:sz w:val="24"/>
                <w:szCs w:val="24"/>
                <w:highlight w:val="none"/>
                <w:u w:val="none"/>
                <w:vertAlign w:val="subscript"/>
              </w:rPr>
              <w:t>3</w:t>
            </w:r>
            <w:r>
              <w:rPr>
                <w:rFonts w:hint="default" w:ascii="Times New Roman" w:hAnsi="Times New Roman" w:eastAsia="宋体" w:cs="Times New Roman"/>
                <w:b w:val="0"/>
                <w:bCs/>
                <w:i w:val="0"/>
                <w:iCs w:val="0"/>
                <w:color w:val="auto"/>
                <w:sz w:val="24"/>
                <w:szCs w:val="24"/>
                <w:highlight w:val="none"/>
                <w:u w:val="none"/>
              </w:rPr>
              <w:t>，据此对该地区环境空气质量现状进行分析，202</w:t>
            </w:r>
            <w:r>
              <w:rPr>
                <w:rFonts w:hint="eastAsia" w:cs="Times New Roman"/>
                <w:b w:val="0"/>
                <w:bCs/>
                <w:i w:val="0"/>
                <w:iCs w:val="0"/>
                <w:color w:val="auto"/>
                <w:sz w:val="24"/>
                <w:szCs w:val="24"/>
                <w:highlight w:val="none"/>
                <w:u w:val="none"/>
                <w:lang w:val="en-US" w:eastAsia="zh-CN"/>
              </w:rPr>
              <w:t>3</w:t>
            </w:r>
            <w:r>
              <w:rPr>
                <w:rFonts w:hint="default" w:ascii="Times New Roman" w:hAnsi="Times New Roman" w:eastAsia="宋体" w:cs="Times New Roman"/>
                <w:b w:val="0"/>
                <w:bCs/>
                <w:i w:val="0"/>
                <w:iCs w:val="0"/>
                <w:color w:val="auto"/>
                <w:sz w:val="24"/>
                <w:szCs w:val="24"/>
                <w:highlight w:val="none"/>
                <w:u w:val="none"/>
              </w:rPr>
              <w:t>年</w:t>
            </w:r>
            <w:r>
              <w:rPr>
                <w:rFonts w:hint="eastAsia" w:ascii="Times New Roman" w:hAnsi="Times New Roman" w:eastAsia="宋体" w:cs="Times New Roman"/>
                <w:b w:val="0"/>
                <w:bCs/>
                <w:i w:val="0"/>
                <w:iCs w:val="0"/>
                <w:color w:val="auto"/>
                <w:sz w:val="24"/>
                <w:szCs w:val="24"/>
                <w:highlight w:val="none"/>
                <w:u w:val="none"/>
                <w:lang w:eastAsia="zh-CN"/>
              </w:rPr>
              <w:t>卧龙区</w:t>
            </w:r>
            <w:r>
              <w:rPr>
                <w:rFonts w:hint="default" w:ascii="Times New Roman" w:hAnsi="Times New Roman" w:eastAsia="宋体" w:cs="Times New Roman"/>
                <w:b w:val="0"/>
                <w:bCs/>
                <w:i w:val="0"/>
                <w:iCs w:val="0"/>
                <w:color w:val="auto"/>
                <w:sz w:val="24"/>
                <w:szCs w:val="24"/>
                <w:highlight w:val="none"/>
                <w:u w:val="none"/>
              </w:rPr>
              <w:t>环境空气质量级别为轻污染。环境空气六项主要污染物中，细颗粒物是首要污染物，其次为可吸入颗粒物。细颗粒物（PM</w:t>
            </w:r>
            <w:r>
              <w:rPr>
                <w:rFonts w:hint="default" w:ascii="Times New Roman" w:hAnsi="Times New Roman" w:eastAsia="宋体" w:cs="Times New Roman"/>
                <w:b w:val="0"/>
                <w:bCs/>
                <w:i w:val="0"/>
                <w:iCs w:val="0"/>
                <w:color w:val="auto"/>
                <w:sz w:val="24"/>
                <w:szCs w:val="24"/>
                <w:highlight w:val="none"/>
                <w:u w:val="none"/>
                <w:vertAlign w:val="subscript"/>
              </w:rPr>
              <w:t>2.5</w:t>
            </w:r>
            <w:r>
              <w:rPr>
                <w:rFonts w:hint="default" w:ascii="Times New Roman" w:hAnsi="Times New Roman" w:eastAsia="宋体" w:cs="Times New Roman"/>
                <w:b w:val="0"/>
                <w:bCs/>
                <w:i w:val="0"/>
                <w:iCs w:val="0"/>
                <w:color w:val="auto"/>
                <w:sz w:val="24"/>
                <w:szCs w:val="24"/>
                <w:highlight w:val="none"/>
                <w:u w:val="none"/>
              </w:rPr>
              <w:t>）、 可吸入颗粒物（PM</w:t>
            </w:r>
            <w:r>
              <w:rPr>
                <w:rFonts w:hint="default" w:ascii="Times New Roman" w:hAnsi="Times New Roman" w:eastAsia="宋体" w:cs="Times New Roman"/>
                <w:b w:val="0"/>
                <w:bCs/>
                <w:i w:val="0"/>
                <w:iCs w:val="0"/>
                <w:color w:val="auto"/>
                <w:sz w:val="24"/>
                <w:szCs w:val="24"/>
                <w:highlight w:val="none"/>
                <w:u w:val="none"/>
                <w:vertAlign w:val="subscript"/>
              </w:rPr>
              <w:t>10</w:t>
            </w:r>
            <w:r>
              <w:rPr>
                <w:rFonts w:hint="default" w:ascii="Times New Roman" w:hAnsi="Times New Roman" w:eastAsia="宋体" w:cs="Times New Roman"/>
                <w:b w:val="0"/>
                <w:bCs/>
                <w:i w:val="0"/>
                <w:iCs w:val="0"/>
                <w:color w:val="auto"/>
                <w:sz w:val="24"/>
                <w:szCs w:val="24"/>
                <w:highlight w:val="none"/>
                <w:u w:val="none"/>
              </w:rPr>
              <w:t>）浓度年均值超过《环境空气质量标准》（GB3095-2012） 中二级标准要求，臭氧、二氧化硫（SO</w:t>
            </w:r>
            <w:r>
              <w:rPr>
                <w:rFonts w:hint="default" w:ascii="Times New Roman" w:hAnsi="Times New Roman" w:eastAsia="宋体" w:cs="Times New Roman"/>
                <w:b w:val="0"/>
                <w:bCs/>
                <w:i w:val="0"/>
                <w:iCs w:val="0"/>
                <w:color w:val="auto"/>
                <w:sz w:val="24"/>
                <w:szCs w:val="24"/>
                <w:highlight w:val="none"/>
                <w:u w:val="none"/>
                <w:vertAlign w:val="subscript"/>
              </w:rPr>
              <w:t>2</w:t>
            </w:r>
            <w:r>
              <w:rPr>
                <w:rFonts w:hint="default" w:ascii="Times New Roman" w:hAnsi="Times New Roman" w:eastAsia="宋体" w:cs="Times New Roman"/>
                <w:b w:val="0"/>
                <w:bCs/>
                <w:i w:val="0"/>
                <w:iCs w:val="0"/>
                <w:color w:val="auto"/>
                <w:sz w:val="24"/>
                <w:szCs w:val="24"/>
                <w:highlight w:val="none"/>
                <w:u w:val="none"/>
              </w:rPr>
              <w:t>）、二氧化氮（NO</w:t>
            </w:r>
            <w:r>
              <w:rPr>
                <w:rFonts w:hint="default" w:ascii="Times New Roman" w:hAnsi="Times New Roman" w:eastAsia="宋体" w:cs="Times New Roman"/>
                <w:b w:val="0"/>
                <w:bCs/>
                <w:i w:val="0"/>
                <w:iCs w:val="0"/>
                <w:color w:val="auto"/>
                <w:sz w:val="24"/>
                <w:szCs w:val="24"/>
                <w:highlight w:val="none"/>
                <w:u w:val="none"/>
                <w:vertAlign w:val="subscript"/>
              </w:rPr>
              <w:t>2</w:t>
            </w:r>
            <w:r>
              <w:rPr>
                <w:rFonts w:hint="default" w:ascii="Times New Roman" w:hAnsi="Times New Roman" w:eastAsia="宋体" w:cs="Times New Roman"/>
                <w:b w:val="0"/>
                <w:bCs/>
                <w:i w:val="0"/>
                <w:iCs w:val="0"/>
                <w:color w:val="auto"/>
                <w:sz w:val="24"/>
                <w:szCs w:val="24"/>
                <w:highlight w:val="none"/>
                <w:u w:val="none"/>
              </w:rPr>
              <w:t>）、一氧化碳（CO） 能够满足《环境空气质量标准》（GB3095-2012）二级标准要求。因此，</w:t>
            </w:r>
            <w:r>
              <w:rPr>
                <w:rFonts w:hint="eastAsia" w:ascii="Times New Roman" w:hAnsi="Times New Roman" w:eastAsia="宋体" w:cs="Times New Roman"/>
                <w:b w:val="0"/>
                <w:bCs/>
                <w:i w:val="0"/>
                <w:iCs w:val="0"/>
                <w:color w:val="auto"/>
                <w:sz w:val="24"/>
                <w:szCs w:val="24"/>
                <w:highlight w:val="none"/>
                <w:u w:val="none"/>
                <w:lang w:eastAsia="zh-CN"/>
              </w:rPr>
              <w:t>卧龙区</w:t>
            </w:r>
            <w:r>
              <w:rPr>
                <w:rFonts w:hint="default" w:ascii="Times New Roman" w:hAnsi="Times New Roman" w:eastAsia="宋体" w:cs="Times New Roman"/>
                <w:b w:val="0"/>
                <w:bCs/>
                <w:i w:val="0"/>
                <w:iCs w:val="0"/>
                <w:color w:val="auto"/>
                <w:sz w:val="24"/>
                <w:szCs w:val="24"/>
                <w:highlight w:val="none"/>
                <w:u w:val="none"/>
              </w:rPr>
              <w:t>为大气环境质量非达标区。监测统计结果见下表。</w:t>
            </w:r>
          </w:p>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表3-1  202</w:t>
            </w:r>
            <w:r>
              <w:rPr>
                <w:rFonts w:hint="eastAsia" w:ascii="Times New Roman" w:hAnsi="Times New Roman" w:eastAsia="宋体" w:cs="Times New Roman"/>
                <w:b/>
                <w:bCs w:val="0"/>
                <w:color w:val="auto"/>
                <w:kern w:val="2"/>
                <w:sz w:val="24"/>
                <w:szCs w:val="24"/>
                <w:lang w:val="en-US" w:eastAsia="zh-CN" w:bidi="ar-SA"/>
              </w:rPr>
              <w:t>3</w:t>
            </w:r>
            <w:r>
              <w:rPr>
                <w:rFonts w:hint="default" w:ascii="Times New Roman" w:hAnsi="Times New Roman" w:eastAsia="宋体" w:cs="Times New Roman"/>
                <w:b/>
                <w:bCs w:val="0"/>
                <w:color w:val="auto"/>
                <w:kern w:val="2"/>
                <w:sz w:val="24"/>
                <w:szCs w:val="24"/>
                <w:lang w:val="en-US" w:eastAsia="zh-CN" w:bidi="ar-SA"/>
              </w:rPr>
              <w:t>年卧龙区区域空气质量现状评价表</w:t>
            </w:r>
          </w:p>
          <w:tbl>
            <w:tblPr>
              <w:tblStyle w:val="26"/>
              <w:tblW w:w="82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2664"/>
              <w:gridCol w:w="1163"/>
              <w:gridCol w:w="1230"/>
              <w:gridCol w:w="1067"/>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污染物</w:t>
                  </w:r>
                </w:p>
              </w:tc>
              <w:tc>
                <w:tcPr>
                  <w:tcW w:w="26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年评价指数</w:t>
                  </w:r>
                </w:p>
              </w:tc>
              <w:tc>
                <w:tcPr>
                  <w:tcW w:w="11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现状浓度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（μg/m</w:t>
                  </w:r>
                  <w:r>
                    <w:rPr>
                      <w:rFonts w:hint="default" w:ascii="Times New Roman" w:hAnsi="Times New Roman" w:cs="Times New Roman"/>
                      <w:b/>
                      <w:bCs w:val="0"/>
                      <w:i w:val="0"/>
                      <w:iCs w:val="0"/>
                      <w:color w:val="auto"/>
                      <w:sz w:val="21"/>
                      <w:szCs w:val="21"/>
                      <w:highlight w:val="none"/>
                      <w:u w:val="none"/>
                      <w:vertAlign w:val="superscript"/>
                    </w:rPr>
                    <w:t>3</w:t>
                  </w:r>
                  <w:r>
                    <w:rPr>
                      <w:rFonts w:hint="default" w:ascii="Times New Roman" w:hAnsi="Times New Roman" w:cs="Times New Roman"/>
                      <w:b/>
                      <w:bCs w:val="0"/>
                      <w:i w:val="0"/>
                      <w:iCs w:val="0"/>
                      <w:color w:val="auto"/>
                      <w:sz w:val="21"/>
                      <w:szCs w:val="21"/>
                      <w:highlight w:val="none"/>
                      <w:u w:val="none"/>
                    </w:rPr>
                    <w:t>）</w:t>
                  </w:r>
                </w:p>
              </w:tc>
              <w:tc>
                <w:tcPr>
                  <w:tcW w:w="12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标准值</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（μg/m</w:t>
                  </w:r>
                  <w:r>
                    <w:rPr>
                      <w:rFonts w:hint="default" w:ascii="Times New Roman" w:hAnsi="Times New Roman" w:cs="Times New Roman"/>
                      <w:b/>
                      <w:bCs w:val="0"/>
                      <w:i w:val="0"/>
                      <w:iCs w:val="0"/>
                      <w:color w:val="auto"/>
                      <w:sz w:val="21"/>
                      <w:szCs w:val="21"/>
                      <w:highlight w:val="none"/>
                      <w:u w:val="none"/>
                      <w:vertAlign w:val="superscript"/>
                    </w:rPr>
                    <w:t>3</w:t>
                  </w:r>
                  <w:r>
                    <w:rPr>
                      <w:rFonts w:hint="default" w:ascii="Times New Roman" w:hAnsi="Times New Roman" w:cs="Times New Roman"/>
                      <w:b/>
                      <w:bCs w:val="0"/>
                      <w:i w:val="0"/>
                      <w:iCs w:val="0"/>
                      <w:color w:val="auto"/>
                      <w:sz w:val="21"/>
                      <w:szCs w:val="21"/>
                      <w:highlight w:val="none"/>
                      <w:u w:val="none"/>
                    </w:rPr>
                    <w:t>）</w:t>
                  </w:r>
                </w:p>
              </w:tc>
              <w:tc>
                <w:tcPr>
                  <w:tcW w:w="10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占标率（%）</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i w:val="0"/>
                      <w:iCs w:val="0"/>
                      <w:color w:val="auto"/>
                      <w:sz w:val="21"/>
                      <w:szCs w:val="21"/>
                      <w:highlight w:val="none"/>
                      <w:u w:val="none"/>
                    </w:rPr>
                  </w:pPr>
                  <w:r>
                    <w:rPr>
                      <w:rFonts w:hint="default" w:ascii="Times New Roman" w:hAnsi="Times New Roman" w:cs="Times New Roman"/>
                      <w:b/>
                      <w:bCs w:val="0"/>
                      <w:i w:val="0"/>
                      <w:iCs w:val="0"/>
                      <w:color w:val="auto"/>
                      <w:sz w:val="21"/>
                      <w:szCs w:val="21"/>
                      <w:highlight w:val="none"/>
                      <w:u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PM</w:t>
                  </w:r>
                  <w:r>
                    <w:rPr>
                      <w:rFonts w:hint="default" w:ascii="Times New Roman" w:hAnsi="Times New Roman" w:cs="Times New Roman"/>
                      <w:b w:val="0"/>
                      <w:bCs/>
                      <w:i w:val="0"/>
                      <w:iCs w:val="0"/>
                      <w:color w:val="auto"/>
                      <w:kern w:val="0"/>
                      <w:sz w:val="21"/>
                      <w:szCs w:val="21"/>
                      <w:highlight w:val="none"/>
                      <w:u w:val="none"/>
                      <w:vertAlign w:val="subscript"/>
                    </w:rPr>
                    <w:t>2.5</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年平均质量浓度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4</w:t>
                  </w:r>
                  <w:r>
                    <w:rPr>
                      <w:rFonts w:hint="eastAsia" w:cs="Times New Roman"/>
                      <w:b w:val="0"/>
                      <w:bCs/>
                      <w:i w:val="0"/>
                      <w:iCs w:val="0"/>
                      <w:color w:val="auto"/>
                      <w:sz w:val="21"/>
                      <w:szCs w:val="21"/>
                      <w:highlight w:val="none"/>
                      <w:u w:val="none"/>
                      <w:lang w:val="en-US" w:eastAsia="zh-CN"/>
                    </w:rPr>
                    <w:t>5</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35</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1</w:t>
                  </w:r>
                  <w:r>
                    <w:rPr>
                      <w:rFonts w:hint="eastAsia" w:cs="Times New Roman"/>
                      <w:b w:val="0"/>
                      <w:bCs/>
                      <w:i w:val="0"/>
                      <w:iCs w:val="0"/>
                      <w:color w:val="auto"/>
                      <w:sz w:val="21"/>
                      <w:szCs w:val="21"/>
                      <w:highlight w:val="none"/>
                      <w:u w:val="none"/>
                      <w:lang w:val="en-US" w:eastAsia="zh-CN"/>
                    </w:rPr>
                    <w:t>28.6</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PM</w:t>
                  </w:r>
                  <w:r>
                    <w:rPr>
                      <w:rFonts w:hint="default" w:ascii="Times New Roman" w:hAnsi="Times New Roman" w:cs="Times New Roman"/>
                      <w:b w:val="0"/>
                      <w:bCs/>
                      <w:i w:val="0"/>
                      <w:iCs w:val="0"/>
                      <w:color w:val="auto"/>
                      <w:kern w:val="0"/>
                      <w:sz w:val="21"/>
                      <w:szCs w:val="21"/>
                      <w:highlight w:val="none"/>
                      <w:u w:val="none"/>
                      <w:vertAlign w:val="subscript"/>
                    </w:rPr>
                    <w:t>10</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年平均质量浓度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cs="Times New Roman"/>
                      <w:b w:val="0"/>
                      <w:bCs/>
                      <w:i w:val="0"/>
                      <w:iCs w:val="0"/>
                      <w:color w:val="auto"/>
                      <w:sz w:val="21"/>
                      <w:szCs w:val="21"/>
                      <w:highlight w:val="none"/>
                      <w:u w:val="none"/>
                      <w:lang w:val="en-US" w:eastAsia="zh-CN"/>
                    </w:rPr>
                    <w:t>77</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70</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11</w:t>
                  </w:r>
                  <w:r>
                    <w:rPr>
                      <w:rFonts w:hint="eastAsia" w:cs="Times New Roman"/>
                      <w:b w:val="0"/>
                      <w:bCs/>
                      <w:i w:val="0"/>
                      <w:iCs w:val="0"/>
                      <w:color w:val="auto"/>
                      <w:sz w:val="21"/>
                      <w:szCs w:val="21"/>
                      <w:highlight w:val="none"/>
                      <w:u w:val="none"/>
                      <w:lang w:val="en-US" w:eastAsia="zh-CN"/>
                    </w:rPr>
                    <w:t>0.0</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eastAsia="zh-CN"/>
                    </w:rPr>
                  </w:pPr>
                  <w:r>
                    <w:rPr>
                      <w:rFonts w:hint="default" w:ascii="Times New Roman" w:hAnsi="Times New Roman" w:cs="Times New Roman"/>
                      <w:b w:val="0"/>
                      <w:bCs/>
                      <w:i w:val="0"/>
                      <w:iCs w:val="0"/>
                      <w:color w:val="auto"/>
                      <w:sz w:val="21"/>
                      <w:szCs w:val="21"/>
                      <w:highlight w:val="none"/>
                      <w:u w:val="none"/>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SO</w:t>
                  </w:r>
                  <w:r>
                    <w:rPr>
                      <w:rFonts w:hint="default" w:ascii="Times New Roman" w:hAnsi="Times New Roman" w:cs="Times New Roman"/>
                      <w:b w:val="0"/>
                      <w:bCs/>
                      <w:i w:val="0"/>
                      <w:iCs w:val="0"/>
                      <w:color w:val="auto"/>
                      <w:kern w:val="0"/>
                      <w:sz w:val="21"/>
                      <w:szCs w:val="21"/>
                      <w:highlight w:val="none"/>
                      <w:u w:val="none"/>
                      <w:vertAlign w:val="subscript"/>
                    </w:rPr>
                    <w:t>2</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年平均质量浓度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cs="Times New Roman"/>
                      <w:b w:val="0"/>
                      <w:bCs/>
                      <w:i w:val="0"/>
                      <w:iCs w:val="0"/>
                      <w:color w:val="auto"/>
                      <w:sz w:val="21"/>
                      <w:szCs w:val="21"/>
                      <w:highlight w:val="none"/>
                      <w:u w:val="none"/>
                      <w:lang w:val="en-US" w:eastAsia="zh-CN"/>
                    </w:rPr>
                    <w:t>6</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60</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1</w:t>
                  </w:r>
                  <w:r>
                    <w:rPr>
                      <w:rFonts w:hint="eastAsia" w:cs="Times New Roman"/>
                      <w:b w:val="0"/>
                      <w:bCs/>
                      <w:i w:val="0"/>
                      <w:iCs w:val="0"/>
                      <w:color w:val="auto"/>
                      <w:sz w:val="21"/>
                      <w:szCs w:val="21"/>
                      <w:highlight w:val="none"/>
                      <w:u w:val="none"/>
                      <w:lang w:val="en-US" w:eastAsia="zh-CN"/>
                    </w:rPr>
                    <w:t>0.0</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NO</w:t>
                  </w:r>
                  <w:r>
                    <w:rPr>
                      <w:rFonts w:hint="default" w:ascii="Times New Roman" w:hAnsi="Times New Roman" w:cs="Times New Roman"/>
                      <w:b w:val="0"/>
                      <w:bCs/>
                      <w:i w:val="0"/>
                      <w:iCs w:val="0"/>
                      <w:color w:val="auto"/>
                      <w:kern w:val="0"/>
                      <w:sz w:val="21"/>
                      <w:szCs w:val="21"/>
                      <w:highlight w:val="none"/>
                      <w:u w:val="none"/>
                      <w:vertAlign w:val="subscript"/>
                    </w:rPr>
                    <w:t>2</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年平均质量浓度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2</w:t>
                  </w:r>
                  <w:r>
                    <w:rPr>
                      <w:rFonts w:hint="eastAsia" w:cs="Times New Roman"/>
                      <w:b w:val="0"/>
                      <w:bCs/>
                      <w:i w:val="0"/>
                      <w:iCs w:val="0"/>
                      <w:color w:val="auto"/>
                      <w:sz w:val="21"/>
                      <w:szCs w:val="21"/>
                      <w:highlight w:val="none"/>
                      <w:u w:val="none"/>
                      <w:lang w:val="en-US" w:eastAsia="zh-CN"/>
                    </w:rPr>
                    <w:t>4</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40</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cs="Times New Roman"/>
                      <w:b w:val="0"/>
                      <w:bCs/>
                      <w:i w:val="0"/>
                      <w:iCs w:val="0"/>
                      <w:color w:val="auto"/>
                      <w:sz w:val="21"/>
                      <w:szCs w:val="21"/>
                      <w:highlight w:val="none"/>
                      <w:u w:val="none"/>
                      <w:lang w:val="en-US" w:eastAsia="zh-CN"/>
                    </w:rPr>
                    <w:t>60.0</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kern w:val="0"/>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CO</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百分位数日平均质量浓度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1.</w:t>
                  </w:r>
                  <w:r>
                    <w:rPr>
                      <w:rFonts w:hint="eastAsia" w:cs="Times New Roman"/>
                      <w:b w:val="0"/>
                      <w:bCs/>
                      <w:i w:val="0"/>
                      <w:iCs w:val="0"/>
                      <w:color w:val="auto"/>
                      <w:sz w:val="21"/>
                      <w:szCs w:val="21"/>
                      <w:highlight w:val="none"/>
                      <w:u w:val="none"/>
                      <w:lang w:val="en-US" w:eastAsia="zh-CN"/>
                    </w:rPr>
                    <w:t>0</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default" w:ascii="Times New Roman" w:hAnsi="Times New Roman" w:cs="Times New Roman"/>
                      <w:b w:val="0"/>
                      <w:bCs/>
                      <w:i w:val="0"/>
                      <w:iCs w:val="0"/>
                      <w:color w:val="auto"/>
                      <w:sz w:val="21"/>
                      <w:szCs w:val="21"/>
                      <w:highlight w:val="none"/>
                      <w:u w:val="none"/>
                    </w:rPr>
                    <w:t>4000</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0.0</w:t>
                  </w:r>
                  <w:r>
                    <w:rPr>
                      <w:rFonts w:hint="eastAsia" w:cs="Times New Roman"/>
                      <w:b w:val="0"/>
                      <w:bCs/>
                      <w:i w:val="0"/>
                      <w:iCs w:val="0"/>
                      <w:color w:val="auto"/>
                      <w:sz w:val="21"/>
                      <w:szCs w:val="21"/>
                      <w:highlight w:val="none"/>
                      <w:u w:val="none"/>
                      <w:lang w:val="en-US" w:eastAsia="zh-CN"/>
                    </w:rPr>
                    <w:t>25</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default" w:ascii="Times New Roman" w:hAnsi="Times New Roman" w:cs="Times New Roman"/>
                      <w:b w:val="0"/>
                      <w:bCs/>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07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kern w:val="0"/>
                      <w:sz w:val="21"/>
                      <w:szCs w:val="21"/>
                      <w:highlight w:val="none"/>
                      <w:u w:val="none"/>
                    </w:rPr>
                  </w:pPr>
                  <w:r>
                    <w:rPr>
                      <w:rFonts w:hint="default" w:ascii="Times New Roman" w:hAnsi="Times New Roman" w:cs="Times New Roman"/>
                      <w:b w:val="0"/>
                      <w:bCs/>
                      <w:i w:val="0"/>
                      <w:iCs w:val="0"/>
                      <w:color w:val="auto"/>
                      <w:kern w:val="0"/>
                      <w:sz w:val="21"/>
                      <w:szCs w:val="21"/>
                      <w:highlight w:val="none"/>
                      <w:u w:val="none"/>
                    </w:rPr>
                    <w:t>O</w:t>
                  </w:r>
                  <w:r>
                    <w:rPr>
                      <w:rFonts w:hint="default" w:ascii="Times New Roman" w:hAnsi="Times New Roman" w:cs="Times New Roman"/>
                      <w:b w:val="0"/>
                      <w:bCs/>
                      <w:i w:val="0"/>
                      <w:iCs w:val="0"/>
                      <w:color w:val="auto"/>
                      <w:kern w:val="0"/>
                      <w:sz w:val="21"/>
                      <w:szCs w:val="21"/>
                      <w:highlight w:val="none"/>
                      <w:u w:val="none"/>
                      <w:vertAlign w:val="subscript"/>
                    </w:rPr>
                    <w:t>3</w:t>
                  </w:r>
                </w:p>
              </w:tc>
              <w:tc>
                <w:tcPr>
                  <w:tcW w:w="2664"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i w:val="0"/>
                      <w:iCs w:val="0"/>
                      <w:color w:val="auto"/>
                      <w:sz w:val="21"/>
                      <w:szCs w:val="21"/>
                      <w:highlight w:val="none"/>
                      <w:u w:val="none"/>
                    </w:rPr>
                  </w:pPr>
                  <w:r>
                    <w:rPr>
                      <w:rFonts w:hint="default" w:ascii="Times New Roman" w:hAnsi="Times New Roman" w:cs="Times New Roman"/>
                      <w:b w:val="0"/>
                      <w:bCs/>
                      <w:i w:val="0"/>
                      <w:iCs w:val="0"/>
                      <w:color w:val="auto"/>
                      <w:sz w:val="21"/>
                      <w:szCs w:val="21"/>
                      <w:highlight w:val="none"/>
                      <w:u w:val="none"/>
                    </w:rPr>
                    <w:t>百分位数8h平</w:t>
                  </w:r>
                  <w:r>
                    <w:rPr>
                      <w:rFonts w:hint="default" w:ascii="Times New Roman" w:hAnsi="Times New Roman" w:cs="Times New Roman"/>
                      <w:b w:val="0"/>
                      <w:bCs/>
                      <w:i w:val="0"/>
                      <w:iCs w:val="0"/>
                      <w:color w:val="auto"/>
                      <w:sz w:val="21"/>
                      <w:szCs w:val="21"/>
                      <w:highlight w:val="none"/>
                      <w:u w:val="none"/>
                      <w:lang w:eastAsia="zh-CN"/>
                    </w:rPr>
                    <w:t>均</w:t>
                  </w:r>
                  <w:r>
                    <w:rPr>
                      <w:rFonts w:hint="default" w:ascii="Times New Roman" w:hAnsi="Times New Roman" w:cs="Times New Roman"/>
                      <w:b w:val="0"/>
                      <w:bCs/>
                      <w:i w:val="0"/>
                      <w:iCs w:val="0"/>
                      <w:color w:val="auto"/>
                      <w:sz w:val="21"/>
                      <w:szCs w:val="21"/>
                      <w:highlight w:val="none"/>
                      <w:u w:val="none"/>
                    </w:rPr>
                    <w:t>浓度</w:t>
                  </w:r>
                </w:p>
              </w:tc>
              <w:tc>
                <w:tcPr>
                  <w:tcW w:w="1163"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15</w:t>
                  </w:r>
                  <w:r>
                    <w:rPr>
                      <w:rFonts w:hint="eastAsia" w:cs="Times New Roman"/>
                      <w:b w:val="0"/>
                      <w:bCs/>
                      <w:i w:val="0"/>
                      <w:iCs w:val="0"/>
                      <w:color w:val="auto"/>
                      <w:sz w:val="21"/>
                      <w:szCs w:val="21"/>
                      <w:highlight w:val="none"/>
                      <w:u w:val="none"/>
                      <w:lang w:val="en-US" w:eastAsia="zh-CN"/>
                    </w:rPr>
                    <w:t>1</w:t>
                  </w:r>
                </w:p>
              </w:tc>
              <w:tc>
                <w:tcPr>
                  <w:tcW w:w="1230"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default" w:ascii="Times New Roman" w:hAnsi="Times New Roman" w:cs="Times New Roman"/>
                      <w:b w:val="0"/>
                      <w:bCs/>
                      <w:i w:val="0"/>
                      <w:iCs w:val="0"/>
                      <w:color w:val="auto"/>
                      <w:sz w:val="21"/>
                      <w:szCs w:val="21"/>
                      <w:highlight w:val="none"/>
                      <w:u w:val="none"/>
                    </w:rPr>
                    <w:t>160</w:t>
                  </w:r>
                </w:p>
              </w:tc>
              <w:tc>
                <w:tcPr>
                  <w:tcW w:w="1067"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eastAsia" w:ascii="Times New Roman" w:hAnsi="Times New Roman" w:eastAsia="宋体" w:cs="Times New Roman"/>
                      <w:b w:val="0"/>
                      <w:bCs/>
                      <w:i w:val="0"/>
                      <w:iCs w:val="0"/>
                      <w:color w:val="auto"/>
                      <w:sz w:val="21"/>
                      <w:szCs w:val="21"/>
                      <w:highlight w:val="none"/>
                      <w:u w:val="none"/>
                      <w:lang w:val="en-US" w:eastAsia="zh-CN"/>
                    </w:rPr>
                    <w:t>9</w:t>
                  </w:r>
                  <w:r>
                    <w:rPr>
                      <w:rFonts w:hint="eastAsia" w:cs="Times New Roman"/>
                      <w:b w:val="0"/>
                      <w:bCs/>
                      <w:i w:val="0"/>
                      <w:iCs w:val="0"/>
                      <w:color w:val="auto"/>
                      <w:sz w:val="21"/>
                      <w:szCs w:val="21"/>
                      <w:highlight w:val="none"/>
                      <w:u w:val="none"/>
                      <w:lang w:val="en-US" w:eastAsia="zh-CN"/>
                    </w:rPr>
                    <w:t>4</w:t>
                  </w:r>
                  <w:r>
                    <w:rPr>
                      <w:rFonts w:hint="eastAsia" w:ascii="Times New Roman" w:hAnsi="Times New Roman" w:eastAsia="宋体" w:cs="Times New Roman"/>
                      <w:b w:val="0"/>
                      <w:bCs/>
                      <w:i w:val="0"/>
                      <w:iCs w:val="0"/>
                      <w:color w:val="auto"/>
                      <w:sz w:val="21"/>
                      <w:szCs w:val="21"/>
                      <w:highlight w:val="none"/>
                      <w:u w:val="none"/>
                      <w:lang w:val="en-US" w:eastAsia="zh-CN"/>
                    </w:rPr>
                    <w:t>.4</w:t>
                  </w:r>
                </w:p>
              </w:tc>
              <w:tc>
                <w:tcPr>
                  <w:tcW w:w="1099"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i w:val="0"/>
                      <w:iCs w:val="0"/>
                      <w:color w:val="auto"/>
                      <w:sz w:val="21"/>
                      <w:szCs w:val="21"/>
                      <w:highlight w:val="none"/>
                      <w:u w:val="none"/>
                      <w:lang w:val="en-US" w:eastAsia="zh-CN"/>
                    </w:rPr>
                  </w:pPr>
                  <w:r>
                    <w:rPr>
                      <w:rFonts w:hint="default" w:ascii="Times New Roman" w:hAnsi="Times New Roman" w:cs="Times New Roman"/>
                      <w:b w:val="0"/>
                      <w:bCs/>
                      <w:i w:val="0"/>
                      <w:iCs w:val="0"/>
                      <w:color w:val="auto"/>
                      <w:sz w:val="21"/>
                      <w:szCs w:val="21"/>
                      <w:highlight w:val="none"/>
                      <w:u w:val="none"/>
                    </w:rPr>
                    <w:t>达标</w:t>
                  </w:r>
                </w:p>
              </w:tc>
            </w:tr>
          </w:tbl>
          <w:p>
            <w:pPr>
              <w:adjustRightInd w:val="0"/>
              <w:snapToGrid w:val="0"/>
              <w:spacing w:line="360" w:lineRule="auto"/>
              <w:ind w:firstLine="480" w:firstLineChars="200"/>
              <w:rPr>
                <w:rFonts w:hint="eastAsia" w:hAnsi="宋体"/>
                <w:color w:val="auto"/>
                <w:kern w:val="2"/>
                <w:sz w:val="24"/>
                <w:szCs w:val="24"/>
                <w:lang w:val="en-US" w:eastAsia="zh-CN" w:bidi="ar-SA"/>
              </w:rPr>
            </w:pPr>
            <w:r>
              <w:rPr>
                <w:rFonts w:hint="eastAsia" w:hAnsi="宋体"/>
                <w:color w:val="auto"/>
                <w:kern w:val="2"/>
                <w:sz w:val="24"/>
                <w:szCs w:val="24"/>
                <w:lang w:val="en-US" w:eastAsia="zh-CN" w:bidi="ar-SA"/>
              </w:rPr>
              <w:t>根据上表可知，并结合《环境影响评价技术导则 大气环境》（HJ/T2.2-2018），城市环境空气质量达标情况评价指标为SO</w:t>
            </w:r>
            <w:r>
              <w:rPr>
                <w:rFonts w:hint="eastAsia" w:hAnsi="宋体"/>
                <w:color w:val="auto"/>
                <w:kern w:val="2"/>
                <w:sz w:val="24"/>
                <w:szCs w:val="24"/>
                <w:vertAlign w:val="subscript"/>
                <w:lang w:val="en-US" w:eastAsia="zh-CN" w:bidi="ar-SA"/>
              </w:rPr>
              <w:t>2</w:t>
            </w:r>
            <w:r>
              <w:rPr>
                <w:rFonts w:hint="eastAsia" w:hAnsi="宋体"/>
                <w:color w:val="auto"/>
                <w:kern w:val="2"/>
                <w:sz w:val="24"/>
                <w:szCs w:val="24"/>
                <w:lang w:val="en-US" w:eastAsia="zh-CN" w:bidi="ar-SA"/>
              </w:rPr>
              <w:t>、NO</w:t>
            </w:r>
            <w:r>
              <w:rPr>
                <w:rFonts w:hint="eastAsia" w:hAnsi="宋体"/>
                <w:color w:val="auto"/>
                <w:kern w:val="2"/>
                <w:sz w:val="24"/>
                <w:szCs w:val="24"/>
                <w:vertAlign w:val="subscript"/>
                <w:lang w:val="en-US" w:eastAsia="zh-CN" w:bidi="ar-SA"/>
              </w:rPr>
              <w:t>2</w:t>
            </w:r>
            <w:r>
              <w:rPr>
                <w:rFonts w:hint="eastAsia" w:hAnsi="宋体"/>
                <w:color w:val="auto"/>
                <w:kern w:val="2"/>
                <w:sz w:val="24"/>
                <w:szCs w:val="24"/>
                <w:lang w:val="en-US" w:eastAsia="zh-CN" w:bidi="ar-SA"/>
              </w:rPr>
              <w:t>、PM</w:t>
            </w:r>
            <w:r>
              <w:rPr>
                <w:rFonts w:hint="eastAsia" w:hAnsi="宋体"/>
                <w:color w:val="auto"/>
                <w:kern w:val="2"/>
                <w:sz w:val="24"/>
                <w:szCs w:val="24"/>
                <w:vertAlign w:val="subscript"/>
                <w:lang w:val="en-US" w:eastAsia="zh-CN" w:bidi="ar-SA"/>
              </w:rPr>
              <w:t>10</w:t>
            </w:r>
            <w:r>
              <w:rPr>
                <w:rFonts w:hint="eastAsia" w:hAnsi="宋体"/>
                <w:color w:val="auto"/>
                <w:kern w:val="2"/>
                <w:sz w:val="24"/>
                <w:szCs w:val="24"/>
                <w:lang w:val="en-US" w:eastAsia="zh-CN" w:bidi="ar-SA"/>
              </w:rPr>
              <w:t>、PM</w:t>
            </w:r>
            <w:r>
              <w:rPr>
                <w:rFonts w:hint="eastAsia" w:hAnsi="宋体"/>
                <w:color w:val="auto"/>
                <w:kern w:val="2"/>
                <w:sz w:val="24"/>
                <w:szCs w:val="24"/>
                <w:vertAlign w:val="subscript"/>
                <w:lang w:val="en-US" w:eastAsia="zh-CN" w:bidi="ar-SA"/>
              </w:rPr>
              <w:t>2.5</w:t>
            </w:r>
            <w:r>
              <w:rPr>
                <w:rFonts w:hint="eastAsia" w:hAnsi="宋体"/>
                <w:color w:val="auto"/>
                <w:kern w:val="2"/>
                <w:sz w:val="24"/>
                <w:szCs w:val="24"/>
                <w:lang w:val="en-US" w:eastAsia="zh-CN" w:bidi="ar-SA"/>
              </w:rPr>
              <w:t>、CO和O</w:t>
            </w:r>
            <w:r>
              <w:rPr>
                <w:rFonts w:hint="eastAsia" w:hAnsi="宋体"/>
                <w:color w:val="auto"/>
                <w:kern w:val="2"/>
                <w:sz w:val="24"/>
                <w:szCs w:val="24"/>
                <w:vertAlign w:val="subscript"/>
                <w:lang w:val="en-US" w:eastAsia="zh-CN" w:bidi="ar-SA"/>
              </w:rPr>
              <w:t>3</w:t>
            </w:r>
            <w:r>
              <w:rPr>
                <w:rFonts w:hint="eastAsia" w:hAnsi="宋体"/>
                <w:color w:val="auto"/>
                <w:kern w:val="2"/>
                <w:sz w:val="24"/>
                <w:szCs w:val="24"/>
                <w:lang w:val="en-US" w:eastAsia="zh-CN" w:bidi="ar-SA"/>
              </w:rPr>
              <w:t>，六项污染物全部达标则城市环境空气质量达标。因此以2023年为评价基准年，项目调查评价范围内的区域环境空气质量为轻污染，不达标区，主要超标因子为PM</w:t>
            </w:r>
            <w:r>
              <w:rPr>
                <w:rFonts w:hint="eastAsia" w:hAnsi="宋体"/>
                <w:color w:val="auto"/>
                <w:kern w:val="2"/>
                <w:sz w:val="24"/>
                <w:szCs w:val="24"/>
                <w:vertAlign w:val="subscript"/>
                <w:lang w:val="en-US" w:eastAsia="zh-CN" w:bidi="ar-SA"/>
              </w:rPr>
              <w:t>2.5</w:t>
            </w:r>
            <w:r>
              <w:rPr>
                <w:rFonts w:hint="eastAsia" w:hAnsi="宋体"/>
                <w:color w:val="auto"/>
                <w:kern w:val="2"/>
                <w:sz w:val="24"/>
                <w:szCs w:val="24"/>
                <w:lang w:val="en-US" w:eastAsia="zh-CN" w:bidi="ar-SA"/>
              </w:rPr>
              <w:t>、PM</w:t>
            </w:r>
            <w:r>
              <w:rPr>
                <w:rFonts w:hint="eastAsia" w:hAnsi="宋体"/>
                <w:color w:val="auto"/>
                <w:kern w:val="2"/>
                <w:sz w:val="24"/>
                <w:szCs w:val="24"/>
                <w:vertAlign w:val="subscript"/>
                <w:lang w:val="en-US" w:eastAsia="zh-CN" w:bidi="ar-SA"/>
              </w:rPr>
              <w:t>10</w:t>
            </w:r>
            <w:r>
              <w:rPr>
                <w:rFonts w:hint="eastAsia" w:hAnsi="宋体"/>
                <w:color w:val="auto"/>
                <w:kern w:val="2"/>
                <w:sz w:val="24"/>
                <w:szCs w:val="24"/>
                <w:lang w:val="en-US" w:eastAsia="zh-CN" w:bidi="ar-SA"/>
              </w:rPr>
              <w:t>。</w:t>
            </w:r>
          </w:p>
          <w:p>
            <w:pPr>
              <w:adjustRightInd w:val="0"/>
              <w:snapToGrid w:val="0"/>
              <w:spacing w:line="360" w:lineRule="auto"/>
              <w:ind w:firstLine="480" w:firstLineChars="200"/>
              <w:rPr>
                <w:rFonts w:hint="default" w:ascii="Times New Roman" w:hAnsi="Times New Roman" w:cs="Times New Roman"/>
                <w:b w:val="0"/>
                <w:bCs/>
                <w:color w:val="auto"/>
                <w:sz w:val="24"/>
              </w:rPr>
            </w:pPr>
            <w:r>
              <w:rPr>
                <w:rFonts w:hint="eastAsia" w:hAnsi="宋体"/>
                <w:color w:val="auto"/>
                <w:kern w:val="2"/>
                <w:sz w:val="24"/>
                <w:szCs w:val="24"/>
                <w:lang w:val="en-US" w:eastAsia="zh-CN" w:bidi="ar-SA"/>
              </w:rPr>
              <w:t>根据</w:t>
            </w:r>
            <w:r>
              <w:rPr>
                <w:rFonts w:hint="eastAsia" w:hAnsi="宋体" w:eastAsia="宋体"/>
                <w:color w:val="auto"/>
                <w:kern w:val="2"/>
                <w:sz w:val="24"/>
                <w:szCs w:val="24"/>
                <w:lang w:val="en-US" w:eastAsia="zh-CN" w:bidi="ar-SA"/>
              </w:rPr>
              <w:t>《南阳市环境空气质量限期达标行动实施方案（2024</w:t>
            </w:r>
            <w:r>
              <w:rPr>
                <w:rFonts w:hint="eastAsia" w:hAnsi="宋体"/>
                <w:color w:val="auto"/>
                <w:kern w:val="2"/>
                <w:sz w:val="24"/>
                <w:szCs w:val="24"/>
                <w:lang w:val="en-US" w:eastAsia="zh-CN" w:bidi="ar-SA"/>
              </w:rPr>
              <w:t>-</w:t>
            </w:r>
            <w:r>
              <w:rPr>
                <w:rFonts w:hint="eastAsia" w:hAnsi="宋体" w:eastAsia="宋体"/>
                <w:color w:val="auto"/>
                <w:kern w:val="2"/>
                <w:sz w:val="24"/>
                <w:szCs w:val="24"/>
                <w:lang w:val="en-US" w:eastAsia="zh-CN" w:bidi="ar-SA"/>
              </w:rPr>
              <w:t>2025年）》（宛政办</w:t>
            </w:r>
            <w:r>
              <w:rPr>
                <w:rFonts w:hint="eastAsia" w:hAnsi="宋体"/>
                <w:color w:val="auto"/>
                <w:kern w:val="2"/>
                <w:sz w:val="24"/>
                <w:szCs w:val="24"/>
                <w:lang w:val="en-US" w:eastAsia="zh-CN" w:bidi="ar-SA"/>
              </w:rPr>
              <w:t>【2024】</w:t>
            </w:r>
            <w:r>
              <w:rPr>
                <w:rFonts w:hint="eastAsia" w:hAnsi="宋体" w:eastAsia="宋体"/>
                <w:color w:val="auto"/>
                <w:kern w:val="2"/>
                <w:sz w:val="24"/>
                <w:szCs w:val="24"/>
                <w:lang w:val="en-US" w:eastAsia="zh-CN" w:bidi="ar-SA"/>
              </w:rPr>
              <w:t>3号）、</w:t>
            </w:r>
            <w:r>
              <w:rPr>
                <w:rFonts w:hint="default" w:hAnsi="宋体" w:eastAsia="宋体"/>
                <w:color w:val="auto"/>
                <w:kern w:val="2"/>
                <w:sz w:val="24"/>
                <w:szCs w:val="24"/>
                <w:lang w:val="en-US" w:eastAsia="zh-CN" w:bidi="ar-SA"/>
              </w:rPr>
              <w:t>《南阳市2</w:t>
            </w:r>
            <w:r>
              <w:rPr>
                <w:rFonts w:hint="default" w:ascii="Times New Roman" w:hAnsi="Times New Roman" w:cs="Times New Roman"/>
                <w:b w:val="0"/>
                <w:bCs/>
                <w:sz w:val="24"/>
                <w:szCs w:val="24"/>
                <w:u w:val="none"/>
              </w:rPr>
              <w:t>02</w:t>
            </w:r>
            <w:r>
              <w:rPr>
                <w:rFonts w:hint="eastAsia" w:cs="Times New Roman"/>
                <w:b w:val="0"/>
                <w:bCs/>
                <w:sz w:val="24"/>
                <w:szCs w:val="24"/>
                <w:u w:val="none"/>
                <w:lang w:val="en-US" w:eastAsia="zh-CN"/>
              </w:rPr>
              <w:t>4</w:t>
            </w:r>
            <w:r>
              <w:rPr>
                <w:rFonts w:hint="default" w:ascii="Times New Roman" w:hAnsi="Times New Roman" w:cs="Times New Roman"/>
                <w:b w:val="0"/>
                <w:bCs/>
                <w:sz w:val="24"/>
                <w:szCs w:val="24"/>
                <w:u w:val="none"/>
              </w:rPr>
              <w:t>年蓝天保卫战实施方案》（宛环委办</w:t>
            </w:r>
            <w:r>
              <w:rPr>
                <w:rFonts w:hint="eastAsia" w:cs="Times New Roman"/>
                <w:b w:val="0"/>
                <w:bCs/>
                <w:sz w:val="24"/>
                <w:szCs w:val="24"/>
                <w:u w:val="none"/>
                <w:lang w:eastAsia="zh-CN"/>
              </w:rPr>
              <w:t>【</w:t>
            </w:r>
            <w:r>
              <w:rPr>
                <w:rFonts w:hint="eastAsia" w:cs="Times New Roman"/>
                <w:b w:val="0"/>
                <w:bCs/>
                <w:sz w:val="24"/>
                <w:szCs w:val="24"/>
                <w:u w:val="none"/>
                <w:lang w:val="en-US" w:eastAsia="zh-CN"/>
              </w:rPr>
              <w:t>2024</w:t>
            </w:r>
            <w:r>
              <w:rPr>
                <w:rFonts w:hint="eastAsia" w:cs="Times New Roman"/>
                <w:b w:val="0"/>
                <w:bCs/>
                <w:sz w:val="24"/>
                <w:szCs w:val="24"/>
                <w:u w:val="none"/>
                <w:lang w:eastAsia="zh-CN"/>
              </w:rPr>
              <w:t>】</w:t>
            </w:r>
            <w:r>
              <w:rPr>
                <w:rFonts w:hint="default" w:ascii="Times New Roman" w:hAnsi="Times New Roman" w:cs="Times New Roman"/>
                <w:b w:val="0"/>
                <w:bCs/>
                <w:sz w:val="24"/>
                <w:szCs w:val="24"/>
                <w:u w:val="none"/>
              </w:rPr>
              <w:t>21号）</w:t>
            </w:r>
            <w:r>
              <w:rPr>
                <w:rFonts w:hint="eastAsia" w:hAnsi="宋体"/>
                <w:color w:val="auto"/>
                <w:kern w:val="2"/>
                <w:sz w:val="24"/>
                <w:szCs w:val="24"/>
                <w:lang w:val="en-US" w:eastAsia="zh-CN" w:bidi="ar-SA"/>
              </w:rPr>
              <w:t>，南阳市将坚持污染减排与质量改善相同步，推动大气污染综合治理、系统治理、源头治理，开展四季攻坚行动和重点区域精细化管理，实施细颗粒物（PM</w:t>
            </w:r>
            <w:r>
              <w:rPr>
                <w:rFonts w:hint="eastAsia" w:hAnsi="宋体"/>
                <w:color w:val="auto"/>
                <w:kern w:val="2"/>
                <w:sz w:val="24"/>
                <w:szCs w:val="24"/>
                <w:vertAlign w:val="subscript"/>
                <w:lang w:val="en-US" w:eastAsia="zh-CN" w:bidi="ar-SA"/>
              </w:rPr>
              <w:t>2.5</w:t>
            </w:r>
            <w:r>
              <w:rPr>
                <w:rFonts w:hint="eastAsia" w:hAnsi="宋体"/>
                <w:color w:val="auto"/>
                <w:kern w:val="2"/>
                <w:sz w:val="24"/>
                <w:szCs w:val="24"/>
                <w:lang w:val="en-US" w:eastAsia="zh-CN" w:bidi="ar-SA"/>
              </w:rPr>
              <w:t>）与臭氧（O</w:t>
            </w:r>
            <w:r>
              <w:rPr>
                <w:rFonts w:hint="eastAsia" w:hAnsi="宋体"/>
                <w:color w:val="auto"/>
                <w:kern w:val="2"/>
                <w:sz w:val="24"/>
                <w:szCs w:val="24"/>
                <w:vertAlign w:val="subscript"/>
                <w:lang w:val="en-US" w:eastAsia="zh-CN" w:bidi="ar-SA"/>
              </w:rPr>
              <w:t>3</w:t>
            </w:r>
            <w:r>
              <w:rPr>
                <w:rFonts w:hint="eastAsia" w:hAnsi="宋体"/>
                <w:color w:val="auto"/>
                <w:kern w:val="2"/>
                <w:sz w:val="24"/>
                <w:szCs w:val="24"/>
                <w:lang w:val="en-US" w:eastAsia="zh-CN" w:bidi="ar-SA"/>
              </w:rPr>
              <w:t>）协同控制，强化挥发性有机物（VOCs）和氮氧化物（NOx）协同治理，统筹空气质量改善和碳达峰工作，推进治理体系和治理能力现代化，区域环境质量空气质量将逐渐转好。</w:t>
            </w:r>
          </w:p>
          <w:p>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2、地表水</w:t>
            </w:r>
          </w:p>
          <w:p>
            <w:pPr>
              <w:spacing w:line="520" w:lineRule="exact"/>
              <w:ind w:firstLine="480" w:firstLineChars="200"/>
              <w:rPr>
                <w:rFonts w:ascii="Times New Roman" w:hAnsi="Times New Roman" w:cs="Times New Roman"/>
                <w:b w:val="0"/>
                <w:bCs w:val="0"/>
                <w:sz w:val="24"/>
                <w:szCs w:val="24"/>
                <w:u w:val="none"/>
                <w:lang w:eastAsia="zh-CN"/>
              </w:rPr>
            </w:pPr>
            <w:r>
              <w:rPr>
                <w:rFonts w:hint="eastAsia" w:ascii="宋体" w:hAnsi="宋体" w:eastAsia="宋体" w:cs="宋体"/>
                <w:sz w:val="24"/>
                <w:szCs w:val="24"/>
                <w:u w:val="none"/>
              </w:rPr>
              <w:t>项目厂区附近主要地表水体</w:t>
            </w:r>
            <w:r>
              <w:rPr>
                <w:rFonts w:hint="default" w:ascii="Times New Roman" w:hAnsi="Times New Roman" w:eastAsia="宋体" w:cs="Times New Roman"/>
                <w:sz w:val="24"/>
                <w:szCs w:val="24"/>
                <w:u w:val="none"/>
              </w:rPr>
              <w:t>为北侧7</w:t>
            </w:r>
            <w:r>
              <w:rPr>
                <w:rFonts w:hint="eastAsia" w:ascii="Times New Roman" w:hAnsi="Times New Roman" w:cs="Times New Roman"/>
                <w:sz w:val="24"/>
                <w:szCs w:val="24"/>
                <w:u w:val="none"/>
                <w:lang w:val="en-US" w:eastAsia="zh-CN"/>
              </w:rPr>
              <w:t>70</w:t>
            </w:r>
            <w:r>
              <w:rPr>
                <w:rFonts w:hint="default" w:ascii="Times New Roman" w:hAnsi="Times New Roman" w:eastAsia="宋体" w:cs="Times New Roman"/>
                <w:sz w:val="24"/>
                <w:szCs w:val="24"/>
                <w:u w:val="none"/>
              </w:rPr>
              <w:t>m处的</w:t>
            </w:r>
            <w:r>
              <w:rPr>
                <w:rFonts w:hint="eastAsia" w:ascii="宋体" w:hAnsi="宋体" w:eastAsia="宋体" w:cs="宋体"/>
                <w:sz w:val="24"/>
                <w:szCs w:val="24"/>
                <w:u w:val="none"/>
              </w:rPr>
              <w:t>泗水河，泗水河向东南汇入白河，白河位于项目东</w:t>
            </w:r>
            <w:r>
              <w:rPr>
                <w:rFonts w:hint="eastAsia" w:ascii="宋体" w:hAnsi="宋体" w:eastAsia="宋体" w:cs="宋体"/>
                <w:sz w:val="24"/>
                <w:szCs w:val="24"/>
                <w:u w:val="none"/>
                <w:lang w:eastAsia="zh-CN"/>
              </w:rPr>
              <w:t>南</w:t>
            </w:r>
            <w:r>
              <w:rPr>
                <w:rFonts w:hint="default" w:ascii="Times New Roman" w:hAnsi="Times New Roman" w:eastAsia="宋体" w:cs="Times New Roman"/>
                <w:sz w:val="24"/>
                <w:szCs w:val="24"/>
                <w:u w:val="none"/>
              </w:rPr>
              <w:t>侧3.</w:t>
            </w:r>
            <w:r>
              <w:rPr>
                <w:rFonts w:hint="eastAsia" w:ascii="Times New Roman" w:hAnsi="Times New Roman" w:eastAsia="宋体" w:cs="Times New Roman"/>
                <w:sz w:val="24"/>
                <w:szCs w:val="24"/>
                <w:u w:val="none"/>
                <w:lang w:val="en-US" w:eastAsia="zh-CN"/>
              </w:rPr>
              <w:t>2</w:t>
            </w:r>
            <w:r>
              <w:rPr>
                <w:rFonts w:hint="default" w:ascii="Times New Roman" w:hAnsi="Times New Roman" w:eastAsia="宋体" w:cs="Times New Roman"/>
                <w:sz w:val="24"/>
                <w:szCs w:val="24"/>
                <w:u w:val="none"/>
              </w:rPr>
              <w:t>km处</w:t>
            </w:r>
            <w:r>
              <w:rPr>
                <w:rFonts w:hint="eastAsia" w:ascii="Times New Roman" w:hAnsi="Times New Roman" w:eastAsia="宋体" w:cs="Times New Roman"/>
                <w:sz w:val="24"/>
                <w:szCs w:val="24"/>
                <w:u w:val="none"/>
                <w:lang w:eastAsia="zh-CN"/>
              </w:rPr>
              <w:t>。距本项目最近的为白河南阳盆窑断面</w:t>
            </w:r>
            <w:r>
              <w:rPr>
                <w:rFonts w:hint="eastAsia" w:cs="Times New Roman"/>
                <w:sz w:val="24"/>
                <w:szCs w:val="24"/>
                <w:u w:val="none"/>
                <w:lang w:eastAsia="zh-CN"/>
              </w:rPr>
              <w:t>，</w:t>
            </w:r>
            <w:r>
              <w:rPr>
                <w:rFonts w:hint="default" w:ascii="Times New Roman" w:hAnsi="Times New Roman" w:eastAsia="宋体" w:cs="Times New Roman"/>
                <w:sz w:val="24"/>
                <w:szCs w:val="24"/>
                <w:u w:val="none"/>
              </w:rPr>
              <w:t>根据南阳市地表水功能区划，白河评价河段水质功能区划为《地表水环境质量标准》（GB3838-2002）中</w:t>
            </w:r>
            <w:r>
              <w:rPr>
                <w:rFonts w:hint="eastAsia" w:cs="Times New Roman"/>
                <w:sz w:val="24"/>
                <w:szCs w:val="24"/>
                <w:u w:val="none"/>
                <w:lang w:val="en-US" w:eastAsia="zh-CN"/>
              </w:rPr>
              <w:t>II</w:t>
            </w:r>
            <w:r>
              <w:rPr>
                <w:rFonts w:hint="default" w:ascii="Times New Roman" w:hAnsi="Times New Roman" w:eastAsia="宋体" w:cs="Times New Roman"/>
                <w:sz w:val="24"/>
                <w:szCs w:val="24"/>
                <w:u w:val="none"/>
              </w:rPr>
              <w:t>类水体，执行</w:t>
            </w:r>
            <w:r>
              <w:rPr>
                <w:rFonts w:hint="eastAsia" w:cs="Times New Roman"/>
                <w:sz w:val="24"/>
                <w:szCs w:val="24"/>
                <w:u w:val="none"/>
                <w:lang w:val="en-US" w:eastAsia="zh-CN"/>
              </w:rPr>
              <w:t>II</w:t>
            </w:r>
            <w:r>
              <w:rPr>
                <w:rFonts w:hint="default" w:ascii="Times New Roman" w:hAnsi="Times New Roman" w:eastAsia="宋体" w:cs="Times New Roman"/>
                <w:sz w:val="24"/>
                <w:szCs w:val="24"/>
                <w:u w:val="none"/>
              </w:rPr>
              <w:t>类水体要求。</w:t>
            </w:r>
            <w:r>
              <w:rPr>
                <w:rFonts w:hint="eastAsia" w:ascii="Times New Roman" w:hAnsi="Times New Roman" w:eastAsia="宋体" w:cs="Times New Roman"/>
                <w:sz w:val="24"/>
                <w:szCs w:val="24"/>
                <w:u w:val="none"/>
                <w:lang w:eastAsia="zh-CN"/>
              </w:rPr>
              <w:t>距本项目最近的为白河南阳盆窑断面</w:t>
            </w:r>
            <w:r>
              <w:rPr>
                <w:rFonts w:hint="eastAsia" w:cs="Times New Roman"/>
                <w:sz w:val="24"/>
                <w:szCs w:val="24"/>
                <w:u w:val="none"/>
                <w:lang w:eastAsia="zh-CN"/>
              </w:rPr>
              <w:t>，</w:t>
            </w:r>
            <w:r>
              <w:rPr>
                <w:rFonts w:hint="eastAsia" w:ascii="Times New Roman" w:hAnsi="Times New Roman" w:cs="Times New Roman"/>
                <w:b w:val="0"/>
                <w:bCs w:val="0"/>
                <w:sz w:val="24"/>
                <w:szCs w:val="24"/>
                <w:u w:val="none"/>
                <w:lang w:eastAsia="zh-CN"/>
              </w:rPr>
              <w:t>本次评价</w:t>
            </w:r>
            <w:r>
              <w:rPr>
                <w:rFonts w:ascii="Times New Roman" w:hAnsi="Times New Roman" w:cs="Times New Roman"/>
                <w:b w:val="0"/>
                <w:bCs w:val="0"/>
                <w:sz w:val="24"/>
                <w:szCs w:val="24"/>
                <w:u w:val="none"/>
                <w:lang w:eastAsia="zh-CN"/>
              </w:rPr>
              <w:t>根据《202</w:t>
            </w:r>
            <w:r>
              <w:rPr>
                <w:rFonts w:hint="eastAsia" w:cs="Times New Roman"/>
                <w:b w:val="0"/>
                <w:bCs w:val="0"/>
                <w:sz w:val="24"/>
                <w:szCs w:val="24"/>
                <w:u w:val="none"/>
                <w:lang w:val="en-US" w:eastAsia="zh-CN"/>
              </w:rPr>
              <w:t>3</w:t>
            </w:r>
            <w:r>
              <w:rPr>
                <w:rFonts w:ascii="Times New Roman" w:hAnsi="Times New Roman" w:cs="Times New Roman"/>
                <w:b w:val="0"/>
                <w:bCs w:val="0"/>
                <w:sz w:val="24"/>
                <w:szCs w:val="24"/>
                <w:u w:val="none"/>
                <w:lang w:eastAsia="zh-CN"/>
              </w:rPr>
              <w:t>年河南省南阳市生态环境质量报告》</w:t>
            </w:r>
            <w:r>
              <w:rPr>
                <w:rFonts w:hint="default" w:ascii="Times New Roman" w:hAnsi="Times New Roman" w:eastAsia="宋体" w:cs="Times New Roman"/>
                <w:b w:val="0"/>
                <w:bCs w:val="0"/>
                <w:sz w:val="24"/>
                <w:szCs w:val="24"/>
                <w:u w:val="none"/>
                <w:lang w:eastAsia="zh-CN"/>
              </w:rPr>
              <w:t>（河南省南阳生态环境监测中心，202</w:t>
            </w:r>
            <w:r>
              <w:rPr>
                <w:rFonts w:hint="eastAsia" w:cs="Times New Roman"/>
                <w:b w:val="0"/>
                <w:bCs w:val="0"/>
                <w:sz w:val="24"/>
                <w:szCs w:val="24"/>
                <w:u w:val="none"/>
                <w:lang w:val="en-US" w:eastAsia="zh-CN"/>
              </w:rPr>
              <w:t>4</w:t>
            </w:r>
            <w:r>
              <w:rPr>
                <w:rFonts w:hint="default" w:ascii="Times New Roman" w:hAnsi="Times New Roman" w:eastAsia="宋体" w:cs="Times New Roman"/>
                <w:b w:val="0"/>
                <w:bCs w:val="0"/>
                <w:sz w:val="24"/>
                <w:szCs w:val="24"/>
                <w:u w:val="none"/>
                <w:lang w:eastAsia="zh-CN"/>
              </w:rPr>
              <w:t>年6月）</w:t>
            </w:r>
            <w:r>
              <w:rPr>
                <w:rFonts w:hint="eastAsia" w:ascii="Times New Roman" w:hAnsi="Times New Roman" w:eastAsia="宋体" w:cs="Times New Roman"/>
                <w:b w:val="0"/>
                <w:bCs w:val="0"/>
                <w:sz w:val="24"/>
                <w:szCs w:val="24"/>
                <w:u w:val="none"/>
                <w:lang w:eastAsia="zh-CN"/>
              </w:rPr>
              <w:t>中的监测数据</w:t>
            </w:r>
            <w:r>
              <w:rPr>
                <w:rFonts w:hint="eastAsia" w:ascii="Times New Roman" w:hAnsi="Times New Roman" w:cs="Times New Roman"/>
                <w:b w:val="0"/>
                <w:bCs w:val="0"/>
                <w:sz w:val="24"/>
                <w:szCs w:val="24"/>
                <w:u w:val="none"/>
                <w:lang w:eastAsia="zh-CN"/>
              </w:rPr>
              <w:t>，具体数据见下表</w:t>
            </w:r>
            <w:r>
              <w:rPr>
                <w:rFonts w:ascii="Times New Roman" w:hAnsi="Times New Roman" w:cs="Times New Roman"/>
                <w:b w:val="0"/>
                <w:bCs w:val="0"/>
                <w:sz w:val="24"/>
                <w:szCs w:val="24"/>
                <w:u w:val="none"/>
                <w:lang w:eastAsia="zh-CN"/>
              </w:rPr>
              <w:t>。</w:t>
            </w:r>
          </w:p>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u w:val="none"/>
                <w:lang w:val="en-US" w:eastAsia="zh-CN" w:bidi="ar-SA"/>
              </w:rPr>
            </w:pPr>
            <w:r>
              <w:rPr>
                <w:rFonts w:hint="default" w:ascii="Times New Roman" w:hAnsi="Times New Roman" w:eastAsia="宋体" w:cs="Times New Roman"/>
                <w:b/>
                <w:bCs w:val="0"/>
                <w:color w:val="auto"/>
                <w:kern w:val="2"/>
                <w:sz w:val="24"/>
                <w:szCs w:val="24"/>
                <w:u w:val="none"/>
                <w:lang w:val="en-US" w:eastAsia="zh-CN" w:bidi="ar-SA"/>
              </w:rPr>
              <w:t>3-2  地表水质量现状监测统计结果一览表（单位：mg/L；pH除外）</w:t>
            </w:r>
          </w:p>
          <w:tbl>
            <w:tblPr>
              <w:tblStyle w:val="26"/>
              <w:tblW w:w="829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1173"/>
              <w:gridCol w:w="1608"/>
              <w:gridCol w:w="975"/>
              <w:gridCol w:w="960"/>
              <w:gridCol w:w="1003"/>
              <w:gridCol w:w="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607" w:type="dxa"/>
                  <w:noWrap w:val="0"/>
                  <w:vAlign w:val="center"/>
                </w:tcPr>
                <w:p>
                  <w:pPr>
                    <w:spacing w:before="0" w:after="0" w:line="240" w:lineRule="auto"/>
                    <w:jc w:val="center"/>
                    <w:rPr>
                      <w:rFonts w:hint="default" w:ascii="Times New Roman" w:hAnsi="Times New Roman" w:cs="Times New Roman"/>
                      <w:b/>
                      <w:bCs/>
                      <w:sz w:val="21"/>
                      <w:szCs w:val="21"/>
                      <w:u w:val="none"/>
                    </w:rPr>
                  </w:pPr>
                  <w:r>
                    <w:rPr>
                      <w:rFonts w:hint="default" w:ascii="Times New Roman" w:hAnsi="Times New Roman" w:cs="Times New Roman"/>
                      <w:b/>
                      <w:bCs/>
                      <w:sz w:val="21"/>
                      <w:szCs w:val="21"/>
                      <w:u w:val="none"/>
                    </w:rPr>
                    <w:t>断面</w:t>
                  </w:r>
                </w:p>
              </w:tc>
              <w:tc>
                <w:tcPr>
                  <w:tcW w:w="1173" w:type="dxa"/>
                  <w:noWrap w:val="0"/>
                  <w:vAlign w:val="center"/>
                </w:tcPr>
                <w:p>
                  <w:pPr>
                    <w:spacing w:before="0" w:after="0" w:line="240" w:lineRule="auto"/>
                    <w:jc w:val="center"/>
                    <w:rPr>
                      <w:rFonts w:hint="default" w:ascii="Times New Roman" w:hAnsi="Times New Roman" w:cs="Times New Roman"/>
                      <w:b/>
                      <w:bCs/>
                      <w:sz w:val="21"/>
                      <w:szCs w:val="21"/>
                      <w:u w:val="none"/>
                    </w:rPr>
                  </w:pPr>
                  <w:r>
                    <w:rPr>
                      <w:rFonts w:hint="default" w:ascii="Times New Roman" w:hAnsi="Times New Roman" w:cs="Times New Roman"/>
                      <w:b/>
                      <w:bCs/>
                      <w:sz w:val="21"/>
                      <w:szCs w:val="21"/>
                      <w:u w:val="none"/>
                    </w:rPr>
                    <w:t>类别</w:t>
                  </w:r>
                </w:p>
              </w:tc>
              <w:tc>
                <w:tcPr>
                  <w:tcW w:w="1608" w:type="dxa"/>
                  <w:noWrap w:val="0"/>
                  <w:vAlign w:val="center"/>
                </w:tcPr>
                <w:p>
                  <w:pPr>
                    <w:spacing w:before="0" w:after="0" w:line="240" w:lineRule="auto"/>
                    <w:jc w:val="center"/>
                    <w:rPr>
                      <w:rFonts w:hint="eastAsia" w:ascii="Times New Roman" w:hAnsi="Times New Roman" w:eastAsia="宋体" w:cs="Times New Roman"/>
                      <w:b/>
                      <w:bCs/>
                      <w:sz w:val="21"/>
                      <w:szCs w:val="21"/>
                      <w:u w:val="none"/>
                      <w:lang w:eastAsia="zh-CN"/>
                    </w:rPr>
                  </w:pPr>
                  <w:r>
                    <w:rPr>
                      <w:rFonts w:hint="eastAsia" w:ascii="Times New Roman" w:hAnsi="Times New Roman" w:cs="Times New Roman"/>
                      <w:b/>
                      <w:bCs/>
                      <w:sz w:val="21"/>
                      <w:szCs w:val="21"/>
                      <w:u w:val="none"/>
                      <w:lang w:eastAsia="zh-CN"/>
                    </w:rPr>
                    <w:t>高锰酸盐指数</w:t>
                  </w:r>
                </w:p>
              </w:tc>
              <w:tc>
                <w:tcPr>
                  <w:tcW w:w="975" w:type="dxa"/>
                  <w:noWrap w:val="0"/>
                  <w:vAlign w:val="center"/>
                </w:tcPr>
                <w:p>
                  <w:pPr>
                    <w:spacing w:before="0" w:after="0" w:line="240" w:lineRule="auto"/>
                    <w:jc w:val="center"/>
                    <w:rPr>
                      <w:rFonts w:hint="default" w:ascii="Times New Roman" w:hAnsi="Times New Roman" w:cs="Times New Roman"/>
                      <w:b/>
                      <w:bCs/>
                      <w:sz w:val="21"/>
                      <w:szCs w:val="21"/>
                      <w:u w:val="none"/>
                      <w:lang w:val="en-US" w:eastAsia="zh-CN"/>
                    </w:rPr>
                  </w:pPr>
                  <w:r>
                    <w:rPr>
                      <w:rFonts w:hint="eastAsia" w:cs="Times New Roman"/>
                      <w:b/>
                      <w:bCs/>
                      <w:sz w:val="21"/>
                      <w:szCs w:val="21"/>
                      <w:u w:val="none"/>
                      <w:lang w:val="en-US" w:eastAsia="zh-CN"/>
                    </w:rPr>
                    <w:t>COD</w:t>
                  </w:r>
                </w:p>
              </w:tc>
              <w:tc>
                <w:tcPr>
                  <w:tcW w:w="960" w:type="dxa"/>
                  <w:noWrap w:val="0"/>
                  <w:vAlign w:val="center"/>
                </w:tcPr>
                <w:p>
                  <w:pPr>
                    <w:spacing w:before="0" w:after="0" w:line="240" w:lineRule="auto"/>
                    <w:jc w:val="center"/>
                    <w:rPr>
                      <w:rFonts w:hint="default" w:ascii="Times New Roman" w:hAnsi="Times New Roman" w:cs="Times New Roman"/>
                      <w:b/>
                      <w:bCs/>
                      <w:sz w:val="21"/>
                      <w:szCs w:val="21"/>
                      <w:u w:val="none"/>
                      <w:vertAlign w:val="subscript"/>
                    </w:rPr>
                  </w:pPr>
                  <w:r>
                    <w:rPr>
                      <w:rFonts w:hint="default" w:ascii="Times New Roman" w:hAnsi="Times New Roman" w:cs="Times New Roman"/>
                      <w:b/>
                      <w:bCs/>
                      <w:sz w:val="21"/>
                      <w:szCs w:val="21"/>
                      <w:u w:val="none"/>
                    </w:rPr>
                    <w:t>BOD</w:t>
                  </w:r>
                  <w:r>
                    <w:rPr>
                      <w:rFonts w:hint="default" w:ascii="Times New Roman" w:hAnsi="Times New Roman" w:cs="Times New Roman"/>
                      <w:b/>
                      <w:bCs/>
                      <w:sz w:val="21"/>
                      <w:szCs w:val="21"/>
                      <w:u w:val="none"/>
                      <w:vertAlign w:val="subscript"/>
                    </w:rPr>
                    <w:t>5</w:t>
                  </w:r>
                </w:p>
              </w:tc>
              <w:tc>
                <w:tcPr>
                  <w:tcW w:w="1003" w:type="dxa"/>
                  <w:noWrap w:val="0"/>
                  <w:vAlign w:val="center"/>
                </w:tcPr>
                <w:p>
                  <w:pPr>
                    <w:spacing w:before="0" w:after="0" w:line="240" w:lineRule="auto"/>
                    <w:jc w:val="center"/>
                    <w:rPr>
                      <w:rFonts w:hint="default" w:ascii="Times New Roman" w:hAnsi="Times New Roman" w:cs="Times New Roman"/>
                      <w:b/>
                      <w:bCs/>
                      <w:sz w:val="21"/>
                      <w:szCs w:val="21"/>
                      <w:u w:val="none"/>
                    </w:rPr>
                  </w:pPr>
                  <w:r>
                    <w:rPr>
                      <w:rFonts w:hint="default" w:ascii="Times New Roman" w:hAnsi="Times New Roman" w:cs="Times New Roman"/>
                      <w:b/>
                      <w:bCs/>
                      <w:sz w:val="21"/>
                      <w:szCs w:val="21"/>
                      <w:u w:val="none"/>
                    </w:rPr>
                    <w:t>氨氮</w:t>
                  </w:r>
                </w:p>
              </w:tc>
              <w:tc>
                <w:tcPr>
                  <w:tcW w:w="973" w:type="dxa"/>
                  <w:noWrap w:val="0"/>
                  <w:vAlign w:val="center"/>
                </w:tcPr>
                <w:p>
                  <w:pPr>
                    <w:spacing w:before="0" w:after="0" w:line="240" w:lineRule="auto"/>
                    <w:jc w:val="center"/>
                    <w:rPr>
                      <w:rFonts w:hint="default" w:ascii="Times New Roman" w:hAnsi="Times New Roman" w:cs="Times New Roman"/>
                      <w:b/>
                      <w:bCs/>
                      <w:sz w:val="21"/>
                      <w:szCs w:val="21"/>
                      <w:u w:val="none"/>
                    </w:rPr>
                  </w:pPr>
                  <w:r>
                    <w:rPr>
                      <w:rFonts w:hint="default" w:ascii="Times New Roman" w:hAnsi="Times New Roman" w:cs="Times New Roman"/>
                      <w:b/>
                      <w:bCs/>
                      <w:sz w:val="21"/>
                      <w:szCs w:val="21"/>
                      <w:u w:val="none"/>
                    </w:rPr>
                    <w:t>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607" w:type="dxa"/>
                  <w:vMerge w:val="restart"/>
                  <w:noWrap w:val="0"/>
                  <w:vAlign w:val="center"/>
                </w:tcPr>
                <w:p>
                  <w:pPr>
                    <w:spacing w:before="0" w:after="0" w:line="240" w:lineRule="auto"/>
                    <w:jc w:val="center"/>
                    <w:rPr>
                      <w:rFonts w:hint="eastAsia" w:ascii="Times New Roman" w:hAnsi="Times New Roman" w:eastAsia="宋体" w:cs="Times New Roman"/>
                      <w:sz w:val="21"/>
                      <w:szCs w:val="21"/>
                      <w:u w:val="none"/>
                      <w:lang w:eastAsia="zh-CN"/>
                    </w:rPr>
                  </w:pPr>
                  <w:r>
                    <w:rPr>
                      <w:rFonts w:hint="eastAsia" w:ascii="Times New Roman" w:hAnsi="Times New Roman" w:eastAsia="宋体" w:cs="Times New Roman"/>
                      <w:sz w:val="21"/>
                      <w:szCs w:val="21"/>
                      <w:u w:val="none"/>
                      <w:lang w:eastAsia="zh-CN"/>
                    </w:rPr>
                    <w:t>白河南阳盆窑断面</w:t>
                  </w:r>
                </w:p>
              </w:tc>
              <w:tc>
                <w:tcPr>
                  <w:tcW w:w="1173"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现状值</w:t>
                  </w:r>
                </w:p>
              </w:tc>
              <w:tc>
                <w:tcPr>
                  <w:tcW w:w="1608"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2.9</w:t>
                  </w:r>
                </w:p>
              </w:tc>
              <w:tc>
                <w:tcPr>
                  <w:tcW w:w="975" w:type="dxa"/>
                  <w:noWrap w:val="0"/>
                  <w:vAlign w:val="center"/>
                </w:tcPr>
                <w:p>
                  <w:pPr>
                    <w:spacing w:before="0" w:after="0" w:line="240" w:lineRule="auto"/>
                    <w:jc w:val="center"/>
                    <w:rPr>
                      <w:rFonts w:hint="default" w:cs="Times New Roman"/>
                      <w:sz w:val="21"/>
                      <w:szCs w:val="21"/>
                      <w:u w:val="none"/>
                      <w:lang w:val="en-US" w:eastAsia="zh-CN"/>
                    </w:rPr>
                  </w:pPr>
                  <w:r>
                    <w:rPr>
                      <w:rFonts w:hint="eastAsia" w:cs="Times New Roman"/>
                      <w:sz w:val="21"/>
                      <w:szCs w:val="21"/>
                      <w:u w:val="none"/>
                      <w:lang w:val="en-US" w:eastAsia="zh-CN"/>
                    </w:rPr>
                    <w:t>12.1</w:t>
                  </w:r>
                </w:p>
              </w:tc>
              <w:tc>
                <w:tcPr>
                  <w:tcW w:w="960"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2.2</w:t>
                  </w:r>
                </w:p>
              </w:tc>
              <w:tc>
                <w:tcPr>
                  <w:tcW w:w="1003"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0.0</w:t>
                  </w:r>
                  <w:r>
                    <w:rPr>
                      <w:rFonts w:hint="eastAsia" w:cs="Times New Roman"/>
                      <w:sz w:val="21"/>
                      <w:szCs w:val="21"/>
                      <w:u w:val="none"/>
                      <w:lang w:val="en-US" w:eastAsia="zh-CN"/>
                    </w:rPr>
                    <w:t>3</w:t>
                  </w:r>
                </w:p>
              </w:tc>
              <w:tc>
                <w:tcPr>
                  <w:tcW w:w="973"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lang w:val="en-US" w:eastAsia="zh-CN"/>
                    </w:rPr>
                    <w:t>0.0</w:t>
                  </w:r>
                  <w:r>
                    <w:rPr>
                      <w:rFonts w:hint="eastAsia" w:cs="Times New Roman"/>
                      <w:sz w:val="21"/>
                      <w:szCs w:val="21"/>
                      <w:u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607" w:type="dxa"/>
                  <w:vMerge w:val="continue"/>
                  <w:noWrap w:val="0"/>
                  <w:vAlign w:val="center"/>
                </w:tcPr>
                <w:p>
                  <w:pPr>
                    <w:spacing w:before="0" w:after="0" w:line="240" w:lineRule="auto"/>
                    <w:jc w:val="center"/>
                    <w:rPr>
                      <w:rFonts w:hint="default" w:ascii="Times New Roman" w:hAnsi="Times New Roman" w:cs="Times New Roman"/>
                      <w:sz w:val="21"/>
                      <w:szCs w:val="21"/>
                      <w:u w:val="none"/>
                    </w:rPr>
                  </w:pPr>
                </w:p>
              </w:tc>
              <w:tc>
                <w:tcPr>
                  <w:tcW w:w="1173"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标准值</w:t>
                  </w:r>
                </w:p>
              </w:tc>
              <w:tc>
                <w:tcPr>
                  <w:tcW w:w="1608" w:type="dxa"/>
                  <w:noWrap w:val="0"/>
                  <w:vAlign w:val="center"/>
                </w:tcPr>
                <w:p>
                  <w:pPr>
                    <w:spacing w:before="0" w:after="0" w:line="240" w:lineRule="auto"/>
                    <w:jc w:val="center"/>
                    <w:rPr>
                      <w:rFonts w:hint="eastAsia" w:ascii="Times New Roman" w:hAnsi="Times New Roman" w:eastAsia="宋体" w:cs="Times New Roman"/>
                      <w:sz w:val="21"/>
                      <w:szCs w:val="21"/>
                      <w:u w:val="none"/>
                      <w:lang w:eastAsia="zh-CN"/>
                    </w:rPr>
                  </w:pPr>
                  <w:r>
                    <w:rPr>
                      <w:rFonts w:hint="eastAsia" w:cs="Times New Roman"/>
                      <w:sz w:val="21"/>
                      <w:szCs w:val="21"/>
                      <w:u w:val="none"/>
                      <w:lang w:val="en-US" w:eastAsia="zh-CN"/>
                    </w:rPr>
                    <w:t>4</w:t>
                  </w:r>
                </w:p>
              </w:tc>
              <w:tc>
                <w:tcPr>
                  <w:tcW w:w="975" w:type="dxa"/>
                  <w:noWrap w:val="0"/>
                  <w:vAlign w:val="center"/>
                </w:tcPr>
                <w:p>
                  <w:pPr>
                    <w:spacing w:before="0" w:after="0"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15</w:t>
                  </w:r>
                </w:p>
              </w:tc>
              <w:tc>
                <w:tcPr>
                  <w:tcW w:w="960" w:type="dxa"/>
                  <w:noWrap w:val="0"/>
                  <w:vAlign w:val="center"/>
                </w:tcPr>
                <w:p>
                  <w:pPr>
                    <w:spacing w:before="0" w:after="0" w:line="240" w:lineRule="auto"/>
                    <w:jc w:val="center"/>
                    <w:rPr>
                      <w:rFonts w:hint="eastAsia" w:ascii="Times New Roman" w:hAnsi="Times New Roman" w:eastAsia="宋体" w:cs="Times New Roman"/>
                      <w:sz w:val="21"/>
                      <w:szCs w:val="21"/>
                      <w:u w:val="none"/>
                      <w:lang w:eastAsia="zh-CN"/>
                    </w:rPr>
                  </w:pPr>
                  <w:r>
                    <w:rPr>
                      <w:rFonts w:hint="eastAsia" w:cs="Times New Roman"/>
                      <w:sz w:val="21"/>
                      <w:szCs w:val="21"/>
                      <w:u w:val="none"/>
                      <w:lang w:val="en-US" w:eastAsia="zh-CN"/>
                    </w:rPr>
                    <w:t>3</w:t>
                  </w:r>
                </w:p>
              </w:tc>
              <w:tc>
                <w:tcPr>
                  <w:tcW w:w="1003"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0.5</w:t>
                  </w:r>
                </w:p>
              </w:tc>
              <w:tc>
                <w:tcPr>
                  <w:tcW w:w="973" w:type="dxa"/>
                  <w:noWrap w:val="0"/>
                  <w:vAlign w:val="center"/>
                </w:tcPr>
                <w:p>
                  <w:pPr>
                    <w:spacing w:before="0" w:after="0"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 w:hRule="atLeast"/>
                <w:jc w:val="center"/>
              </w:trPr>
              <w:tc>
                <w:tcPr>
                  <w:tcW w:w="1607" w:type="dxa"/>
                  <w:vMerge w:val="continue"/>
                  <w:noWrap w:val="0"/>
                  <w:vAlign w:val="center"/>
                </w:tcPr>
                <w:p>
                  <w:pPr>
                    <w:spacing w:before="0" w:after="0" w:line="240" w:lineRule="auto"/>
                    <w:jc w:val="center"/>
                    <w:rPr>
                      <w:rFonts w:hint="default" w:ascii="Times New Roman" w:hAnsi="Times New Roman" w:cs="Times New Roman"/>
                      <w:sz w:val="21"/>
                      <w:szCs w:val="21"/>
                      <w:u w:val="none"/>
                    </w:rPr>
                  </w:pPr>
                </w:p>
              </w:tc>
              <w:tc>
                <w:tcPr>
                  <w:tcW w:w="1173"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达标情况</w:t>
                  </w:r>
                </w:p>
              </w:tc>
              <w:tc>
                <w:tcPr>
                  <w:tcW w:w="1608"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w:t>
                  </w:r>
                </w:p>
              </w:tc>
              <w:tc>
                <w:tcPr>
                  <w:tcW w:w="975"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w:t>
                  </w:r>
                </w:p>
              </w:tc>
              <w:tc>
                <w:tcPr>
                  <w:tcW w:w="960"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w:t>
                  </w:r>
                </w:p>
              </w:tc>
              <w:tc>
                <w:tcPr>
                  <w:tcW w:w="1003"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w:t>
                  </w:r>
                </w:p>
              </w:tc>
              <w:tc>
                <w:tcPr>
                  <w:tcW w:w="973" w:type="dxa"/>
                  <w:noWrap w:val="0"/>
                  <w:vAlign w:val="center"/>
                </w:tcPr>
                <w:p>
                  <w:pPr>
                    <w:spacing w:before="0" w:after="0"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达标</w:t>
                  </w:r>
                </w:p>
              </w:tc>
            </w:tr>
          </w:tbl>
          <w:p>
            <w:pPr>
              <w:spacing w:line="520" w:lineRule="exact"/>
              <w:ind w:firstLine="480" w:firstLineChars="200"/>
              <w:rPr>
                <w:rFonts w:ascii="Times New Roman" w:hAnsi="Times New Roman" w:cs="Times New Roman"/>
                <w:b w:val="0"/>
                <w:bCs w:val="0"/>
                <w:sz w:val="24"/>
                <w:szCs w:val="24"/>
                <w:u w:val="none"/>
                <w:lang w:eastAsia="zh-CN"/>
              </w:rPr>
            </w:pPr>
            <w:r>
              <w:rPr>
                <w:rFonts w:hint="eastAsia" w:ascii="Times New Roman" w:hAnsi="Times New Roman" w:cs="Times New Roman"/>
                <w:sz w:val="24"/>
                <w:szCs w:val="24"/>
                <w:u w:val="none"/>
                <w:lang w:eastAsia="zh-CN"/>
              </w:rPr>
              <w:t>根据监测数据，</w:t>
            </w:r>
            <w:r>
              <w:rPr>
                <w:rFonts w:hint="default" w:ascii="Times New Roman" w:hAnsi="Times New Roman" w:cs="Times New Roman"/>
                <w:sz w:val="24"/>
                <w:szCs w:val="24"/>
                <w:u w:val="none"/>
              </w:rPr>
              <w:t>监测因子均能满足《地表水环境质量标准》（GB3838-2002）</w:t>
            </w:r>
            <w:r>
              <w:rPr>
                <w:rFonts w:hint="eastAsia" w:cs="Times New Roman"/>
                <w:sz w:val="24"/>
                <w:szCs w:val="24"/>
                <w:u w:val="none"/>
                <w:lang w:val="en-US" w:eastAsia="zh-CN"/>
              </w:rPr>
              <w:t>II</w:t>
            </w:r>
            <w:r>
              <w:rPr>
                <w:rFonts w:hint="default" w:ascii="Times New Roman" w:hAnsi="Times New Roman" w:cs="Times New Roman"/>
                <w:sz w:val="24"/>
                <w:szCs w:val="24"/>
                <w:u w:val="none"/>
              </w:rPr>
              <w:t>类标准要求，</w:t>
            </w:r>
            <w:r>
              <w:rPr>
                <w:rFonts w:hint="eastAsia" w:ascii="Times New Roman" w:hAnsi="Times New Roman" w:cs="Times New Roman"/>
                <w:sz w:val="24"/>
                <w:szCs w:val="24"/>
                <w:u w:val="none"/>
                <w:lang w:eastAsia="zh-CN"/>
              </w:rPr>
              <w:t>现状水质达标</w:t>
            </w:r>
            <w:r>
              <w:rPr>
                <w:rFonts w:hint="default" w:ascii="Times New Roman" w:hAnsi="Times New Roman" w:cs="Times New Roman"/>
                <w:sz w:val="24"/>
                <w:szCs w:val="24"/>
                <w:u w:val="none"/>
              </w:rPr>
              <w:t>。</w:t>
            </w:r>
          </w:p>
          <w:p>
            <w:pPr>
              <w:spacing w:line="520" w:lineRule="exact"/>
              <w:jc w:val="left"/>
              <w:rPr>
                <w:rFonts w:hint="eastAsia" w:ascii="Times New Roman" w:hAnsi="Times New Roman" w:cs="Times New Roman"/>
                <w:b/>
                <w:bCs w:val="0"/>
                <w:color w:val="FF0000"/>
                <w:sz w:val="24"/>
                <w:lang w:val="en-US" w:eastAsia="zh-CN"/>
              </w:rPr>
            </w:pPr>
            <w:r>
              <w:rPr>
                <w:rFonts w:hint="default" w:ascii="Times New Roman" w:hAnsi="Times New Roman" w:cs="Times New Roman"/>
                <w:b/>
                <w:bCs w:val="0"/>
                <w:color w:val="auto"/>
                <w:sz w:val="24"/>
                <w:lang w:val="en-US" w:eastAsia="zh-CN"/>
              </w:rPr>
              <w:t>3、</w:t>
            </w:r>
            <w:r>
              <w:rPr>
                <w:rFonts w:hint="eastAsia" w:ascii="Times New Roman" w:hAnsi="Times New Roman" w:cs="Times New Roman"/>
                <w:b/>
                <w:bCs w:val="0"/>
                <w:color w:val="auto"/>
                <w:sz w:val="24"/>
                <w:lang w:val="en-US" w:eastAsia="zh-CN"/>
              </w:rPr>
              <w:t>声环境质量现状</w:t>
            </w:r>
          </w:p>
          <w:p>
            <w:pPr>
              <w:spacing w:line="520" w:lineRule="exact"/>
              <w:ind w:firstLine="480" w:firstLineChars="200"/>
              <w:rPr>
                <w:rFonts w:hint="eastAsia" w:ascii="宋体" w:hAnsi="宋体" w:eastAsia="宋体" w:cs="宋体"/>
                <w:sz w:val="24"/>
                <w:szCs w:val="24"/>
                <w:lang w:val="en-US" w:eastAsia="zh-CN"/>
              </w:rPr>
            </w:pPr>
            <w:r>
              <w:rPr>
                <w:rFonts w:hint="default" w:ascii="Times New Roman" w:hAnsi="Times New Roman" w:eastAsia="宋体" w:cs="Times New Roman"/>
                <w:color w:val="auto"/>
                <w:sz w:val="24"/>
                <w:szCs w:val="24"/>
                <w:lang w:val="en-US" w:eastAsia="zh-CN"/>
              </w:rPr>
              <w:t>项目厂界外50m范围内无声环境敏感点，根据《建设项目环境影响报告表编制技术指南•污染影响类（试行）》，无需声环境质量现状监测</w:t>
            </w:r>
            <w:r>
              <w:rPr>
                <w:rFonts w:hint="eastAsia" w:ascii="Times New Roman" w:hAnsi="Times New Roman" w:eastAsia="宋体" w:cs="Times New Roman"/>
                <w:sz w:val="24"/>
                <w:szCs w:val="24"/>
                <w:lang w:val="en-US" w:eastAsia="zh-CN"/>
              </w:rPr>
              <w:t>。</w:t>
            </w:r>
          </w:p>
          <w:p>
            <w:pPr>
              <w:spacing w:line="520" w:lineRule="exact"/>
              <w:jc w:val="left"/>
              <w:rPr>
                <w:rFonts w:hint="default"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4</w:t>
            </w:r>
            <w:r>
              <w:rPr>
                <w:rFonts w:hint="default" w:ascii="Times New Roman" w:hAnsi="Times New Roman" w:eastAsia="宋体" w:cs="Times New Roman"/>
                <w:b/>
                <w:bCs w:val="0"/>
                <w:color w:val="auto"/>
                <w:sz w:val="24"/>
                <w:lang w:val="en-US" w:eastAsia="zh-CN"/>
              </w:rPr>
              <w:t>、地下水</w:t>
            </w:r>
            <w:r>
              <w:rPr>
                <w:rFonts w:hint="eastAsia" w:ascii="Times New Roman" w:hAnsi="Times New Roman" w:eastAsia="宋体" w:cs="Times New Roman"/>
                <w:b/>
                <w:bCs w:val="0"/>
                <w:color w:val="auto"/>
                <w:sz w:val="24"/>
                <w:lang w:val="en-US" w:eastAsia="zh-CN"/>
              </w:rPr>
              <w:t>和土壤</w:t>
            </w:r>
            <w:r>
              <w:rPr>
                <w:rFonts w:hint="default" w:ascii="Times New Roman" w:hAnsi="Times New Roman" w:eastAsia="宋体" w:cs="Times New Roman"/>
                <w:b/>
                <w:bCs w:val="0"/>
                <w:color w:val="auto"/>
                <w:sz w:val="24"/>
                <w:lang w:val="en-US" w:eastAsia="zh-CN"/>
              </w:rPr>
              <w:t>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Chars="0" w:firstLine="480" w:firstLineChars="200"/>
              <w:textAlignment w:val="auto"/>
              <w:rPr>
                <w:rFonts w:hint="eastAsia" w:cs="Times New Roman"/>
                <w:sz w:val="24"/>
                <w:szCs w:val="24"/>
                <w:lang w:val="en-US" w:eastAsia="zh-CN"/>
              </w:rPr>
            </w:pPr>
            <w:r>
              <w:rPr>
                <w:rFonts w:hint="eastAsia" w:ascii="Times New Roman" w:hAnsi="Times New Roman" w:cs="Times New Roman"/>
                <w:sz w:val="24"/>
                <w:szCs w:val="24"/>
                <w:lang w:eastAsia="zh-CN"/>
              </w:rPr>
              <w:t>本项目租赁现有生产车间进行建设，目前</w:t>
            </w:r>
            <w:r>
              <w:rPr>
                <w:rFonts w:hint="default" w:ascii="Times New Roman" w:hAnsi="Times New Roman" w:cs="Times New Roman"/>
                <w:sz w:val="24"/>
                <w:szCs w:val="24"/>
              </w:rPr>
              <w:t>厂区地面均采取硬化防渗处理，不存在土壤、地下水环境污染途径，根据《建设项目环境影响报告表编制技术指南》（污染影响类）（试行），原则上不开展环境质量现状调查，本项目</w:t>
            </w:r>
            <w:r>
              <w:rPr>
                <w:rFonts w:hint="eastAsia" w:ascii="Times New Roman" w:hAnsi="Times New Roman" w:cs="Times New Roman"/>
                <w:sz w:val="24"/>
                <w:szCs w:val="24"/>
                <w:lang w:eastAsia="zh-CN"/>
              </w:rPr>
              <w:t>生产车间已</w:t>
            </w:r>
            <w:r>
              <w:rPr>
                <w:rFonts w:hint="default" w:ascii="Times New Roman" w:hAnsi="Times New Roman" w:cs="Times New Roman"/>
                <w:sz w:val="24"/>
                <w:szCs w:val="24"/>
              </w:rPr>
              <w:t>进行水泥硬底化，无表露土壤，且使用原料中不含重金属和难降解有机物，不会对周边地下水、土壤造成严重影响，因此本项目不开展地下水、土壤环境质量现状调查</w:t>
            </w:r>
            <w:r>
              <w:rPr>
                <w:rFonts w:hint="eastAsia" w:cs="Times New Roman"/>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Chars="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生态环境质量现状</w:t>
            </w:r>
          </w:p>
          <w:p>
            <w:pPr>
              <w:spacing w:line="520" w:lineRule="exact"/>
              <w:ind w:firstLine="480" w:firstLineChars="200"/>
              <w:jc w:val="left"/>
              <w:rPr>
                <w:rFonts w:hint="default"/>
                <w:lang w:val="en-US"/>
              </w:rPr>
            </w:pPr>
            <w:r>
              <w:rPr>
                <w:rFonts w:hint="default" w:ascii="Times New Roman" w:hAnsi="Times New Roman" w:eastAsia="宋体" w:cs="Times New Roman"/>
                <w:b w:val="0"/>
                <w:bCs/>
                <w:color w:val="auto"/>
                <w:sz w:val="24"/>
                <w:szCs w:val="24"/>
                <w:highlight w:val="none"/>
                <w:u w:val="none"/>
                <w:lang w:eastAsia="zh-CN"/>
              </w:rPr>
              <w:t>经调查，项目区域内无珍稀濒危等需要特殊保护的动植物，无生态环境保护目标</w:t>
            </w:r>
            <w:r>
              <w:rPr>
                <w:rFonts w:hint="eastAsia" w:cs="Times New Roman"/>
                <w:b w:val="0"/>
                <w:bCs/>
                <w:color w:val="auto"/>
                <w:sz w:val="24"/>
                <w:szCs w:val="24"/>
                <w:highlight w:val="none"/>
                <w:u w:val="none"/>
                <w:lang w:eastAsia="zh-CN"/>
              </w:rPr>
              <w:t>，无文物古迹等</w:t>
            </w:r>
            <w:r>
              <w:rPr>
                <w:rFonts w:hint="default" w:ascii="Times New Roman" w:hAnsi="Times New Roman" w:eastAsia="宋体" w:cs="Times New Roman"/>
                <w:color w:val="auto"/>
                <w:sz w:val="24"/>
                <w:szCs w:val="22"/>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994" w:hRule="atLeast"/>
          <w:jc w:val="center"/>
        </w:trPr>
        <w:tc>
          <w:tcPr>
            <w:tcW w:w="800" w:type="dxa"/>
            <w:noWrap w:val="0"/>
            <w:vAlign w:val="center"/>
          </w:tcPr>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环</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境</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保</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护</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目</w:t>
            </w:r>
          </w:p>
          <w:p>
            <w:pPr>
              <w:spacing w:line="240" w:lineRule="auto"/>
              <w:jc w:val="center"/>
              <w:rPr>
                <w:rFonts w:hint="eastAsia" w:ascii="宋体" w:hAnsi="宋体" w:cs="宋体"/>
                <w:kern w:val="0"/>
                <w:szCs w:val="21"/>
              </w:rPr>
            </w:pPr>
            <w:r>
              <w:rPr>
                <w:rFonts w:hint="eastAsia" w:ascii="Cambria" w:hAnsi="Cambria" w:eastAsia="宋体" w:cs="Times New Roman"/>
                <w:b/>
                <w:sz w:val="28"/>
                <w:lang w:val="en-US" w:eastAsia="zh-CN"/>
              </w:rPr>
              <w:t>标</w:t>
            </w:r>
          </w:p>
        </w:tc>
        <w:tc>
          <w:tcPr>
            <w:tcW w:w="8528" w:type="dxa"/>
            <w:noWrap w:val="0"/>
            <w:vAlign w:val="center"/>
          </w:tcPr>
          <w:p>
            <w:pPr>
              <w:adjustRightInd w:val="0"/>
              <w:snapToGrid w:val="0"/>
              <w:spacing w:before="156" w:beforeLines="50" w:line="240" w:lineRule="auto"/>
              <w:rPr>
                <w:color w:val="auto"/>
                <w:sz w:val="24"/>
                <w:szCs w:val="24"/>
              </w:rPr>
            </w:pPr>
            <w:r>
              <w:rPr>
                <w:color w:val="auto"/>
                <w:sz w:val="24"/>
                <w:szCs w:val="24"/>
              </w:rPr>
              <w:t>主要环境保护目标</w:t>
            </w:r>
            <w:r>
              <w:rPr>
                <w:rFonts w:hint="eastAsia"/>
                <w:color w:val="auto"/>
                <w:sz w:val="24"/>
                <w:szCs w:val="24"/>
                <w:lang w:eastAsia="zh-CN"/>
              </w:rPr>
              <w:t>（</w:t>
            </w:r>
            <w:r>
              <w:rPr>
                <w:color w:val="auto"/>
                <w:sz w:val="24"/>
                <w:szCs w:val="24"/>
              </w:rPr>
              <w:t>列出名单及保护级别</w:t>
            </w:r>
            <w:r>
              <w:rPr>
                <w:rFonts w:hint="eastAsia"/>
                <w:color w:val="auto"/>
                <w:sz w:val="24"/>
                <w:szCs w:val="24"/>
                <w:lang w:eastAsia="zh-CN"/>
              </w:rPr>
              <w:t>）</w:t>
            </w:r>
            <w:r>
              <w:rPr>
                <w:color w:val="auto"/>
                <w:sz w:val="24"/>
                <w:szCs w:val="24"/>
              </w:rPr>
              <w:t>：</w:t>
            </w:r>
          </w:p>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表3-3  主要环境保护目标</w:t>
            </w:r>
          </w:p>
          <w:tbl>
            <w:tblPr>
              <w:tblStyle w:val="26"/>
              <w:tblW w:w="830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2585"/>
              <w:gridCol w:w="912"/>
              <w:gridCol w:w="767"/>
              <w:gridCol w:w="2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noWrap w:val="0"/>
                  <w:vAlign w:val="center"/>
                </w:tcPr>
                <w:p>
                  <w:pPr>
                    <w:spacing w:line="240" w:lineRule="auto"/>
                    <w:jc w:val="center"/>
                    <w:rPr>
                      <w:b/>
                      <w:bCs w:val="0"/>
                      <w:szCs w:val="21"/>
                    </w:rPr>
                  </w:pPr>
                  <w:r>
                    <w:rPr>
                      <w:b/>
                      <w:bCs w:val="0"/>
                      <w:szCs w:val="21"/>
                    </w:rPr>
                    <w:t>环境要素</w:t>
                  </w:r>
                </w:p>
              </w:tc>
              <w:tc>
                <w:tcPr>
                  <w:tcW w:w="2585" w:type="dxa"/>
                  <w:noWrap w:val="0"/>
                  <w:vAlign w:val="center"/>
                </w:tcPr>
                <w:p>
                  <w:pPr>
                    <w:spacing w:line="240" w:lineRule="auto"/>
                    <w:jc w:val="center"/>
                    <w:rPr>
                      <w:b/>
                      <w:bCs w:val="0"/>
                      <w:szCs w:val="21"/>
                    </w:rPr>
                  </w:pPr>
                  <w:r>
                    <w:rPr>
                      <w:b/>
                      <w:bCs w:val="0"/>
                      <w:szCs w:val="21"/>
                    </w:rPr>
                    <w:t>保护目标</w:t>
                  </w:r>
                </w:p>
              </w:tc>
              <w:tc>
                <w:tcPr>
                  <w:tcW w:w="912" w:type="dxa"/>
                  <w:noWrap w:val="0"/>
                  <w:vAlign w:val="center"/>
                </w:tcPr>
                <w:p>
                  <w:pPr>
                    <w:spacing w:line="240" w:lineRule="auto"/>
                    <w:jc w:val="center"/>
                    <w:rPr>
                      <w:rFonts w:hint="default" w:eastAsia="宋体"/>
                      <w:b/>
                      <w:bCs w:val="0"/>
                      <w:szCs w:val="21"/>
                      <w:lang w:val="en-US" w:eastAsia="zh-CN"/>
                    </w:rPr>
                  </w:pPr>
                  <w:r>
                    <w:rPr>
                      <w:b/>
                      <w:bCs w:val="0"/>
                      <w:szCs w:val="21"/>
                    </w:rPr>
                    <w:t>距离</w:t>
                  </w:r>
                  <w:r>
                    <w:rPr>
                      <w:rFonts w:hint="eastAsia"/>
                      <w:b/>
                      <w:bCs w:val="0"/>
                      <w:szCs w:val="21"/>
                      <w:lang w:val="en-US" w:eastAsia="zh-CN"/>
                    </w:rPr>
                    <w:t>/m</w:t>
                  </w:r>
                </w:p>
              </w:tc>
              <w:tc>
                <w:tcPr>
                  <w:tcW w:w="767" w:type="dxa"/>
                  <w:noWrap w:val="0"/>
                  <w:vAlign w:val="center"/>
                </w:tcPr>
                <w:p>
                  <w:pPr>
                    <w:spacing w:line="240" w:lineRule="auto"/>
                    <w:jc w:val="center"/>
                    <w:rPr>
                      <w:b/>
                      <w:bCs w:val="0"/>
                      <w:szCs w:val="21"/>
                    </w:rPr>
                  </w:pPr>
                  <w:r>
                    <w:rPr>
                      <w:b/>
                      <w:bCs w:val="0"/>
                      <w:szCs w:val="21"/>
                    </w:rPr>
                    <w:t>方位</w:t>
                  </w:r>
                </w:p>
              </w:tc>
              <w:tc>
                <w:tcPr>
                  <w:tcW w:w="2931" w:type="dxa"/>
                  <w:noWrap w:val="0"/>
                  <w:vAlign w:val="center"/>
                </w:tcPr>
                <w:p>
                  <w:pPr>
                    <w:spacing w:line="240" w:lineRule="auto"/>
                    <w:jc w:val="center"/>
                    <w:rPr>
                      <w:b/>
                      <w:bCs w:val="0"/>
                      <w:szCs w:val="21"/>
                    </w:rPr>
                  </w:pPr>
                  <w:r>
                    <w:rPr>
                      <w:b/>
                      <w:bCs w:val="0"/>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restart"/>
                  <w:noWrap w:val="0"/>
                  <w:vAlign w:val="center"/>
                </w:tcPr>
                <w:p>
                  <w:pPr>
                    <w:spacing w:line="240" w:lineRule="auto"/>
                    <w:jc w:val="center"/>
                    <w:rPr>
                      <w:bCs/>
                      <w:szCs w:val="21"/>
                    </w:rPr>
                  </w:pPr>
                  <w:r>
                    <w:rPr>
                      <w:rFonts w:hint="eastAsia"/>
                      <w:bCs/>
                      <w:szCs w:val="21"/>
                      <w:lang w:val="en-US" w:eastAsia="zh-CN"/>
                    </w:rPr>
                    <w:t>环境空气</w:t>
                  </w:r>
                  <w:r>
                    <w:rPr>
                      <w:rFonts w:hint="eastAsia"/>
                      <w:bCs/>
                      <w:szCs w:val="21"/>
                      <w:lang w:eastAsia="zh-CN"/>
                    </w:rPr>
                    <w:t>（</w:t>
                  </w:r>
                  <w:r>
                    <w:rPr>
                      <w:rFonts w:hint="eastAsia"/>
                      <w:bCs/>
                      <w:szCs w:val="21"/>
                      <w:lang w:val="en-US" w:eastAsia="zh-CN"/>
                    </w:rPr>
                    <w:t>500m范围内</w:t>
                  </w:r>
                  <w:r>
                    <w:rPr>
                      <w:rFonts w:hint="eastAsia"/>
                      <w:bCs/>
                      <w:szCs w:val="21"/>
                      <w:lang w:eastAsia="zh-CN"/>
                    </w:rPr>
                    <w:t>）</w:t>
                  </w:r>
                </w:p>
              </w:tc>
              <w:tc>
                <w:tcPr>
                  <w:tcW w:w="2585" w:type="dxa"/>
                  <w:noWrap w:val="0"/>
                  <w:vAlign w:val="center"/>
                </w:tcPr>
                <w:p>
                  <w:pPr>
                    <w:adjustRightInd w:val="0"/>
                    <w:snapToGrid w:val="0"/>
                    <w:spacing w:line="240" w:lineRule="auto"/>
                    <w:jc w:val="center"/>
                    <w:rPr>
                      <w:rFonts w:hint="eastAsia" w:eastAsia="宋体"/>
                      <w:spacing w:val="8"/>
                      <w:szCs w:val="21"/>
                      <w:lang w:val="en-US" w:eastAsia="zh-CN"/>
                    </w:rPr>
                  </w:pPr>
                  <w:r>
                    <w:rPr>
                      <w:rFonts w:hint="eastAsia" w:ascii="Times New Roman" w:hAnsi="Times New Roman"/>
                      <w:szCs w:val="21"/>
                    </w:rPr>
                    <w:t>倪家营</w:t>
                  </w:r>
                </w:p>
              </w:tc>
              <w:tc>
                <w:tcPr>
                  <w:tcW w:w="912" w:type="dxa"/>
                  <w:noWrap w:val="0"/>
                  <w:vAlign w:val="center"/>
                </w:tcPr>
                <w:p>
                  <w:pPr>
                    <w:adjustRightInd w:val="0"/>
                    <w:snapToGrid w:val="0"/>
                    <w:spacing w:line="240" w:lineRule="auto"/>
                    <w:jc w:val="center"/>
                    <w:rPr>
                      <w:rFonts w:hint="default"/>
                      <w:spacing w:val="8"/>
                      <w:szCs w:val="21"/>
                      <w:lang w:val="en-US" w:eastAsia="zh-CN"/>
                    </w:rPr>
                  </w:pPr>
                  <w:r>
                    <w:rPr>
                      <w:rFonts w:hint="eastAsia"/>
                      <w:spacing w:val="8"/>
                      <w:szCs w:val="21"/>
                      <w:lang w:val="en-US" w:eastAsia="zh-CN"/>
                    </w:rPr>
                    <w:t>455</w:t>
                  </w:r>
                </w:p>
              </w:tc>
              <w:tc>
                <w:tcPr>
                  <w:tcW w:w="767" w:type="dxa"/>
                  <w:noWrap w:val="0"/>
                  <w:vAlign w:val="center"/>
                </w:tcPr>
                <w:p>
                  <w:pPr>
                    <w:adjustRightInd w:val="0"/>
                    <w:snapToGrid w:val="0"/>
                    <w:spacing w:line="240" w:lineRule="auto"/>
                    <w:jc w:val="center"/>
                    <w:rPr>
                      <w:rFonts w:hint="default"/>
                      <w:szCs w:val="21"/>
                      <w:lang w:val="en-US" w:eastAsia="zh-CN"/>
                    </w:rPr>
                  </w:pPr>
                  <w:r>
                    <w:rPr>
                      <w:rFonts w:hint="eastAsia" w:ascii="Times New Roman" w:hAnsi="Times New Roman"/>
                      <w:szCs w:val="21"/>
                      <w:lang w:val="en-US" w:eastAsia="zh-CN"/>
                    </w:rPr>
                    <w:t>S</w:t>
                  </w:r>
                  <w:r>
                    <w:rPr>
                      <w:rFonts w:hint="eastAsia" w:ascii="Times New Roman" w:hAnsi="Times New Roman"/>
                      <w:szCs w:val="21"/>
                    </w:rPr>
                    <w:t>W</w:t>
                  </w:r>
                </w:p>
              </w:tc>
              <w:tc>
                <w:tcPr>
                  <w:tcW w:w="2931" w:type="dxa"/>
                  <w:vMerge w:val="restart"/>
                  <w:noWrap w:val="0"/>
                  <w:vAlign w:val="center"/>
                </w:tcPr>
                <w:p>
                  <w:pPr>
                    <w:tabs>
                      <w:tab w:val="left" w:pos="0"/>
                    </w:tabs>
                    <w:adjustRightInd w:val="0"/>
                    <w:snapToGrid w:val="0"/>
                    <w:spacing w:line="240" w:lineRule="auto"/>
                    <w:jc w:val="center"/>
                    <w:rPr>
                      <w:rFonts w:hint="eastAsia"/>
                      <w:szCs w:val="21"/>
                    </w:rPr>
                  </w:pPr>
                  <w:r>
                    <w:rPr>
                      <w:rFonts w:hint="eastAsia"/>
                      <w:szCs w:val="21"/>
                    </w:rPr>
                    <w:t>《环境空气质量标准》</w:t>
                  </w:r>
                </w:p>
                <w:p>
                  <w:pPr>
                    <w:tabs>
                      <w:tab w:val="left" w:pos="0"/>
                    </w:tabs>
                    <w:adjustRightInd w:val="0"/>
                    <w:snapToGrid w:val="0"/>
                    <w:spacing w:line="240" w:lineRule="auto"/>
                    <w:jc w:val="center"/>
                    <w:rPr>
                      <w:rFonts w:hint="eastAsia"/>
                      <w:szCs w:val="21"/>
                    </w:rPr>
                  </w:pPr>
                  <w:r>
                    <w:rPr>
                      <w:rFonts w:hint="eastAsia"/>
                      <w:szCs w:val="21"/>
                    </w:rPr>
                    <w:t>（GB3095-2012）二级标准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continue"/>
                  <w:noWrap w:val="0"/>
                  <w:vAlign w:val="center"/>
                </w:tcPr>
                <w:p>
                  <w:pPr>
                    <w:spacing w:line="240" w:lineRule="auto"/>
                    <w:jc w:val="center"/>
                    <w:rPr>
                      <w:bCs/>
                      <w:szCs w:val="21"/>
                    </w:rPr>
                  </w:pPr>
                </w:p>
              </w:tc>
              <w:tc>
                <w:tcPr>
                  <w:tcW w:w="2585" w:type="dxa"/>
                  <w:noWrap w:val="0"/>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赤肚杨庄</w:t>
                  </w:r>
                </w:p>
              </w:tc>
              <w:tc>
                <w:tcPr>
                  <w:tcW w:w="912" w:type="dxa"/>
                  <w:noWrap w:val="0"/>
                  <w:vAlign w:val="center"/>
                </w:tcPr>
                <w:p>
                  <w:pPr>
                    <w:adjustRightInd w:val="0"/>
                    <w:snapToGrid w:val="0"/>
                    <w:spacing w:line="240" w:lineRule="auto"/>
                    <w:jc w:val="center"/>
                    <w:rPr>
                      <w:rFonts w:hint="default"/>
                      <w:spacing w:val="8"/>
                      <w:szCs w:val="21"/>
                      <w:lang w:val="en-US" w:eastAsia="zh-CN"/>
                    </w:rPr>
                  </w:pPr>
                  <w:r>
                    <w:rPr>
                      <w:rFonts w:hint="eastAsia"/>
                      <w:spacing w:val="8"/>
                      <w:szCs w:val="21"/>
                      <w:lang w:val="en-US" w:eastAsia="zh-CN"/>
                    </w:rPr>
                    <w:t>450</w:t>
                  </w:r>
                </w:p>
              </w:tc>
              <w:tc>
                <w:tcPr>
                  <w:tcW w:w="767" w:type="dxa"/>
                  <w:noWrap w:val="0"/>
                  <w:vAlign w:val="center"/>
                </w:tcPr>
                <w:p>
                  <w:pPr>
                    <w:adjustRightInd w:val="0"/>
                    <w:snapToGrid w:val="0"/>
                    <w:spacing w:line="240" w:lineRule="auto"/>
                    <w:jc w:val="center"/>
                    <w:rPr>
                      <w:rFonts w:hint="default" w:ascii="Times New Roman" w:hAnsi="Times New Roman"/>
                      <w:szCs w:val="21"/>
                      <w:lang w:val="en-US" w:eastAsia="zh-CN"/>
                    </w:rPr>
                  </w:pPr>
                  <w:r>
                    <w:rPr>
                      <w:rFonts w:hint="eastAsia"/>
                      <w:szCs w:val="21"/>
                      <w:lang w:val="en-US" w:eastAsia="zh-CN"/>
                    </w:rPr>
                    <w:t>NW</w:t>
                  </w:r>
                </w:p>
              </w:tc>
              <w:tc>
                <w:tcPr>
                  <w:tcW w:w="2931" w:type="dxa"/>
                  <w:vMerge w:val="continue"/>
                  <w:noWrap w:val="0"/>
                  <w:vAlign w:val="center"/>
                </w:tcPr>
                <w:p>
                  <w:pPr>
                    <w:tabs>
                      <w:tab w:val="left" w:pos="0"/>
                    </w:tabs>
                    <w:adjustRightInd w:val="0"/>
                    <w:snapToGrid w:val="0"/>
                    <w:spacing w:line="240" w:lineRule="auto"/>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continue"/>
                  <w:noWrap w:val="0"/>
                  <w:vAlign w:val="center"/>
                </w:tcPr>
                <w:p>
                  <w:pPr>
                    <w:spacing w:line="240" w:lineRule="auto"/>
                    <w:jc w:val="center"/>
                    <w:rPr>
                      <w:bCs/>
                      <w:szCs w:val="21"/>
                    </w:rPr>
                  </w:pPr>
                </w:p>
              </w:tc>
              <w:tc>
                <w:tcPr>
                  <w:tcW w:w="2585" w:type="dxa"/>
                  <w:noWrap w:val="0"/>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田营村</w:t>
                  </w:r>
                </w:p>
              </w:tc>
              <w:tc>
                <w:tcPr>
                  <w:tcW w:w="912" w:type="dxa"/>
                  <w:noWrap w:val="0"/>
                  <w:vAlign w:val="center"/>
                </w:tcPr>
                <w:p>
                  <w:pPr>
                    <w:adjustRightInd w:val="0"/>
                    <w:snapToGrid w:val="0"/>
                    <w:spacing w:line="240" w:lineRule="auto"/>
                    <w:jc w:val="center"/>
                    <w:rPr>
                      <w:rFonts w:hint="default"/>
                      <w:spacing w:val="8"/>
                      <w:szCs w:val="21"/>
                      <w:lang w:val="en-US" w:eastAsia="zh-CN"/>
                    </w:rPr>
                  </w:pPr>
                  <w:r>
                    <w:rPr>
                      <w:rFonts w:hint="eastAsia"/>
                      <w:spacing w:val="8"/>
                      <w:szCs w:val="21"/>
                      <w:lang w:val="en-US" w:eastAsia="zh-CN"/>
                    </w:rPr>
                    <w:t>458</w:t>
                  </w:r>
                </w:p>
              </w:tc>
              <w:tc>
                <w:tcPr>
                  <w:tcW w:w="767" w:type="dxa"/>
                  <w:noWrap w:val="0"/>
                  <w:vAlign w:val="center"/>
                </w:tcPr>
                <w:p>
                  <w:pPr>
                    <w:adjustRightInd w:val="0"/>
                    <w:snapToGrid w:val="0"/>
                    <w:spacing w:line="240" w:lineRule="auto"/>
                    <w:jc w:val="center"/>
                    <w:rPr>
                      <w:rFonts w:hint="default" w:ascii="Times New Roman" w:hAnsi="Times New Roman"/>
                      <w:szCs w:val="21"/>
                      <w:lang w:val="en-US" w:eastAsia="zh-CN"/>
                    </w:rPr>
                  </w:pPr>
                  <w:r>
                    <w:rPr>
                      <w:rFonts w:hint="eastAsia"/>
                      <w:szCs w:val="21"/>
                      <w:lang w:val="en-US" w:eastAsia="zh-CN"/>
                    </w:rPr>
                    <w:t>WE</w:t>
                  </w:r>
                </w:p>
              </w:tc>
              <w:tc>
                <w:tcPr>
                  <w:tcW w:w="2931" w:type="dxa"/>
                  <w:vMerge w:val="continue"/>
                  <w:noWrap w:val="0"/>
                  <w:vAlign w:val="center"/>
                </w:tcPr>
                <w:p>
                  <w:pPr>
                    <w:tabs>
                      <w:tab w:val="left" w:pos="0"/>
                    </w:tabs>
                    <w:adjustRightInd w:val="0"/>
                    <w:snapToGrid w:val="0"/>
                    <w:spacing w:line="240" w:lineRule="auto"/>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noWrap w:val="0"/>
                  <w:vAlign w:val="center"/>
                </w:tcPr>
                <w:p>
                  <w:pPr>
                    <w:spacing w:line="240" w:lineRule="auto"/>
                    <w:jc w:val="center"/>
                    <w:rPr>
                      <w:rFonts w:hint="eastAsia"/>
                      <w:bCs/>
                      <w:szCs w:val="21"/>
                      <w:lang w:val="en-US" w:eastAsia="zh-CN"/>
                    </w:rPr>
                  </w:pPr>
                  <w:r>
                    <w:rPr>
                      <w:rFonts w:hint="eastAsia"/>
                      <w:bCs/>
                      <w:szCs w:val="21"/>
                      <w:lang w:val="en-US" w:eastAsia="zh-CN"/>
                    </w:rPr>
                    <w:t>噪声</w:t>
                  </w:r>
                </w:p>
              </w:tc>
              <w:tc>
                <w:tcPr>
                  <w:tcW w:w="7195" w:type="dxa"/>
                  <w:gridSpan w:val="4"/>
                  <w:noWrap w:val="0"/>
                  <w:vAlign w:val="center"/>
                </w:tcPr>
                <w:p>
                  <w:pPr>
                    <w:tabs>
                      <w:tab w:val="left" w:pos="0"/>
                    </w:tabs>
                    <w:adjustRightInd w:val="0"/>
                    <w:snapToGrid w:val="0"/>
                    <w:spacing w:line="240" w:lineRule="auto"/>
                    <w:jc w:val="center"/>
                    <w:rPr>
                      <w:rFonts w:hint="eastAsia"/>
                      <w:szCs w:val="21"/>
                    </w:rPr>
                  </w:pPr>
                  <w:r>
                    <w:rPr>
                      <w:rFonts w:hint="eastAsia"/>
                    </w:rPr>
                    <w:t>厂界外50米范围内无声环境保护目标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restart"/>
                  <w:noWrap w:val="0"/>
                  <w:vAlign w:val="center"/>
                </w:tcPr>
                <w:p>
                  <w:pPr>
                    <w:spacing w:line="240" w:lineRule="auto"/>
                    <w:jc w:val="center"/>
                    <w:rPr>
                      <w:rFonts w:hint="default" w:eastAsia="宋体"/>
                      <w:bCs/>
                      <w:szCs w:val="21"/>
                      <w:lang w:val="en-US" w:eastAsia="zh-CN"/>
                    </w:rPr>
                  </w:pPr>
                  <w:r>
                    <w:rPr>
                      <w:rFonts w:hint="eastAsia"/>
                      <w:bCs/>
                      <w:szCs w:val="21"/>
                      <w:lang w:val="en-US" w:eastAsia="zh-CN"/>
                    </w:rPr>
                    <w:t>地表水</w:t>
                  </w:r>
                </w:p>
              </w:tc>
              <w:tc>
                <w:tcPr>
                  <w:tcW w:w="2585" w:type="dxa"/>
                  <w:noWrap w:val="0"/>
                  <w:vAlign w:val="center"/>
                </w:tcPr>
                <w:p>
                  <w:pPr>
                    <w:adjustRightInd w:val="0"/>
                    <w:snapToGrid w:val="0"/>
                    <w:spacing w:line="240" w:lineRule="auto"/>
                    <w:jc w:val="center"/>
                    <w:rPr>
                      <w:rFonts w:hint="eastAsia"/>
                      <w:spacing w:val="8"/>
                      <w:szCs w:val="21"/>
                      <w:u w:val="none"/>
                      <w:lang w:val="en-US" w:eastAsia="zh-CN"/>
                    </w:rPr>
                  </w:pPr>
                  <w:r>
                    <w:rPr>
                      <w:rFonts w:hint="eastAsia" w:ascii="Times New Roman" w:hAnsi="Times New Roman"/>
                      <w:szCs w:val="21"/>
                      <w:u w:val="none"/>
                    </w:rPr>
                    <w:t>泗水河及其支流</w:t>
                  </w:r>
                </w:p>
              </w:tc>
              <w:tc>
                <w:tcPr>
                  <w:tcW w:w="912" w:type="dxa"/>
                  <w:noWrap w:val="0"/>
                  <w:vAlign w:val="center"/>
                </w:tcPr>
                <w:p>
                  <w:pPr>
                    <w:adjustRightInd w:val="0"/>
                    <w:snapToGrid w:val="0"/>
                    <w:spacing w:line="240" w:lineRule="auto"/>
                    <w:jc w:val="center"/>
                    <w:rPr>
                      <w:rFonts w:hint="default"/>
                      <w:spacing w:val="8"/>
                      <w:szCs w:val="21"/>
                      <w:u w:val="none"/>
                      <w:lang w:val="en-US" w:eastAsia="zh-CN"/>
                    </w:rPr>
                  </w:pPr>
                  <w:r>
                    <w:rPr>
                      <w:rFonts w:hint="eastAsia"/>
                      <w:spacing w:val="8"/>
                      <w:szCs w:val="21"/>
                      <w:u w:val="none"/>
                      <w:lang w:val="en-US" w:eastAsia="zh-CN"/>
                    </w:rPr>
                    <w:t>770</w:t>
                  </w:r>
                </w:p>
              </w:tc>
              <w:tc>
                <w:tcPr>
                  <w:tcW w:w="767" w:type="dxa"/>
                  <w:noWrap w:val="0"/>
                  <w:vAlign w:val="center"/>
                </w:tcPr>
                <w:p>
                  <w:pPr>
                    <w:adjustRightInd w:val="0"/>
                    <w:snapToGrid w:val="0"/>
                    <w:spacing w:line="240" w:lineRule="auto"/>
                    <w:jc w:val="center"/>
                    <w:rPr>
                      <w:rFonts w:hint="eastAsia"/>
                      <w:szCs w:val="21"/>
                      <w:u w:val="none"/>
                      <w:lang w:val="en-US" w:eastAsia="zh-CN"/>
                    </w:rPr>
                  </w:pPr>
                  <w:r>
                    <w:rPr>
                      <w:rFonts w:hint="eastAsia" w:ascii="Times New Roman" w:hAnsi="Times New Roman"/>
                      <w:szCs w:val="21"/>
                      <w:u w:val="none"/>
                    </w:rPr>
                    <w:t>N</w:t>
                  </w:r>
                </w:p>
              </w:tc>
              <w:tc>
                <w:tcPr>
                  <w:tcW w:w="2931" w:type="dxa"/>
                  <w:vMerge w:val="restart"/>
                  <w:noWrap w:val="0"/>
                  <w:vAlign w:val="center"/>
                </w:tcPr>
                <w:p>
                  <w:pPr>
                    <w:tabs>
                      <w:tab w:val="left" w:pos="0"/>
                    </w:tabs>
                    <w:adjustRightInd w:val="0"/>
                    <w:snapToGrid w:val="0"/>
                    <w:spacing w:line="240" w:lineRule="auto"/>
                    <w:jc w:val="center"/>
                    <w:rPr>
                      <w:rFonts w:hint="eastAsia"/>
                      <w:szCs w:val="21"/>
                      <w:u w:val="none"/>
                    </w:rPr>
                  </w:pPr>
                  <w:r>
                    <w:rPr>
                      <w:rFonts w:hint="eastAsia"/>
                      <w:szCs w:val="21"/>
                      <w:u w:val="none"/>
                    </w:rPr>
                    <w:t>《地表水环境质量标准》（GB3838-2002）中II类标准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continue"/>
                  <w:noWrap w:val="0"/>
                  <w:vAlign w:val="center"/>
                </w:tcPr>
                <w:p>
                  <w:pPr>
                    <w:spacing w:line="240" w:lineRule="auto"/>
                    <w:jc w:val="center"/>
                    <w:rPr>
                      <w:rFonts w:hint="eastAsia"/>
                      <w:bCs/>
                      <w:szCs w:val="21"/>
                      <w:lang w:eastAsia="zh-CN"/>
                    </w:rPr>
                  </w:pPr>
                </w:p>
              </w:tc>
              <w:tc>
                <w:tcPr>
                  <w:tcW w:w="2585" w:type="dxa"/>
                  <w:noWrap w:val="0"/>
                  <w:vAlign w:val="center"/>
                </w:tcPr>
                <w:p>
                  <w:pPr>
                    <w:adjustRightInd w:val="0"/>
                    <w:snapToGrid w:val="0"/>
                    <w:spacing w:line="240" w:lineRule="auto"/>
                    <w:jc w:val="center"/>
                    <w:rPr>
                      <w:u w:val="none"/>
                    </w:rPr>
                  </w:pPr>
                  <w:r>
                    <w:rPr>
                      <w:rFonts w:hint="eastAsia" w:ascii="Times New Roman" w:hAnsi="Times New Roman"/>
                      <w:szCs w:val="21"/>
                      <w:u w:val="none"/>
                    </w:rPr>
                    <w:t>白河</w:t>
                  </w:r>
                </w:p>
              </w:tc>
              <w:tc>
                <w:tcPr>
                  <w:tcW w:w="912" w:type="dxa"/>
                  <w:noWrap w:val="0"/>
                  <w:vAlign w:val="center"/>
                </w:tcPr>
                <w:p>
                  <w:pPr>
                    <w:adjustRightInd w:val="0"/>
                    <w:snapToGrid w:val="0"/>
                    <w:spacing w:line="240" w:lineRule="auto"/>
                    <w:jc w:val="center"/>
                    <w:rPr>
                      <w:rFonts w:hint="default" w:eastAsia="宋体"/>
                      <w:u w:val="none"/>
                      <w:lang w:val="en-US" w:eastAsia="zh-CN"/>
                    </w:rPr>
                  </w:pPr>
                  <w:r>
                    <w:rPr>
                      <w:rFonts w:hint="eastAsia"/>
                      <w:szCs w:val="21"/>
                      <w:u w:val="none"/>
                      <w:lang w:val="en-US" w:eastAsia="zh-CN"/>
                    </w:rPr>
                    <w:t>3200</w:t>
                  </w:r>
                </w:p>
              </w:tc>
              <w:tc>
                <w:tcPr>
                  <w:tcW w:w="767"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szCs w:val="21"/>
                      <w:u w:val="none"/>
                    </w:rPr>
                    <w:t>E</w:t>
                  </w:r>
                </w:p>
              </w:tc>
              <w:tc>
                <w:tcPr>
                  <w:tcW w:w="2931" w:type="dxa"/>
                  <w:vMerge w:val="continue"/>
                  <w:noWrap w:val="0"/>
                  <w:vAlign w:val="center"/>
                </w:tcPr>
                <w:p>
                  <w:pPr>
                    <w:tabs>
                      <w:tab w:val="left" w:pos="0"/>
                    </w:tabs>
                    <w:adjustRightInd w:val="0"/>
                    <w:snapToGrid w:val="0"/>
                    <w:spacing w:line="240" w:lineRule="auto"/>
                    <w:jc w:val="both"/>
                    <w:rPr>
                      <w:rFonts w:hint="eastAsia" w:ascii="Times New Roman" w:hAnsi="Times New Roman" w:eastAsia="宋体" w:cs="Times New Roman"/>
                      <w:color w:val="auto"/>
                      <w:sz w:val="21"/>
                      <w:szCs w:val="21"/>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noWrap w:val="0"/>
                  <w:vAlign w:val="center"/>
                </w:tcPr>
                <w:p>
                  <w:pPr>
                    <w:spacing w:line="240" w:lineRule="auto"/>
                    <w:jc w:val="center"/>
                    <w:rPr>
                      <w:rFonts w:hint="eastAsia"/>
                      <w:bCs/>
                      <w:szCs w:val="21"/>
                      <w:lang w:eastAsia="zh-CN"/>
                    </w:rPr>
                  </w:pPr>
                  <w:r>
                    <w:rPr>
                      <w:rFonts w:hint="eastAsia"/>
                      <w:bCs/>
                      <w:szCs w:val="21"/>
                      <w:lang w:eastAsia="zh-CN"/>
                    </w:rPr>
                    <w:t>地下水</w:t>
                  </w:r>
                </w:p>
              </w:tc>
              <w:tc>
                <w:tcPr>
                  <w:tcW w:w="2585" w:type="dxa"/>
                  <w:noWrap w:val="0"/>
                  <w:vAlign w:val="center"/>
                </w:tcPr>
                <w:p>
                  <w:pPr>
                    <w:pStyle w:val="7"/>
                    <w:spacing w:line="240" w:lineRule="auto"/>
                    <w:jc w:val="center"/>
                    <w:rPr>
                      <w:rFonts w:hint="eastAsia" w:hAnsi="宋体" w:eastAsia="宋体"/>
                      <w:szCs w:val="21"/>
                      <w:lang w:eastAsia="zh-CN"/>
                    </w:rPr>
                  </w:pPr>
                  <w:r>
                    <w:rPr>
                      <w:rFonts w:hint="default" w:ascii="Times New Roman" w:hAnsi="Times New Roman" w:cs="Times New Roman"/>
                      <w:color w:val="000000"/>
                      <w:sz w:val="21"/>
                      <w:szCs w:val="21"/>
                      <w:u w:val="none"/>
                    </w:rPr>
                    <w:t>根据现场勘查，本项目厂界外500m范围内无地下水集中式饮用水水源和热水、矿泉水、温泉等特殊地下水资源</w:t>
                  </w:r>
                </w:p>
              </w:tc>
              <w:tc>
                <w:tcPr>
                  <w:tcW w:w="912" w:type="dxa"/>
                  <w:noWrap w:val="0"/>
                  <w:vAlign w:val="center"/>
                </w:tcPr>
                <w:p>
                  <w:pPr>
                    <w:tabs>
                      <w:tab w:val="left" w:pos="0"/>
                    </w:tabs>
                    <w:adjustRightInd w:val="0"/>
                    <w:snapToGrid w:val="0"/>
                    <w:spacing w:line="240" w:lineRule="auto"/>
                    <w:jc w:val="center"/>
                    <w:rPr>
                      <w:rFonts w:hint="eastAsia" w:hAnsi="宋体" w:eastAsia="宋体"/>
                      <w:szCs w:val="21"/>
                      <w:lang w:val="en-US" w:eastAsia="zh-CN"/>
                    </w:rPr>
                  </w:pPr>
                  <w:r>
                    <w:rPr>
                      <w:rFonts w:hint="eastAsia" w:hAnsi="宋体"/>
                      <w:szCs w:val="21"/>
                      <w:lang w:val="en-US" w:eastAsia="zh-CN"/>
                    </w:rPr>
                    <w:t>/</w:t>
                  </w:r>
                </w:p>
              </w:tc>
              <w:tc>
                <w:tcPr>
                  <w:tcW w:w="767" w:type="dxa"/>
                  <w:noWrap w:val="0"/>
                  <w:vAlign w:val="center"/>
                </w:tcPr>
                <w:p>
                  <w:pPr>
                    <w:tabs>
                      <w:tab w:val="left" w:pos="0"/>
                    </w:tabs>
                    <w:adjustRightInd w:val="0"/>
                    <w:snapToGrid w:val="0"/>
                    <w:spacing w:line="240" w:lineRule="auto"/>
                    <w:jc w:val="center"/>
                    <w:rPr>
                      <w:rFonts w:hint="eastAsia" w:hAnsi="宋体" w:eastAsia="宋体"/>
                      <w:szCs w:val="21"/>
                      <w:lang w:val="en-US" w:eastAsia="zh-CN"/>
                    </w:rPr>
                  </w:pPr>
                  <w:r>
                    <w:rPr>
                      <w:rFonts w:hint="eastAsia" w:hAnsi="宋体"/>
                      <w:szCs w:val="21"/>
                      <w:lang w:val="en-US" w:eastAsia="zh-CN"/>
                    </w:rPr>
                    <w:t>/</w:t>
                  </w:r>
                </w:p>
              </w:tc>
              <w:tc>
                <w:tcPr>
                  <w:tcW w:w="2931" w:type="dxa"/>
                  <w:noWrap w:val="0"/>
                  <w:vAlign w:val="center"/>
                </w:tcPr>
                <w:p>
                  <w:pPr>
                    <w:pStyle w:val="72"/>
                    <w:adjustRightInd w:val="0"/>
                    <w:snapToGrid w:val="0"/>
                    <w:spacing w:line="240" w:lineRule="auto"/>
                    <w:rPr>
                      <w:bCs/>
                      <w:kern w:val="0"/>
                      <w:szCs w:val="21"/>
                      <w:u w:val="none"/>
                    </w:rPr>
                  </w:pPr>
                  <w:r>
                    <w:rPr>
                      <w:bCs/>
                      <w:kern w:val="0"/>
                      <w:szCs w:val="21"/>
                      <w:u w:val="none"/>
                    </w:rPr>
                    <w:t>《地下水质量标准》</w:t>
                  </w:r>
                </w:p>
                <w:p>
                  <w:pPr>
                    <w:adjustRightInd w:val="0"/>
                    <w:snapToGrid w:val="0"/>
                    <w:spacing w:line="240" w:lineRule="auto"/>
                    <w:jc w:val="center"/>
                    <w:rPr>
                      <w:rFonts w:hAnsi="宋体"/>
                      <w:szCs w:val="21"/>
                      <w:u w:val="none"/>
                    </w:rPr>
                  </w:pPr>
                  <w:r>
                    <w:rPr>
                      <w:rFonts w:ascii="Times New Roman" w:hAnsi="Times New Roman"/>
                      <w:bCs/>
                      <w:kern w:val="0"/>
                      <w:szCs w:val="21"/>
                      <w:u w:val="none"/>
                    </w:rPr>
                    <w:t>（GB/T14848-2017）Ⅲ类标准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noWrap w:val="0"/>
                  <w:vAlign w:val="center"/>
                </w:tcPr>
                <w:p>
                  <w:pPr>
                    <w:spacing w:line="240" w:lineRule="auto"/>
                    <w:jc w:val="center"/>
                    <w:rPr>
                      <w:rFonts w:hint="eastAsia"/>
                      <w:bCs/>
                      <w:szCs w:val="21"/>
                      <w:lang w:eastAsia="zh-CN"/>
                    </w:rPr>
                  </w:pPr>
                  <w:r>
                    <w:rPr>
                      <w:rFonts w:hint="eastAsia"/>
                      <w:bCs/>
                      <w:szCs w:val="21"/>
                      <w:lang w:eastAsia="zh-CN"/>
                    </w:rPr>
                    <w:t>生态环境</w:t>
                  </w:r>
                </w:p>
              </w:tc>
              <w:tc>
                <w:tcPr>
                  <w:tcW w:w="2585" w:type="dxa"/>
                  <w:noWrap w:val="0"/>
                  <w:vAlign w:val="center"/>
                </w:tcPr>
                <w:p>
                  <w:pPr>
                    <w:tabs>
                      <w:tab w:val="left" w:pos="0"/>
                    </w:tabs>
                    <w:adjustRightInd w:val="0"/>
                    <w:snapToGrid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农用地</w:t>
                  </w:r>
                </w:p>
              </w:tc>
              <w:tc>
                <w:tcPr>
                  <w:tcW w:w="1679" w:type="dxa"/>
                  <w:gridSpan w:val="2"/>
                  <w:noWrap w:val="0"/>
                  <w:vAlign w:val="center"/>
                </w:tcPr>
                <w:p>
                  <w:pPr>
                    <w:tabs>
                      <w:tab w:val="left" w:pos="0"/>
                    </w:tabs>
                    <w:adjustRightInd w:val="0"/>
                    <w:snapToGrid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周边紧邻</w:t>
                  </w:r>
                </w:p>
              </w:tc>
              <w:tc>
                <w:tcPr>
                  <w:tcW w:w="293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szCs w:val="21"/>
                    </w:rPr>
                    <w:t>生态环境保护</w:t>
                  </w:r>
                </w:p>
              </w:tc>
            </w:tr>
          </w:tbl>
          <w:p>
            <w:pPr>
              <w:adjustRightInd w:val="0"/>
              <w:snapToGrid w:val="0"/>
              <w:jc w:val="both"/>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289" w:hRule="atLeast"/>
          <w:jc w:val="center"/>
        </w:trPr>
        <w:tc>
          <w:tcPr>
            <w:tcW w:w="800" w:type="dxa"/>
            <w:noWrap w:val="0"/>
            <w:vAlign w:val="center"/>
          </w:tcPr>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污</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染</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物</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排</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放</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控</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制</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标</w:t>
            </w:r>
          </w:p>
          <w:p>
            <w:pPr>
              <w:spacing w:line="240" w:lineRule="auto"/>
              <w:jc w:val="center"/>
              <w:rPr>
                <w:rFonts w:hint="eastAsia" w:ascii="Cambria" w:hAnsi="Cambria" w:eastAsia="宋体" w:cs="Times New Roman"/>
                <w:b/>
                <w:sz w:val="28"/>
                <w:lang w:val="en-US" w:eastAsia="zh-CN"/>
              </w:rPr>
            </w:pPr>
            <w:r>
              <w:rPr>
                <w:rFonts w:hint="eastAsia" w:ascii="Cambria" w:hAnsi="Cambria" w:eastAsia="宋体" w:cs="Times New Roman"/>
                <w:b/>
                <w:sz w:val="28"/>
                <w:lang w:val="en-US" w:eastAsia="zh-CN"/>
              </w:rPr>
              <w:t>准</w:t>
            </w:r>
          </w:p>
        </w:tc>
        <w:tc>
          <w:tcPr>
            <w:tcW w:w="8528" w:type="dxa"/>
            <w:noWrap w:val="0"/>
            <w:vAlign w:val="center"/>
          </w:tcPr>
          <w:p>
            <w:pPr>
              <w:pStyle w:val="61"/>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表3-4  污染物排放控制标准</w:t>
            </w:r>
          </w:p>
          <w:tbl>
            <w:tblPr>
              <w:tblStyle w:val="26"/>
              <w:tblW w:w="8299"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
            <w:tblGrid>
              <w:gridCol w:w="694"/>
              <w:gridCol w:w="3541"/>
              <w:gridCol w:w="1064"/>
              <w:gridCol w:w="1506"/>
              <w:gridCol w:w="149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noWrap w:val="0"/>
                  <w:vAlign w:val="center"/>
                </w:tcPr>
                <w:p>
                  <w:pPr>
                    <w:spacing w:line="240" w:lineRule="auto"/>
                    <w:jc w:val="center"/>
                    <w:rPr>
                      <w:rFonts w:ascii="Times New Roman" w:hAnsi="Times New Roman" w:cs="Times New Roman"/>
                      <w:b/>
                      <w:bCs/>
                      <w:sz w:val="21"/>
                      <w:szCs w:val="21"/>
                    </w:rPr>
                  </w:pPr>
                  <w:r>
                    <w:rPr>
                      <w:rFonts w:ascii="Times New Roman" w:hAnsi="Times New Roman" w:cs="Times New Roman"/>
                      <w:b/>
                      <w:bCs/>
                      <w:sz w:val="21"/>
                      <w:szCs w:val="21"/>
                    </w:rPr>
                    <w:t>环境要素</w:t>
                  </w:r>
                </w:p>
              </w:tc>
              <w:tc>
                <w:tcPr>
                  <w:tcW w:w="3541" w:type="dxa"/>
                  <w:noWrap w:val="0"/>
                  <w:vAlign w:val="center"/>
                </w:tcPr>
                <w:p>
                  <w:pPr>
                    <w:spacing w:line="240" w:lineRule="auto"/>
                    <w:jc w:val="center"/>
                    <w:rPr>
                      <w:rFonts w:ascii="Times New Roman" w:hAnsi="Times New Roman" w:cs="Times New Roman"/>
                      <w:b/>
                      <w:bCs/>
                      <w:sz w:val="21"/>
                      <w:szCs w:val="21"/>
                    </w:rPr>
                  </w:pPr>
                  <w:r>
                    <w:rPr>
                      <w:rFonts w:ascii="Times New Roman" w:hAnsi="Times New Roman" w:cs="Times New Roman"/>
                      <w:b/>
                      <w:bCs/>
                      <w:sz w:val="21"/>
                      <w:szCs w:val="21"/>
                    </w:rPr>
                    <w:t>执行标准</w:t>
                  </w:r>
                </w:p>
              </w:tc>
              <w:tc>
                <w:tcPr>
                  <w:tcW w:w="1064" w:type="dxa"/>
                  <w:noWrap w:val="0"/>
                  <w:vAlign w:val="center"/>
                </w:tcPr>
                <w:p>
                  <w:pPr>
                    <w:spacing w:line="240" w:lineRule="auto"/>
                    <w:jc w:val="center"/>
                    <w:rPr>
                      <w:rFonts w:ascii="Times New Roman" w:hAnsi="Times New Roman" w:cs="Times New Roman"/>
                      <w:b/>
                      <w:bCs/>
                      <w:sz w:val="21"/>
                      <w:szCs w:val="21"/>
                    </w:rPr>
                  </w:pPr>
                  <w:r>
                    <w:rPr>
                      <w:rFonts w:ascii="Times New Roman" w:hAnsi="Times New Roman" w:cs="Times New Roman"/>
                      <w:b/>
                      <w:bCs/>
                      <w:sz w:val="21"/>
                      <w:szCs w:val="21"/>
                    </w:rPr>
                    <w:t>污染物</w:t>
                  </w:r>
                </w:p>
              </w:tc>
              <w:tc>
                <w:tcPr>
                  <w:tcW w:w="3000" w:type="dxa"/>
                  <w:gridSpan w:val="2"/>
                  <w:noWrap w:val="0"/>
                  <w:vAlign w:val="center"/>
                </w:tcPr>
                <w:p>
                  <w:pPr>
                    <w:spacing w:line="240" w:lineRule="auto"/>
                    <w:jc w:val="center"/>
                    <w:rPr>
                      <w:rFonts w:ascii="Times New Roman" w:hAnsi="Times New Roman" w:cs="Times New Roman"/>
                      <w:b/>
                      <w:bCs/>
                      <w:sz w:val="21"/>
                      <w:szCs w:val="21"/>
                    </w:rPr>
                  </w:pPr>
                  <w:r>
                    <w:rPr>
                      <w:rFonts w:ascii="Times New Roman" w:hAnsi="Times New Roman" w:cs="Times New Roman"/>
                      <w:b/>
                      <w:bCs/>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restart"/>
                  <w:noWrap w:val="0"/>
                  <w:vAlign w:val="center"/>
                </w:tcPr>
                <w:p>
                  <w:pPr>
                    <w:spacing w:line="240" w:lineRule="auto"/>
                    <w:jc w:val="center"/>
                    <w:rPr>
                      <w:rFonts w:ascii="Times New Roman" w:hAnsi="Times New Roman" w:cs="Times New Roman"/>
                      <w:sz w:val="21"/>
                      <w:szCs w:val="21"/>
                      <w:lang w:eastAsia="zh-CN"/>
                    </w:rPr>
                  </w:pPr>
                  <w:r>
                    <w:rPr>
                      <w:rFonts w:ascii="Times New Roman" w:hAnsi="Times New Roman" w:cs="Times New Roman"/>
                      <w:sz w:val="21"/>
                      <w:szCs w:val="21"/>
                      <w:lang w:eastAsia="zh-CN"/>
                    </w:rPr>
                    <w:t>废气</w:t>
                  </w:r>
                </w:p>
              </w:tc>
              <w:tc>
                <w:tcPr>
                  <w:tcW w:w="3541" w:type="dxa"/>
                  <w:vMerge w:val="restart"/>
                  <w:noWrap w:val="0"/>
                  <w:vAlign w:val="center"/>
                </w:tcPr>
                <w:p>
                  <w:pPr>
                    <w:keepNext w:val="0"/>
                    <w:keepLines w:val="0"/>
                    <w:widowControl w:val="0"/>
                    <w:suppressLineNumbers w:val="0"/>
                    <w:spacing w:before="0" w:beforeAutospacing="0" w:after="0" w:afterAutospacing="0"/>
                    <w:ind w:left="0" w:right="0"/>
                    <w:jc w:val="center"/>
                    <w:rPr>
                      <w:color w:val="000000" w:themeColor="text1"/>
                      <w:u w:val="none"/>
                      <w:lang w:val="en-US"/>
                      <w14:textFill>
                        <w14:solidFill>
                          <w14:schemeClr w14:val="tx1"/>
                        </w14:solidFill>
                      </w14:textFill>
                    </w:rPr>
                  </w:pPr>
                  <w:r>
                    <w:rPr>
                      <w:rFonts w:hint="eastAsia"/>
                      <w:color w:val="000000" w:themeColor="text1"/>
                      <w:u w:val="none"/>
                      <w:lang w:val="en-US" w:eastAsia="zh-CN"/>
                      <w14:textFill>
                        <w14:solidFill>
                          <w14:schemeClr w14:val="tx1"/>
                        </w14:solidFill>
                      </w14:textFill>
                    </w:rPr>
                    <w:t>《大气污染物综合排放标准》</w:t>
                  </w:r>
                </w:p>
                <w:p>
                  <w:pPr>
                    <w:keepNext w:val="0"/>
                    <w:keepLines w:val="0"/>
                    <w:suppressLineNumbers w:val="0"/>
                    <w:spacing w:before="0" w:beforeAutospacing="0" w:after="0" w:afterAutospacing="0"/>
                    <w:ind w:left="0" w:leftChars="0" w:right="0" w:rightChars="0"/>
                    <w:jc w:val="center"/>
                    <w:rPr>
                      <w:rFonts w:ascii="Times New Roman" w:hAnsi="Times New Roman" w:cs="Times New Roman"/>
                      <w:color w:val="auto"/>
                      <w:sz w:val="21"/>
                      <w:szCs w:val="21"/>
                      <w:u w:val="none"/>
                      <w:lang w:eastAsia="zh-CN"/>
                    </w:rPr>
                  </w:pPr>
                  <w:r>
                    <w:rPr>
                      <w:rFonts w:hint="default"/>
                      <w:color w:val="000000" w:themeColor="text1"/>
                      <w:u w:val="none"/>
                      <w:lang w:val="en-US" w:eastAsia="zh-CN"/>
                      <w14:textFill>
                        <w14:solidFill>
                          <w14:schemeClr w14:val="tx1"/>
                        </w14:solidFill>
                      </w14:textFill>
                    </w:rPr>
                    <w:t>(GB16297—1996)</w:t>
                  </w:r>
                  <w:r>
                    <w:rPr>
                      <w:rFonts w:hint="eastAsia"/>
                      <w:color w:val="000000" w:themeColor="text1"/>
                      <w:u w:val="none"/>
                      <w:lang w:val="en-US" w:eastAsia="zh-CN"/>
                      <w14:textFill>
                        <w14:solidFill>
                          <w14:schemeClr w14:val="tx1"/>
                        </w14:solidFill>
                      </w14:textFill>
                    </w:rPr>
                    <w:t>表</w:t>
                  </w:r>
                  <w:r>
                    <w:rPr>
                      <w:rFonts w:hint="default"/>
                      <w:color w:val="000000" w:themeColor="text1"/>
                      <w:u w:val="none"/>
                      <w:lang w:val="en-US" w:eastAsia="zh-CN"/>
                      <w14:textFill>
                        <w14:solidFill>
                          <w14:schemeClr w14:val="tx1"/>
                        </w14:solidFill>
                      </w14:textFill>
                    </w:rPr>
                    <w:t>2</w:t>
                  </w:r>
                  <w:r>
                    <w:rPr>
                      <w:rFonts w:hint="eastAsia"/>
                      <w:color w:val="000000" w:themeColor="text1"/>
                      <w:u w:val="none"/>
                      <w:lang w:val="en-US" w:eastAsia="zh-CN"/>
                      <w14:textFill>
                        <w14:solidFill>
                          <w14:schemeClr w14:val="tx1"/>
                        </w14:solidFill>
                      </w14:textFill>
                    </w:rPr>
                    <w:t>中二级标准</w:t>
                  </w:r>
                </w:p>
              </w:tc>
              <w:tc>
                <w:tcPr>
                  <w:tcW w:w="1064" w:type="dxa"/>
                  <w:vMerge w:val="restart"/>
                  <w:noWrap w:val="0"/>
                  <w:vAlign w:val="center"/>
                </w:tcPr>
                <w:p>
                  <w:pPr>
                    <w:pStyle w:val="77"/>
                    <w:keepNext w:val="0"/>
                    <w:keepLines w:val="0"/>
                    <w:suppressLineNumbers w:val="0"/>
                    <w:spacing w:before="0" w:beforeAutospacing="0" w:after="0" w:afterAutospacing="0"/>
                    <w:ind w:left="0" w:leftChars="0" w:right="0" w:rightChars="0"/>
                    <w:rPr>
                      <w:rFonts w:ascii="Times New Roman" w:hAnsi="Times New Roman" w:cs="Times New Roman"/>
                      <w:color w:val="auto"/>
                      <w:kern w:val="2"/>
                      <w:sz w:val="21"/>
                      <w:szCs w:val="21"/>
                      <w:u w:val="none"/>
                      <w:lang w:eastAsia="zh-CN"/>
                    </w:rPr>
                  </w:pPr>
                  <w:r>
                    <w:rPr>
                      <w:rFonts w:hint="eastAsia"/>
                      <w:color w:val="000000" w:themeColor="text1"/>
                      <w:sz w:val="21"/>
                      <w:szCs w:val="21"/>
                      <w:u w:val="none"/>
                      <w:lang w:val="en-US" w:eastAsia="zh-CN"/>
                      <w14:textFill>
                        <w14:solidFill>
                          <w14:schemeClr w14:val="tx1"/>
                        </w14:solidFill>
                      </w14:textFill>
                    </w:rPr>
                    <w:t>非甲烷总烃</w:t>
                  </w:r>
                </w:p>
              </w:tc>
              <w:tc>
                <w:tcPr>
                  <w:tcW w:w="3000" w:type="dxa"/>
                  <w:gridSpan w:val="2"/>
                  <w:noWrap w:val="0"/>
                  <w:vAlign w:val="center"/>
                </w:tcPr>
                <w:p>
                  <w:pPr>
                    <w:keepNext w:val="0"/>
                    <w:keepLines w:val="0"/>
                    <w:suppressLineNumbers w:val="0"/>
                    <w:spacing w:before="0" w:beforeAutospacing="0" w:after="0" w:afterAutospacing="0"/>
                    <w:ind w:left="0" w:leftChars="0" w:right="0" w:rightChars="0"/>
                    <w:jc w:val="center"/>
                    <w:rPr>
                      <w:rFonts w:ascii="Times New Roman" w:hAnsi="Times New Roman" w:cs="Times New Roman"/>
                      <w:color w:val="auto"/>
                      <w:kern w:val="2"/>
                      <w:sz w:val="21"/>
                      <w:szCs w:val="21"/>
                      <w:u w:val="none"/>
                      <w:lang w:eastAsia="zh-CN"/>
                    </w:rPr>
                  </w:pPr>
                  <w:r>
                    <w:rPr>
                      <w:rFonts w:hint="eastAsia"/>
                      <w:color w:val="000000" w:themeColor="text1"/>
                      <w:u w:val="none"/>
                      <w:lang w:val="en-US" w:eastAsia="zh-CN"/>
                      <w14:textFill>
                        <w14:solidFill>
                          <w14:schemeClr w14:val="tx1"/>
                        </w14:solidFill>
                      </w14:textFill>
                    </w:rPr>
                    <w:t>有组织最高允许排放浓度</w:t>
                  </w:r>
                  <w:r>
                    <w:rPr>
                      <w:rFonts w:hint="default"/>
                      <w:color w:val="000000" w:themeColor="text1"/>
                      <w:u w:val="none"/>
                      <w:lang w:val="en-US" w:eastAsia="zh-CN"/>
                      <w14:textFill>
                        <w14:solidFill>
                          <w14:schemeClr w14:val="tx1"/>
                        </w14:solidFill>
                      </w14:textFill>
                    </w:rPr>
                    <w:t xml:space="preserve"> 120mg/m</w:t>
                  </w:r>
                  <w:r>
                    <w:rPr>
                      <w:rFonts w:hint="default"/>
                      <w:color w:val="000000" w:themeColor="text1"/>
                      <w:u w:val="none"/>
                      <w:vertAlign w:val="superscript"/>
                      <w:lang w:val="en-US" w:eastAsia="zh-CN"/>
                      <w14:textFill>
                        <w14:solidFill>
                          <w14:schemeClr w14:val="tx1"/>
                        </w14:solidFill>
                      </w14:textFill>
                    </w:rPr>
                    <w:t>3</w:t>
                  </w:r>
                  <w:r>
                    <w:rPr>
                      <w:rFonts w:hint="eastAsia"/>
                      <w:color w:val="000000" w:themeColor="text1"/>
                      <w:u w:val="none"/>
                      <w:lang w:val="en-US" w:eastAsia="zh-CN"/>
                      <w14:textFill>
                        <w14:solidFill>
                          <w14:schemeClr w14:val="tx1"/>
                        </w14:solidFill>
                      </w14:textFill>
                    </w:rPr>
                    <w:t>，23</w:t>
                  </w:r>
                  <w:r>
                    <w:rPr>
                      <w:rFonts w:hint="default"/>
                      <w:color w:val="000000" w:themeColor="text1"/>
                      <w:u w:val="none"/>
                      <w:lang w:val="en-US" w:eastAsia="zh-CN"/>
                      <w14:textFill>
                        <w14:solidFill>
                          <w14:schemeClr w14:val="tx1"/>
                        </w14:solidFill>
                      </w14:textFill>
                    </w:rPr>
                    <w:t>m</w:t>
                  </w:r>
                  <w:r>
                    <w:rPr>
                      <w:rFonts w:hint="eastAsia"/>
                      <w:color w:val="000000" w:themeColor="text1"/>
                      <w:u w:val="none"/>
                      <w:lang w:val="en-US" w:eastAsia="zh-CN"/>
                      <w14:textFill>
                        <w14:solidFill>
                          <w14:schemeClr w14:val="tx1"/>
                        </w14:solidFill>
                      </w14:textFill>
                    </w:rPr>
                    <w:t>高排气筒排放速率38.6</w:t>
                  </w:r>
                  <w:r>
                    <w:rPr>
                      <w:rFonts w:hint="default"/>
                      <w:color w:val="000000" w:themeColor="text1"/>
                      <w:u w:val="none"/>
                      <w:lang w:val="en-US" w:eastAsia="zh-CN"/>
                      <w14:textFill>
                        <w14:solidFill>
                          <w14:schemeClr w14:val="tx1"/>
                        </w14:solidFill>
                      </w14:textFill>
                    </w:rPr>
                    <w:t>kg/h</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spacing w:line="240" w:lineRule="auto"/>
                    <w:jc w:val="center"/>
                    <w:rPr>
                      <w:rFonts w:ascii="Times New Roman" w:hAnsi="Times New Roman" w:cs="Times New Roman"/>
                      <w:sz w:val="21"/>
                      <w:szCs w:val="21"/>
                    </w:rPr>
                  </w:pPr>
                </w:p>
              </w:tc>
              <w:tc>
                <w:tcPr>
                  <w:tcW w:w="3541" w:type="dxa"/>
                  <w:vMerge w:val="continue"/>
                  <w:noWrap w:val="0"/>
                  <w:vAlign w:val="center"/>
                </w:tcPr>
                <w:p>
                  <w:pPr>
                    <w:keepNext w:val="0"/>
                    <w:keepLines w:val="0"/>
                    <w:suppressLineNumbers w:val="0"/>
                    <w:spacing w:before="0" w:beforeAutospacing="0" w:after="0" w:afterAutospacing="0"/>
                    <w:ind w:left="0" w:leftChars="0" w:right="0" w:rightChars="0"/>
                    <w:jc w:val="center"/>
                    <w:rPr>
                      <w:rFonts w:ascii="Times New Roman" w:hAnsi="Times New Roman" w:cs="Times New Roman"/>
                      <w:color w:val="auto"/>
                      <w:sz w:val="21"/>
                      <w:szCs w:val="21"/>
                      <w:u w:val="none"/>
                      <w:lang w:eastAsia="zh-CN"/>
                    </w:rPr>
                  </w:pPr>
                </w:p>
              </w:tc>
              <w:tc>
                <w:tcPr>
                  <w:tcW w:w="1064" w:type="dxa"/>
                  <w:vMerge w:val="continue"/>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sz w:val="21"/>
                      <w:szCs w:val="21"/>
                      <w:u w:val="none"/>
                      <w:lang w:val="en-US" w:eastAsia="zh-CN"/>
                    </w:rPr>
                  </w:pPr>
                </w:p>
              </w:tc>
              <w:tc>
                <w:tcPr>
                  <w:tcW w:w="3000"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sz w:val="21"/>
                      <w:szCs w:val="21"/>
                      <w:u w:val="none"/>
                      <w:lang w:val="en-US" w:eastAsia="zh-CN"/>
                    </w:rPr>
                  </w:pPr>
                  <w:r>
                    <w:rPr>
                      <w:rFonts w:hint="eastAsia"/>
                      <w:color w:val="000000" w:themeColor="text1"/>
                      <w:u w:val="none"/>
                      <w:lang w:val="en-US" w:eastAsia="zh-CN"/>
                      <w14:textFill>
                        <w14:solidFill>
                          <w14:schemeClr w14:val="tx1"/>
                        </w14:solidFill>
                      </w14:textFill>
                    </w:rPr>
                    <w:t>无组织排放浓度限值4.0</w:t>
                  </w:r>
                  <w:r>
                    <w:rPr>
                      <w:rFonts w:hint="default"/>
                      <w:color w:val="000000" w:themeColor="text1"/>
                      <w:u w:val="none"/>
                      <w:lang w:val="en-US" w:eastAsia="zh-CN"/>
                      <w14:textFill>
                        <w14:solidFill>
                          <w14:schemeClr w14:val="tx1"/>
                        </w14:solidFill>
                      </w14:textFill>
                    </w:rPr>
                    <w:t>mg/m</w:t>
                  </w:r>
                  <w:r>
                    <w:rPr>
                      <w:rFonts w:hint="default"/>
                      <w:color w:val="000000" w:themeColor="text1"/>
                      <w:u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401" w:hRule="atLeast"/>
                <w:jc w:val="center"/>
              </w:trPr>
              <w:tc>
                <w:tcPr>
                  <w:tcW w:w="694" w:type="dxa"/>
                  <w:vMerge w:val="continue"/>
                  <w:noWrap w:val="0"/>
                  <w:vAlign w:val="center"/>
                </w:tcPr>
                <w:p>
                  <w:pPr>
                    <w:spacing w:line="240" w:lineRule="auto"/>
                    <w:jc w:val="center"/>
                    <w:rPr>
                      <w:rFonts w:ascii="Times New Roman" w:hAnsi="Times New Roman" w:cs="Times New Roman"/>
                      <w:sz w:val="21"/>
                      <w:szCs w:val="21"/>
                    </w:rPr>
                  </w:pPr>
                </w:p>
              </w:tc>
              <w:tc>
                <w:tcPr>
                  <w:tcW w:w="3541" w:type="dxa"/>
                  <w:vMerge w:val="restart"/>
                  <w:noWrap w:val="0"/>
                  <w:vAlign w:val="center"/>
                </w:tcPr>
                <w:p>
                  <w:pPr>
                    <w:keepNext w:val="0"/>
                    <w:keepLines w:val="0"/>
                    <w:suppressLineNumbers w:val="0"/>
                    <w:spacing w:before="0" w:beforeAutospacing="0" w:after="0" w:afterAutospacing="0"/>
                    <w:ind w:left="0" w:leftChars="0" w:right="0" w:rightChars="0"/>
                    <w:jc w:val="center"/>
                    <w:rPr>
                      <w:rFonts w:ascii="Times New Roman" w:hAnsi="Times New Roman" w:cs="Times New Roman"/>
                      <w:color w:val="auto"/>
                      <w:kern w:val="2"/>
                      <w:sz w:val="21"/>
                      <w:szCs w:val="21"/>
                      <w:u w:val="none"/>
                      <w:lang w:val="en-US" w:eastAsia="zh-CN" w:bidi="ar-SA"/>
                    </w:rPr>
                  </w:pPr>
                  <w:r>
                    <w:rPr>
                      <w:rFonts w:hint="eastAsia"/>
                      <w:color w:val="000000" w:themeColor="text1"/>
                      <w:u w:val="none"/>
                      <w:lang w:val="en-US" w:eastAsia="zh-CN"/>
                      <w14:textFill>
                        <w14:solidFill>
                          <w14:schemeClr w14:val="tx1"/>
                        </w14:solidFill>
                      </w14:textFill>
                    </w:rPr>
                    <w:t>关于全省开展工业企业挥发性有机物专项治理工作中排放建议值的通知（豫环攻坚办【</w:t>
                  </w:r>
                  <w:r>
                    <w:rPr>
                      <w:rFonts w:hint="default"/>
                      <w:color w:val="000000" w:themeColor="text1"/>
                      <w:u w:val="none"/>
                      <w:lang w:val="en-US" w:eastAsia="zh-CN"/>
                      <w14:textFill>
                        <w14:solidFill>
                          <w14:schemeClr w14:val="tx1"/>
                        </w14:solidFill>
                      </w14:textFill>
                    </w:rPr>
                    <w:t>2017</w:t>
                  </w:r>
                  <w:r>
                    <w:rPr>
                      <w:rFonts w:hint="eastAsia"/>
                      <w:color w:val="000000" w:themeColor="text1"/>
                      <w:u w:val="none"/>
                      <w:lang w:val="en-US" w:eastAsia="zh-CN"/>
                      <w14:textFill>
                        <w14:solidFill>
                          <w14:schemeClr w14:val="tx1"/>
                        </w14:solidFill>
                      </w14:textFill>
                    </w:rPr>
                    <w:t>】</w:t>
                  </w:r>
                  <w:r>
                    <w:rPr>
                      <w:rFonts w:hint="default"/>
                      <w:color w:val="000000" w:themeColor="text1"/>
                      <w:u w:val="none"/>
                      <w:lang w:val="en-US" w:eastAsia="zh-CN"/>
                      <w14:textFill>
                        <w14:solidFill>
                          <w14:schemeClr w14:val="tx1"/>
                        </w14:solidFill>
                      </w14:textFill>
                    </w:rPr>
                    <w:t>162</w:t>
                  </w:r>
                  <w:r>
                    <w:rPr>
                      <w:rFonts w:hint="eastAsia"/>
                      <w:color w:val="000000" w:themeColor="text1"/>
                      <w:u w:val="none"/>
                      <w:lang w:val="en-US" w:eastAsia="zh-CN"/>
                      <w14:textFill>
                        <w14:solidFill>
                          <w14:schemeClr w14:val="tx1"/>
                        </w14:solidFill>
                      </w14:textFill>
                    </w:rPr>
                    <w:t>号）其他行业</w:t>
                  </w:r>
                </w:p>
              </w:tc>
              <w:tc>
                <w:tcPr>
                  <w:tcW w:w="1064" w:type="dxa"/>
                  <w:vMerge w:val="restart"/>
                  <w:noWrap w:val="0"/>
                  <w:vAlign w:val="center"/>
                </w:tcPr>
                <w:p>
                  <w:pPr>
                    <w:pStyle w:val="77"/>
                    <w:keepNext w:val="0"/>
                    <w:keepLines w:val="0"/>
                    <w:suppressLineNumbers w:val="0"/>
                    <w:spacing w:before="0" w:beforeAutospacing="0" w:after="0" w:afterAutospacing="0"/>
                    <w:ind w:left="0" w:leftChars="0" w:right="0" w:rightChars="0"/>
                    <w:rPr>
                      <w:rFonts w:ascii="Times New Roman" w:hAnsi="Times New Roman" w:cs="Times New Roman"/>
                      <w:bCs/>
                      <w:color w:val="auto"/>
                      <w:kern w:val="2"/>
                      <w:sz w:val="21"/>
                      <w:szCs w:val="21"/>
                      <w:u w:val="none"/>
                      <w:lang w:eastAsia="zh-CN"/>
                    </w:rPr>
                  </w:pPr>
                  <w:r>
                    <w:rPr>
                      <w:rFonts w:hint="eastAsia"/>
                      <w:color w:val="000000" w:themeColor="text1"/>
                      <w:sz w:val="21"/>
                      <w:szCs w:val="21"/>
                      <w:u w:val="none"/>
                      <w:lang w:val="en-US" w:eastAsia="zh-CN"/>
                      <w14:textFill>
                        <w14:solidFill>
                          <w14:schemeClr w14:val="tx1"/>
                        </w14:solidFill>
                      </w14:textFill>
                    </w:rPr>
                    <w:t>非甲烷总烃</w:t>
                  </w:r>
                </w:p>
              </w:tc>
              <w:tc>
                <w:tcPr>
                  <w:tcW w:w="3000" w:type="dxa"/>
                  <w:gridSpan w:val="2"/>
                  <w:noWrap w:val="0"/>
                  <w:vAlign w:val="center"/>
                </w:tcPr>
                <w:p>
                  <w:pPr>
                    <w:keepNext w:val="0"/>
                    <w:keepLines w:val="0"/>
                    <w:widowControl w:val="0"/>
                    <w:suppressLineNumbers w:val="0"/>
                    <w:spacing w:before="0" w:beforeAutospacing="0" w:after="0" w:afterAutospacing="0"/>
                    <w:ind w:left="0" w:leftChars="0" w:right="0" w:rightChars="0"/>
                    <w:jc w:val="center"/>
                    <w:rPr>
                      <w:rFonts w:ascii="Times New Roman" w:hAnsi="Times New Roman" w:cs="Times New Roman"/>
                      <w:bCs/>
                      <w:color w:val="auto"/>
                      <w:kern w:val="2"/>
                      <w:sz w:val="21"/>
                      <w:szCs w:val="21"/>
                      <w:u w:val="none"/>
                      <w:lang w:eastAsia="zh-CN"/>
                    </w:rPr>
                  </w:pPr>
                  <w:r>
                    <w:rPr>
                      <w:rFonts w:hint="eastAsia"/>
                      <w:color w:val="000000" w:themeColor="text1"/>
                      <w:u w:val="none"/>
                      <w:lang w:val="en-US" w:eastAsia="zh-CN"/>
                      <w14:textFill>
                        <w14:solidFill>
                          <w14:schemeClr w14:val="tx1"/>
                        </w14:solidFill>
                      </w14:textFill>
                    </w:rPr>
                    <w:t>有机废气排放口建议排放浓度8</w:t>
                  </w:r>
                  <w:r>
                    <w:rPr>
                      <w:rFonts w:hint="default"/>
                      <w:color w:val="000000" w:themeColor="text1"/>
                      <w:u w:val="none"/>
                      <w:lang w:val="en-US" w:eastAsia="zh-CN"/>
                      <w14:textFill>
                        <w14:solidFill>
                          <w14:schemeClr w14:val="tx1"/>
                        </w14:solidFill>
                      </w14:textFill>
                    </w:rPr>
                    <w:t>0mg/m</w:t>
                  </w:r>
                  <w:r>
                    <w:rPr>
                      <w:rFonts w:hint="default"/>
                      <w:color w:val="000000" w:themeColor="text1"/>
                      <w:u w:val="none"/>
                      <w:vertAlign w:val="superscript"/>
                      <w:lang w:val="en-US" w:eastAsia="zh-CN"/>
                      <w14:textFill>
                        <w14:solidFill>
                          <w14:schemeClr w14:val="tx1"/>
                        </w14:solidFill>
                      </w14:textFill>
                    </w:rPr>
                    <w:t>3</w:t>
                  </w:r>
                  <w:r>
                    <w:rPr>
                      <w:rFonts w:hint="eastAsia"/>
                      <w:color w:val="000000" w:themeColor="text1"/>
                      <w:u w:val="none"/>
                      <w:vertAlign w:val="baseline"/>
                      <w:lang w:val="en-US" w:eastAsia="zh-CN"/>
                      <w14:textFill>
                        <w14:solidFill>
                          <w14:schemeClr w14:val="tx1"/>
                        </w14:solidFill>
                      </w14:textFill>
                    </w:rPr>
                    <w:t>，建议去除率70%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401" w:hRule="atLeast"/>
                <w:jc w:val="center"/>
              </w:trPr>
              <w:tc>
                <w:tcPr>
                  <w:tcW w:w="694" w:type="dxa"/>
                  <w:vMerge w:val="continue"/>
                  <w:noWrap w:val="0"/>
                  <w:vAlign w:val="center"/>
                </w:tcPr>
                <w:p>
                  <w:pPr>
                    <w:pStyle w:val="5"/>
                    <w:autoSpaceDE/>
                    <w:autoSpaceDN/>
                    <w:adjustRightInd w:val="0"/>
                    <w:snapToGrid w:val="0"/>
                    <w:spacing w:line="240" w:lineRule="auto"/>
                    <w:ind w:firstLine="0"/>
                    <w:jc w:val="center"/>
                  </w:pPr>
                </w:p>
              </w:tc>
              <w:tc>
                <w:tcPr>
                  <w:tcW w:w="3541" w:type="dxa"/>
                  <w:vMerge w:val="continue"/>
                  <w:noWrap w:val="0"/>
                  <w:vAlign w:val="center"/>
                </w:tcPr>
                <w:p>
                  <w:pPr>
                    <w:keepNext w:val="0"/>
                    <w:keepLines w:val="0"/>
                    <w:suppressLineNumbers w:val="0"/>
                    <w:spacing w:before="0" w:beforeAutospacing="0" w:after="0" w:afterAutospacing="0"/>
                    <w:ind w:left="0" w:leftChars="0" w:right="0" w:rightChars="0"/>
                    <w:jc w:val="center"/>
                    <w:rPr>
                      <w:u w:val="none"/>
                    </w:rPr>
                  </w:pPr>
                </w:p>
              </w:tc>
              <w:tc>
                <w:tcPr>
                  <w:tcW w:w="1064" w:type="dxa"/>
                  <w:vMerge w:val="continue"/>
                  <w:noWrap w:val="0"/>
                  <w:vAlign w:val="center"/>
                </w:tcPr>
                <w:p>
                  <w:pPr>
                    <w:keepNext w:val="0"/>
                    <w:keepLines w:val="0"/>
                    <w:suppressLineNumbers w:val="0"/>
                    <w:spacing w:before="0" w:beforeAutospacing="0" w:after="0" w:afterAutospacing="0"/>
                    <w:ind w:left="0" w:leftChars="0" w:right="0" w:rightChars="0"/>
                    <w:jc w:val="center"/>
                    <w:rPr>
                      <w:u w:val="none"/>
                    </w:rPr>
                  </w:pPr>
                </w:p>
              </w:tc>
              <w:tc>
                <w:tcPr>
                  <w:tcW w:w="3000" w:type="dxa"/>
                  <w:gridSpan w:val="2"/>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kern w:val="2"/>
                      <w:sz w:val="21"/>
                      <w:szCs w:val="21"/>
                      <w:u w:val="none"/>
                      <w:lang w:val="en-US" w:eastAsia="zh-CN"/>
                    </w:rPr>
                  </w:pPr>
                  <w:r>
                    <w:rPr>
                      <w:rFonts w:hint="eastAsia"/>
                      <w:color w:val="000000" w:themeColor="text1"/>
                      <w:u w:val="none"/>
                      <w:lang w:val="en-US" w:eastAsia="zh-CN"/>
                      <w14:textFill>
                        <w14:solidFill>
                          <w14:schemeClr w14:val="tx1"/>
                        </w14:solidFill>
                      </w14:textFill>
                    </w:rPr>
                    <w:t>企业边界排放建议值：</w:t>
                  </w:r>
                  <w:r>
                    <w:rPr>
                      <w:rFonts w:hint="default"/>
                      <w:color w:val="000000" w:themeColor="text1"/>
                      <w:u w:val="none"/>
                      <w:lang w:val="en-US" w:eastAsia="zh-CN"/>
                      <w14:textFill>
                        <w14:solidFill>
                          <w14:schemeClr w14:val="tx1"/>
                        </w14:solidFill>
                      </w14:textFill>
                    </w:rPr>
                    <w:t>2.0mg/m</w:t>
                  </w:r>
                  <w:r>
                    <w:rPr>
                      <w:rFonts w:hint="default"/>
                      <w:color w:val="000000" w:themeColor="text1"/>
                      <w:u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spacing w:line="240" w:lineRule="auto"/>
                    <w:jc w:val="center"/>
                    <w:rPr>
                      <w:rFonts w:hint="eastAsia" w:ascii="Times New Roman" w:hAnsi="Times New Roman" w:cs="Times New Roman"/>
                      <w:sz w:val="21"/>
                      <w:szCs w:val="21"/>
                      <w:lang w:eastAsia="zh-CN"/>
                    </w:rPr>
                  </w:pPr>
                </w:p>
              </w:tc>
              <w:tc>
                <w:tcPr>
                  <w:tcW w:w="3541" w:type="dxa"/>
                  <w:noWrap w:val="0"/>
                  <w:vAlign w:val="center"/>
                </w:tcPr>
                <w:p>
                  <w:pPr>
                    <w:jc w:val="center"/>
                    <w:rPr>
                      <w:rFonts w:hint="eastAsia"/>
                      <w:lang w:val="en-US" w:eastAsia="zh-CN"/>
                    </w:rPr>
                  </w:pPr>
                  <w:r>
                    <w:rPr>
                      <w:rFonts w:hint="default"/>
                      <w:lang w:val="en-US" w:eastAsia="zh-CN"/>
                    </w:rPr>
                    <w:t>《大气污染物综合排放标准》（GB16297-1996）表2</w:t>
                  </w:r>
                </w:p>
              </w:tc>
              <w:tc>
                <w:tcPr>
                  <w:tcW w:w="1064" w:type="dxa"/>
                  <w:noWrap w:val="0"/>
                  <w:vAlign w:val="center"/>
                </w:tcPr>
                <w:p>
                  <w:pPr>
                    <w:jc w:val="center"/>
                    <w:rPr>
                      <w:rFonts w:hint="eastAsia"/>
                      <w:lang w:val="en-US" w:eastAsia="zh-CN"/>
                    </w:rPr>
                  </w:pPr>
                  <w:r>
                    <w:rPr>
                      <w:rFonts w:hint="default"/>
                      <w:lang w:val="en-US" w:eastAsia="zh-CN"/>
                    </w:rPr>
                    <w:t>颗粒物</w:t>
                  </w:r>
                </w:p>
              </w:tc>
              <w:tc>
                <w:tcPr>
                  <w:tcW w:w="3000" w:type="dxa"/>
                  <w:gridSpan w:val="2"/>
                  <w:noWrap w:val="0"/>
                  <w:vAlign w:val="center"/>
                </w:tcPr>
                <w:p>
                  <w:pPr>
                    <w:spacing w:line="240" w:lineRule="auto"/>
                    <w:jc w:val="center"/>
                    <w:rPr>
                      <w:rFonts w:ascii="Times New Roman" w:hAnsi="Times New Roman"/>
                      <w:szCs w:val="21"/>
                    </w:rPr>
                  </w:pPr>
                  <w:r>
                    <w:rPr>
                      <w:rFonts w:hint="eastAsia" w:cs="Times New Roman"/>
                      <w:color w:val="auto"/>
                      <w:kern w:val="2"/>
                      <w:sz w:val="21"/>
                      <w:szCs w:val="21"/>
                      <w:lang w:val="en-US" w:eastAsia="zh-CN"/>
                    </w:rPr>
                    <w:t>无组织排放限值1.0mg/</w:t>
                  </w:r>
                  <w:r>
                    <w:rPr>
                      <w:rFonts w:ascii="Times New Roman" w:hAnsi="Times New Roman" w:cs="Times New Roman"/>
                      <w:color w:val="auto"/>
                      <w:kern w:val="2"/>
                      <w:sz w:val="21"/>
                      <w:szCs w:val="21"/>
                      <w:lang w:eastAsia="zh-CN"/>
                    </w:rPr>
                    <w:t>m</w:t>
                  </w:r>
                  <w:r>
                    <w:rPr>
                      <w:rFonts w:ascii="Times New Roman" w:hAnsi="Times New Roman" w:cs="Times New Roman"/>
                      <w:color w:val="auto"/>
                      <w:kern w:val="2"/>
                      <w:sz w:val="21"/>
                      <w:szCs w:val="21"/>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restart"/>
                  <w:noWrap w:val="0"/>
                  <w:vAlign w:val="center"/>
                </w:tcPr>
                <w:p>
                  <w:pPr>
                    <w:spacing w:line="240" w:lineRule="auto"/>
                    <w:jc w:val="center"/>
                    <w:rPr>
                      <w:rFonts w:hint="eastAsia" w:ascii="Times New Roman" w:hAnsi="Times New Roman" w:eastAsia="宋体" w:cs="Times New Roman"/>
                      <w:sz w:val="21"/>
                      <w:szCs w:val="21"/>
                      <w:lang w:eastAsia="zh-CN"/>
                    </w:rPr>
                  </w:pPr>
                  <w:r>
                    <w:rPr>
                      <w:rFonts w:hint="eastAsia" w:cs="Times New Roman"/>
                      <w:sz w:val="21"/>
                      <w:szCs w:val="21"/>
                      <w:lang w:eastAsia="zh-CN"/>
                    </w:rPr>
                    <w:t>废水</w:t>
                  </w:r>
                </w:p>
              </w:tc>
              <w:tc>
                <w:tcPr>
                  <w:tcW w:w="3541" w:type="dxa"/>
                  <w:vMerge w:val="restart"/>
                  <w:noWrap w:val="0"/>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eastAsia="宋体" w:cs="Times New Roman"/>
                      <w:color w:val="auto"/>
                      <w:sz w:val="21"/>
                      <w:szCs w:val="21"/>
                      <w:highlight w:val="none"/>
                      <w:lang w:val="en-US" w:eastAsia="zh-CN"/>
                    </w:rPr>
                    <w:t>河南省《农村生活污水处理设施水污染物排放标准》（DB41/1820-2019）</w:t>
                  </w:r>
                  <w:r>
                    <w:rPr>
                      <w:rFonts w:hint="default" w:ascii="Times New Roman" w:hAnsi="Times New Roman" w:eastAsia="宋体" w:cs="Times New Roman"/>
                      <w:color w:val="auto"/>
                      <w:sz w:val="21"/>
                      <w:szCs w:val="21"/>
                      <w:highlight w:val="none"/>
                      <w:lang w:val="en-US" w:eastAsia="zh-CN"/>
                    </w:rPr>
                    <w:t>中的一级标准</w:t>
                  </w:r>
                </w:p>
              </w:tc>
              <w:tc>
                <w:tcPr>
                  <w:tcW w:w="1064" w:type="dxa"/>
                  <w:noWrap w:val="0"/>
                  <w:vAlign w:val="center"/>
                </w:tcPr>
                <w:p>
                  <w:pPr>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 xml:space="preserve">COD </w:t>
                  </w:r>
                </w:p>
              </w:tc>
              <w:tc>
                <w:tcPr>
                  <w:tcW w:w="3000" w:type="dxa"/>
                  <w:gridSpan w:val="2"/>
                  <w:noWrap w:val="0"/>
                  <w:vAlign w:val="center"/>
                </w:tcPr>
                <w:p>
                  <w:pPr>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60mg/L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spacing w:line="240" w:lineRule="auto"/>
                    <w:jc w:val="center"/>
                    <w:rPr>
                      <w:rFonts w:hint="eastAsia" w:cs="Times New Roman"/>
                      <w:sz w:val="21"/>
                      <w:szCs w:val="21"/>
                      <w:lang w:eastAsia="zh-CN"/>
                    </w:rPr>
                  </w:pPr>
                </w:p>
              </w:tc>
              <w:tc>
                <w:tcPr>
                  <w:tcW w:w="3541" w:type="dxa"/>
                  <w:vMerge w:val="continue"/>
                  <w:noWrap w:val="0"/>
                  <w:vAlign w:val="center"/>
                </w:tcPr>
                <w:p>
                  <w:pPr>
                    <w:spacing w:line="240" w:lineRule="auto"/>
                    <w:jc w:val="center"/>
                    <w:rPr>
                      <w:rFonts w:ascii="Times New Roman" w:hAnsi="Times New Roman" w:cs="Times New Roman"/>
                      <w:bCs/>
                      <w:sz w:val="21"/>
                      <w:szCs w:val="21"/>
                      <w:lang w:eastAsia="zh-CN"/>
                    </w:rPr>
                  </w:pPr>
                </w:p>
              </w:tc>
              <w:tc>
                <w:tcPr>
                  <w:tcW w:w="1064" w:type="dxa"/>
                  <w:noWrap w:val="0"/>
                  <w:vAlign w:val="center"/>
                </w:tcPr>
                <w:p>
                  <w:pPr>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SS</w:t>
                  </w:r>
                </w:p>
              </w:tc>
              <w:tc>
                <w:tcPr>
                  <w:tcW w:w="3000" w:type="dxa"/>
                  <w:gridSpan w:val="2"/>
                  <w:noWrap w:val="0"/>
                  <w:vAlign w:val="center"/>
                </w:tcPr>
                <w:p>
                  <w:pPr>
                    <w:spacing w:line="240" w:lineRule="auto"/>
                    <w:jc w:val="center"/>
                    <w:rPr>
                      <w:rFonts w:ascii="Times New Roman" w:hAnsi="Times New Roman" w:cs="Times New Roman"/>
                      <w:sz w:val="21"/>
                      <w:szCs w:val="21"/>
                      <w:lang w:eastAsia="zh-CN"/>
                    </w:rPr>
                  </w:pPr>
                  <w:r>
                    <w:rPr>
                      <w:rFonts w:hint="eastAsia" w:cs="Times New Roman"/>
                      <w:sz w:val="21"/>
                      <w:szCs w:val="21"/>
                      <w:lang w:val="en-US" w:eastAsia="zh-CN"/>
                    </w:rPr>
                    <w:t>20mg/L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spacing w:line="240" w:lineRule="auto"/>
                    <w:jc w:val="center"/>
                    <w:rPr>
                      <w:rFonts w:hint="eastAsia" w:cs="Times New Roman"/>
                      <w:sz w:val="21"/>
                      <w:szCs w:val="21"/>
                      <w:lang w:eastAsia="zh-CN"/>
                    </w:rPr>
                  </w:pPr>
                </w:p>
              </w:tc>
              <w:tc>
                <w:tcPr>
                  <w:tcW w:w="3541" w:type="dxa"/>
                  <w:vMerge w:val="continue"/>
                  <w:noWrap w:val="0"/>
                  <w:vAlign w:val="center"/>
                </w:tcPr>
                <w:p>
                  <w:pPr>
                    <w:spacing w:line="240" w:lineRule="auto"/>
                    <w:jc w:val="center"/>
                    <w:rPr>
                      <w:rFonts w:ascii="Times New Roman" w:hAnsi="Times New Roman" w:cs="Times New Roman"/>
                      <w:bCs/>
                      <w:sz w:val="21"/>
                      <w:szCs w:val="21"/>
                      <w:lang w:eastAsia="zh-CN"/>
                    </w:rPr>
                  </w:pPr>
                </w:p>
              </w:tc>
              <w:tc>
                <w:tcPr>
                  <w:tcW w:w="1064" w:type="dxa"/>
                  <w:noWrap w:val="0"/>
                  <w:vAlign w:val="center"/>
                </w:tcPr>
                <w:p>
                  <w:pPr>
                    <w:spacing w:line="240" w:lineRule="auto"/>
                    <w:jc w:val="center"/>
                    <w:rPr>
                      <w:rFonts w:hint="default" w:ascii="Times New Roman" w:hAnsi="Times New Roman" w:cs="Times New Roman"/>
                      <w:sz w:val="21"/>
                      <w:szCs w:val="21"/>
                      <w:lang w:val="en-US" w:eastAsia="zh-CN"/>
                    </w:rPr>
                  </w:pPr>
                  <w:r>
                    <w:rPr>
                      <w:rFonts w:hint="eastAsia"/>
                      <w:color w:val="000000" w:themeColor="text1"/>
                      <w14:textFill>
                        <w14:solidFill>
                          <w14:schemeClr w14:val="tx1"/>
                        </w14:solidFill>
                      </w14:textFill>
                    </w:rPr>
                    <w:t>氨氮</w:t>
                  </w:r>
                </w:p>
              </w:tc>
              <w:tc>
                <w:tcPr>
                  <w:tcW w:w="3000" w:type="dxa"/>
                  <w:gridSpan w:val="2"/>
                  <w:noWrap w:val="0"/>
                  <w:vAlign w:val="center"/>
                </w:tcPr>
                <w:p>
                  <w:pPr>
                    <w:spacing w:line="240" w:lineRule="auto"/>
                    <w:jc w:val="center"/>
                    <w:rPr>
                      <w:rFonts w:ascii="Times New Roman" w:hAnsi="Times New Roman" w:cs="Times New Roman"/>
                      <w:sz w:val="21"/>
                      <w:szCs w:val="21"/>
                      <w:lang w:eastAsia="zh-CN"/>
                    </w:rPr>
                  </w:pPr>
                  <w:r>
                    <w:rPr>
                      <w:rFonts w:hint="eastAsia" w:cs="Times New Roman"/>
                      <w:sz w:val="21"/>
                      <w:szCs w:val="21"/>
                      <w:lang w:val="en-US" w:eastAsia="zh-CN"/>
                    </w:rPr>
                    <w:t>8mg/L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restart"/>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rPr>
                    <w:t>噪声</w:t>
                  </w:r>
                </w:p>
              </w:tc>
              <w:tc>
                <w:tcPr>
                  <w:tcW w:w="3541" w:type="dxa"/>
                  <w:vMerge w:val="restart"/>
                  <w:noWrap w:val="0"/>
                  <w:vAlign w:val="center"/>
                </w:tcPr>
                <w:p>
                  <w:pPr>
                    <w:spacing w:line="240" w:lineRule="auto"/>
                    <w:jc w:val="center"/>
                    <w:rPr>
                      <w:rFonts w:ascii="Times New Roman" w:hAnsi="Times New Roman" w:cs="Times New Roman"/>
                      <w:sz w:val="21"/>
                      <w:szCs w:val="21"/>
                      <w:lang w:eastAsia="zh-CN"/>
                    </w:rPr>
                  </w:pPr>
                  <w:r>
                    <w:rPr>
                      <w:rFonts w:ascii="Times New Roman" w:hAnsi="Times New Roman" w:cs="Times New Roman"/>
                      <w:bCs/>
                      <w:sz w:val="21"/>
                      <w:szCs w:val="21"/>
                      <w:lang w:eastAsia="zh-CN"/>
                    </w:rPr>
                    <w:t>《工业企业厂界环境噪声排放标准》（GB12348-2008）</w:t>
                  </w:r>
                </w:p>
              </w:tc>
              <w:tc>
                <w:tcPr>
                  <w:tcW w:w="1064" w:type="dxa"/>
                  <w:vMerge w:val="restart"/>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lang w:eastAsia="zh-CN"/>
                    </w:rPr>
                    <w:t>2</w:t>
                  </w:r>
                  <w:r>
                    <w:rPr>
                      <w:rFonts w:ascii="Times New Roman" w:hAnsi="Times New Roman" w:cs="Times New Roman"/>
                      <w:sz w:val="21"/>
                      <w:szCs w:val="21"/>
                    </w:rPr>
                    <w:t>类</w:t>
                  </w:r>
                </w:p>
              </w:tc>
              <w:tc>
                <w:tcPr>
                  <w:tcW w:w="1506" w:type="dxa"/>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rPr>
                    <w:t>昼间</w:t>
                  </w:r>
                </w:p>
              </w:tc>
              <w:tc>
                <w:tcPr>
                  <w:tcW w:w="1494" w:type="dxa"/>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lang w:eastAsia="zh-CN"/>
                    </w:rPr>
                    <w:t>60</w:t>
                  </w:r>
                  <w:r>
                    <w:rPr>
                      <w:rFonts w:ascii="Times New Roman" w:hAnsi="Times New Roman" w:cs="Times New Roman"/>
                      <w:sz w:val="21"/>
                      <w:szCs w:val="21"/>
                    </w:rPr>
                    <w:t>dB（A）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widowControl/>
                    <w:spacing w:line="240" w:lineRule="auto"/>
                    <w:jc w:val="center"/>
                    <w:rPr>
                      <w:rFonts w:ascii="Times New Roman" w:hAnsi="Times New Roman" w:cs="Times New Roman"/>
                      <w:sz w:val="21"/>
                      <w:szCs w:val="21"/>
                    </w:rPr>
                  </w:pPr>
                </w:p>
              </w:tc>
              <w:tc>
                <w:tcPr>
                  <w:tcW w:w="3541" w:type="dxa"/>
                  <w:vMerge w:val="continue"/>
                  <w:noWrap w:val="0"/>
                  <w:vAlign w:val="center"/>
                </w:tcPr>
                <w:p>
                  <w:pPr>
                    <w:widowControl/>
                    <w:spacing w:line="240" w:lineRule="auto"/>
                    <w:jc w:val="center"/>
                    <w:rPr>
                      <w:rFonts w:ascii="Times New Roman" w:hAnsi="Times New Roman" w:cs="Times New Roman"/>
                      <w:sz w:val="21"/>
                      <w:szCs w:val="21"/>
                    </w:rPr>
                  </w:pPr>
                </w:p>
              </w:tc>
              <w:tc>
                <w:tcPr>
                  <w:tcW w:w="1064" w:type="dxa"/>
                  <w:vMerge w:val="continue"/>
                  <w:noWrap w:val="0"/>
                  <w:vAlign w:val="center"/>
                </w:tcPr>
                <w:p>
                  <w:pPr>
                    <w:widowControl/>
                    <w:spacing w:line="240" w:lineRule="auto"/>
                    <w:jc w:val="center"/>
                    <w:rPr>
                      <w:rFonts w:ascii="Times New Roman" w:hAnsi="Times New Roman" w:cs="Times New Roman"/>
                      <w:sz w:val="21"/>
                      <w:szCs w:val="21"/>
                    </w:rPr>
                  </w:pPr>
                </w:p>
              </w:tc>
              <w:tc>
                <w:tcPr>
                  <w:tcW w:w="1506" w:type="dxa"/>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rPr>
                    <w:t>夜间</w:t>
                  </w:r>
                </w:p>
              </w:tc>
              <w:tc>
                <w:tcPr>
                  <w:tcW w:w="1494" w:type="dxa"/>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lang w:eastAsia="zh-CN"/>
                    </w:rPr>
                    <w:t>50</w:t>
                  </w:r>
                  <w:r>
                    <w:rPr>
                      <w:rFonts w:ascii="Times New Roman" w:hAnsi="Times New Roman" w:cs="Times New Roman"/>
                      <w:sz w:val="21"/>
                      <w:szCs w:val="21"/>
                    </w:rPr>
                    <w:t>dB（A）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vMerge w:val="continue"/>
                  <w:noWrap w:val="0"/>
                  <w:vAlign w:val="center"/>
                </w:tcPr>
                <w:p>
                  <w:pPr>
                    <w:spacing w:line="240" w:lineRule="auto"/>
                    <w:jc w:val="center"/>
                    <w:rPr>
                      <w:rFonts w:ascii="Times New Roman" w:hAnsi="Times New Roman" w:cs="Times New Roman"/>
                      <w:sz w:val="21"/>
                      <w:szCs w:val="21"/>
                    </w:rPr>
                  </w:pPr>
                </w:p>
              </w:tc>
              <w:tc>
                <w:tcPr>
                  <w:tcW w:w="3541" w:type="dxa"/>
                  <w:noWrap w:val="0"/>
                  <w:vAlign w:val="center"/>
                </w:tcPr>
                <w:p>
                  <w:pPr>
                    <w:widowControl/>
                    <w:spacing w:line="240" w:lineRule="auto"/>
                    <w:jc w:val="center"/>
                    <w:rPr>
                      <w:rFonts w:ascii="Times New Roman" w:hAnsi="Times New Roman" w:cs="Times New Roman"/>
                      <w:sz w:val="21"/>
                      <w:szCs w:val="21"/>
                      <w:lang w:eastAsia="zh-CN"/>
                    </w:rPr>
                  </w:pPr>
                  <w:r>
                    <w:rPr>
                      <w:rFonts w:hint="default" w:ascii="Times New Roman" w:hAnsi="Times New Roman" w:eastAsia="宋体" w:cs="Times New Roman"/>
                      <w:color w:val="000000"/>
                      <w:szCs w:val="21"/>
                      <w:u w:val="none"/>
                    </w:rPr>
                    <w:t>《</w:t>
                  </w:r>
                  <w:r>
                    <w:rPr>
                      <w:rFonts w:hint="default" w:ascii="Times New Roman" w:hAnsi="Times New Roman" w:eastAsia="宋体" w:cs="Times New Roman"/>
                      <w:u w:val="none"/>
                    </w:rPr>
                    <w:fldChar w:fldCharType="begin"/>
                  </w:r>
                  <w:r>
                    <w:rPr>
                      <w:rFonts w:hint="default" w:ascii="Times New Roman" w:hAnsi="Times New Roman" w:eastAsia="宋体" w:cs="Times New Roman"/>
                      <w:u w:val="none"/>
                    </w:rPr>
                    <w:instrText xml:space="preserve"> HYPERLINK "http://kjs.mep.gov.cn/hjbhbz/bzwb/wlhj/hjzspfbz/201112/W020111222566521145325.pdf" </w:instrText>
                  </w:r>
                  <w:r>
                    <w:rPr>
                      <w:rFonts w:hint="default" w:ascii="Times New Roman" w:hAnsi="Times New Roman" w:eastAsia="宋体" w:cs="Times New Roman"/>
                      <w:u w:val="none"/>
                    </w:rPr>
                    <w:fldChar w:fldCharType="separate"/>
                  </w:r>
                  <w:r>
                    <w:rPr>
                      <w:rFonts w:hint="default" w:ascii="Times New Roman" w:hAnsi="Times New Roman" w:eastAsia="宋体" w:cs="Times New Roman"/>
                      <w:color w:val="000000"/>
                      <w:u w:val="none"/>
                    </w:rPr>
                    <w:t>建筑施工场界环境噪声排放标准</w:t>
                  </w:r>
                  <w:r>
                    <w:rPr>
                      <w:rFonts w:hint="default" w:ascii="Times New Roman" w:hAnsi="Times New Roman" w:eastAsia="宋体" w:cs="Times New Roman"/>
                      <w:color w:val="000000"/>
                      <w:u w:val="none"/>
                    </w:rPr>
                    <w:fldChar w:fldCharType="end"/>
                  </w:r>
                  <w:r>
                    <w:rPr>
                      <w:rFonts w:hint="default" w:ascii="Times New Roman" w:hAnsi="Times New Roman" w:eastAsia="宋体" w:cs="Times New Roman"/>
                      <w:color w:val="000000"/>
                      <w:szCs w:val="21"/>
                      <w:u w:val="none"/>
                    </w:rPr>
                    <w:t>》（GB12523-2011）</w:t>
                  </w:r>
                </w:p>
              </w:tc>
              <w:tc>
                <w:tcPr>
                  <w:tcW w:w="4064" w:type="dxa"/>
                  <w:gridSpan w:val="3"/>
                  <w:noWrap w:val="0"/>
                  <w:vAlign w:val="center"/>
                </w:tcPr>
                <w:p>
                  <w:pPr>
                    <w:widowControl/>
                    <w:spacing w:line="240" w:lineRule="auto"/>
                    <w:jc w:val="center"/>
                    <w:rPr>
                      <w:rFonts w:ascii="Times New Roman" w:hAnsi="Times New Roman" w:cs="Times New Roman"/>
                      <w:sz w:val="21"/>
                      <w:szCs w:val="21"/>
                      <w:lang w:eastAsia="zh-CN"/>
                    </w:rPr>
                  </w:pPr>
                  <w:r>
                    <w:rPr>
                      <w:rFonts w:hint="default" w:ascii="Times New Roman" w:hAnsi="Times New Roman" w:eastAsia="宋体" w:cs="Times New Roman"/>
                      <w:sz w:val="21"/>
                      <w:szCs w:val="21"/>
                      <w:lang w:val="en-US" w:eastAsia="zh-CN"/>
                    </w:rPr>
                    <w:t>昼间：70 dB(A)、夜间：55 dB(A)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noWrap w:val="0"/>
                  <w:vAlign w:val="center"/>
                </w:tcPr>
                <w:p>
                  <w:pPr>
                    <w:spacing w:line="240" w:lineRule="auto"/>
                    <w:jc w:val="center"/>
                    <w:rPr>
                      <w:rFonts w:ascii="Times New Roman" w:hAnsi="Times New Roman" w:cs="Times New Roman"/>
                      <w:sz w:val="21"/>
                      <w:szCs w:val="21"/>
                    </w:rPr>
                  </w:pPr>
                  <w:r>
                    <w:rPr>
                      <w:rFonts w:ascii="Times New Roman" w:hAnsi="Times New Roman" w:cs="Times New Roman"/>
                      <w:sz w:val="21"/>
                      <w:szCs w:val="21"/>
                    </w:rPr>
                    <w:t>固废</w:t>
                  </w:r>
                </w:p>
              </w:tc>
              <w:tc>
                <w:tcPr>
                  <w:tcW w:w="7605" w:type="dxa"/>
                  <w:gridSpan w:val="4"/>
                  <w:noWrap w:val="0"/>
                  <w:vAlign w:val="center"/>
                </w:tcPr>
                <w:p>
                  <w:pPr>
                    <w:widowControl/>
                    <w:spacing w:line="240" w:lineRule="auto"/>
                    <w:jc w:val="center"/>
                    <w:rPr>
                      <w:rFonts w:ascii="Times New Roman" w:hAnsi="Times New Roman" w:cs="Times New Roman"/>
                      <w:sz w:val="21"/>
                      <w:szCs w:val="21"/>
                      <w:lang w:val="en-GB" w:eastAsia="zh-CN"/>
                    </w:rPr>
                  </w:pPr>
                  <w:r>
                    <w:rPr>
                      <w:rFonts w:ascii="Times New Roman" w:hAnsi="Times New Roman" w:cs="Times New Roman"/>
                      <w:sz w:val="21"/>
                      <w:szCs w:val="21"/>
                      <w:lang w:eastAsia="zh-CN"/>
                    </w:rPr>
                    <w:t>《一般工业固体废物贮存和填埋污染控制标准》（GB 18599-2020）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Ex>
              <w:trPr>
                <w:trHeight w:val="57" w:hRule="atLeast"/>
                <w:jc w:val="center"/>
              </w:trPr>
              <w:tc>
                <w:tcPr>
                  <w:tcW w:w="694" w:type="dxa"/>
                  <w:noWrap w:val="0"/>
                  <w:vAlign w:val="center"/>
                </w:tcPr>
                <w:p>
                  <w:pPr>
                    <w:spacing w:line="240" w:lineRule="auto"/>
                    <w:jc w:val="center"/>
                    <w:rPr>
                      <w:rFonts w:ascii="Times New Roman" w:hAnsi="Times New Roman" w:cs="Times New Roman"/>
                      <w:sz w:val="21"/>
                      <w:szCs w:val="21"/>
                      <w:lang w:eastAsia="zh-CN"/>
                    </w:rPr>
                  </w:pPr>
                  <w:r>
                    <w:rPr>
                      <w:rFonts w:ascii="Times New Roman" w:hAnsi="Times New Roman" w:cs="Times New Roman"/>
                      <w:sz w:val="21"/>
                      <w:szCs w:val="21"/>
                      <w:lang w:eastAsia="zh-CN"/>
                    </w:rPr>
                    <w:t>危废</w:t>
                  </w:r>
                </w:p>
              </w:tc>
              <w:tc>
                <w:tcPr>
                  <w:tcW w:w="7605" w:type="dxa"/>
                  <w:gridSpan w:val="4"/>
                  <w:noWrap w:val="0"/>
                  <w:vAlign w:val="center"/>
                </w:tcPr>
                <w:p>
                  <w:pPr>
                    <w:widowControl/>
                    <w:spacing w:line="240" w:lineRule="auto"/>
                    <w:jc w:val="center"/>
                    <w:rPr>
                      <w:rFonts w:ascii="Times New Roman" w:hAnsi="Times New Roman" w:cs="Times New Roman"/>
                      <w:sz w:val="21"/>
                      <w:szCs w:val="21"/>
                      <w:lang w:eastAsia="zh-CN"/>
                    </w:rPr>
                  </w:pPr>
                  <w:r>
                    <w:rPr>
                      <w:rFonts w:ascii="Times New Roman" w:hAnsi="Times New Roman" w:cs="Times New Roman"/>
                      <w:sz w:val="21"/>
                      <w:szCs w:val="21"/>
                      <w:lang w:eastAsia="zh-CN"/>
                    </w:rPr>
                    <w:t>《危险废物贮存污染控制标准》(GB18597-2023)</w:t>
                  </w:r>
                </w:p>
              </w:tc>
            </w:tr>
          </w:tbl>
          <w:p>
            <w:pPr>
              <w:adjustRightInd w:val="0"/>
              <w:snapToGrid w:val="0"/>
              <w:jc w:val="both"/>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94" w:hRule="atLeast"/>
          <w:jc w:val="center"/>
        </w:trPr>
        <w:tc>
          <w:tcPr>
            <w:tcW w:w="800" w:type="dxa"/>
            <w:noWrap w:val="0"/>
            <w:vAlign w:val="center"/>
          </w:tcPr>
          <w:p>
            <w:pPr>
              <w:spacing w:line="240" w:lineRule="auto"/>
              <w:jc w:val="center"/>
              <w:rPr>
                <w:rFonts w:ascii="Cambria" w:hAnsi="Cambria"/>
                <w:b/>
                <w:sz w:val="28"/>
              </w:rPr>
            </w:pPr>
            <w:r>
              <w:rPr>
                <w:rFonts w:ascii="Cambria" w:hAnsi="Cambria"/>
                <w:b/>
                <w:sz w:val="28"/>
              </w:rPr>
              <w:t>总</w:t>
            </w:r>
          </w:p>
          <w:p>
            <w:pPr>
              <w:spacing w:line="240" w:lineRule="auto"/>
              <w:jc w:val="center"/>
              <w:rPr>
                <w:rFonts w:ascii="Cambria" w:hAnsi="Cambria"/>
                <w:b/>
                <w:sz w:val="28"/>
              </w:rPr>
            </w:pPr>
            <w:r>
              <w:rPr>
                <w:rFonts w:ascii="Cambria" w:hAnsi="Cambria"/>
                <w:b/>
                <w:sz w:val="28"/>
              </w:rPr>
              <w:t>量</w:t>
            </w:r>
          </w:p>
          <w:p>
            <w:pPr>
              <w:spacing w:line="240" w:lineRule="auto"/>
              <w:jc w:val="center"/>
              <w:rPr>
                <w:rFonts w:ascii="Cambria" w:hAnsi="Cambria"/>
                <w:b/>
                <w:sz w:val="28"/>
              </w:rPr>
            </w:pPr>
            <w:r>
              <w:rPr>
                <w:rFonts w:ascii="Cambria" w:hAnsi="Cambria"/>
                <w:b/>
                <w:sz w:val="28"/>
              </w:rPr>
              <w:t>控</w:t>
            </w:r>
          </w:p>
          <w:p>
            <w:pPr>
              <w:spacing w:line="240" w:lineRule="auto"/>
              <w:jc w:val="center"/>
              <w:rPr>
                <w:rFonts w:ascii="Cambria" w:hAnsi="Cambria"/>
                <w:b/>
                <w:sz w:val="28"/>
              </w:rPr>
            </w:pPr>
            <w:r>
              <w:rPr>
                <w:rFonts w:ascii="Cambria" w:hAnsi="Cambria"/>
                <w:b/>
                <w:sz w:val="28"/>
              </w:rPr>
              <w:t>制</w:t>
            </w:r>
          </w:p>
          <w:p>
            <w:pPr>
              <w:spacing w:line="240" w:lineRule="auto"/>
              <w:jc w:val="center"/>
              <w:rPr>
                <w:rFonts w:ascii="Cambria" w:hAnsi="Cambria"/>
                <w:b/>
                <w:sz w:val="28"/>
              </w:rPr>
            </w:pPr>
            <w:r>
              <w:rPr>
                <w:rFonts w:ascii="Cambria" w:hAnsi="Cambria"/>
                <w:b/>
                <w:sz w:val="28"/>
              </w:rPr>
              <w:t>指</w:t>
            </w:r>
          </w:p>
          <w:p>
            <w:pPr>
              <w:adjustRightInd w:val="0"/>
              <w:snapToGrid w:val="0"/>
              <w:jc w:val="center"/>
              <w:rPr>
                <w:rFonts w:hint="eastAsia" w:ascii="宋体" w:hAnsi="宋体" w:cs="宋体"/>
                <w:kern w:val="0"/>
                <w:szCs w:val="21"/>
              </w:rPr>
            </w:pPr>
            <w:r>
              <w:rPr>
                <w:rFonts w:ascii="Cambria" w:hAnsi="Cambria"/>
                <w:b/>
                <w:sz w:val="28"/>
              </w:rPr>
              <w:t>标</w:t>
            </w:r>
          </w:p>
        </w:tc>
        <w:tc>
          <w:tcPr>
            <w:tcW w:w="8528" w:type="dxa"/>
            <w:noWrap w:val="0"/>
            <w:vAlign w:val="top"/>
          </w:tcPr>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jc w:val="both"/>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kern w:val="0"/>
                <w:sz w:val="24"/>
                <w:szCs w:val="24"/>
                <w:lang w:val="en-US" w:eastAsia="zh-CN" w:bidi="ar-SA"/>
              </w:rPr>
              <w:t>1、</w:t>
            </w:r>
            <w:r>
              <w:rPr>
                <w:rFonts w:hint="default" w:ascii="Times New Roman" w:hAnsi="Times New Roman" w:eastAsia="宋体" w:cs="Times New Roman"/>
                <w:b/>
                <w:bCs/>
                <w:sz w:val="24"/>
                <w:szCs w:val="24"/>
              </w:rPr>
              <w:t>水污染物总量控制指标</w:t>
            </w:r>
          </w:p>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firstLine="480" w:firstLineChars="200"/>
              <w:jc w:val="both"/>
              <w:textAlignment w:val="auto"/>
              <w:rPr>
                <w:rFonts w:hint="eastAsia" w:ascii="Times New Roman" w:hAnsi="Times New Roman" w:eastAsia="宋体" w:cs="Times New Roman"/>
                <w:sz w:val="24"/>
                <w:szCs w:val="24"/>
                <w:lang w:eastAsia="zh-CN"/>
              </w:rPr>
            </w:pPr>
            <w:r>
              <w:rPr>
                <w:rFonts w:hint="eastAsia" w:cs="Times New Roman"/>
                <w:sz w:val="24"/>
                <w:szCs w:val="24"/>
                <w:lang w:eastAsia="zh-CN"/>
              </w:rPr>
              <w:t>本项目营运期职工生活用水量为0.2</w:t>
            </w:r>
            <w:r>
              <w:rPr>
                <w:rFonts w:hint="eastAsia" w:cs="Times New Roman"/>
                <w:sz w:val="24"/>
                <w:szCs w:val="24"/>
                <w:lang w:val="en-US" w:eastAsia="zh-CN"/>
              </w:rPr>
              <w:t>m</w:t>
            </w:r>
            <w:r>
              <w:rPr>
                <w:rFonts w:hint="eastAsia" w:cs="Times New Roman"/>
                <w:sz w:val="24"/>
                <w:szCs w:val="24"/>
                <w:vertAlign w:val="superscript"/>
                <w:lang w:val="en-US" w:eastAsia="zh-CN"/>
              </w:rPr>
              <w:t>3</w:t>
            </w:r>
            <w:r>
              <w:rPr>
                <w:rFonts w:hint="eastAsia" w:cs="Times New Roman"/>
                <w:sz w:val="24"/>
                <w:szCs w:val="24"/>
                <w:lang w:val="en-US" w:eastAsia="zh-CN"/>
              </w:rPr>
              <w:t>/d</w:t>
            </w:r>
            <w:r>
              <w:rPr>
                <w:rFonts w:hint="eastAsia" w:cs="Times New Roman"/>
                <w:sz w:val="24"/>
                <w:szCs w:val="24"/>
                <w:lang w:eastAsia="zh-CN"/>
              </w:rPr>
              <w:t>、60m³/a，生活污水产污系数按照0.8计算，废水产生量为0.16</w:t>
            </w:r>
            <w:r>
              <w:rPr>
                <w:rFonts w:hint="eastAsia" w:cs="Times New Roman"/>
                <w:sz w:val="24"/>
                <w:szCs w:val="24"/>
                <w:lang w:val="en-US" w:eastAsia="zh-CN"/>
              </w:rPr>
              <w:t>m</w:t>
            </w:r>
            <w:r>
              <w:rPr>
                <w:rFonts w:hint="eastAsia" w:cs="Times New Roman"/>
                <w:sz w:val="24"/>
                <w:szCs w:val="24"/>
                <w:vertAlign w:val="superscript"/>
                <w:lang w:val="en-US" w:eastAsia="zh-CN"/>
              </w:rPr>
              <w:t>3</w:t>
            </w:r>
            <w:r>
              <w:rPr>
                <w:rFonts w:hint="eastAsia" w:cs="Times New Roman"/>
                <w:sz w:val="24"/>
                <w:szCs w:val="24"/>
                <w:lang w:val="en-US" w:eastAsia="zh-CN"/>
              </w:rPr>
              <w:t>/d</w:t>
            </w:r>
            <w:r>
              <w:rPr>
                <w:rFonts w:hint="eastAsia" w:cs="Times New Roman"/>
                <w:sz w:val="24"/>
                <w:szCs w:val="24"/>
                <w:lang w:eastAsia="zh-CN"/>
              </w:rPr>
              <w:t>，48</w:t>
            </w:r>
            <w:r>
              <w:rPr>
                <w:rFonts w:hint="eastAsia" w:cs="Times New Roman"/>
                <w:sz w:val="24"/>
                <w:szCs w:val="24"/>
                <w:lang w:val="en-US" w:eastAsia="zh-CN"/>
              </w:rPr>
              <w:t>m</w:t>
            </w:r>
            <w:r>
              <w:rPr>
                <w:rFonts w:hint="eastAsia" w:cs="Times New Roman"/>
                <w:sz w:val="24"/>
                <w:szCs w:val="24"/>
                <w:vertAlign w:val="superscript"/>
                <w:lang w:val="en-US" w:eastAsia="zh-CN"/>
              </w:rPr>
              <w:t>3</w:t>
            </w:r>
            <w:r>
              <w:rPr>
                <w:rFonts w:hint="eastAsia" w:cs="Times New Roman"/>
                <w:sz w:val="24"/>
                <w:szCs w:val="24"/>
                <w:lang w:val="en-US" w:eastAsia="zh-CN"/>
              </w:rPr>
              <w:t>/a，</w:t>
            </w:r>
            <w:r>
              <w:rPr>
                <w:rFonts w:hint="eastAsia" w:ascii="Times New Roman" w:hAnsi="Times New Roman" w:eastAsia="宋体" w:cs="Times New Roman"/>
                <w:sz w:val="24"/>
                <w:szCs w:val="24"/>
                <w:lang w:eastAsia="zh-CN"/>
              </w:rPr>
              <w:t>经化粪池处理后，进入</w:t>
            </w:r>
            <w:r>
              <w:rPr>
                <w:rFonts w:hint="eastAsia" w:cs="Times New Roman"/>
                <w:sz w:val="24"/>
                <w:szCs w:val="24"/>
                <w:lang w:eastAsia="zh-CN"/>
              </w:rPr>
              <w:t>艾草产业园污水处理设备</w:t>
            </w:r>
            <w:r>
              <w:rPr>
                <w:rFonts w:hint="eastAsia" w:ascii="Times New Roman" w:hAnsi="Times New Roman" w:eastAsia="宋体" w:cs="Times New Roman"/>
                <w:sz w:val="24"/>
                <w:szCs w:val="24"/>
                <w:lang w:eastAsia="zh-CN"/>
              </w:rPr>
              <w:t>，达标后</w:t>
            </w:r>
            <w:r>
              <w:rPr>
                <w:rFonts w:hint="eastAsia" w:cs="Times New Roman"/>
                <w:sz w:val="24"/>
                <w:szCs w:val="24"/>
                <w:lang w:eastAsia="zh-CN"/>
              </w:rPr>
              <w:t>经城镇污水管网排入泗水河</w:t>
            </w:r>
            <w:r>
              <w:rPr>
                <w:rFonts w:hint="eastAsia" w:ascii="Times New Roman" w:hAnsi="Times New Roman" w:eastAsia="宋体" w:cs="Times New Roman"/>
                <w:sz w:val="24"/>
                <w:szCs w:val="24"/>
                <w:lang w:eastAsia="zh-CN"/>
              </w:rPr>
              <w:t>。</w:t>
            </w:r>
          </w:p>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firstLine="480" w:firstLineChars="200"/>
              <w:jc w:val="both"/>
              <w:textAlignment w:val="auto"/>
              <w:rPr>
                <w:rFonts w:hint="eastAsia" w:cs="Times New Roman"/>
                <w:sz w:val="24"/>
                <w:szCs w:val="24"/>
                <w:lang w:val="en-US" w:eastAsia="zh-CN"/>
              </w:rPr>
            </w:pPr>
            <w:r>
              <w:rPr>
                <w:rFonts w:hint="eastAsia" w:cs="Times New Roman"/>
                <w:sz w:val="24"/>
                <w:szCs w:val="24"/>
                <w:lang w:eastAsia="zh-CN"/>
              </w:rPr>
              <w:t>本项目污水总排口污染物总量控制（根据源强分析）</w:t>
            </w:r>
            <w:r>
              <w:rPr>
                <w:rFonts w:hint="eastAsia" w:cs="Times New Roman"/>
                <w:color w:val="auto"/>
                <w:sz w:val="24"/>
                <w:szCs w:val="24"/>
                <w:lang w:eastAsia="zh-CN"/>
              </w:rPr>
              <w:t>为：</w:t>
            </w:r>
            <w:r>
              <w:rPr>
                <w:rFonts w:hint="eastAsia" w:cs="Times New Roman"/>
                <w:color w:val="auto"/>
                <w:sz w:val="24"/>
                <w:szCs w:val="24"/>
                <w:lang w:val="en-US" w:eastAsia="zh-CN"/>
              </w:rPr>
              <w:t>COD：</w:t>
            </w:r>
            <w:r>
              <w:rPr>
                <w:rFonts w:hint="default" w:ascii="Times New Roman" w:hAnsi="Times New Roman" w:eastAsia="宋体" w:cs="Times New Roman"/>
                <w:color w:val="auto"/>
                <w:sz w:val="24"/>
                <w:szCs w:val="24"/>
              </w:rPr>
              <w:t>0.0029</w:t>
            </w:r>
            <w:r>
              <w:rPr>
                <w:rFonts w:hint="eastAsia" w:cs="Times New Roman"/>
                <w:color w:val="auto"/>
                <w:sz w:val="24"/>
                <w:szCs w:val="24"/>
                <w:lang w:val="en-US" w:eastAsia="zh-CN"/>
              </w:rPr>
              <w:t>t/a；NH</w:t>
            </w:r>
            <w:r>
              <w:rPr>
                <w:rFonts w:hint="eastAsia" w:cs="Times New Roman"/>
                <w:color w:val="auto"/>
                <w:sz w:val="24"/>
                <w:szCs w:val="24"/>
                <w:vertAlign w:val="subscript"/>
                <w:lang w:val="en-US" w:eastAsia="zh-CN"/>
              </w:rPr>
              <w:t>3</w:t>
            </w:r>
            <w:r>
              <w:rPr>
                <w:rFonts w:hint="eastAsia" w:cs="Times New Roman"/>
                <w:color w:val="auto"/>
                <w:sz w:val="24"/>
                <w:szCs w:val="24"/>
                <w:lang w:val="en-US" w:eastAsia="zh-CN"/>
              </w:rPr>
              <w:t>-N：</w:t>
            </w:r>
            <w:r>
              <w:rPr>
                <w:rFonts w:hint="default" w:ascii="Times New Roman" w:hAnsi="Times New Roman" w:eastAsia="宋体" w:cs="Times New Roman"/>
                <w:color w:val="auto"/>
                <w:sz w:val="24"/>
                <w:szCs w:val="24"/>
              </w:rPr>
              <w:t>0.00038</w:t>
            </w:r>
            <w:r>
              <w:rPr>
                <w:rFonts w:hint="eastAsia" w:cs="Times New Roman"/>
                <w:color w:val="auto"/>
                <w:sz w:val="24"/>
                <w:szCs w:val="24"/>
                <w:lang w:val="en-US" w:eastAsia="zh-CN"/>
              </w:rPr>
              <w:t>t/a。</w:t>
            </w:r>
          </w:p>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jc w:val="both"/>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kern w:val="0"/>
                <w:sz w:val="24"/>
                <w:szCs w:val="24"/>
                <w:lang w:val="en-US" w:eastAsia="zh-CN" w:bidi="ar-SA"/>
              </w:rPr>
              <w:t>2、</w:t>
            </w:r>
            <w:r>
              <w:rPr>
                <w:rFonts w:hint="default" w:ascii="Times New Roman" w:hAnsi="Times New Roman" w:eastAsia="宋体" w:cs="Times New Roman"/>
                <w:b/>
                <w:bCs/>
                <w:sz w:val="24"/>
                <w:szCs w:val="24"/>
              </w:rPr>
              <w:t>大气总量控制指标</w:t>
            </w:r>
          </w:p>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sz w:val="24"/>
                <w:szCs w:val="24"/>
                <w:lang w:eastAsia="zh-CN"/>
              </w:rPr>
              <w:t>根据后文计算可知，</w:t>
            </w:r>
            <w:r>
              <w:rPr>
                <w:rFonts w:hint="eastAsia" w:ascii="Times New Roman" w:hAnsi="Times New Roman" w:eastAsia="宋体" w:cs="Times New Roman"/>
                <w:color w:val="auto"/>
                <w:sz w:val="24"/>
                <w:szCs w:val="24"/>
                <w:lang w:val="en-US" w:eastAsia="zh-CN"/>
              </w:rPr>
              <w:t>本项目VOCs废气总量控制指标为0.0737t/a</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jc w:val="both"/>
              <w:textAlignment w:val="auto"/>
              <w:rPr>
                <w:rFonts w:hint="eastAsia" w:ascii="Times New Roman" w:hAnsi="Times New Roman" w:eastAsia="宋体" w:cs="Times New Roman"/>
                <w:b/>
                <w:bCs/>
                <w:color w:val="000000"/>
                <w:sz w:val="24"/>
                <w:highlight w:val="none"/>
                <w:u w:val="none"/>
                <w:lang w:val="en-US" w:eastAsia="zh-CN"/>
              </w:rPr>
            </w:pPr>
            <w:r>
              <w:rPr>
                <w:rFonts w:hint="eastAsia" w:ascii="Times New Roman" w:hAnsi="Times New Roman" w:eastAsia="宋体" w:cs="Times New Roman"/>
                <w:b/>
                <w:bCs/>
                <w:color w:val="000000"/>
                <w:sz w:val="24"/>
                <w:highlight w:val="none"/>
                <w:u w:val="none"/>
                <w:lang w:val="en-US" w:eastAsia="zh-CN"/>
              </w:rPr>
              <w:t>3、总量替代方案</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default" w:ascii="宋体" w:hAnsi="宋体" w:cs="宋体"/>
                <w:kern w:val="0"/>
                <w:szCs w:val="21"/>
                <w:lang w:val="en-US"/>
              </w:rPr>
            </w:pPr>
            <w:r>
              <w:rPr>
                <w:rFonts w:hint="eastAsia" w:ascii="Times New Roman" w:hAnsi="Times New Roman" w:eastAsia="宋体" w:cs="Times New Roman"/>
                <w:b w:val="0"/>
                <w:bCs w:val="0"/>
                <w:color w:val="auto"/>
                <w:sz w:val="24"/>
                <w:highlight w:val="none"/>
                <w:u w:val="none"/>
                <w:lang w:val="en-US" w:eastAsia="zh-CN"/>
              </w:rPr>
              <w:t>本次项目废气污染物总量控制指标为：VOC</w:t>
            </w:r>
            <w:r>
              <w:rPr>
                <w:rFonts w:hint="eastAsia" w:ascii="Times New Roman" w:hAnsi="Times New Roman" w:eastAsia="宋体" w:cs="Times New Roman"/>
                <w:b w:val="0"/>
                <w:bCs w:val="0"/>
                <w:color w:val="auto"/>
                <w:sz w:val="24"/>
                <w:highlight w:val="none"/>
                <w:u w:val="none"/>
                <w:vertAlign w:val="subscript"/>
                <w:lang w:val="en-US" w:eastAsia="zh-CN"/>
              </w:rPr>
              <w:t>S</w:t>
            </w:r>
            <w:r>
              <w:rPr>
                <w:rFonts w:hint="eastAsia" w:cs="Times New Roman"/>
                <w:b w:val="0"/>
                <w:bCs w:val="0"/>
                <w:color w:val="auto"/>
                <w:sz w:val="24"/>
                <w:highlight w:val="none"/>
                <w:u w:val="none"/>
                <w:lang w:val="en-US" w:eastAsia="zh-CN"/>
              </w:rPr>
              <w:t>：</w:t>
            </w:r>
            <w:r>
              <w:rPr>
                <w:rFonts w:hint="eastAsia" w:ascii="Times New Roman" w:hAnsi="Times New Roman" w:eastAsia="宋体" w:cs="Times New Roman"/>
                <w:color w:val="auto"/>
                <w:sz w:val="24"/>
                <w:szCs w:val="24"/>
                <w:lang w:val="en-US" w:eastAsia="zh-CN"/>
              </w:rPr>
              <w:t>0.0737</w:t>
            </w:r>
            <w:r>
              <w:rPr>
                <w:rFonts w:hint="eastAsia" w:ascii="Times New Roman" w:hAnsi="Times New Roman" w:eastAsia="宋体" w:cs="Times New Roman"/>
                <w:b w:val="0"/>
                <w:bCs w:val="0"/>
                <w:color w:val="auto"/>
                <w:sz w:val="24"/>
                <w:highlight w:val="none"/>
                <w:u w:val="none"/>
                <w:lang w:val="en-US" w:eastAsia="zh-CN"/>
              </w:rPr>
              <w:t>t/a，项目区202</w:t>
            </w:r>
            <w:r>
              <w:rPr>
                <w:rFonts w:hint="eastAsia" w:cs="Times New Roman"/>
                <w:b w:val="0"/>
                <w:bCs w:val="0"/>
                <w:color w:val="auto"/>
                <w:sz w:val="24"/>
                <w:highlight w:val="none"/>
                <w:u w:val="none"/>
                <w:lang w:val="en-US" w:eastAsia="zh-CN"/>
              </w:rPr>
              <w:t>3</w:t>
            </w:r>
            <w:r>
              <w:rPr>
                <w:rFonts w:hint="eastAsia" w:ascii="Times New Roman" w:hAnsi="Times New Roman" w:eastAsia="宋体" w:cs="Times New Roman"/>
                <w:b w:val="0"/>
                <w:bCs w:val="0"/>
                <w:color w:val="auto"/>
                <w:sz w:val="24"/>
                <w:highlight w:val="none"/>
                <w:u w:val="none"/>
                <w:lang w:val="en-US" w:eastAsia="zh-CN"/>
              </w:rPr>
              <w:t>年度环境空气质量不达标，</w:t>
            </w:r>
            <w:r>
              <w:rPr>
                <w:rFonts w:hint="eastAsia" w:cs="Times New Roman"/>
                <w:b w:val="0"/>
                <w:bCs w:val="0"/>
                <w:color w:val="auto"/>
                <w:sz w:val="24"/>
                <w:highlight w:val="none"/>
                <w:u w:val="none"/>
                <w:lang w:val="en-US" w:eastAsia="zh-CN"/>
              </w:rPr>
              <w:t>因此本项目大气污染物排放量需双倍替代，</w:t>
            </w:r>
            <w:r>
              <w:rPr>
                <w:rFonts w:hint="eastAsia" w:ascii="Times New Roman" w:hAnsi="Times New Roman" w:eastAsia="宋体" w:cs="Times New Roman"/>
                <w:b w:val="0"/>
                <w:bCs w:val="0"/>
                <w:color w:val="auto"/>
                <w:sz w:val="24"/>
                <w:highlight w:val="none"/>
                <w:u w:val="none"/>
                <w:lang w:val="en-US" w:eastAsia="zh-CN"/>
              </w:rPr>
              <w:t>替代量为：VOC</w:t>
            </w:r>
            <w:r>
              <w:rPr>
                <w:rFonts w:hint="eastAsia" w:ascii="Times New Roman" w:hAnsi="Times New Roman" w:eastAsia="宋体" w:cs="Times New Roman"/>
                <w:b w:val="0"/>
                <w:bCs w:val="0"/>
                <w:color w:val="auto"/>
                <w:sz w:val="24"/>
                <w:highlight w:val="none"/>
                <w:u w:val="none"/>
                <w:vertAlign w:val="subscript"/>
                <w:lang w:val="en-US" w:eastAsia="zh-CN"/>
              </w:rPr>
              <w:t>S</w:t>
            </w:r>
            <w:r>
              <w:rPr>
                <w:rFonts w:hint="eastAsia" w:cs="Times New Roman"/>
                <w:b w:val="0"/>
                <w:bCs w:val="0"/>
                <w:color w:val="auto"/>
                <w:sz w:val="24"/>
                <w:highlight w:val="none"/>
                <w:u w:val="none"/>
                <w:lang w:val="en-US" w:eastAsia="zh-CN"/>
              </w:rPr>
              <w:t>：0.1474</w:t>
            </w:r>
            <w:r>
              <w:rPr>
                <w:rFonts w:hint="eastAsia" w:ascii="Times New Roman" w:hAnsi="Times New Roman" w:eastAsia="宋体" w:cs="Times New Roman"/>
                <w:b w:val="0"/>
                <w:bCs w:val="0"/>
                <w:color w:val="auto"/>
                <w:sz w:val="24"/>
                <w:highlight w:val="none"/>
                <w:u w:val="none"/>
                <w:lang w:val="en-US" w:eastAsia="zh-CN"/>
              </w:rPr>
              <w:t>t/a。</w:t>
            </w:r>
          </w:p>
        </w:tc>
      </w:tr>
    </w:tbl>
    <w:p>
      <w:pPr>
        <w:pStyle w:val="21"/>
        <w:jc w:val="center"/>
        <w:outlineLvl w:val="0"/>
        <w:rPr>
          <w:rFonts w:ascii="黑体" w:hAnsi="黑体" w:eastAsia="黑体"/>
          <w:b/>
          <w:bCs/>
          <w:snapToGrid w:val="0"/>
          <w:sz w:val="30"/>
          <w:szCs w:val="30"/>
        </w:rPr>
      </w:pPr>
      <w:r>
        <w:rPr>
          <w:rFonts w:ascii="黑体" w:hAnsi="黑体" w:eastAsia="黑体"/>
          <w:snapToGrid w:val="0"/>
          <w:sz w:val="36"/>
          <w:szCs w:val="36"/>
        </w:rPr>
        <w:br w:type="page"/>
      </w:r>
      <w:r>
        <w:rPr>
          <w:rFonts w:hint="eastAsia" w:ascii="黑体" w:hAnsi="黑体" w:eastAsia="黑体"/>
          <w:b/>
          <w:bCs/>
          <w:snapToGrid w:val="0"/>
          <w:sz w:val="30"/>
          <w:szCs w:val="30"/>
        </w:rPr>
        <w:t>四、主要环境影响和保护措施</w:t>
      </w:r>
    </w:p>
    <w:tbl>
      <w:tblPr>
        <w:tblStyle w:val="26"/>
        <w:tblW w:w="960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2"/>
        <w:gridCol w:w="87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233" w:hRule="atLeast"/>
          <w:jc w:val="center"/>
        </w:trPr>
        <w:tc>
          <w:tcPr>
            <w:tcW w:w="892" w:type="dxa"/>
            <w:noWrap w:val="0"/>
            <w:tcMar>
              <w:left w:w="28" w:type="dxa"/>
              <w:right w:w="28" w:type="dxa"/>
            </w:tcMar>
            <w:vAlign w:val="center"/>
          </w:tcPr>
          <w:p>
            <w:pPr>
              <w:pStyle w:val="21"/>
              <w:adjustRightInd w:val="0"/>
              <w:snapToGrid w:val="0"/>
              <w:spacing w:before="0" w:beforeAutospacing="0" w:after="0" w:afterAutospacing="0"/>
              <w:jc w:val="center"/>
              <w:rPr>
                <w:rFonts w:hint="eastAsia" w:ascii="Times New Roman" w:hAnsi="宋体" w:eastAsia="宋体" w:cs="Times New Roman"/>
                <w:b/>
                <w:bCs/>
                <w:color w:val="auto"/>
                <w:kern w:val="2"/>
                <w:sz w:val="28"/>
                <w:szCs w:val="28"/>
                <w:lang w:val="en-US" w:eastAsia="zh-CN" w:bidi="ar-SA"/>
              </w:rPr>
            </w:pPr>
            <w:r>
              <w:rPr>
                <w:rFonts w:hint="eastAsia" w:cs="宋体"/>
                <w:b/>
                <w:bCs/>
                <w:kern w:val="2"/>
                <w:sz w:val="28"/>
                <w:szCs w:val="28"/>
              </w:rPr>
              <w:t>施</w:t>
            </w:r>
            <w:r>
              <w:rPr>
                <w:rFonts w:hint="eastAsia" w:ascii="Times New Roman" w:hAnsi="宋体" w:eastAsia="宋体" w:cs="Times New Roman"/>
                <w:b/>
                <w:bCs/>
                <w:color w:val="auto"/>
                <w:kern w:val="2"/>
                <w:sz w:val="28"/>
                <w:szCs w:val="28"/>
                <w:lang w:val="en-US" w:eastAsia="zh-CN" w:bidi="ar-SA"/>
              </w:rPr>
              <w:t>工</w:t>
            </w:r>
          </w:p>
          <w:p>
            <w:pPr>
              <w:pStyle w:val="21"/>
              <w:adjustRightInd w:val="0"/>
              <w:snapToGrid w:val="0"/>
              <w:spacing w:before="0" w:beforeAutospacing="0" w:after="0" w:afterAutospacing="0"/>
              <w:jc w:val="center"/>
              <w:rPr>
                <w:rFonts w:hint="eastAsia" w:ascii="Times New Roman" w:hAnsi="宋体" w:eastAsia="宋体" w:cs="Times New Roman"/>
                <w:b/>
                <w:bCs/>
                <w:color w:val="auto"/>
                <w:kern w:val="2"/>
                <w:sz w:val="28"/>
                <w:szCs w:val="28"/>
                <w:lang w:val="en-US" w:eastAsia="zh-CN" w:bidi="ar-SA"/>
              </w:rPr>
            </w:pPr>
            <w:r>
              <w:rPr>
                <w:rFonts w:hint="eastAsia" w:ascii="Times New Roman" w:hAnsi="宋体" w:eastAsia="宋体" w:cs="Times New Roman"/>
                <w:b/>
                <w:bCs/>
                <w:color w:val="auto"/>
                <w:kern w:val="2"/>
                <w:sz w:val="28"/>
                <w:szCs w:val="28"/>
                <w:lang w:val="en-US" w:eastAsia="zh-CN" w:bidi="ar-SA"/>
              </w:rPr>
              <w:t>期环</w:t>
            </w:r>
          </w:p>
          <w:p>
            <w:pPr>
              <w:pStyle w:val="21"/>
              <w:adjustRightInd w:val="0"/>
              <w:snapToGrid w:val="0"/>
              <w:spacing w:before="0" w:beforeAutospacing="0" w:after="0" w:afterAutospacing="0"/>
              <w:jc w:val="center"/>
              <w:rPr>
                <w:rFonts w:hint="eastAsia" w:ascii="Times New Roman" w:hAnsi="宋体" w:eastAsia="宋体" w:cs="Times New Roman"/>
                <w:b/>
                <w:bCs/>
                <w:color w:val="auto"/>
                <w:kern w:val="2"/>
                <w:sz w:val="28"/>
                <w:szCs w:val="28"/>
                <w:lang w:val="en-US" w:eastAsia="zh-CN" w:bidi="ar-SA"/>
              </w:rPr>
            </w:pPr>
            <w:r>
              <w:rPr>
                <w:rFonts w:hint="eastAsia" w:ascii="Times New Roman" w:hAnsi="宋体" w:eastAsia="宋体" w:cs="Times New Roman"/>
                <w:b/>
                <w:bCs/>
                <w:color w:val="auto"/>
                <w:kern w:val="2"/>
                <w:sz w:val="28"/>
                <w:szCs w:val="28"/>
                <w:lang w:val="en-US" w:eastAsia="zh-CN" w:bidi="ar-SA"/>
              </w:rPr>
              <w:t>境保</w:t>
            </w:r>
          </w:p>
          <w:p>
            <w:pPr>
              <w:pStyle w:val="21"/>
              <w:adjustRightInd w:val="0"/>
              <w:snapToGrid w:val="0"/>
              <w:spacing w:before="0" w:beforeAutospacing="0" w:after="0" w:afterAutospacing="0"/>
              <w:jc w:val="center"/>
              <w:rPr>
                <w:rFonts w:hint="eastAsia" w:ascii="Times New Roman" w:hAnsi="宋体" w:eastAsia="宋体" w:cs="Times New Roman"/>
                <w:b/>
                <w:bCs/>
                <w:color w:val="auto"/>
                <w:kern w:val="2"/>
                <w:sz w:val="28"/>
                <w:szCs w:val="28"/>
                <w:lang w:val="en-US" w:eastAsia="zh-CN" w:bidi="ar-SA"/>
              </w:rPr>
            </w:pPr>
            <w:r>
              <w:rPr>
                <w:rFonts w:hint="eastAsia" w:ascii="Times New Roman" w:hAnsi="宋体" w:eastAsia="宋体" w:cs="Times New Roman"/>
                <w:b/>
                <w:bCs/>
                <w:color w:val="auto"/>
                <w:kern w:val="2"/>
                <w:sz w:val="28"/>
                <w:szCs w:val="28"/>
                <w:lang w:val="en-US" w:eastAsia="zh-CN" w:bidi="ar-SA"/>
              </w:rPr>
              <w:t>护措</w:t>
            </w:r>
          </w:p>
          <w:p>
            <w:pPr>
              <w:pStyle w:val="21"/>
              <w:adjustRightInd w:val="0"/>
              <w:snapToGrid w:val="0"/>
              <w:spacing w:before="0" w:beforeAutospacing="0" w:after="0" w:afterAutospacing="0"/>
              <w:jc w:val="center"/>
              <w:rPr>
                <w:rFonts w:hint="eastAsia" w:cs="宋体"/>
                <w:bCs/>
                <w:kern w:val="2"/>
                <w:sz w:val="21"/>
                <w:szCs w:val="21"/>
              </w:rPr>
            </w:pPr>
            <w:r>
              <w:rPr>
                <w:rFonts w:hint="eastAsia" w:ascii="Times New Roman" w:hAnsi="宋体" w:eastAsia="宋体" w:cs="Times New Roman"/>
                <w:b/>
                <w:bCs/>
                <w:color w:val="auto"/>
                <w:kern w:val="2"/>
                <w:sz w:val="28"/>
                <w:szCs w:val="28"/>
                <w:lang w:val="en-US" w:eastAsia="zh-CN" w:bidi="ar-SA"/>
              </w:rPr>
              <w:t>施</w:t>
            </w:r>
          </w:p>
        </w:tc>
        <w:tc>
          <w:tcPr>
            <w:tcW w:w="8708" w:type="dxa"/>
            <w:noWrap w:val="0"/>
            <w:vAlign w:val="center"/>
          </w:tcPr>
          <w:p>
            <w:pPr>
              <w:spacing w:line="520" w:lineRule="exact"/>
              <w:ind w:firstLine="480" w:firstLineChars="200"/>
              <w:rPr>
                <w:rFonts w:ascii="宋体" w:hAnsi="宋体" w:cs="宋体"/>
                <w:bCs/>
                <w:spacing w:val="-10"/>
                <w:szCs w:val="21"/>
              </w:rPr>
            </w:pPr>
            <w:r>
              <w:rPr>
                <w:rFonts w:hint="default"/>
                <w:color w:val="auto"/>
                <w:sz w:val="24"/>
                <w:szCs w:val="24"/>
                <w:lang w:val="en-US" w:eastAsia="zh-CN"/>
              </w:rPr>
              <w:t>本项目为利用现有厂房进行</w:t>
            </w:r>
            <w:r>
              <w:rPr>
                <w:rFonts w:hint="eastAsia"/>
                <w:color w:val="auto"/>
                <w:sz w:val="24"/>
                <w:szCs w:val="24"/>
                <w:lang w:val="en-US" w:eastAsia="zh-CN"/>
              </w:rPr>
              <w:t>建设</w:t>
            </w:r>
            <w:r>
              <w:rPr>
                <w:rFonts w:hint="default"/>
                <w:color w:val="auto"/>
                <w:sz w:val="24"/>
                <w:szCs w:val="24"/>
                <w:lang w:val="en-US" w:eastAsia="zh-CN"/>
              </w:rPr>
              <w:t>，施工期需要进行车间装修及设备安装，主要污染为施工期装修噪声、安装工作人员产生的生活污水、生活垃圾及建筑垃圾等。本项目施工期较短，随着施工期的结束，施工期影响也将结束，预计不会对周围环境产生大的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92" w:type="dxa"/>
            <w:noWrap w:val="0"/>
            <w:tcMar>
              <w:left w:w="28" w:type="dxa"/>
              <w:right w:w="28" w:type="dxa"/>
            </w:tcMar>
            <w:vAlign w:val="center"/>
          </w:tcPr>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运</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营</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期</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环</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境</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影</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响</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和</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保</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护</w:t>
            </w:r>
          </w:p>
          <w:p>
            <w:pPr>
              <w:adjustRightInd w:val="0"/>
              <w:snapToGrid w:val="0"/>
              <w:jc w:val="center"/>
              <w:rPr>
                <w:rFonts w:hint="eastAsia" w:ascii="宋体" w:hAnsi="宋体" w:cs="宋体"/>
                <w:b/>
                <w:bCs w:val="0"/>
                <w:sz w:val="28"/>
                <w:szCs w:val="28"/>
              </w:rPr>
            </w:pPr>
            <w:r>
              <w:rPr>
                <w:rFonts w:hint="eastAsia" w:ascii="宋体" w:hAnsi="宋体" w:cs="宋体"/>
                <w:b/>
                <w:bCs w:val="0"/>
                <w:sz w:val="28"/>
                <w:szCs w:val="28"/>
              </w:rPr>
              <w:t>措</w:t>
            </w:r>
          </w:p>
          <w:p>
            <w:pPr>
              <w:adjustRightInd w:val="0"/>
              <w:snapToGrid w:val="0"/>
              <w:jc w:val="center"/>
              <w:rPr>
                <w:rFonts w:ascii="宋体" w:hAnsi="宋体" w:cs="宋体"/>
                <w:bCs/>
                <w:szCs w:val="21"/>
              </w:rPr>
            </w:pPr>
            <w:r>
              <w:rPr>
                <w:rFonts w:hint="eastAsia" w:ascii="宋体" w:hAnsi="宋体" w:cs="宋体"/>
                <w:b/>
                <w:bCs w:val="0"/>
                <w:sz w:val="28"/>
                <w:szCs w:val="28"/>
              </w:rPr>
              <w:t>施</w:t>
            </w:r>
          </w:p>
        </w:tc>
        <w:tc>
          <w:tcPr>
            <w:tcW w:w="8708" w:type="dxa"/>
            <w:noWrap w:val="0"/>
            <w:vAlign w:val="center"/>
          </w:tcPr>
          <w:p>
            <w:pPr>
              <w:spacing w:line="520" w:lineRule="exact"/>
              <w:rPr>
                <w:rFonts w:hint="eastAsia"/>
                <w:b/>
                <w:bCs/>
                <w:color w:val="auto"/>
                <w:sz w:val="24"/>
                <w:szCs w:val="24"/>
                <w:lang w:val="en-US" w:eastAsia="zh-CN"/>
              </w:rPr>
            </w:pPr>
            <w:r>
              <w:rPr>
                <w:rFonts w:hint="eastAsia"/>
                <w:b/>
                <w:bCs/>
                <w:color w:val="auto"/>
                <w:sz w:val="24"/>
                <w:szCs w:val="24"/>
                <w:lang w:val="en-US" w:eastAsia="zh-CN"/>
              </w:rPr>
              <w:t>1、大气环境影响分析</w:t>
            </w:r>
          </w:p>
          <w:p>
            <w:pPr>
              <w:spacing w:line="520" w:lineRule="exact"/>
              <w:ind w:firstLine="482" w:firstLineChars="200"/>
              <w:rPr>
                <w:rFonts w:hint="eastAsia"/>
                <w:b/>
                <w:bCs/>
                <w:color w:val="auto"/>
                <w:sz w:val="24"/>
                <w:szCs w:val="24"/>
                <w:lang w:val="en-US" w:eastAsia="zh-CN"/>
              </w:rPr>
            </w:pPr>
            <w:r>
              <w:rPr>
                <w:rFonts w:hint="eastAsia"/>
                <w:b/>
                <w:bCs/>
                <w:color w:val="auto"/>
                <w:sz w:val="24"/>
                <w:szCs w:val="24"/>
                <w:lang w:val="en-US" w:eastAsia="zh-CN"/>
              </w:rPr>
              <w:t>1.1源强分析</w:t>
            </w:r>
          </w:p>
          <w:p>
            <w:pPr>
              <w:spacing w:line="360" w:lineRule="auto"/>
              <w:ind w:firstLine="480" w:firstLineChars="200"/>
              <w:rPr>
                <w:rFonts w:hint="eastAsia"/>
                <w:color w:val="auto"/>
                <w:sz w:val="24"/>
                <w:szCs w:val="24"/>
                <w:lang w:val="en-US" w:eastAsia="zh-CN"/>
              </w:rPr>
            </w:pPr>
            <w:r>
              <w:rPr>
                <w:rFonts w:hint="default"/>
                <w:color w:val="auto"/>
                <w:sz w:val="24"/>
                <w:szCs w:val="24"/>
                <w:lang w:val="en-US" w:eastAsia="zh-CN"/>
              </w:rPr>
              <w:t>项目营运期大气污染物主要是</w:t>
            </w:r>
            <w:r>
              <w:rPr>
                <w:rFonts w:hint="eastAsia"/>
                <w:color w:val="auto"/>
                <w:sz w:val="24"/>
                <w:szCs w:val="24"/>
                <w:lang w:val="en-US" w:eastAsia="zh-CN"/>
              </w:rPr>
              <w:t>生产配料过程中产生的粉尘，以及涂布、干复、烘干过程产生的有机废气。有机废气成分按非甲烷总烃计。</w:t>
            </w:r>
          </w:p>
          <w:p>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31"/>
              <w:textAlignment w:val="auto"/>
              <w:rPr>
                <w:rFonts w:hint="default" w:ascii="Times New Roman" w:hAnsi="Times New Roman" w:eastAsia="宋体" w:cs="Times New Roman"/>
                <w:b w:val="0"/>
                <w:bCs w:val="0"/>
                <w:color w:val="auto"/>
                <w:kern w:val="2"/>
                <w:sz w:val="24"/>
                <w:szCs w:val="24"/>
                <w:u w:val="none"/>
                <w:lang w:val="en-US" w:eastAsia="zh-CN" w:bidi="ar-SA"/>
              </w:rPr>
            </w:pPr>
            <w:r>
              <w:rPr>
                <w:rFonts w:hint="eastAsia" w:ascii="Times New Roman" w:hAnsi="Times New Roman" w:eastAsia="宋体" w:cs="Times New Roman"/>
                <w:b w:val="0"/>
                <w:bCs w:val="0"/>
                <w:color w:val="auto"/>
                <w:kern w:val="2"/>
                <w:sz w:val="24"/>
                <w:szCs w:val="24"/>
                <w:u w:val="none"/>
                <w:lang w:val="en-US" w:eastAsia="zh-CN" w:bidi="ar-SA"/>
              </w:rPr>
              <w:t>本项目</w:t>
            </w:r>
            <w:r>
              <w:rPr>
                <w:rFonts w:hint="eastAsia" w:eastAsia="宋体" w:cs="Times New Roman"/>
                <w:b w:val="0"/>
                <w:bCs w:val="0"/>
                <w:color w:val="auto"/>
                <w:kern w:val="2"/>
                <w:sz w:val="24"/>
                <w:szCs w:val="24"/>
                <w:u w:val="none"/>
                <w:lang w:val="en-US" w:eastAsia="zh-CN" w:bidi="ar-SA"/>
              </w:rPr>
              <w:t>设1</w:t>
            </w:r>
            <w:r>
              <w:rPr>
                <w:rFonts w:hint="eastAsia" w:ascii="Times New Roman" w:hAnsi="Times New Roman" w:eastAsia="宋体" w:cs="Times New Roman"/>
                <w:b w:val="0"/>
                <w:bCs w:val="0"/>
                <w:color w:val="auto"/>
                <w:kern w:val="2"/>
                <w:sz w:val="24"/>
                <w:szCs w:val="24"/>
                <w:u w:val="none"/>
                <w:lang w:val="en-US" w:eastAsia="zh-CN" w:bidi="ar-SA"/>
              </w:rPr>
              <w:t>条</w:t>
            </w:r>
            <w:r>
              <w:rPr>
                <w:rFonts w:hint="eastAsia" w:eastAsia="宋体" w:cs="Times New Roman"/>
                <w:b w:val="0"/>
                <w:bCs w:val="0"/>
                <w:color w:val="auto"/>
                <w:kern w:val="2"/>
                <w:sz w:val="24"/>
                <w:szCs w:val="24"/>
                <w:u w:val="none"/>
                <w:lang w:val="en-US" w:eastAsia="zh-CN" w:bidi="ar-SA"/>
              </w:rPr>
              <w:t>石墨烯发热新材料</w:t>
            </w:r>
            <w:r>
              <w:rPr>
                <w:rFonts w:hint="eastAsia" w:ascii="Times New Roman" w:hAnsi="Times New Roman" w:eastAsia="宋体" w:cs="Times New Roman"/>
                <w:b w:val="0"/>
                <w:bCs w:val="0"/>
                <w:color w:val="auto"/>
                <w:kern w:val="2"/>
                <w:sz w:val="24"/>
                <w:szCs w:val="24"/>
                <w:u w:val="none"/>
                <w:lang w:val="en-US" w:eastAsia="zh-CN" w:bidi="ar-SA"/>
              </w:rPr>
              <w:t>生产线，</w:t>
            </w:r>
            <w:r>
              <w:rPr>
                <w:rFonts w:hint="eastAsia" w:eastAsia="宋体" w:cs="Times New Roman"/>
                <w:b w:val="0"/>
                <w:bCs w:val="0"/>
                <w:color w:val="auto"/>
                <w:kern w:val="2"/>
                <w:sz w:val="24"/>
                <w:szCs w:val="24"/>
                <w:u w:val="none"/>
                <w:lang w:val="en-US" w:eastAsia="zh-CN" w:bidi="ar-SA"/>
              </w:rPr>
              <w:t>年运行300天。</w:t>
            </w:r>
          </w:p>
          <w:p>
            <w:pPr>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（1）配料过程中产生的粉尘</w:t>
            </w:r>
          </w:p>
          <w:p>
            <w:pPr>
              <w:spacing w:line="360" w:lineRule="auto"/>
              <w:ind w:firstLine="480" w:firstLineChars="200"/>
              <w:rPr>
                <w:rFonts w:hint="eastAsia"/>
                <w:color w:val="auto"/>
                <w:sz w:val="24"/>
                <w:szCs w:val="24"/>
                <w:u w:val="none"/>
                <w:lang w:val="en-US" w:eastAsia="zh-CN"/>
              </w:rPr>
            </w:pPr>
            <w:r>
              <w:rPr>
                <w:rFonts w:hint="eastAsia"/>
                <w:color w:val="000000" w:themeColor="text1"/>
                <w:sz w:val="24"/>
                <w:szCs w:val="24"/>
                <w:u w:val="none"/>
                <w:lang w:val="en-US" w:eastAsia="zh-CN"/>
                <w14:textFill>
                  <w14:solidFill>
                    <w14:schemeClr w14:val="tx1"/>
                  </w14:solidFill>
                </w14:textFill>
              </w:rPr>
              <w:t>本项目原料石墨烯分散材料袋装（20kg/袋），配料过程人工破袋并倒入小型搅拌机搅拌桶（30L）中，石墨烯与水配比为1:40，配料过程操作条件缓和，石墨烯用量为5.006t/a（17kg/d），每天配料在0.5h内完成。</w:t>
            </w:r>
            <w:r>
              <w:rPr>
                <w:rFonts w:hint="eastAsia"/>
                <w:color w:val="auto"/>
                <w:sz w:val="24"/>
                <w:szCs w:val="24"/>
                <w:u w:val="none"/>
                <w:lang w:val="en-US" w:eastAsia="zh-CN"/>
              </w:rPr>
              <w:t>项目设置单独密闭配料间，配料过程均在单独密闭配料间内完成，</w:t>
            </w:r>
            <w:r>
              <w:rPr>
                <w:rFonts w:hint="eastAsia"/>
                <w:color w:val="000000" w:themeColor="text1"/>
                <w:sz w:val="24"/>
                <w:szCs w:val="24"/>
                <w:u w:val="none"/>
                <w:lang w:val="en-US" w:eastAsia="zh-CN"/>
                <w14:textFill>
                  <w14:solidFill>
                    <w14:schemeClr w14:val="tx1"/>
                  </w14:solidFill>
                </w14:textFill>
              </w:rPr>
              <w:t>加水后搅拌过程搅拌桶加盖密闭，无明显粉尘产生，配料过程主要为破袋及倒入搅拌机搅拌桶过程会产生少量的粉尘，根据企业提供的资料，原料石墨烯分散材料破袋及倒入搅拌机搅拌桶过程粉尘产生量约为原料使用量的0.0002%，即为</w:t>
            </w:r>
            <w:r>
              <w:rPr>
                <w:rFonts w:hint="eastAsia"/>
                <w:color w:val="000000"/>
                <w:sz w:val="24"/>
                <w:szCs w:val="24"/>
                <w:u w:val="none"/>
                <w:lang w:val="en-US" w:eastAsia="zh-CN"/>
              </w:rPr>
              <w:t>1.0kg/a</w:t>
            </w:r>
            <w:r>
              <w:rPr>
                <w:rFonts w:hint="eastAsia"/>
                <w:color w:val="000000" w:themeColor="text1"/>
                <w:sz w:val="24"/>
                <w:szCs w:val="24"/>
                <w:u w:val="none"/>
                <w:lang w:val="en-US" w:eastAsia="zh-CN"/>
                <w14:textFill>
                  <w14:solidFill>
                    <w14:schemeClr w14:val="tx1"/>
                  </w14:solidFill>
                </w14:textFill>
              </w:rPr>
              <w:t>，产生量较小，故</w:t>
            </w:r>
            <w:r>
              <w:rPr>
                <w:rFonts w:hint="eastAsia"/>
                <w:color w:val="auto"/>
                <w:sz w:val="24"/>
                <w:szCs w:val="24"/>
                <w:u w:val="none"/>
                <w:lang w:val="en-US" w:eastAsia="zh-CN"/>
              </w:rPr>
              <w:t>粉尘经配料间沉降后再经车间无组织排放，不再进行有组织收集；同时配料间地面及时清理，确保地面无明显积尘。</w:t>
            </w:r>
          </w:p>
          <w:p>
            <w:pPr>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（2）涂布、干复、烘干过程产生的有机废气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sz w:val="24"/>
                <w:szCs w:val="24"/>
                <w:u w:val="single"/>
                <w:lang w:val="en-US" w:eastAsia="zh-CN"/>
              </w:rPr>
            </w:pPr>
            <w:r>
              <w:rPr>
                <w:rFonts w:hint="eastAsia"/>
                <w:color w:val="auto"/>
                <w:sz w:val="24"/>
                <w:szCs w:val="24"/>
                <w:lang w:val="en-US" w:eastAsia="zh-CN"/>
              </w:rPr>
              <w:t>本项目涂布、干复工序工作温度约为75℃，烘干工序工作温度约为40℃，主要通过涂布、干复工序将PE膜、石墨烯分散材料、艾绒布复合在一起形成石墨烯发热新材料，烘干工序以去除复合材料中剩余的水分，此过程PE膜在加热复合过程会产生少量的有机废气。查阅《第二次全国污染源普查工业源产污手册》—277卫生材料及医药用品制造行业系数手册，该手册中无涂布、干复、烘干工序产污系数，根据本项目生产工序原理：主要通过加热将PE膜、石墨烯分散材料、艾绒布复合在一起，故参考《第二次全国污染源普查工业源产污手册》—2929塑料零件及其他塑料制品制造行业中（塑料片材）吸塑工艺产污系数及同类建设项目，则本项目涂布、干复及烘干工序有机废气产生系数按1.90kg/t</w:t>
            </w:r>
            <w:r>
              <w:rPr>
                <w:rFonts w:hint="eastAsia"/>
                <w:color w:val="auto"/>
                <w:sz w:val="24"/>
                <w:szCs w:val="24"/>
                <w:vertAlign w:val="subscript"/>
                <w:lang w:val="en-US" w:eastAsia="zh-CN"/>
              </w:rPr>
              <w:t>产品</w:t>
            </w:r>
            <w:r>
              <w:rPr>
                <w:rFonts w:hint="eastAsia"/>
                <w:color w:val="auto"/>
                <w:sz w:val="24"/>
                <w:szCs w:val="24"/>
                <w:lang w:val="en-US" w:eastAsia="zh-CN"/>
              </w:rPr>
              <w:t>计，产品量按PE膜用量200.2t/a</w:t>
            </w:r>
            <w:r>
              <w:rPr>
                <w:rFonts w:hint="eastAsia"/>
                <w:color w:val="auto"/>
                <w:sz w:val="24"/>
                <w:szCs w:val="24"/>
                <w:u w:val="none"/>
                <w:lang w:val="en-US" w:eastAsia="zh-CN"/>
              </w:rPr>
              <w:t>计，故有机废气产生量约为0.38t/a。本项目在涂布机、干复机工作台以上进行二次密闭，烘干机全密闭，均采取负压集气，产生的有机废气经配套管道收集后经管道引至一套“二级活性炭吸附”装置处理后通过1根23m排气筒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default"/>
                <w:color w:val="auto"/>
                <w:sz w:val="24"/>
                <w:szCs w:val="24"/>
                <w:u w:val="none"/>
                <w:lang w:val="en-US" w:eastAsia="zh-CN"/>
              </w:rPr>
              <w:t>项目</w:t>
            </w:r>
            <w:r>
              <w:rPr>
                <w:rFonts w:hint="eastAsia"/>
                <w:color w:val="auto"/>
                <w:sz w:val="24"/>
                <w:szCs w:val="24"/>
                <w:u w:val="none"/>
                <w:lang w:val="en-US" w:eastAsia="zh-CN"/>
              </w:rPr>
              <w:t>涂布、干复、烘干</w:t>
            </w:r>
            <w:r>
              <w:rPr>
                <w:rFonts w:hint="default"/>
                <w:color w:val="auto"/>
                <w:sz w:val="24"/>
                <w:szCs w:val="24"/>
                <w:u w:val="none"/>
                <w:lang w:val="en-US" w:eastAsia="zh-CN"/>
              </w:rPr>
              <w:t>工序</w:t>
            </w:r>
            <w:r>
              <w:rPr>
                <w:rFonts w:hint="eastAsia"/>
                <w:color w:val="auto"/>
                <w:sz w:val="24"/>
                <w:szCs w:val="24"/>
                <w:u w:val="none"/>
                <w:lang w:val="en-US" w:eastAsia="zh-CN"/>
              </w:rPr>
              <w:t>每日运行7.5小时，年工作300天，</w:t>
            </w:r>
            <w:r>
              <w:rPr>
                <w:rFonts w:hint="default"/>
                <w:color w:val="auto"/>
                <w:sz w:val="24"/>
                <w:szCs w:val="24"/>
                <w:u w:val="none"/>
                <w:lang w:val="en-US" w:eastAsia="zh-CN"/>
              </w:rPr>
              <w:t>年运行时间为</w:t>
            </w:r>
            <w:r>
              <w:rPr>
                <w:rFonts w:hint="eastAsia"/>
                <w:color w:val="auto"/>
                <w:sz w:val="24"/>
                <w:szCs w:val="24"/>
                <w:u w:val="none"/>
                <w:lang w:val="en-US" w:eastAsia="zh-CN"/>
              </w:rPr>
              <w:t>2250小时</w:t>
            </w:r>
            <w:r>
              <w:rPr>
                <w:rFonts w:hint="default"/>
                <w:color w:val="auto"/>
                <w:sz w:val="24"/>
                <w:szCs w:val="24"/>
                <w:u w:val="none"/>
                <w:lang w:val="en-US" w:eastAsia="zh-CN"/>
              </w:rPr>
              <w:t>，</w:t>
            </w:r>
            <w:r>
              <w:rPr>
                <w:rFonts w:hint="eastAsia"/>
                <w:color w:val="auto"/>
                <w:sz w:val="24"/>
                <w:szCs w:val="24"/>
                <w:lang w:val="en-US" w:eastAsia="zh-CN"/>
              </w:rPr>
              <w:t>废气综合收集</w:t>
            </w:r>
            <w:r>
              <w:rPr>
                <w:rFonts w:hint="default"/>
                <w:color w:val="auto"/>
                <w:sz w:val="24"/>
                <w:szCs w:val="24"/>
                <w:lang w:val="en-US" w:eastAsia="zh-CN"/>
              </w:rPr>
              <w:t>效率不低于9</w:t>
            </w:r>
            <w:r>
              <w:rPr>
                <w:rFonts w:hint="eastAsia"/>
                <w:color w:val="auto"/>
                <w:sz w:val="24"/>
                <w:szCs w:val="24"/>
                <w:lang w:val="en-US" w:eastAsia="zh-CN"/>
              </w:rPr>
              <w:t>7</w:t>
            </w:r>
            <w:r>
              <w:rPr>
                <w:rFonts w:hint="default"/>
                <w:color w:val="auto"/>
                <w:sz w:val="24"/>
                <w:szCs w:val="24"/>
                <w:lang w:val="en-US" w:eastAsia="zh-CN"/>
              </w:rPr>
              <w:t>％，</w:t>
            </w:r>
            <w:r>
              <w:rPr>
                <w:rFonts w:hint="eastAsia"/>
                <w:color w:val="auto"/>
                <w:sz w:val="24"/>
                <w:szCs w:val="24"/>
                <w:lang w:val="en-US" w:eastAsia="zh-CN"/>
              </w:rPr>
              <w:t>处理设备废气处理</w:t>
            </w:r>
            <w:r>
              <w:rPr>
                <w:rFonts w:hint="default"/>
                <w:color w:val="auto"/>
                <w:sz w:val="24"/>
                <w:szCs w:val="24"/>
                <w:lang w:val="en-US" w:eastAsia="zh-CN"/>
              </w:rPr>
              <w:t>效率不低于</w:t>
            </w:r>
            <w:r>
              <w:rPr>
                <w:rFonts w:hint="eastAsia"/>
                <w:color w:val="auto"/>
                <w:sz w:val="24"/>
                <w:szCs w:val="24"/>
                <w:lang w:val="en-US" w:eastAsia="zh-CN"/>
              </w:rPr>
              <w:t>80</w:t>
            </w:r>
            <w:r>
              <w:rPr>
                <w:rFonts w:hint="default"/>
                <w:color w:val="auto"/>
                <w:sz w:val="24"/>
                <w:szCs w:val="24"/>
                <w:lang w:val="en-US" w:eastAsia="zh-CN"/>
              </w:rPr>
              <w:t>％，风机风量为</w:t>
            </w:r>
            <w:r>
              <w:rPr>
                <w:rFonts w:hint="eastAsia"/>
                <w:color w:val="auto"/>
                <w:sz w:val="24"/>
                <w:szCs w:val="24"/>
                <w:lang w:val="en-US" w:eastAsia="zh-CN"/>
              </w:rPr>
              <w:t>4000</w:t>
            </w:r>
            <w:r>
              <w:rPr>
                <w:rFonts w:hint="default"/>
                <w:color w:val="auto"/>
                <w:sz w:val="24"/>
                <w:szCs w:val="24"/>
                <w:lang w:val="en-US" w:eastAsia="zh-CN"/>
              </w:rPr>
              <w:t>m</w:t>
            </w:r>
            <w:r>
              <w:rPr>
                <w:rFonts w:hint="default"/>
                <w:color w:val="auto"/>
                <w:sz w:val="24"/>
                <w:szCs w:val="24"/>
                <w:vertAlign w:val="superscript"/>
                <w:lang w:val="en-US" w:eastAsia="zh-CN"/>
              </w:rPr>
              <w:t>3</w:t>
            </w:r>
            <w:r>
              <w:rPr>
                <w:rFonts w:hint="default"/>
                <w:color w:val="auto"/>
                <w:sz w:val="24"/>
                <w:szCs w:val="24"/>
                <w:lang w:val="en-US" w:eastAsia="zh-CN"/>
              </w:rPr>
              <w:t>/h</w:t>
            </w:r>
            <w:r>
              <w:rPr>
                <w:rFonts w:hint="eastAsia"/>
                <w:color w:val="auto"/>
                <w:sz w:val="24"/>
                <w:szCs w:val="24"/>
                <w:lang w:val="en-US" w:eastAsia="zh-CN"/>
              </w:rPr>
              <w:t>。</w:t>
            </w:r>
            <w:r>
              <w:rPr>
                <w:rFonts w:hint="default"/>
                <w:color w:val="auto"/>
                <w:sz w:val="24"/>
                <w:szCs w:val="24"/>
                <w:lang w:val="en-US" w:eastAsia="zh-CN"/>
              </w:rPr>
              <w:t>则有组织</w:t>
            </w:r>
            <w:r>
              <w:rPr>
                <w:rFonts w:hint="eastAsia"/>
                <w:color w:val="auto"/>
                <w:sz w:val="24"/>
                <w:szCs w:val="24"/>
                <w:lang w:val="en-US" w:eastAsia="zh-CN"/>
              </w:rPr>
              <w:t>非甲烷总烃</w:t>
            </w:r>
            <w:r>
              <w:rPr>
                <w:rFonts w:hint="default"/>
                <w:color w:val="auto"/>
                <w:sz w:val="24"/>
                <w:szCs w:val="24"/>
                <w:lang w:val="en-US" w:eastAsia="zh-CN"/>
              </w:rPr>
              <w:t>排放量约为</w:t>
            </w:r>
            <w:r>
              <w:rPr>
                <w:rFonts w:hint="eastAsia"/>
                <w:color w:val="auto"/>
                <w:sz w:val="24"/>
                <w:szCs w:val="24"/>
                <w:lang w:val="en-US" w:eastAsia="zh-CN"/>
              </w:rPr>
              <w:t>0.0737</w:t>
            </w:r>
            <w:r>
              <w:rPr>
                <w:rFonts w:hint="default"/>
                <w:color w:val="auto"/>
                <w:sz w:val="24"/>
                <w:szCs w:val="24"/>
                <w:lang w:val="en-US" w:eastAsia="zh-CN"/>
              </w:rPr>
              <w:t>t/a，排放浓度为</w:t>
            </w:r>
            <w:r>
              <w:rPr>
                <w:rFonts w:hint="eastAsia"/>
                <w:color w:val="auto"/>
                <w:sz w:val="24"/>
                <w:szCs w:val="24"/>
                <w:lang w:val="en-US" w:eastAsia="zh-CN"/>
              </w:rPr>
              <w:t>8.2</w:t>
            </w:r>
            <w:r>
              <w:rPr>
                <w:rFonts w:hint="default"/>
                <w:color w:val="auto"/>
                <w:sz w:val="24"/>
                <w:szCs w:val="24"/>
                <w:lang w:val="en-US" w:eastAsia="zh-CN"/>
              </w:rPr>
              <w:t>mg/m</w:t>
            </w:r>
            <w:r>
              <w:rPr>
                <w:rFonts w:hint="default"/>
                <w:color w:val="auto"/>
                <w:sz w:val="24"/>
                <w:szCs w:val="24"/>
                <w:vertAlign w:val="superscript"/>
                <w:lang w:val="en-US" w:eastAsia="zh-CN"/>
              </w:rPr>
              <w:t>3</w:t>
            </w:r>
            <w:r>
              <w:rPr>
                <w:rFonts w:hint="default"/>
                <w:color w:val="auto"/>
                <w:sz w:val="24"/>
                <w:szCs w:val="24"/>
                <w:lang w:val="en-US" w:eastAsia="zh-CN"/>
              </w:rPr>
              <w:t>，排放速率为</w:t>
            </w:r>
            <w:r>
              <w:rPr>
                <w:rFonts w:hint="eastAsia"/>
                <w:color w:val="auto"/>
                <w:sz w:val="24"/>
                <w:szCs w:val="24"/>
                <w:lang w:val="en-US" w:eastAsia="zh-CN"/>
              </w:rPr>
              <w:t>0.0328</w:t>
            </w:r>
            <w:r>
              <w:rPr>
                <w:rFonts w:hint="default"/>
                <w:color w:val="auto"/>
                <w:sz w:val="24"/>
                <w:szCs w:val="24"/>
                <w:lang w:val="en-US" w:eastAsia="zh-CN"/>
              </w:rPr>
              <w:t>kg/h。</w:t>
            </w:r>
          </w:p>
          <w:p>
            <w:pPr>
              <w:pStyle w:val="61"/>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bidi="ar-SA"/>
              </w:rPr>
              <w:t>表4-1  运营期加热、搅拌、涂布工序有组织废气产生及排放情况</w:t>
            </w:r>
          </w:p>
          <w:tbl>
            <w:tblPr>
              <w:tblStyle w:val="26"/>
              <w:tblW w:w="847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972"/>
              <w:gridCol w:w="1277"/>
              <w:gridCol w:w="1447"/>
              <w:gridCol w:w="982"/>
              <w:gridCol w:w="1256"/>
              <w:gridCol w:w="1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jc w:val="center"/>
              </w:trPr>
              <w:tc>
                <w:tcPr>
                  <w:tcW w:w="1299"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排放源</w:t>
                  </w:r>
                </w:p>
              </w:tc>
              <w:tc>
                <w:tcPr>
                  <w:tcW w:w="972"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eastAsia"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eastAsia="zh-CN"/>
                    </w:rPr>
                    <w:t>污染物</w:t>
                  </w:r>
                </w:p>
              </w:tc>
              <w:tc>
                <w:tcPr>
                  <w:tcW w:w="1277"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eastAsia"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产生量（t/a）</w:t>
                  </w:r>
                </w:p>
              </w:tc>
              <w:tc>
                <w:tcPr>
                  <w:tcW w:w="1447"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产生浓度</w:t>
                  </w:r>
                </w:p>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982"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w:t>
                  </w:r>
                </w:p>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1256"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排放浓度mg/m</w:t>
                  </w:r>
                  <w:r>
                    <w:rPr>
                      <w:rFonts w:hint="default" w:ascii="Times New Roman" w:hAnsi="Times New Roman" w:cs="Times New Roman"/>
                      <w:b/>
                      <w:bCs/>
                      <w:color w:val="auto"/>
                      <w:sz w:val="21"/>
                      <w:szCs w:val="21"/>
                      <w:vertAlign w:val="superscript"/>
                    </w:rPr>
                    <w:t>3</w:t>
                  </w:r>
                </w:p>
              </w:tc>
              <w:tc>
                <w:tcPr>
                  <w:tcW w:w="1244"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排放速率</w:t>
                  </w:r>
                </w:p>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jc w:val="center"/>
              </w:trPr>
              <w:tc>
                <w:tcPr>
                  <w:tcW w:w="1299"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b w:val="0"/>
                      <w:bCs/>
                      <w:color w:val="auto"/>
                      <w:kern w:val="2"/>
                      <w:sz w:val="21"/>
                      <w:szCs w:val="21"/>
                      <w:u w:val="none" w:color="auto"/>
                      <w:vertAlign w:val="baseline"/>
                      <w:lang w:val="en-US" w:eastAsia="zh-CN" w:bidi="ar-SA"/>
                    </w:rPr>
                    <w:t>涂布、干复、烘干</w:t>
                  </w:r>
                </w:p>
              </w:tc>
              <w:tc>
                <w:tcPr>
                  <w:tcW w:w="972"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1277"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0.38</w:t>
                  </w:r>
                </w:p>
              </w:tc>
              <w:tc>
                <w:tcPr>
                  <w:tcW w:w="1447"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42.25</w:t>
                  </w:r>
                </w:p>
              </w:tc>
              <w:tc>
                <w:tcPr>
                  <w:tcW w:w="982"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0.0737</w:t>
                  </w:r>
                </w:p>
              </w:tc>
              <w:tc>
                <w:tcPr>
                  <w:tcW w:w="1256"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8.2</w:t>
                  </w:r>
                </w:p>
              </w:tc>
              <w:tc>
                <w:tcPr>
                  <w:tcW w:w="1244" w:type="dxa"/>
                  <w:noWrap w:val="0"/>
                  <w:vAlign w:val="center"/>
                </w:tcPr>
                <w:p>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0.0328</w:t>
                  </w:r>
                </w:p>
              </w:tc>
            </w:tr>
          </w:tbl>
          <w:p>
            <w:pPr>
              <w:spacing w:line="520" w:lineRule="exact"/>
              <w:ind w:firstLine="480" w:firstLineChars="200"/>
              <w:rPr>
                <w:rFonts w:hint="default"/>
                <w:color w:val="auto"/>
                <w:sz w:val="24"/>
                <w:szCs w:val="24"/>
                <w:lang w:val="en-US" w:eastAsia="zh-CN"/>
              </w:rPr>
            </w:pPr>
            <w:r>
              <w:rPr>
                <w:rFonts w:hint="eastAsia"/>
                <w:color w:val="auto"/>
                <w:sz w:val="24"/>
                <w:szCs w:val="24"/>
                <w:lang w:val="en-US" w:eastAsia="zh-CN"/>
              </w:rPr>
              <w:t>未被收集的有机废气以无组织形式排放，排放量为0.011t/a。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宋体" w:hAnsi="宋体" w:eastAsia="宋体" w:cs="宋体"/>
                <w:bCs/>
                <w:spacing w:val="-10"/>
                <w:szCs w:val="21"/>
                <w:lang w:val="en-US" w:eastAsia="zh-CN"/>
              </w:rPr>
            </w:pPr>
            <w:r>
              <w:rPr>
                <w:rFonts w:hint="eastAsia" w:ascii="Times New Roman" w:hAnsi="Times New Roman" w:cs="Times New Roman"/>
                <w:color w:val="000000"/>
                <w:sz w:val="24"/>
                <w:szCs w:val="24"/>
                <w:lang w:eastAsia="zh-CN"/>
              </w:rPr>
              <w:t>项目废气产排情况一览表见下表：</w:t>
            </w:r>
          </w:p>
        </w:tc>
      </w:tr>
    </w:tbl>
    <w:p>
      <w:pPr>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eastAsia="宋体" w:cs="Times New Roman"/>
          <w:b/>
          <w:bCs w:val="0"/>
          <w:color w:val="auto"/>
          <w:kern w:val="2"/>
          <w:sz w:val="24"/>
          <w:szCs w:val="24"/>
          <w:u w:val="none" w:color="auto"/>
          <w:lang w:val="en-US" w:eastAsia="zh-CN" w:bidi="ar-SA"/>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eastAsia="宋体" w:cs="Times New Roman"/>
          <w:b/>
          <w:bCs w:val="0"/>
          <w:color w:val="auto"/>
          <w:kern w:val="2"/>
          <w:sz w:val="24"/>
          <w:szCs w:val="24"/>
          <w:u w:val="none" w:color="auto"/>
          <w:lang w:val="en-US" w:eastAsia="zh-CN" w:bidi="ar-SA"/>
        </w:rPr>
      </w:pPr>
    </w:p>
    <w:p>
      <w:pPr>
        <w:pStyle w:val="31"/>
        <w:spacing w:line="240" w:lineRule="auto"/>
        <w:jc w:val="center"/>
        <w:rPr>
          <w:rFonts w:hint="eastAsia" w:ascii="Times New Roman" w:hAnsi="Times New Roman" w:eastAsia="宋体" w:cs="Times New Roman"/>
          <w:b/>
          <w:bCs w:val="0"/>
          <w:color w:val="auto"/>
          <w:kern w:val="2"/>
          <w:sz w:val="24"/>
          <w:szCs w:val="24"/>
          <w:u w:val="none" w:color="auto"/>
          <w:lang w:val="en-US" w:eastAsia="zh-CN" w:bidi="ar-SA"/>
        </w:rPr>
      </w:pPr>
      <w:r>
        <w:rPr>
          <w:rFonts w:hint="eastAsia" w:ascii="Times New Roman" w:hAnsi="Times New Roman" w:eastAsia="宋体" w:cs="Times New Roman"/>
          <w:b/>
          <w:bCs w:val="0"/>
          <w:color w:val="auto"/>
          <w:kern w:val="2"/>
          <w:sz w:val="24"/>
          <w:szCs w:val="24"/>
          <w:lang w:val="en-US" w:eastAsia="zh-CN" w:bidi="ar-SA"/>
        </w:rPr>
        <w:t>表4-2  项目废气产排情况一览表</w:t>
      </w:r>
    </w:p>
    <w:tbl>
      <w:tblPr>
        <w:tblStyle w:val="27"/>
        <w:tblW w:w="14616" w:type="dxa"/>
        <w:tblInd w:w="-9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296"/>
        <w:gridCol w:w="1068"/>
        <w:gridCol w:w="1092"/>
        <w:gridCol w:w="912"/>
        <w:gridCol w:w="1116"/>
        <w:gridCol w:w="2730"/>
        <w:gridCol w:w="832"/>
        <w:gridCol w:w="1118"/>
        <w:gridCol w:w="1118"/>
        <w:gridCol w:w="941"/>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排气筒编号</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污染物名称</w:t>
            </w:r>
          </w:p>
        </w:tc>
        <w:tc>
          <w:tcPr>
            <w:tcW w:w="106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产生工序</w:t>
            </w:r>
          </w:p>
        </w:tc>
        <w:tc>
          <w:tcPr>
            <w:tcW w:w="109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风机风量（m</w:t>
            </w:r>
            <w:r>
              <w:rPr>
                <w:rFonts w:hint="default" w:ascii="Times New Roman" w:hAnsi="Times New Roman" w:eastAsia="宋体" w:cs="Times New Roman"/>
                <w:b/>
                <w:bCs w:val="0"/>
                <w:color w:val="auto"/>
                <w:kern w:val="2"/>
                <w:sz w:val="21"/>
                <w:szCs w:val="21"/>
                <w:u w:val="none" w:color="auto"/>
                <w:vertAlign w:val="superscript"/>
                <w:lang w:val="en-US" w:eastAsia="zh-CN" w:bidi="ar-SA"/>
              </w:rPr>
              <w:t>3</w:t>
            </w:r>
            <w:r>
              <w:rPr>
                <w:rFonts w:hint="default" w:ascii="Times New Roman" w:hAnsi="Times New Roman" w:eastAsia="宋体" w:cs="Times New Roman"/>
                <w:b/>
                <w:bCs w:val="0"/>
                <w:color w:val="auto"/>
                <w:kern w:val="2"/>
                <w:sz w:val="21"/>
                <w:szCs w:val="21"/>
                <w:u w:val="none" w:color="auto"/>
                <w:vertAlign w:val="baseline"/>
                <w:lang w:val="en-US" w:eastAsia="zh-CN" w:bidi="ar-SA"/>
              </w:rPr>
              <w:t>/h）</w:t>
            </w:r>
          </w:p>
        </w:tc>
        <w:tc>
          <w:tcPr>
            <w:tcW w:w="91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产生量（t/a）</w:t>
            </w:r>
          </w:p>
        </w:tc>
        <w:tc>
          <w:tcPr>
            <w:tcW w:w="111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产生浓度（mg/m</w:t>
            </w:r>
            <w:r>
              <w:rPr>
                <w:rFonts w:hint="default" w:ascii="Times New Roman" w:hAnsi="Times New Roman" w:eastAsia="宋体" w:cs="Times New Roman"/>
                <w:b/>
                <w:bCs w:val="0"/>
                <w:color w:val="auto"/>
                <w:kern w:val="2"/>
                <w:sz w:val="21"/>
                <w:szCs w:val="21"/>
                <w:u w:val="none" w:color="auto"/>
                <w:vertAlign w:val="superscript"/>
                <w:lang w:val="en-US" w:eastAsia="zh-CN" w:bidi="ar-SA"/>
              </w:rPr>
              <w:t>3</w:t>
            </w:r>
            <w:r>
              <w:rPr>
                <w:rFonts w:hint="default" w:ascii="Times New Roman" w:hAnsi="Times New Roman" w:eastAsia="宋体" w:cs="Times New Roman"/>
                <w:b/>
                <w:bCs w:val="0"/>
                <w:color w:val="auto"/>
                <w:kern w:val="2"/>
                <w:sz w:val="21"/>
                <w:szCs w:val="21"/>
                <w:u w:val="none" w:color="auto"/>
                <w:vertAlign w:val="baseline"/>
                <w:lang w:val="en-US" w:eastAsia="zh-CN" w:bidi="ar-SA"/>
              </w:rPr>
              <w:t>）</w:t>
            </w:r>
          </w:p>
        </w:tc>
        <w:tc>
          <w:tcPr>
            <w:tcW w:w="2730"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治理措施</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处理效率</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排放浓度（mg/m</w:t>
            </w:r>
            <w:r>
              <w:rPr>
                <w:rFonts w:hint="default" w:ascii="Times New Roman" w:hAnsi="Times New Roman" w:eastAsia="宋体" w:cs="Times New Roman"/>
                <w:b/>
                <w:bCs w:val="0"/>
                <w:color w:val="auto"/>
                <w:kern w:val="2"/>
                <w:sz w:val="21"/>
                <w:szCs w:val="21"/>
                <w:u w:val="none" w:color="auto"/>
                <w:vertAlign w:val="superscript"/>
                <w:lang w:val="en-US" w:eastAsia="zh-CN" w:bidi="ar-SA"/>
              </w:rPr>
              <w:t>3</w:t>
            </w:r>
            <w:r>
              <w:rPr>
                <w:rFonts w:hint="default" w:ascii="Times New Roman" w:hAnsi="Times New Roman" w:eastAsia="宋体" w:cs="Times New Roman"/>
                <w:b/>
                <w:bCs w:val="0"/>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排放速率（kg/h）</w:t>
            </w:r>
          </w:p>
        </w:tc>
        <w:tc>
          <w:tcPr>
            <w:tcW w:w="941"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排放量（t/a）</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bidi="ar-SA"/>
              </w:rPr>
            </w:pPr>
            <w:r>
              <w:rPr>
                <w:rFonts w:hint="default" w:ascii="Times New Roman" w:hAnsi="Times New Roman" w:eastAsia="宋体" w:cs="Times New Roman"/>
                <w:b/>
                <w:bCs w:val="0"/>
                <w:color w:val="auto"/>
                <w:kern w:val="2"/>
                <w:sz w:val="21"/>
                <w:szCs w:val="21"/>
                <w:u w:val="none" w:color="auto"/>
                <w:vertAlign w:val="baseline"/>
                <w:lang w:val="en-US" w:eastAsia="zh-CN" w:bidi="ar-SA"/>
              </w:rPr>
              <w:t>年排放时间(h)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default" w:ascii="Times New Roman" w:hAnsi="Times New Roman" w:eastAsia="宋体" w:cs="Times New Roman"/>
                <w:b w:val="0"/>
                <w:bCs/>
                <w:color w:val="auto"/>
                <w:kern w:val="2"/>
                <w:sz w:val="21"/>
                <w:szCs w:val="21"/>
                <w:u w:val="none" w:color="auto"/>
                <w:vertAlign w:val="baseline"/>
                <w:lang w:val="en-US" w:eastAsia="zh-CN" w:bidi="ar-SA"/>
              </w:rPr>
              <w:t>DA001</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default" w:ascii="Times New Roman" w:hAnsi="Times New Roman" w:eastAsia="宋体" w:cs="Times New Roman"/>
                <w:b w:val="0"/>
                <w:bCs/>
                <w:color w:val="auto"/>
                <w:kern w:val="2"/>
                <w:sz w:val="21"/>
                <w:szCs w:val="21"/>
                <w:u w:val="none" w:color="auto"/>
                <w:vertAlign w:val="baseline"/>
                <w:lang w:val="en-US" w:eastAsia="zh-CN" w:bidi="ar-SA"/>
              </w:rPr>
              <w:t>非甲烷总烃</w:t>
            </w:r>
          </w:p>
        </w:tc>
        <w:tc>
          <w:tcPr>
            <w:tcW w:w="106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ascii="Times New Roman" w:hAnsi="Times New Roman" w:eastAsia="宋体" w:cs="Times New Roman"/>
                <w:b w:val="0"/>
                <w:bCs/>
                <w:color w:val="auto"/>
                <w:kern w:val="2"/>
                <w:sz w:val="21"/>
                <w:szCs w:val="21"/>
                <w:u w:val="none" w:color="auto"/>
                <w:vertAlign w:val="baseline"/>
                <w:lang w:val="en-US" w:eastAsia="zh-CN" w:bidi="ar-SA"/>
              </w:rPr>
              <w:t>涂布、干复、烘干</w:t>
            </w:r>
          </w:p>
        </w:tc>
        <w:tc>
          <w:tcPr>
            <w:tcW w:w="109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4</w:t>
            </w:r>
            <w:r>
              <w:rPr>
                <w:rFonts w:hint="default" w:ascii="Times New Roman" w:hAnsi="Times New Roman" w:eastAsia="宋体" w:cs="Times New Roman"/>
                <w:b w:val="0"/>
                <w:bCs/>
                <w:color w:val="auto"/>
                <w:kern w:val="2"/>
                <w:sz w:val="21"/>
                <w:szCs w:val="21"/>
                <w:u w:val="none" w:color="auto"/>
                <w:vertAlign w:val="baseline"/>
                <w:lang w:val="en-US" w:eastAsia="zh-CN" w:bidi="ar-SA"/>
              </w:rPr>
              <w:t>000</w:t>
            </w:r>
          </w:p>
        </w:tc>
        <w:tc>
          <w:tcPr>
            <w:tcW w:w="91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0.38</w:t>
            </w:r>
          </w:p>
        </w:tc>
        <w:tc>
          <w:tcPr>
            <w:tcW w:w="111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42.25</w:t>
            </w:r>
          </w:p>
        </w:tc>
        <w:tc>
          <w:tcPr>
            <w:tcW w:w="2730"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default" w:ascii="Times New Roman" w:hAnsi="Times New Roman" w:cs="Times New Roman"/>
                <w:b w:val="0"/>
                <w:bCs/>
                <w:lang w:eastAsia="zh-CN"/>
              </w:rPr>
              <w:t>一套“二级活性炭吸附”装置处理后通过1根</w:t>
            </w:r>
            <w:r>
              <w:rPr>
                <w:rFonts w:hint="eastAsia" w:cs="Times New Roman"/>
                <w:b w:val="0"/>
                <w:bCs/>
                <w:lang w:val="en-US" w:eastAsia="zh-CN"/>
              </w:rPr>
              <w:t>23</w:t>
            </w:r>
            <w:r>
              <w:rPr>
                <w:rFonts w:hint="default" w:ascii="Times New Roman" w:hAnsi="Times New Roman" w:cs="Times New Roman"/>
                <w:b w:val="0"/>
                <w:bCs/>
                <w:lang w:eastAsia="zh-CN"/>
              </w:rPr>
              <w:t>m排气筒</w:t>
            </w:r>
            <w:r>
              <w:rPr>
                <w:rFonts w:hint="eastAsia" w:cs="Times New Roman"/>
                <w:b w:val="0"/>
                <w:bCs/>
                <w:lang w:eastAsia="zh-CN"/>
              </w:rPr>
              <w:t>（</w:t>
            </w:r>
            <w:r>
              <w:rPr>
                <w:rFonts w:hint="default" w:ascii="Times New Roman" w:hAnsi="Times New Roman" w:eastAsia="宋体" w:cs="Times New Roman"/>
                <w:b w:val="0"/>
                <w:bCs/>
                <w:color w:val="auto"/>
                <w:kern w:val="2"/>
                <w:sz w:val="21"/>
                <w:szCs w:val="21"/>
                <w:u w:val="none" w:color="auto"/>
                <w:vertAlign w:val="baseline"/>
                <w:lang w:val="en-US" w:eastAsia="zh-CN" w:bidi="ar-SA"/>
              </w:rPr>
              <w:t>DA001</w:t>
            </w:r>
            <w:r>
              <w:rPr>
                <w:rFonts w:hint="eastAsia" w:cs="Times New Roman"/>
                <w:b w:val="0"/>
                <w:bCs/>
                <w:lang w:eastAsia="zh-CN"/>
              </w:rPr>
              <w:t>）</w:t>
            </w:r>
            <w:r>
              <w:rPr>
                <w:rFonts w:hint="default" w:ascii="Times New Roman" w:hAnsi="Times New Roman" w:cs="Times New Roman"/>
                <w:b w:val="0"/>
                <w:bCs/>
                <w:lang w:eastAsia="zh-CN"/>
              </w:rPr>
              <w:t>排放</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80</w:t>
            </w:r>
            <w:r>
              <w:rPr>
                <w:rFonts w:hint="default" w:ascii="Times New Roman" w:hAnsi="Times New Roman" w:eastAsia="宋体" w:cs="Times New Roman"/>
                <w:b w:val="0"/>
                <w:bCs/>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8.2</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0.0328</w:t>
            </w:r>
          </w:p>
        </w:tc>
        <w:tc>
          <w:tcPr>
            <w:tcW w:w="941"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default" w:ascii="Times New Roman" w:hAnsi="Times New Roman" w:eastAsia="宋体" w:cs="Times New Roman"/>
                <w:b w:val="0"/>
                <w:bCs/>
                <w:color w:val="auto"/>
                <w:kern w:val="2"/>
                <w:sz w:val="21"/>
                <w:szCs w:val="21"/>
                <w:u w:val="none" w:color="auto"/>
                <w:vertAlign w:val="baseline"/>
                <w:lang w:val="en-US" w:eastAsia="zh-CN" w:bidi="ar-SA"/>
              </w:rPr>
              <w:t>0.</w:t>
            </w:r>
            <w:r>
              <w:rPr>
                <w:rFonts w:hint="eastAsia" w:cs="Times New Roman"/>
                <w:b w:val="0"/>
                <w:bCs/>
                <w:color w:val="auto"/>
                <w:kern w:val="2"/>
                <w:sz w:val="21"/>
                <w:szCs w:val="21"/>
                <w:u w:val="none" w:color="auto"/>
                <w:vertAlign w:val="baseline"/>
                <w:lang w:val="en-US" w:eastAsia="zh-CN" w:bidi="ar-SA"/>
              </w:rPr>
              <w:t>0737</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2250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trPr>
        <w:tc>
          <w:tcPr>
            <w:tcW w:w="135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无组织</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default" w:ascii="Times New Roman" w:hAnsi="Times New Roman" w:eastAsia="宋体" w:cs="Times New Roman"/>
                <w:b w:val="0"/>
                <w:bCs/>
                <w:color w:val="auto"/>
                <w:kern w:val="2"/>
                <w:sz w:val="21"/>
                <w:szCs w:val="21"/>
                <w:u w:val="none" w:color="auto"/>
                <w:vertAlign w:val="baseline"/>
                <w:lang w:val="en-US" w:eastAsia="zh-CN" w:bidi="ar-SA"/>
              </w:rPr>
              <w:t>非甲烷总烃</w:t>
            </w:r>
          </w:p>
        </w:tc>
        <w:tc>
          <w:tcPr>
            <w:tcW w:w="106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ascii="Times New Roman" w:hAnsi="Times New Roman" w:eastAsia="宋体" w:cs="Times New Roman"/>
                <w:b w:val="0"/>
                <w:bCs/>
                <w:color w:val="auto"/>
                <w:kern w:val="2"/>
                <w:sz w:val="21"/>
                <w:szCs w:val="21"/>
                <w:u w:val="none" w:color="auto"/>
                <w:vertAlign w:val="baseline"/>
                <w:lang w:val="en-US" w:eastAsia="zh-CN" w:bidi="ar-SA"/>
              </w:rPr>
              <w:t>涂布、干复、烘干</w:t>
            </w:r>
          </w:p>
        </w:tc>
        <w:tc>
          <w:tcPr>
            <w:tcW w:w="109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91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0.011</w:t>
            </w:r>
          </w:p>
        </w:tc>
        <w:tc>
          <w:tcPr>
            <w:tcW w:w="111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2730"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车间密闭，加强通风</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0.0048</w:t>
            </w:r>
          </w:p>
        </w:tc>
        <w:tc>
          <w:tcPr>
            <w:tcW w:w="941"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0.011</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2250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trPr>
        <w:tc>
          <w:tcPr>
            <w:tcW w:w="135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cs="Times New Roman"/>
                <w:b w:val="0"/>
                <w:bCs/>
                <w:color w:val="auto"/>
                <w:kern w:val="2"/>
                <w:sz w:val="21"/>
                <w:szCs w:val="21"/>
                <w:u w:val="none" w:color="auto"/>
                <w:vertAlign w:val="baseline"/>
                <w:lang w:val="en-US" w:eastAsia="zh-CN" w:bidi="ar-SA"/>
              </w:rPr>
            </w:pP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颗粒物</w:t>
            </w:r>
          </w:p>
        </w:tc>
        <w:tc>
          <w:tcPr>
            <w:tcW w:w="106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配料</w:t>
            </w:r>
          </w:p>
        </w:tc>
        <w:tc>
          <w:tcPr>
            <w:tcW w:w="109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91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0.001</w:t>
            </w:r>
          </w:p>
        </w:tc>
        <w:tc>
          <w:tcPr>
            <w:tcW w:w="1116"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2730"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车间密闭，加强通风</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w:t>
            </w:r>
          </w:p>
        </w:tc>
        <w:tc>
          <w:tcPr>
            <w:tcW w:w="111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7</w:t>
            </w:r>
          </w:p>
        </w:tc>
        <w:tc>
          <w:tcPr>
            <w:tcW w:w="941"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0.001</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cs="Times New Roman"/>
                <w:b w:val="0"/>
                <w:bCs/>
                <w:color w:val="auto"/>
                <w:kern w:val="2"/>
                <w:sz w:val="21"/>
                <w:szCs w:val="21"/>
                <w:u w:val="none" w:color="auto"/>
                <w:vertAlign w:val="baseline"/>
                <w:lang w:val="en-US" w:eastAsia="zh-CN" w:bidi="ar-SA"/>
              </w:rPr>
            </w:pPr>
            <w:r>
              <w:rPr>
                <w:rFonts w:hint="eastAsia" w:cs="Times New Roman"/>
                <w:b w:val="0"/>
                <w:bCs/>
                <w:color w:val="auto"/>
                <w:kern w:val="2"/>
                <w:sz w:val="21"/>
                <w:szCs w:val="21"/>
                <w:u w:val="none" w:color="auto"/>
                <w:vertAlign w:val="baseline"/>
                <w:lang w:val="en-US" w:eastAsia="zh-CN" w:bidi="ar-SA"/>
              </w:rPr>
              <w:t>150</w:t>
            </w:r>
          </w:p>
        </w:tc>
      </w:tr>
    </w:tbl>
    <w:p>
      <w:pPr>
        <w:pStyle w:val="2"/>
        <w:outlineLvl w:val="9"/>
        <w:rPr>
          <w:rFonts w:hint="eastAsia" w:ascii="Times New Roman" w:hAnsi="Times New Roman" w:eastAsia="宋体" w:cs="Times New Roman"/>
          <w:b/>
          <w:bCs w:val="0"/>
          <w:color w:val="auto"/>
          <w:kern w:val="2"/>
          <w:sz w:val="24"/>
          <w:szCs w:val="24"/>
          <w:u w:val="none" w:color="auto"/>
          <w:lang w:val="en-US" w:eastAsia="zh-CN" w:bidi="ar-SA"/>
        </w:rPr>
      </w:pPr>
    </w:p>
    <w:p>
      <w:pPr>
        <w:rPr>
          <w:rFonts w:hint="eastAsia" w:ascii="Times New Roman" w:hAnsi="Times New Roman" w:eastAsia="宋体" w:cs="Times New Roman"/>
          <w:b/>
          <w:bCs w:val="0"/>
          <w:color w:val="auto"/>
          <w:kern w:val="2"/>
          <w:sz w:val="24"/>
          <w:szCs w:val="24"/>
          <w:u w:val="none" w:color="auto"/>
          <w:lang w:val="en-US" w:eastAsia="zh-CN" w:bidi="ar-SA"/>
        </w:rPr>
      </w:pPr>
    </w:p>
    <w:p>
      <w:pPr>
        <w:pStyle w:val="2"/>
        <w:outlineLvl w:val="9"/>
        <w:rPr>
          <w:rFonts w:hint="eastAsia"/>
          <w:lang w:val="en-US" w:eastAsia="zh-CN"/>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7"/>
        <w:tblW w:w="9612" w:type="dxa"/>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8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2" w:type="dxa"/>
            <w:noWrap w:val="0"/>
            <w:vAlign w:val="top"/>
          </w:tcPr>
          <w:p>
            <w:pPr>
              <w:adjustRightInd w:val="0"/>
              <w:snapToGrid w:val="0"/>
              <w:spacing w:line="360" w:lineRule="auto"/>
              <w:rPr>
                <w:rFonts w:hint="eastAsia" w:ascii="宋体" w:cs="宋体"/>
                <w:b/>
                <w:kern w:val="0"/>
                <w:sz w:val="28"/>
                <w:szCs w:val="28"/>
                <w:vertAlign w:val="baseline"/>
              </w:rPr>
            </w:pPr>
          </w:p>
        </w:tc>
        <w:tc>
          <w:tcPr>
            <w:tcW w:w="8780"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line="360" w:lineRule="auto"/>
              <w:jc w:val="both"/>
              <w:textAlignment w:val="auto"/>
              <w:rPr>
                <w:rFonts w:ascii="Times New Roman" w:hAnsi="Times New Roman" w:eastAsia="宋体" w:cs="Times New Roman"/>
                <w:b/>
                <w:sz w:val="24"/>
                <w:szCs w:val="24"/>
                <w:lang w:eastAsia="zh-CN"/>
              </w:rPr>
            </w:pPr>
            <w:r>
              <w:rPr>
                <w:rFonts w:hint="eastAsia" w:ascii="Times New Roman" w:hAnsi="Times New Roman" w:eastAsia="宋体" w:cs="Times New Roman"/>
                <w:b/>
                <w:bCs w:val="0"/>
                <w:color w:val="auto"/>
                <w:kern w:val="2"/>
                <w:sz w:val="24"/>
                <w:szCs w:val="24"/>
                <w:u w:val="none" w:color="auto"/>
                <w:lang w:val="en-US" w:eastAsia="zh-CN" w:bidi="ar-SA"/>
              </w:rPr>
              <w:t>1.2、</w:t>
            </w:r>
            <w:r>
              <w:rPr>
                <w:rFonts w:ascii="Times New Roman" w:hAnsi="Times New Roman" w:eastAsia="宋体" w:cs="Times New Roman"/>
                <w:b/>
                <w:sz w:val="24"/>
                <w:szCs w:val="24"/>
                <w:lang w:eastAsia="zh-CN"/>
              </w:rPr>
              <w:t>防治措施可行性</w:t>
            </w:r>
            <w:r>
              <w:rPr>
                <w:rFonts w:hint="eastAsia" w:ascii="Times New Roman" w:hAnsi="Times New Roman" w:eastAsia="宋体" w:cs="Times New Roman"/>
                <w:b/>
                <w:sz w:val="24"/>
                <w:szCs w:val="24"/>
                <w:lang w:eastAsia="zh-CN"/>
              </w:rPr>
              <w:t>分析</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（1）“</w:t>
            </w:r>
            <w:r>
              <w:rPr>
                <w:rFonts w:hint="eastAsia" w:cs="Times New Roman"/>
                <w:color w:val="auto"/>
                <w:sz w:val="24"/>
                <w:szCs w:val="24"/>
                <w:u w:val="none"/>
                <w:lang w:val="en-US" w:eastAsia="zh-CN"/>
              </w:rPr>
              <w:t>二级</w:t>
            </w:r>
            <w:r>
              <w:rPr>
                <w:rFonts w:hint="eastAsia" w:ascii="Times New Roman" w:hAnsi="Times New Roman" w:eastAsia="宋体" w:cs="Times New Roman"/>
                <w:color w:val="auto"/>
                <w:sz w:val="24"/>
                <w:szCs w:val="24"/>
                <w:u w:val="none"/>
                <w:lang w:val="en-US" w:eastAsia="zh-CN"/>
              </w:rPr>
              <w:t>活性炭吸附”措施可行性分析</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活性炭吸附原理：活性炭是一种主要由含碳材料制成的外观呈黑色，内部孔隙结构发达、比表面积大、吸附能力强的一类微晶质碳素材料。活性炭材料中有大量肉眼看不见的微孔，1克活性炭材料中微孔，将其展开后表面积可高达800－1500平方米，特殊用途的更高。也就是说，在一个米粒大小的活性炭颗粒中，微孔的内表面积可能相当于一个客厅面积的大小。正是这些高度发达，如人体毛细血管般的孔隙结构，使活性炭拥有了优良的吸附性能。活性炭吸附</w:t>
            </w:r>
            <w:r>
              <w:rPr>
                <w:rFonts w:hint="eastAsia" w:cs="Times New Roman"/>
                <w:color w:val="auto"/>
                <w:sz w:val="24"/>
                <w:szCs w:val="24"/>
                <w:u w:val="none"/>
                <w:lang w:val="en-US" w:eastAsia="zh-CN"/>
              </w:rPr>
              <w:t>一级</w:t>
            </w:r>
            <w:r>
              <w:rPr>
                <w:rFonts w:hint="eastAsia" w:ascii="Times New Roman" w:hAnsi="Times New Roman" w:eastAsia="宋体" w:cs="Times New Roman"/>
                <w:color w:val="auto"/>
                <w:sz w:val="24"/>
                <w:szCs w:val="24"/>
                <w:u w:val="none"/>
                <w:lang w:val="en-US" w:eastAsia="zh-CN"/>
              </w:rPr>
              <w:t>去除效率大概达到30%</w:t>
            </w:r>
            <w:r>
              <w:rPr>
                <w:rFonts w:hint="eastAsia" w:cs="Times New Roman"/>
                <w:color w:val="auto"/>
                <w:sz w:val="24"/>
                <w:szCs w:val="24"/>
                <w:u w:val="none"/>
                <w:lang w:val="en-US" w:eastAsia="zh-CN"/>
              </w:rPr>
              <w:t>，二级</w:t>
            </w:r>
            <w:r>
              <w:rPr>
                <w:rFonts w:hint="eastAsia" w:ascii="Times New Roman" w:hAnsi="Times New Roman" w:eastAsia="宋体" w:cs="Times New Roman"/>
                <w:color w:val="auto"/>
                <w:sz w:val="24"/>
                <w:szCs w:val="24"/>
                <w:u w:val="none"/>
                <w:lang w:val="en-US" w:eastAsia="zh-CN"/>
              </w:rPr>
              <w:t>去除效率大概达到</w:t>
            </w:r>
            <w:r>
              <w:rPr>
                <w:rFonts w:hint="eastAsia" w:cs="Times New Roman"/>
                <w:color w:val="auto"/>
                <w:sz w:val="24"/>
                <w:szCs w:val="24"/>
                <w:u w:val="none"/>
                <w:lang w:val="en-US" w:eastAsia="zh-CN"/>
              </w:rPr>
              <w:t>21</w:t>
            </w:r>
            <w:r>
              <w:rPr>
                <w:rFonts w:hint="eastAsia" w:ascii="Times New Roman" w:hAnsi="Times New Roman" w:eastAsia="宋体" w:cs="Times New Roman"/>
                <w:color w:val="auto"/>
                <w:sz w:val="24"/>
                <w:szCs w:val="24"/>
                <w:u w:val="none"/>
                <w:lang w:val="en-US" w:eastAsia="zh-CN"/>
              </w:rPr>
              <w:t>%。</w:t>
            </w:r>
          </w:p>
          <w:p>
            <w:pPr>
              <w:pStyle w:val="31"/>
              <w:spacing w:line="240" w:lineRule="auto"/>
              <w:jc w:val="center"/>
              <w:rPr>
                <w:rFonts w:hint="eastAsia"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bidi="ar-SA"/>
              </w:rPr>
              <w:t>表5-4   有机废气处理方法对比一览表</w:t>
            </w:r>
          </w:p>
          <w:tbl>
            <w:tblPr>
              <w:tblStyle w:val="26"/>
              <w:tblW w:w="855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3798"/>
              <w:gridCol w:w="3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10" w:hRule="atLeast"/>
                <w:jc w:val="center"/>
              </w:trPr>
              <w:tc>
                <w:tcPr>
                  <w:tcW w:w="1098" w:type="dxa"/>
                  <w:vAlign w:val="center"/>
                </w:tcPr>
                <w:p>
                  <w:pPr>
                    <w:spacing w:line="240" w:lineRule="auto"/>
                    <w:jc w:val="center"/>
                    <w:rPr>
                      <w:rFonts w:hint="eastAsia" w:ascii="Times New Roman" w:hAnsi="Times New Roman" w:cs="Times New Roman"/>
                      <w:b/>
                      <w:bCs w:val="0"/>
                      <w:sz w:val="21"/>
                      <w:szCs w:val="21"/>
                      <w:lang w:eastAsia="zh-CN"/>
                    </w:rPr>
                  </w:pPr>
                  <w:r>
                    <w:rPr>
                      <w:rFonts w:hint="eastAsia" w:ascii="Times New Roman" w:hAnsi="Times New Roman" w:cs="Times New Roman"/>
                      <w:b/>
                      <w:bCs w:val="0"/>
                      <w:sz w:val="21"/>
                      <w:szCs w:val="21"/>
                      <w:lang w:eastAsia="zh-CN"/>
                    </w:rPr>
                    <w:t>处理方法</w:t>
                  </w:r>
                </w:p>
              </w:tc>
              <w:tc>
                <w:tcPr>
                  <w:tcW w:w="3798" w:type="dxa"/>
                  <w:vAlign w:val="center"/>
                </w:tcPr>
                <w:p>
                  <w:pPr>
                    <w:spacing w:line="240" w:lineRule="auto"/>
                    <w:jc w:val="center"/>
                    <w:rPr>
                      <w:rFonts w:ascii="Times New Roman" w:hAnsi="Times New Roman" w:cs="Times New Roman"/>
                      <w:b/>
                      <w:bCs w:val="0"/>
                      <w:sz w:val="21"/>
                      <w:szCs w:val="21"/>
                      <w:lang w:eastAsia="zh-CN"/>
                    </w:rPr>
                  </w:pPr>
                  <w:r>
                    <w:rPr>
                      <w:rFonts w:hint="eastAsia" w:ascii="Times New Roman" w:hAnsi="Times New Roman" w:cs="Times New Roman"/>
                      <w:b/>
                      <w:bCs w:val="0"/>
                      <w:sz w:val="21"/>
                      <w:szCs w:val="21"/>
                      <w:lang w:eastAsia="zh-CN"/>
                    </w:rPr>
                    <w:t>工作原理</w:t>
                  </w:r>
                </w:p>
              </w:tc>
              <w:tc>
                <w:tcPr>
                  <w:tcW w:w="3655" w:type="dxa"/>
                  <w:vAlign w:val="center"/>
                </w:tcPr>
                <w:p>
                  <w:pPr>
                    <w:spacing w:line="240" w:lineRule="auto"/>
                    <w:jc w:val="center"/>
                    <w:rPr>
                      <w:rFonts w:ascii="Times New Roman" w:hAnsi="Times New Roman" w:cs="Times New Roman"/>
                      <w:b/>
                      <w:bCs w:val="0"/>
                      <w:sz w:val="21"/>
                      <w:szCs w:val="21"/>
                      <w:lang w:eastAsia="zh-CN"/>
                    </w:rPr>
                  </w:pPr>
                  <w:r>
                    <w:rPr>
                      <w:rFonts w:hint="eastAsia" w:ascii="Times New Roman" w:hAnsi="Times New Roman" w:cs="Times New Roman"/>
                      <w:b/>
                      <w:bCs w:val="0"/>
                      <w:sz w:val="21"/>
                      <w:szCs w:val="21"/>
                      <w:lang w:eastAsia="zh-CN"/>
                    </w:rPr>
                    <w:t>适用范围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0" w:hRule="atLeast"/>
                <w:jc w:val="center"/>
              </w:trPr>
              <w:tc>
                <w:tcPr>
                  <w:tcW w:w="1098" w:type="dxa"/>
                  <w:vAlign w:val="center"/>
                </w:tcPr>
                <w:p>
                  <w:pPr>
                    <w:spacing w:line="240" w:lineRule="auto"/>
                    <w:jc w:val="center"/>
                    <w:rPr>
                      <w:rFonts w:hint="eastAsia" w:ascii="Times New Roman" w:hAnsi="Times New Roman" w:cs="Times New Roman"/>
                      <w:bCs/>
                      <w:sz w:val="21"/>
                      <w:szCs w:val="21"/>
                      <w:lang w:eastAsia="zh-CN"/>
                    </w:rPr>
                  </w:pPr>
                  <w:r>
                    <w:rPr>
                      <w:rFonts w:hint="eastAsia" w:ascii="Times New Roman" w:hAnsi="Times New Roman" w:cs="Times New Roman"/>
                      <w:bCs/>
                      <w:sz w:val="21"/>
                      <w:szCs w:val="21"/>
                      <w:lang w:eastAsia="zh-CN"/>
                    </w:rPr>
                    <w:t>吸附法</w:t>
                  </w:r>
                </w:p>
              </w:tc>
              <w:tc>
                <w:tcPr>
                  <w:tcW w:w="3798"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利用多孔性固体吸附剂处理气态污染物，使废气中污染组分在固体吸附剂表面分子引力及化学键力作用下，吸附于体吸附剂表面、实现分离的过程</w:t>
                  </w:r>
                </w:p>
              </w:tc>
              <w:tc>
                <w:tcPr>
                  <w:tcW w:w="3655"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适用于处理低浓度挥发性有机废气，对大多数挥发性有机废气吸附性能良好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0" w:hRule="atLeast"/>
                <w:jc w:val="center"/>
              </w:trPr>
              <w:tc>
                <w:tcPr>
                  <w:tcW w:w="1098" w:type="dxa"/>
                  <w:vAlign w:val="center"/>
                </w:tcPr>
                <w:p>
                  <w:pPr>
                    <w:spacing w:line="240" w:lineRule="auto"/>
                    <w:jc w:val="center"/>
                    <w:rPr>
                      <w:rFonts w:hint="eastAsia" w:ascii="Times New Roman" w:hAnsi="Times New Roman" w:cs="Times New Roman"/>
                      <w:bCs/>
                      <w:sz w:val="21"/>
                      <w:szCs w:val="21"/>
                      <w:lang w:eastAsia="zh-CN"/>
                    </w:rPr>
                  </w:pPr>
                  <w:r>
                    <w:rPr>
                      <w:rFonts w:hint="eastAsia" w:ascii="Times New Roman" w:hAnsi="Times New Roman" w:cs="Times New Roman"/>
                      <w:bCs/>
                      <w:sz w:val="21"/>
                      <w:szCs w:val="21"/>
                      <w:lang w:eastAsia="zh-CN"/>
                    </w:rPr>
                    <w:t>吸收法</w:t>
                  </w:r>
                </w:p>
              </w:tc>
              <w:tc>
                <w:tcPr>
                  <w:tcW w:w="3798"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利用汽提混合物中不同组分在吸收剂中的溶解度不同，或者与吸收剂发生选择性化学反应，从而将有害组分从气流中分离出来的过程</w:t>
                  </w:r>
                </w:p>
              </w:tc>
              <w:tc>
                <w:tcPr>
                  <w:tcW w:w="3655"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吸收法适用于废气流量较大、浓度较高的挥发性有机废气处理，对于含尘、含湿、含粘污染物的废气也可同时处理。具有捕集效率高、设备简单、一次性投资低等特点，被广泛应用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0" w:hRule="atLeast"/>
                <w:jc w:val="center"/>
              </w:trPr>
              <w:tc>
                <w:tcPr>
                  <w:tcW w:w="1098" w:type="dxa"/>
                  <w:vAlign w:val="center"/>
                </w:tcPr>
                <w:p>
                  <w:pPr>
                    <w:spacing w:line="240" w:lineRule="auto"/>
                    <w:jc w:val="center"/>
                    <w:rPr>
                      <w:rFonts w:hint="eastAsia" w:ascii="Times New Roman" w:hAnsi="Times New Roman" w:cs="Times New Roman"/>
                      <w:bCs/>
                      <w:sz w:val="21"/>
                      <w:szCs w:val="21"/>
                      <w:lang w:eastAsia="zh-CN"/>
                    </w:rPr>
                  </w:pPr>
                  <w:r>
                    <w:rPr>
                      <w:rFonts w:hint="eastAsia" w:ascii="Times New Roman" w:hAnsi="Times New Roman" w:cs="Times New Roman"/>
                      <w:bCs/>
                      <w:sz w:val="21"/>
                      <w:szCs w:val="21"/>
                      <w:lang w:eastAsia="zh-CN"/>
                    </w:rPr>
                    <w:t>冷凝法</w:t>
                  </w:r>
                </w:p>
              </w:tc>
              <w:tc>
                <w:tcPr>
                  <w:tcW w:w="3798"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利用物质在不同温度下具有不同饱和蒸气压的物理性质，采用降低系统温度或提高系统压力的方法，使处于气态的污染物冷凝并从废气中分离的过程</w:t>
                  </w:r>
                </w:p>
              </w:tc>
              <w:tc>
                <w:tcPr>
                  <w:tcW w:w="3655"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适用于气量小、浓度高的挥发性有机物废气回收和处理，可与吸附、燃烧法联合适用，回收具有价值的物料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0" w:hRule="atLeast"/>
                <w:jc w:val="center"/>
              </w:trPr>
              <w:tc>
                <w:tcPr>
                  <w:tcW w:w="1098" w:type="dxa"/>
                  <w:vAlign w:val="center"/>
                </w:tcPr>
                <w:p>
                  <w:pPr>
                    <w:spacing w:line="240" w:lineRule="auto"/>
                    <w:jc w:val="center"/>
                    <w:rPr>
                      <w:rFonts w:hint="eastAsia" w:ascii="Times New Roman" w:hAnsi="Times New Roman" w:cs="Times New Roman"/>
                      <w:bCs/>
                      <w:sz w:val="21"/>
                      <w:szCs w:val="21"/>
                      <w:lang w:eastAsia="zh-CN"/>
                    </w:rPr>
                  </w:pPr>
                  <w:r>
                    <w:rPr>
                      <w:rFonts w:hint="eastAsia" w:ascii="Times New Roman" w:hAnsi="Times New Roman" w:cs="Times New Roman"/>
                      <w:bCs/>
                      <w:sz w:val="21"/>
                      <w:szCs w:val="21"/>
                      <w:lang w:eastAsia="zh-CN"/>
                    </w:rPr>
                    <w:t>燃烧法</w:t>
                  </w:r>
                </w:p>
              </w:tc>
              <w:tc>
                <w:tcPr>
                  <w:tcW w:w="3798"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燃烧法是通过热氧化燃烧或高温分解的原理，将废气中的可燃性有害组分转化为无害物质的方法</w:t>
                  </w:r>
                </w:p>
              </w:tc>
              <w:tc>
                <w:tcPr>
                  <w:tcW w:w="3655" w:type="dxa"/>
                  <w:vAlign w:val="center"/>
                </w:tcPr>
                <w:p>
                  <w:pPr>
                    <w:spacing w:line="240" w:lineRule="auto"/>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宜用于处理不含卤素、浓度高的有机物废气。直接燃烧法：工艺简单、投资小，适用于高浓度、小风量的废气；催化燃烧法：具有节能、净化率高、操作方便、占地面积少、投资较大，适用于高温或高浓度的有机废气</w:t>
                  </w:r>
                </w:p>
              </w:tc>
            </w:tr>
          </w:tbl>
          <w:p>
            <w:pPr>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jc w:val="both"/>
              <w:textAlignment w:val="auto"/>
              <w:rPr>
                <w:rFonts w:hint="default"/>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根据本项目废气</w:t>
            </w:r>
            <w:r>
              <w:rPr>
                <w:rFonts w:hint="eastAsia" w:cs="Times New Roman"/>
                <w:color w:val="auto"/>
                <w:sz w:val="24"/>
                <w:szCs w:val="24"/>
                <w:u w:val="none"/>
                <w:lang w:val="en-US" w:eastAsia="zh-CN"/>
              </w:rPr>
              <w:t>产生量及排放浓度</w:t>
            </w:r>
            <w:r>
              <w:rPr>
                <w:rFonts w:hint="eastAsia" w:ascii="Times New Roman" w:hAnsi="Times New Roman" w:eastAsia="宋体" w:cs="Times New Roman"/>
                <w:color w:val="auto"/>
                <w:sz w:val="24"/>
                <w:szCs w:val="24"/>
                <w:u w:val="none"/>
                <w:lang w:val="en-US" w:eastAsia="zh-CN"/>
              </w:rPr>
              <w:t>，综合考率投入成本等多方因素，确定本项目有机废气采用“二级活性炭吸附”措施技术可行。有组织废气处理后排放浓度满足</w:t>
            </w:r>
            <w:r>
              <w:rPr>
                <w:rFonts w:hint="eastAsia" w:ascii="Times New Roman" w:hAnsi="Times New Roman" w:cs="Times New Roman"/>
                <w:color w:val="auto"/>
                <w:sz w:val="24"/>
                <w:highlight w:val="none"/>
                <w:lang w:val="en-US" w:eastAsia="zh-CN"/>
              </w:rPr>
              <w:t>《大气污染物综合排放标准》（GB16297</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1996）表2中二级标准限值（非甲烷总烃1</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0mg/m³）以及《关于全省开展工业企业挥发性有机物专项治理工作中排放建议值的通知》（豫环攻坚办〔2017〕162）</w:t>
            </w:r>
            <w:r>
              <w:rPr>
                <w:rFonts w:hint="eastAsia" w:cs="Times New Roman"/>
                <w:color w:val="auto"/>
                <w:sz w:val="24"/>
                <w:highlight w:val="none"/>
                <w:lang w:val="en-US" w:eastAsia="zh-CN"/>
              </w:rPr>
              <w:t>其他行业</w:t>
            </w:r>
            <w:r>
              <w:rPr>
                <w:rFonts w:hint="eastAsia" w:ascii="Times New Roman" w:hAnsi="Times New Roman" w:cs="Times New Roman"/>
                <w:color w:val="auto"/>
                <w:sz w:val="24"/>
                <w:highlight w:val="none"/>
                <w:lang w:val="en-US" w:eastAsia="zh-CN"/>
              </w:rPr>
              <w:t>（非甲烷总烃</w:t>
            </w:r>
            <w:r>
              <w:rPr>
                <w:rFonts w:hint="eastAsia" w:cs="Times New Roman"/>
                <w:color w:val="auto"/>
                <w:sz w:val="24"/>
                <w:highlight w:val="none"/>
                <w:lang w:val="en-US" w:eastAsia="zh-CN"/>
              </w:rPr>
              <w:t>8</w:t>
            </w:r>
            <w:r>
              <w:rPr>
                <w:rFonts w:hint="eastAsia" w:ascii="Times New Roman" w:hAnsi="Times New Roman" w:cs="Times New Roman"/>
                <w:color w:val="auto"/>
                <w:sz w:val="24"/>
                <w:highlight w:val="none"/>
                <w:lang w:val="en-US" w:eastAsia="zh-CN"/>
              </w:rPr>
              <w:t>0mg/m³）</w:t>
            </w:r>
            <w:r>
              <w:rPr>
                <w:rFonts w:hint="default"/>
                <w:color w:val="auto"/>
                <w:sz w:val="24"/>
                <w:szCs w:val="24"/>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left="0" w:leftChars="0" w:firstLine="480" w:firstLineChars="200"/>
              <w:jc w:val="both"/>
              <w:textAlignment w:val="auto"/>
              <w:rPr>
                <w:rFonts w:hint="eastAsia"/>
                <w:color w:val="auto"/>
                <w:sz w:val="24"/>
                <w:szCs w:val="24"/>
                <w:u w:val="none"/>
                <w:lang w:val="en-US" w:eastAsia="zh-CN"/>
              </w:rPr>
            </w:pPr>
            <w:r>
              <w:rPr>
                <w:rFonts w:hint="eastAsia"/>
                <w:color w:val="auto"/>
                <w:kern w:val="2"/>
                <w:sz w:val="24"/>
                <w:szCs w:val="24"/>
                <w:u w:val="none"/>
                <w:lang w:val="en-US" w:eastAsia="zh-CN" w:bidi="ar-SA"/>
              </w:rPr>
              <w:t>（2）</w:t>
            </w:r>
            <w:r>
              <w:rPr>
                <w:rFonts w:hint="eastAsia"/>
                <w:color w:val="auto"/>
                <w:sz w:val="24"/>
                <w:szCs w:val="24"/>
                <w:u w:val="none"/>
                <w:lang w:val="en-US" w:eastAsia="zh-CN"/>
              </w:rPr>
              <w:t>排气筒高度设置可行性分析</w:t>
            </w:r>
          </w:p>
          <w:p>
            <w:pPr>
              <w:keepNext w:val="0"/>
              <w:keepLines w:val="0"/>
              <w:pageBreakBefore w:val="0"/>
              <w:widowControl w:val="0"/>
              <w:kinsoku/>
              <w:wordWrap/>
              <w:overflowPunct/>
              <w:topLinePunct w:val="0"/>
              <w:autoSpaceDE/>
              <w:autoSpaceDN/>
              <w:bidi w:val="0"/>
              <w:adjustRightInd/>
              <w:snapToGrid/>
              <w:spacing w:after="0" w:line="520" w:lineRule="exact"/>
              <w:ind w:firstLine="480" w:firstLineChars="200"/>
              <w:jc w:val="both"/>
              <w:textAlignment w:val="auto"/>
              <w:rPr>
                <w:rFonts w:hint="eastAsia" w:ascii="宋体" w:hAnsi="宋体" w:eastAsia="宋体" w:cs="宋体"/>
                <w:i w:val="0"/>
                <w:kern w:val="2"/>
                <w:sz w:val="24"/>
                <w:szCs w:val="24"/>
                <w:u w:val="none"/>
                <w:lang w:val="en-US" w:eastAsia="zh-CN" w:bidi="ar-SA"/>
              </w:rPr>
            </w:pPr>
            <w:r>
              <w:rPr>
                <w:rFonts w:hint="eastAsia" w:ascii="Times New Roman" w:hAnsi="Times New Roman" w:eastAsia="宋体" w:cs="Times New Roman"/>
                <w:sz w:val="24"/>
                <w:szCs w:val="24"/>
                <w:u w:val="none"/>
                <w:lang w:val="en-US" w:eastAsia="zh-CN"/>
              </w:rPr>
              <w:t>根据</w:t>
            </w:r>
            <w:r>
              <w:rPr>
                <w:rFonts w:hint="eastAsia" w:cs="Times New Roman"/>
                <w:sz w:val="24"/>
                <w:szCs w:val="24"/>
                <w:u w:val="none"/>
                <w:lang w:val="en-US" w:eastAsia="zh-CN"/>
              </w:rPr>
              <w:t>现场勘察</w:t>
            </w:r>
            <w:r>
              <w:rPr>
                <w:rFonts w:hint="eastAsia" w:ascii="Times New Roman" w:hAnsi="Times New Roman" w:eastAsia="宋体" w:cs="Times New Roman"/>
                <w:sz w:val="24"/>
                <w:szCs w:val="24"/>
                <w:u w:val="none"/>
                <w:lang w:val="en-US" w:eastAsia="zh-CN"/>
              </w:rPr>
              <w:t>，本项目所在车间</w:t>
            </w:r>
            <w:r>
              <w:rPr>
                <w:rFonts w:hint="eastAsia" w:cs="Times New Roman"/>
                <w:sz w:val="24"/>
                <w:szCs w:val="24"/>
                <w:u w:val="none"/>
                <w:lang w:val="en-US" w:eastAsia="zh-CN"/>
              </w:rPr>
              <w:t>首层层高5.2m，二三四层层高4.2m</w:t>
            </w:r>
            <w:r>
              <w:rPr>
                <w:rFonts w:hint="eastAsia" w:ascii="Times New Roman" w:hAnsi="Times New Roman" w:eastAsia="宋体" w:cs="Times New Roman"/>
                <w:sz w:val="24"/>
                <w:szCs w:val="24"/>
                <w:u w:val="none"/>
                <w:lang w:eastAsia="zh-CN"/>
              </w:rPr>
              <w:t>，</w:t>
            </w:r>
            <w:r>
              <w:rPr>
                <w:rFonts w:hint="eastAsia" w:ascii="Times New Roman" w:hAnsi="Times New Roman" w:eastAsia="宋体" w:cs="Times New Roman"/>
                <w:sz w:val="24"/>
                <w:szCs w:val="24"/>
                <w:u w:val="none"/>
                <w:lang w:val="en-US" w:eastAsia="zh-CN"/>
              </w:rPr>
              <w:t>总高</w:t>
            </w:r>
            <w:r>
              <w:rPr>
                <w:rFonts w:hint="eastAsia" w:cs="Times New Roman"/>
                <w:sz w:val="24"/>
                <w:szCs w:val="24"/>
                <w:u w:val="none"/>
                <w:lang w:val="en-US" w:eastAsia="zh-CN"/>
              </w:rPr>
              <w:t>17.8</w:t>
            </w:r>
            <w:r>
              <w:rPr>
                <w:rFonts w:hint="eastAsia" w:ascii="Times New Roman" w:hAnsi="Times New Roman" w:eastAsia="宋体" w:cs="Times New Roman"/>
                <w:sz w:val="24"/>
                <w:szCs w:val="24"/>
                <w:u w:val="none"/>
                <w:lang w:val="en-US" w:eastAsia="zh-CN"/>
              </w:rPr>
              <w:t>m，</w:t>
            </w:r>
            <w:r>
              <w:rPr>
                <w:rFonts w:hint="eastAsia" w:cs="Times New Roman"/>
                <w:sz w:val="24"/>
                <w:szCs w:val="24"/>
                <w:u w:val="none"/>
                <w:lang w:val="en-US" w:eastAsia="zh-CN"/>
              </w:rPr>
              <w:t>周边200米范围内最高建筑物高度为17.8</w:t>
            </w:r>
            <w:r>
              <w:rPr>
                <w:rFonts w:hint="eastAsia" w:ascii="Times New Roman" w:hAnsi="Times New Roman" w:eastAsia="宋体" w:cs="Times New Roman"/>
                <w:sz w:val="24"/>
                <w:szCs w:val="24"/>
                <w:u w:val="none"/>
                <w:lang w:val="en-US" w:eastAsia="zh-CN"/>
              </w:rPr>
              <w:t>m，</w:t>
            </w:r>
            <w:r>
              <w:rPr>
                <w:rFonts w:hint="eastAsia" w:cs="Times New Roman"/>
                <w:sz w:val="24"/>
                <w:szCs w:val="24"/>
                <w:u w:val="none"/>
                <w:lang w:val="en-US" w:eastAsia="zh-CN"/>
              </w:rPr>
              <w:t>本项目排气筒高度拟设计为23m，符合</w:t>
            </w:r>
            <w:r>
              <w:rPr>
                <w:rFonts w:hint="eastAsia" w:ascii="Times New Roman" w:hAnsi="Times New Roman" w:cs="Times New Roman"/>
                <w:color w:val="auto"/>
                <w:sz w:val="24"/>
                <w:highlight w:val="none"/>
                <w:u w:val="none"/>
                <w:lang w:val="en-US" w:eastAsia="zh-CN"/>
              </w:rPr>
              <w:t>《大气污染物综合排放标准》（GB16297</w:t>
            </w:r>
            <w:r>
              <w:rPr>
                <w:rFonts w:hint="eastAsia" w:cs="Times New Roman"/>
                <w:color w:val="auto"/>
                <w:sz w:val="24"/>
                <w:highlight w:val="none"/>
                <w:u w:val="none"/>
                <w:lang w:val="en-US" w:eastAsia="zh-CN"/>
              </w:rPr>
              <w:t>-</w:t>
            </w:r>
            <w:r>
              <w:rPr>
                <w:rFonts w:hint="eastAsia" w:ascii="Times New Roman" w:hAnsi="Times New Roman" w:cs="Times New Roman"/>
                <w:color w:val="auto"/>
                <w:sz w:val="24"/>
                <w:highlight w:val="none"/>
                <w:u w:val="none"/>
                <w:lang w:val="en-US" w:eastAsia="zh-CN"/>
              </w:rPr>
              <w:t>1996）</w:t>
            </w:r>
            <w:r>
              <w:rPr>
                <w:rFonts w:hint="eastAsia" w:cs="Times New Roman"/>
                <w:sz w:val="24"/>
                <w:szCs w:val="24"/>
                <w:u w:val="none"/>
                <w:lang w:eastAsia="zh-CN"/>
              </w:rPr>
              <w:t>关于排气筒高出周围200m半径范围的建筑5m以上</w:t>
            </w:r>
            <w:r>
              <w:rPr>
                <w:rFonts w:hint="eastAsia" w:cs="Times New Roman"/>
                <w:sz w:val="24"/>
                <w:szCs w:val="24"/>
                <w:u w:val="none"/>
                <w:lang w:val="en-US" w:eastAsia="zh-CN"/>
              </w:rPr>
              <w:t>的要求。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63" w:afterLines="20" w:afterAutospacing="0" w:line="520" w:lineRule="exact"/>
              <w:ind w:right="0"/>
              <w:textAlignment w:val="auto"/>
              <w:rPr>
                <w:rFonts w:hint="eastAsia"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1.3、废气监测要求</w:t>
            </w:r>
          </w:p>
          <w:p>
            <w:pPr>
              <w:keepNext w:val="0"/>
              <w:keepLines w:val="0"/>
              <w:pageBreakBefore w:val="0"/>
              <w:widowControl w:val="0"/>
              <w:kinsoku/>
              <w:wordWrap/>
              <w:overflowPunct/>
              <w:topLinePunct w:val="0"/>
              <w:autoSpaceDE/>
              <w:autoSpaceDN/>
              <w:bidi w:val="0"/>
              <w:adjustRightInd/>
              <w:snapToGrid/>
              <w:spacing w:after="0" w:line="520" w:lineRule="exact"/>
              <w:ind w:firstLine="480" w:firstLineChars="200"/>
              <w:jc w:val="both"/>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项目申报后，建设单位应依据国家地方相关环保要求进行固定污染源排污许可登记，并按照《排污单位自行监测技术指南 总则》(HJ 819-2017)等有关要求相关要求开展例行监测。</w:t>
            </w:r>
            <w:r>
              <w:rPr>
                <w:rFonts w:hint="eastAsia" w:ascii="Times New Roman" w:hAnsi="Times New Roman" w:cs="Times New Roman"/>
                <w:sz w:val="24"/>
                <w:szCs w:val="24"/>
              </w:rPr>
              <w:t>监测计划见</w:t>
            </w:r>
            <w:r>
              <w:rPr>
                <w:rFonts w:hint="eastAsia" w:cs="Times New Roman"/>
                <w:sz w:val="24"/>
                <w:szCs w:val="24"/>
                <w:lang w:val="en-US" w:eastAsia="zh-CN"/>
              </w:rPr>
              <w:t>下</w:t>
            </w:r>
            <w:r>
              <w:rPr>
                <w:rFonts w:hint="default" w:ascii="Times New Roman" w:hAnsi="Times New Roman" w:cs="Times New Roman"/>
                <w:sz w:val="24"/>
                <w:szCs w:val="24"/>
              </w:rPr>
              <w:t>表。</w:t>
            </w:r>
          </w:p>
          <w:p>
            <w:pPr>
              <w:pStyle w:val="6"/>
              <w:spacing w:before="156" w:after="156"/>
              <w:jc w:val="center"/>
              <w:rPr>
                <w:rFonts w:ascii="Times New Roman" w:hAnsi="Times New Roman" w:cs="Times New Roman"/>
                <w:b/>
                <w:bCs/>
                <w:color w:val="000000"/>
                <w:sz w:val="24"/>
                <w:szCs w:val="24"/>
              </w:rPr>
            </w:pPr>
            <w:r>
              <w:rPr>
                <w:rFonts w:hint="eastAsia" w:ascii="Times New Roman" w:hAnsi="Times New Roman" w:cs="Times New Roman"/>
                <w:b/>
                <w:bCs/>
                <w:color w:val="000000"/>
                <w:sz w:val="24"/>
                <w:szCs w:val="24"/>
              </w:rPr>
              <w:t>表4-</w:t>
            </w:r>
            <w:r>
              <w:rPr>
                <w:rFonts w:hint="eastAsia" w:ascii="Times New Roman" w:hAnsi="Times New Roman" w:cs="Times New Roman"/>
                <w:b/>
                <w:bCs/>
                <w:color w:val="000000"/>
                <w:sz w:val="24"/>
                <w:szCs w:val="24"/>
                <w:lang w:val="en-US" w:eastAsia="zh-CN"/>
              </w:rPr>
              <w:t>3</w:t>
            </w:r>
            <w:r>
              <w:rPr>
                <w:rFonts w:hint="eastAsia" w:ascii="Times New Roman" w:hAnsi="Times New Roman" w:cs="Times New Roman"/>
                <w:b/>
                <w:bCs/>
                <w:color w:val="000000"/>
                <w:sz w:val="24"/>
                <w:szCs w:val="24"/>
              </w:rPr>
              <w:t xml:space="preserve">  排放口基本情况一览表</w:t>
            </w:r>
          </w:p>
          <w:tbl>
            <w:tblPr>
              <w:tblStyle w:val="27"/>
              <w:tblW w:w="85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554"/>
              <w:gridCol w:w="1337"/>
              <w:gridCol w:w="4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1400" w:type="dxa"/>
                  <w:noWrap w:val="0"/>
                  <w:vAlign w:val="center"/>
                </w:tcPr>
                <w:p>
                  <w:pPr>
                    <w:pStyle w:val="2"/>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监测点位</w:t>
                  </w:r>
                </w:p>
              </w:tc>
              <w:tc>
                <w:tcPr>
                  <w:tcW w:w="1554" w:type="dxa"/>
                  <w:noWrap w:val="0"/>
                  <w:vAlign w:val="center"/>
                </w:tcPr>
                <w:p>
                  <w:pPr>
                    <w:pStyle w:val="2"/>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监测内容</w:t>
                  </w:r>
                </w:p>
              </w:tc>
              <w:tc>
                <w:tcPr>
                  <w:tcW w:w="1337" w:type="dxa"/>
                  <w:noWrap w:val="0"/>
                  <w:vAlign w:val="center"/>
                </w:tcPr>
                <w:p>
                  <w:pPr>
                    <w:pStyle w:val="2"/>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监测频次</w:t>
                  </w:r>
                </w:p>
              </w:tc>
              <w:tc>
                <w:tcPr>
                  <w:tcW w:w="4263" w:type="dxa"/>
                  <w:noWrap w:val="0"/>
                  <w:vAlign w:val="center"/>
                </w:tcPr>
                <w:p>
                  <w:pPr>
                    <w:pStyle w:val="2"/>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1400"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DA001</w:t>
                  </w:r>
                </w:p>
              </w:tc>
              <w:tc>
                <w:tcPr>
                  <w:tcW w:w="1554"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非甲烷总烃</w:t>
                  </w:r>
                </w:p>
              </w:tc>
              <w:tc>
                <w:tcPr>
                  <w:tcW w:w="1337"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1次/年</w:t>
                  </w:r>
                </w:p>
              </w:tc>
              <w:tc>
                <w:tcPr>
                  <w:tcW w:w="4263" w:type="dxa"/>
                  <w:vMerge w:val="restart"/>
                  <w:noWrap w:val="0"/>
                  <w:vAlign w:val="center"/>
                </w:tcPr>
                <w:p>
                  <w:pPr>
                    <w:pStyle w:val="2"/>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color w:val="auto"/>
                      <w:sz w:val="21"/>
                      <w:szCs w:val="21"/>
                      <w:lang w:eastAsia="zh-CN"/>
                    </w:rPr>
                    <w:t>《大气污染物综合排放标准》（GB16297-1996）表2中二级标准限值以及《关于全省开展工业企业挥发性有机物专项治理工作中排放建议值的通知》（豫环攻坚办〔2017〕162）其他行业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1400" w:type="dxa"/>
                  <w:vMerge w:val="restart"/>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无组织废气</w:t>
                  </w:r>
                </w:p>
              </w:tc>
              <w:tc>
                <w:tcPr>
                  <w:tcW w:w="1554"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非甲烷总烃</w:t>
                  </w:r>
                </w:p>
              </w:tc>
              <w:tc>
                <w:tcPr>
                  <w:tcW w:w="1337"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1次/年</w:t>
                  </w:r>
                </w:p>
              </w:tc>
              <w:tc>
                <w:tcPr>
                  <w:tcW w:w="4263" w:type="dxa"/>
                  <w:vMerge w:val="continue"/>
                  <w:noWrap w:val="0"/>
                  <w:vAlign w:val="center"/>
                </w:tcPr>
                <w:p>
                  <w:pPr>
                    <w:pStyle w:val="2"/>
                    <w:spacing w:line="240" w:lineRule="auto"/>
                    <w:jc w:val="center"/>
                    <w:outlineLvl w:val="9"/>
                    <w:rPr>
                      <w:rFonts w:hint="default" w:ascii="Times New Roman" w:hAnsi="Times New Roman" w:eastAsia="宋体"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jc w:val="center"/>
              </w:trPr>
              <w:tc>
                <w:tcPr>
                  <w:tcW w:w="1400" w:type="dxa"/>
                  <w:vMerge w:val="continue"/>
                  <w:noWrap w:val="0"/>
                  <w:vAlign w:val="center"/>
                </w:tcPr>
                <w:p>
                  <w:pPr>
                    <w:pStyle w:val="2"/>
                    <w:spacing w:line="240" w:lineRule="auto"/>
                    <w:jc w:val="center"/>
                  </w:pPr>
                </w:p>
              </w:tc>
              <w:tc>
                <w:tcPr>
                  <w:tcW w:w="1554"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eastAsia" w:eastAsia="宋体" w:cs="Times New Roman"/>
                      <w:b w:val="0"/>
                      <w:bCs w:val="0"/>
                      <w:sz w:val="21"/>
                      <w:szCs w:val="21"/>
                      <w:vertAlign w:val="baseline"/>
                      <w:lang w:val="en-US" w:eastAsia="zh-CN"/>
                    </w:rPr>
                    <w:t>颗粒物</w:t>
                  </w:r>
                </w:p>
              </w:tc>
              <w:tc>
                <w:tcPr>
                  <w:tcW w:w="1337" w:type="dxa"/>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1次/年</w:t>
                  </w:r>
                </w:p>
              </w:tc>
              <w:tc>
                <w:tcPr>
                  <w:tcW w:w="4263" w:type="dxa"/>
                  <w:vMerge w:val="continue"/>
                  <w:noWrap w:val="0"/>
                  <w:vAlign w:val="center"/>
                </w:tcPr>
                <w:p>
                  <w:pPr>
                    <w:pStyle w:val="2"/>
                    <w:spacing w:line="240" w:lineRule="auto"/>
                    <w:jc w:val="center"/>
                    <w:rPr>
                      <w:rFonts w:hint="default" w:ascii="Times New Roman" w:hAnsi="Times New Roman" w:eastAsia="宋体" w:cs="Times New Roman"/>
                      <w:b w:val="0"/>
                      <w:bCs w:val="0"/>
                      <w:sz w:val="21"/>
                      <w:szCs w:val="21"/>
                      <w:vertAlign w:val="baseline"/>
                      <w:lang w:val="en-US" w:eastAsia="zh-CN"/>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63" w:afterLines="20" w:afterAutospacing="0" w:line="520" w:lineRule="exact"/>
              <w:ind w:right="0"/>
              <w:textAlignment w:val="auto"/>
              <w:rPr>
                <w:rFonts w:hint="default"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1.4、</w:t>
            </w:r>
            <w:r>
              <w:rPr>
                <w:rFonts w:hint="default" w:ascii="Times New Roman" w:hAnsi="Times New Roman" w:cs="Times New Roman"/>
                <w:b/>
                <w:bCs/>
                <w:color w:val="auto"/>
                <w:sz w:val="24"/>
                <w:u w:val="none" w:color="auto"/>
                <w:lang w:val="en-US" w:eastAsia="zh-CN"/>
              </w:rPr>
              <w:t>非正常工况</w:t>
            </w:r>
          </w:p>
          <w:p>
            <w:pPr>
              <w:pStyle w:val="4"/>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b w:val="0"/>
                <w:bCs/>
                <w:color w:val="auto"/>
                <w:sz w:val="24"/>
                <w:szCs w:val="24"/>
                <w:u w:val="none" w:color="auto"/>
                <w:lang w:val="en-US" w:eastAsia="zh-CN"/>
              </w:rPr>
            </w:pPr>
            <w:r>
              <w:rPr>
                <w:rFonts w:hint="default" w:ascii="Times New Roman" w:hAnsi="Times New Roman" w:eastAsia="宋体" w:cs="Times New Roman"/>
                <w:b w:val="0"/>
                <w:bCs/>
                <w:color w:val="auto"/>
                <w:sz w:val="24"/>
                <w:szCs w:val="24"/>
                <w:u w:val="none" w:color="auto"/>
                <w:lang w:val="en-US" w:eastAsia="zh-CN"/>
              </w:rPr>
              <w:t>非正常排放是指生产过程中开停（工、炉）、设备检修、工艺设备运转异常等非正常工况下的污染物排放，以及污染物排放控制措施达不到应有效率等情况下的排放。项目废气非正常工况排放主要为废气处理设施接近饱和或出现故障不能正常运行时，废气治理效率下降的状态进行估算，但废气收集系统可以正常运行，废气通过排气筒排放等情况，废气处理设施出现故障不能正常运行时，应立即停产进行维修，避免对周围环境造成污染。废气非正常工况源强情况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sz w:val="21"/>
                <w:szCs w:val="21"/>
                <w:highlight w:val="none"/>
                <w:u w:val="none" w:color="auto"/>
                <w:lang w:val="en-US" w:eastAsia="zh-CN"/>
              </w:rPr>
            </w:pPr>
            <w:r>
              <w:rPr>
                <w:rFonts w:hint="default" w:ascii="Times New Roman" w:hAnsi="Times New Roman" w:eastAsia="宋体" w:cs="Times New Roman"/>
                <w:b/>
                <w:bCs w:val="0"/>
                <w:color w:val="auto"/>
                <w:sz w:val="21"/>
                <w:szCs w:val="21"/>
                <w:highlight w:val="none"/>
                <w:u w:val="none" w:color="auto"/>
                <w:lang w:val="en-US" w:eastAsia="zh-CN"/>
              </w:rPr>
              <w:t>表</w:t>
            </w:r>
            <w:r>
              <w:rPr>
                <w:rFonts w:hint="eastAsia" w:ascii="Times New Roman" w:hAnsi="Times New Roman" w:eastAsia="宋体" w:cs="Times New Roman"/>
                <w:b/>
                <w:bCs w:val="0"/>
                <w:color w:val="auto"/>
                <w:sz w:val="21"/>
                <w:szCs w:val="21"/>
                <w:highlight w:val="none"/>
                <w:u w:val="none" w:color="auto"/>
                <w:lang w:val="en-US" w:eastAsia="zh-CN"/>
              </w:rPr>
              <w:t>4-4</w:t>
            </w:r>
            <w:r>
              <w:rPr>
                <w:rFonts w:hint="default" w:ascii="Times New Roman" w:hAnsi="Times New Roman" w:eastAsia="宋体" w:cs="Times New Roman"/>
                <w:b/>
                <w:bCs w:val="0"/>
                <w:color w:val="auto"/>
                <w:sz w:val="21"/>
                <w:szCs w:val="21"/>
                <w:highlight w:val="none"/>
                <w:u w:val="none" w:color="auto"/>
                <w:lang w:val="en-US" w:eastAsia="zh-CN"/>
              </w:rPr>
              <w:t xml:space="preserve">  废气非正常工况排放量核算表</w:t>
            </w:r>
          </w:p>
          <w:tbl>
            <w:tblPr>
              <w:tblStyle w:val="27"/>
              <w:tblW w:w="85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1505"/>
              <w:gridCol w:w="984"/>
              <w:gridCol w:w="1219"/>
              <w:gridCol w:w="1113"/>
              <w:gridCol w:w="892"/>
              <w:gridCol w:w="710"/>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污染源</w:t>
                  </w:r>
                </w:p>
              </w:tc>
              <w:tc>
                <w:tcPr>
                  <w:tcW w:w="15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非正常排放原因</w:t>
                  </w:r>
                </w:p>
              </w:tc>
              <w:tc>
                <w:tcPr>
                  <w:tcW w:w="9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污染物</w:t>
                  </w:r>
                </w:p>
              </w:tc>
              <w:tc>
                <w:tcPr>
                  <w:tcW w:w="121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非正常排放浓度/（mg/m</w:t>
                  </w:r>
                  <w:r>
                    <w:rPr>
                      <w:rFonts w:hint="default" w:ascii="Times New Roman" w:hAnsi="Times New Roman" w:eastAsia="宋体" w:cs="Times New Roman"/>
                      <w:b/>
                      <w:bCs w:val="0"/>
                      <w:color w:val="auto"/>
                      <w:sz w:val="21"/>
                      <w:szCs w:val="21"/>
                      <w:u w:val="none" w:color="auto"/>
                      <w:vertAlign w:val="superscript"/>
                      <w:lang w:val="en-US" w:eastAsia="zh-CN"/>
                    </w:rPr>
                    <w:t>3</w:t>
                  </w:r>
                  <w:r>
                    <w:rPr>
                      <w:rFonts w:hint="default" w:ascii="Times New Roman" w:hAnsi="Times New Roman" w:eastAsia="宋体" w:cs="Times New Roman"/>
                      <w:b/>
                      <w:bCs w:val="0"/>
                      <w:color w:val="auto"/>
                      <w:sz w:val="21"/>
                      <w:szCs w:val="21"/>
                      <w:u w:val="none" w:color="auto"/>
                      <w:vertAlign w:val="baseline"/>
                      <w:lang w:val="en-US" w:eastAsia="zh-CN"/>
                    </w:rPr>
                    <w:t>）</w:t>
                  </w:r>
                </w:p>
              </w:tc>
              <w:tc>
                <w:tcPr>
                  <w:tcW w:w="111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非正常排放速率/（</w:t>
                  </w:r>
                  <w:r>
                    <w:rPr>
                      <w:rFonts w:hint="eastAsia" w:ascii="Times New Roman" w:hAnsi="Times New Roman" w:eastAsia="宋体" w:cs="Times New Roman"/>
                      <w:b/>
                      <w:bCs w:val="0"/>
                      <w:color w:val="auto"/>
                      <w:sz w:val="21"/>
                      <w:szCs w:val="21"/>
                      <w:u w:val="none" w:color="auto"/>
                      <w:vertAlign w:val="baseline"/>
                      <w:lang w:val="en-US" w:eastAsia="zh-CN"/>
                    </w:rPr>
                    <w:t>kg/h</w:t>
                  </w:r>
                  <w:r>
                    <w:rPr>
                      <w:rFonts w:hint="default" w:ascii="Times New Roman" w:hAnsi="Times New Roman" w:eastAsia="宋体" w:cs="Times New Roman"/>
                      <w:b/>
                      <w:bCs w:val="0"/>
                      <w:color w:val="auto"/>
                      <w:sz w:val="21"/>
                      <w:szCs w:val="21"/>
                      <w:u w:val="none" w:color="auto"/>
                      <w:vertAlign w:val="baseline"/>
                      <w:lang w:val="en-US" w:eastAsia="zh-CN"/>
                    </w:rPr>
                    <w:t>）</w:t>
                  </w:r>
                </w:p>
              </w:tc>
              <w:tc>
                <w:tcPr>
                  <w:tcW w:w="89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单次持续时间/h</w:t>
                  </w:r>
                </w:p>
              </w:tc>
              <w:tc>
                <w:tcPr>
                  <w:tcW w:w="71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sz w:val="21"/>
                      <w:szCs w:val="21"/>
                      <w:u w:val="none" w:color="auto"/>
                      <w:vertAlign w:val="baseline"/>
                      <w:lang w:val="en-US" w:eastAsia="zh-CN"/>
                    </w:rPr>
                    <w:t>年发生频次/次</w:t>
                  </w:r>
                </w:p>
              </w:tc>
              <w:tc>
                <w:tcPr>
                  <w:tcW w:w="1277" w:type="dxa"/>
                  <w:noWrap w:val="0"/>
                  <w:vAlign w:val="center"/>
                </w:tcPr>
                <w:p>
                  <w:pPr>
                    <w:keepNext w:val="0"/>
                    <w:keepLines w:val="0"/>
                    <w:widowControl/>
                    <w:suppressLineNumbers w:val="0"/>
                    <w:jc w:val="center"/>
                    <w:rPr>
                      <w:rFonts w:hint="default" w:ascii="Times New Roman" w:hAnsi="Times New Roman" w:eastAsia="宋体" w:cs="Times New Roman"/>
                      <w:b/>
                      <w:bCs w:val="0"/>
                      <w:color w:val="auto"/>
                      <w:sz w:val="21"/>
                      <w:szCs w:val="21"/>
                      <w:u w:val="none" w:color="auto"/>
                      <w:vertAlign w:val="baseline"/>
                      <w:lang w:val="en-US" w:eastAsia="zh-CN"/>
                    </w:rPr>
                  </w:pPr>
                  <w:r>
                    <w:rPr>
                      <w:rFonts w:hint="default" w:ascii="Times New Roman" w:hAnsi="Times New Roman" w:eastAsia="宋体" w:cs="Times New Roman"/>
                      <w:b/>
                      <w:bCs w:val="0"/>
                      <w:color w:val="auto"/>
                      <w:kern w:val="0"/>
                      <w:sz w:val="21"/>
                      <w:szCs w:val="21"/>
                      <w:u w:val="none" w:color="auto"/>
                      <w:lang w:val="en-US" w:eastAsia="zh-CN" w:bidi="ar"/>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2" w:hRule="atLeast"/>
                <w:jc w:val="center"/>
              </w:trPr>
              <w:tc>
                <w:tcPr>
                  <w:tcW w:w="8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sz w:val="21"/>
                      <w:szCs w:val="21"/>
                      <w:u w:val="none" w:color="auto"/>
                      <w:vertAlign w:val="baseline"/>
                      <w:lang w:val="en-US" w:eastAsia="zh-CN"/>
                    </w:rPr>
                    <w:t>DA001</w:t>
                  </w:r>
                </w:p>
              </w:tc>
              <w:tc>
                <w:tcPr>
                  <w:tcW w:w="15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kern w:val="0"/>
                      <w:sz w:val="21"/>
                      <w:szCs w:val="21"/>
                      <w:u w:val="none" w:color="auto"/>
                      <w:lang w:val="en-US" w:eastAsia="zh-CN" w:bidi="ar"/>
                    </w:rPr>
                    <w:t>废气处理设施故障，按最不利情况考虑，处理效率为0%</w:t>
                  </w:r>
                </w:p>
              </w:tc>
              <w:tc>
                <w:tcPr>
                  <w:tcW w:w="9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sz w:val="21"/>
                      <w:szCs w:val="21"/>
                      <w:u w:val="none" w:color="auto"/>
                      <w:lang w:val="en-US" w:eastAsia="zh-CN"/>
                    </w:rPr>
                    <w:t>非甲烷总烃</w:t>
                  </w:r>
                </w:p>
              </w:tc>
              <w:tc>
                <w:tcPr>
                  <w:tcW w:w="1219" w:type="dxa"/>
                  <w:noWrap w:val="0"/>
                  <w:vAlign w:val="center"/>
                </w:tcPr>
                <w:p>
                  <w:pPr>
                    <w:spacing w:line="360" w:lineRule="auto"/>
                    <w:jc w:val="center"/>
                    <w:rPr>
                      <w:rFonts w:hint="default" w:ascii="Times New Roman" w:hAnsi="Times New Roman" w:eastAsia="宋体" w:cs="Times New Roman"/>
                      <w:b w:val="0"/>
                      <w:bCs/>
                      <w:color w:val="auto"/>
                      <w:sz w:val="21"/>
                      <w:szCs w:val="21"/>
                      <w:u w:val="none" w:color="auto"/>
                      <w:vertAlign w:val="baseline"/>
                      <w:lang w:val="en-US" w:eastAsia="zh-CN"/>
                    </w:rPr>
                  </w:pPr>
                  <w:r>
                    <w:rPr>
                      <w:rFonts w:hint="eastAsia" w:cs="Times New Roman"/>
                      <w:b w:val="0"/>
                      <w:bCs/>
                      <w:color w:val="auto"/>
                      <w:sz w:val="21"/>
                      <w:szCs w:val="21"/>
                      <w:u w:val="none" w:color="auto"/>
                      <w:vertAlign w:val="baseline"/>
                      <w:lang w:val="en-US" w:eastAsia="zh-CN"/>
                    </w:rPr>
                    <w:t>42.25</w:t>
                  </w:r>
                </w:p>
              </w:tc>
              <w:tc>
                <w:tcPr>
                  <w:tcW w:w="1113" w:type="dxa"/>
                  <w:noWrap w:val="0"/>
                  <w:vAlign w:val="center"/>
                </w:tcPr>
                <w:p>
                  <w:pPr>
                    <w:spacing w:line="360" w:lineRule="auto"/>
                    <w:jc w:val="center"/>
                    <w:rPr>
                      <w:rFonts w:hint="default" w:ascii="Times New Roman" w:hAnsi="Times New Roman" w:eastAsia="宋体" w:cs="Times New Roman"/>
                      <w:b w:val="0"/>
                      <w:bCs/>
                      <w:color w:val="auto"/>
                      <w:sz w:val="21"/>
                      <w:szCs w:val="21"/>
                      <w:u w:val="none" w:color="auto"/>
                      <w:vertAlign w:val="baseline"/>
                      <w:lang w:val="en-US" w:eastAsia="zh-CN"/>
                    </w:rPr>
                  </w:pPr>
                  <w:r>
                    <w:rPr>
                      <w:rFonts w:hint="eastAsia" w:cs="Times New Roman"/>
                      <w:sz w:val="21"/>
                      <w:szCs w:val="21"/>
                      <w:lang w:val="en-US" w:eastAsia="zh-CN"/>
                    </w:rPr>
                    <w:t>0.164</w:t>
                  </w:r>
                </w:p>
              </w:tc>
              <w:tc>
                <w:tcPr>
                  <w:tcW w:w="89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sz w:val="21"/>
                      <w:szCs w:val="21"/>
                      <w:u w:val="none" w:color="auto"/>
                      <w:vertAlign w:val="baseline"/>
                      <w:lang w:val="en-US" w:eastAsia="zh-CN"/>
                    </w:rPr>
                    <w:t>1</w:t>
                  </w:r>
                </w:p>
              </w:tc>
              <w:tc>
                <w:tcPr>
                  <w:tcW w:w="71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sz w:val="21"/>
                      <w:szCs w:val="21"/>
                      <w:u w:val="none" w:color="auto"/>
                      <w:vertAlign w:val="baseline"/>
                      <w:lang w:val="en-US" w:eastAsia="zh-CN"/>
                    </w:rPr>
                    <w:t>1</w:t>
                  </w:r>
                </w:p>
              </w:tc>
              <w:tc>
                <w:tcPr>
                  <w:tcW w:w="1277"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u w:val="none" w:color="auto"/>
                      <w:vertAlign w:val="baseline"/>
                      <w:lang w:val="en-US" w:eastAsia="zh-CN"/>
                    </w:rPr>
                  </w:pPr>
                  <w:r>
                    <w:rPr>
                      <w:rFonts w:hint="default" w:ascii="Times New Roman" w:hAnsi="Times New Roman" w:eastAsia="宋体" w:cs="Times New Roman"/>
                      <w:b w:val="0"/>
                      <w:bCs/>
                      <w:color w:val="auto"/>
                      <w:sz w:val="21"/>
                      <w:szCs w:val="21"/>
                      <w:u w:val="none" w:color="auto"/>
                      <w:vertAlign w:val="baseline"/>
                      <w:lang w:val="en-US" w:eastAsia="zh-CN"/>
                    </w:rPr>
                    <w:t>立即停止生产，关闭排放阀，对设备进行检修</w:t>
                  </w:r>
                </w:p>
              </w:tc>
            </w:tr>
          </w:tbl>
          <w:p>
            <w:pPr>
              <w:keepNext w:val="0"/>
              <w:keepLines w:val="0"/>
              <w:pageBreakBefore w:val="0"/>
              <w:widowControl w:val="0"/>
              <w:kinsoku/>
              <w:wordWrap/>
              <w:overflowPunct/>
              <w:topLinePunct w:val="0"/>
              <w:autoSpaceDE/>
              <w:autoSpaceDN/>
              <w:bidi w:val="0"/>
              <w:adjustRightInd w:val="0"/>
              <w:snapToGrid w:val="0"/>
              <w:spacing w:before="219" w:beforeLines="70" w:line="360" w:lineRule="auto"/>
              <w:textAlignment w:val="auto"/>
              <w:rPr>
                <w:rFonts w:hint="default"/>
                <w:b/>
                <w:bCs/>
                <w:color w:val="auto"/>
                <w:sz w:val="24"/>
                <w:szCs w:val="24"/>
                <w:lang w:val="en-US" w:eastAsia="zh-CN"/>
              </w:rPr>
            </w:pPr>
            <w:r>
              <w:rPr>
                <w:rFonts w:hint="eastAsia"/>
                <w:b/>
                <w:bCs/>
                <w:color w:val="auto"/>
                <w:sz w:val="24"/>
                <w:szCs w:val="24"/>
                <w:lang w:val="en-US" w:eastAsia="zh-CN"/>
              </w:rPr>
              <w:t>2、运营期水环境影响分析和保护措施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63" w:afterLines="20" w:afterAutospacing="0" w:line="520" w:lineRule="exact"/>
              <w:ind w:right="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2.1、产排污情况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auto"/>
                <w:kern w:val="2"/>
                <w:sz w:val="24"/>
                <w:szCs w:val="24"/>
                <w:u w:val="none" w:color="auto"/>
                <w:lang w:val="en-US" w:eastAsia="zh-CN" w:bidi="ar-SA"/>
              </w:rPr>
            </w:pPr>
            <w:r>
              <w:rPr>
                <w:rFonts w:hint="default" w:ascii="Times New Roman" w:hAnsi="Times New Roman" w:eastAsia="宋体" w:cs="Times New Roman"/>
                <w:b w:val="0"/>
                <w:bCs/>
                <w:color w:val="auto"/>
                <w:kern w:val="2"/>
                <w:sz w:val="24"/>
                <w:szCs w:val="24"/>
                <w:u w:val="none" w:color="auto"/>
                <w:lang w:val="en-US" w:eastAsia="zh-CN" w:bidi="ar-SA"/>
              </w:rPr>
              <w:t>本项目</w:t>
            </w:r>
            <w:r>
              <w:rPr>
                <w:rFonts w:hint="eastAsia" w:ascii="Times New Roman" w:hAnsi="Times New Roman" w:eastAsia="宋体" w:cs="Times New Roman"/>
                <w:b w:val="0"/>
                <w:bCs/>
                <w:color w:val="auto"/>
                <w:kern w:val="2"/>
                <w:sz w:val="24"/>
                <w:szCs w:val="24"/>
                <w:u w:val="none" w:color="auto"/>
                <w:lang w:val="en-US" w:eastAsia="zh-CN" w:bidi="ar-SA"/>
              </w:rPr>
              <w:t>整个厂区地面完全硬化，无需防治扬尘进行洒水，日常用拖布进行清洁。本项目在生产过程中无废水产生，且项目设备为自动产线，清洁用抹布擦拭粉尘，无需清洗。因此</w:t>
            </w:r>
            <w:r>
              <w:rPr>
                <w:rFonts w:hint="default" w:ascii="Times New Roman" w:hAnsi="Times New Roman" w:eastAsia="宋体" w:cs="Times New Roman"/>
                <w:b w:val="0"/>
                <w:bCs/>
                <w:color w:val="auto"/>
                <w:kern w:val="2"/>
                <w:sz w:val="24"/>
                <w:szCs w:val="24"/>
                <w:u w:val="none" w:color="auto"/>
                <w:lang w:val="en-US" w:eastAsia="zh-CN" w:bidi="ar-SA"/>
              </w:rPr>
              <w:t>本项目营运后厂区用水环节主要为</w:t>
            </w:r>
            <w:r>
              <w:rPr>
                <w:rFonts w:hint="eastAsia" w:ascii="Times New Roman" w:hAnsi="Times New Roman" w:eastAsia="宋体" w:cs="Times New Roman"/>
                <w:b w:val="0"/>
                <w:bCs/>
                <w:color w:val="auto"/>
                <w:kern w:val="2"/>
                <w:sz w:val="24"/>
                <w:szCs w:val="24"/>
                <w:u w:val="none" w:color="auto"/>
                <w:lang w:val="en-US" w:eastAsia="zh-CN" w:bidi="ar-SA"/>
              </w:rPr>
              <w:t>职工生活用水</w:t>
            </w:r>
            <w:r>
              <w:rPr>
                <w:rFonts w:hint="default" w:ascii="Times New Roman" w:hAnsi="Times New Roman" w:eastAsia="宋体" w:cs="Times New Roman"/>
                <w:b w:val="0"/>
                <w:bCs/>
                <w:color w:val="auto"/>
                <w:kern w:val="2"/>
                <w:sz w:val="24"/>
                <w:szCs w:val="24"/>
                <w:u w:val="none" w:color="auto"/>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auto"/>
                <w:kern w:val="2"/>
                <w:sz w:val="24"/>
                <w:szCs w:val="24"/>
                <w:u w:val="none" w:color="auto"/>
                <w:lang w:val="en-US" w:eastAsia="zh-CN" w:bidi="ar-SA"/>
              </w:rPr>
            </w:pPr>
            <w:r>
              <w:rPr>
                <w:rFonts w:hint="default" w:ascii="Times New Roman" w:hAnsi="Times New Roman" w:eastAsia="宋体" w:cs="Times New Roman"/>
                <w:b w:val="0"/>
                <w:bCs/>
                <w:color w:val="auto"/>
                <w:kern w:val="2"/>
                <w:sz w:val="24"/>
                <w:szCs w:val="24"/>
                <w:u w:val="none" w:color="auto"/>
                <w:lang w:val="en-US" w:eastAsia="zh-CN" w:bidi="ar-SA"/>
              </w:rPr>
              <w:t>本项目劳动定员为4人，职工均不在厂内食宿，根据河南省地方标准《工业及城镇生活用水定额》（DB41/T 385-2020），人均生活用水系数取50L/人·d，则职工生活用水量为0.2</w:t>
            </w:r>
            <w:r>
              <w:rPr>
                <w:rFonts w:hint="eastAsia" w:cs="Times New Roman"/>
                <w:b w:val="0"/>
                <w:bCs/>
                <w:color w:val="auto"/>
                <w:kern w:val="2"/>
                <w:sz w:val="24"/>
                <w:szCs w:val="24"/>
                <w:u w:val="none" w:color="auto"/>
                <w:lang w:val="en-US" w:eastAsia="zh-CN" w:bidi="ar-SA"/>
              </w:rPr>
              <w:t>m³</w:t>
            </w:r>
            <w:r>
              <w:rPr>
                <w:rFonts w:hint="default" w:ascii="Times New Roman" w:hAnsi="Times New Roman" w:eastAsia="宋体" w:cs="Times New Roman"/>
                <w:b w:val="0"/>
                <w:bCs/>
                <w:color w:val="auto"/>
                <w:kern w:val="2"/>
                <w:sz w:val="24"/>
                <w:szCs w:val="24"/>
                <w:u w:val="none" w:color="auto"/>
                <w:lang w:val="en-US" w:eastAsia="zh-CN" w:bidi="ar-SA"/>
              </w:rPr>
              <w:t>/d、60m³/a，生活污水产污系数按照0.8计算，废水产生量为0.16</w:t>
            </w:r>
            <w:r>
              <w:rPr>
                <w:rFonts w:hint="eastAsia" w:cs="Times New Roman"/>
                <w:b w:val="0"/>
                <w:bCs/>
                <w:color w:val="auto"/>
                <w:kern w:val="2"/>
                <w:sz w:val="24"/>
                <w:szCs w:val="24"/>
                <w:u w:val="none" w:color="auto"/>
                <w:lang w:val="en-US" w:eastAsia="zh-CN" w:bidi="ar-SA"/>
              </w:rPr>
              <w:t>m³</w:t>
            </w:r>
            <w:r>
              <w:rPr>
                <w:rFonts w:hint="default" w:ascii="Times New Roman" w:hAnsi="Times New Roman" w:eastAsia="宋体" w:cs="Times New Roman"/>
                <w:b w:val="0"/>
                <w:bCs/>
                <w:color w:val="auto"/>
                <w:kern w:val="2"/>
                <w:sz w:val="24"/>
                <w:szCs w:val="24"/>
                <w:u w:val="none" w:color="auto"/>
                <w:lang w:val="en-US" w:eastAsia="zh-CN" w:bidi="ar-SA"/>
              </w:rPr>
              <w:t>/d，48</w:t>
            </w:r>
            <w:r>
              <w:rPr>
                <w:rFonts w:hint="eastAsia" w:cs="Times New Roman"/>
                <w:b w:val="0"/>
                <w:bCs/>
                <w:color w:val="auto"/>
                <w:kern w:val="2"/>
                <w:sz w:val="24"/>
                <w:szCs w:val="24"/>
                <w:u w:val="none" w:color="auto"/>
                <w:lang w:val="en-US" w:eastAsia="zh-CN" w:bidi="ar-SA"/>
              </w:rPr>
              <w:t>m³</w:t>
            </w:r>
            <w:r>
              <w:rPr>
                <w:rFonts w:hint="default" w:ascii="Times New Roman" w:hAnsi="Times New Roman" w:eastAsia="宋体" w:cs="Times New Roman"/>
                <w:b w:val="0"/>
                <w:bCs/>
                <w:color w:val="auto"/>
                <w:kern w:val="2"/>
                <w:sz w:val="24"/>
                <w:szCs w:val="24"/>
                <w:u w:val="none" w:color="auto"/>
                <w:lang w:val="en-US" w:eastAsia="zh-CN" w:bidi="ar-SA"/>
              </w:rPr>
              <w:t>/a。生活污水由园区配套的化粪池（10m³）处理后，可达到</w:t>
            </w:r>
            <w:r>
              <w:rPr>
                <w:rFonts w:hint="eastAsia" w:cs="Times New Roman"/>
                <w:b w:val="0"/>
                <w:bCs/>
                <w:color w:val="auto"/>
                <w:kern w:val="2"/>
                <w:sz w:val="24"/>
                <w:szCs w:val="24"/>
                <w:u w:val="none" w:color="auto"/>
                <w:lang w:val="en-US" w:eastAsia="zh-CN" w:bidi="ar-SA"/>
              </w:rPr>
              <w:t>艾草产业园污水处理设备</w:t>
            </w:r>
            <w:r>
              <w:rPr>
                <w:rFonts w:hint="default" w:ascii="Times New Roman" w:hAnsi="Times New Roman" w:eastAsia="宋体" w:cs="Times New Roman"/>
                <w:b w:val="0"/>
                <w:bCs/>
                <w:color w:val="auto"/>
                <w:kern w:val="2"/>
                <w:sz w:val="24"/>
                <w:szCs w:val="24"/>
                <w:u w:val="none" w:color="auto"/>
                <w:lang w:val="en-US" w:eastAsia="zh-CN" w:bidi="ar-SA"/>
              </w:rPr>
              <w:t>进水水质要求（COD：500mg/L；NH</w:t>
            </w:r>
            <w:r>
              <w:rPr>
                <w:rFonts w:hint="default" w:ascii="Times New Roman" w:hAnsi="Times New Roman" w:eastAsia="宋体" w:cs="Times New Roman"/>
                <w:b w:val="0"/>
                <w:bCs/>
                <w:color w:val="auto"/>
                <w:kern w:val="2"/>
                <w:sz w:val="24"/>
                <w:szCs w:val="24"/>
                <w:u w:val="none" w:color="auto"/>
                <w:vertAlign w:val="subscript"/>
                <w:lang w:val="en-US" w:eastAsia="zh-CN" w:bidi="ar-SA"/>
              </w:rPr>
              <w:t>3</w:t>
            </w:r>
            <w:r>
              <w:rPr>
                <w:rFonts w:hint="default" w:ascii="Times New Roman" w:hAnsi="Times New Roman" w:eastAsia="宋体" w:cs="Times New Roman"/>
                <w:b w:val="0"/>
                <w:bCs/>
                <w:color w:val="auto"/>
                <w:kern w:val="2"/>
                <w:sz w:val="24"/>
                <w:szCs w:val="24"/>
                <w:u w:val="none" w:color="auto"/>
                <w:lang w:val="en-US" w:eastAsia="zh-CN" w:bidi="ar-SA"/>
              </w:rPr>
              <w:t>-N：45mg/L），经</w:t>
            </w:r>
            <w:r>
              <w:rPr>
                <w:rFonts w:hint="eastAsia" w:cs="Times New Roman"/>
                <w:b w:val="0"/>
                <w:bCs/>
                <w:color w:val="auto"/>
                <w:kern w:val="2"/>
                <w:sz w:val="24"/>
                <w:szCs w:val="24"/>
                <w:u w:val="none" w:color="auto"/>
                <w:lang w:val="en-US" w:eastAsia="zh-CN" w:bidi="ar-SA"/>
              </w:rPr>
              <w:t>艾草产业园污水处理设备</w:t>
            </w:r>
            <w:r>
              <w:rPr>
                <w:rFonts w:hint="default" w:ascii="Times New Roman" w:hAnsi="Times New Roman" w:eastAsia="宋体" w:cs="Times New Roman"/>
                <w:b w:val="0"/>
                <w:bCs/>
                <w:color w:val="auto"/>
                <w:kern w:val="2"/>
                <w:sz w:val="24"/>
                <w:szCs w:val="24"/>
                <w:u w:val="none" w:color="auto"/>
                <w:lang w:val="en-US" w:eastAsia="zh-CN" w:bidi="ar-SA"/>
              </w:rPr>
              <w:t>处理后，达到河南省《农村生活污水处理设施水污染物排放标准》（DB41/1820-2019）中的一级标准（COD：60mg/L；NH</w:t>
            </w:r>
            <w:r>
              <w:rPr>
                <w:rFonts w:hint="default" w:ascii="Times New Roman" w:hAnsi="Times New Roman" w:eastAsia="宋体" w:cs="Times New Roman"/>
                <w:b w:val="0"/>
                <w:bCs/>
                <w:color w:val="auto"/>
                <w:kern w:val="2"/>
                <w:sz w:val="24"/>
                <w:szCs w:val="24"/>
                <w:u w:val="none" w:color="auto"/>
                <w:vertAlign w:val="subscript"/>
                <w:lang w:val="en-US" w:eastAsia="zh-CN" w:bidi="ar-SA"/>
              </w:rPr>
              <w:t>3</w:t>
            </w:r>
            <w:r>
              <w:rPr>
                <w:rFonts w:hint="default" w:ascii="Times New Roman" w:hAnsi="Times New Roman" w:eastAsia="宋体" w:cs="Times New Roman"/>
                <w:b w:val="0"/>
                <w:bCs/>
                <w:color w:val="auto"/>
                <w:kern w:val="2"/>
                <w:sz w:val="24"/>
                <w:szCs w:val="24"/>
                <w:u w:val="none" w:color="auto"/>
                <w:lang w:val="en-US" w:eastAsia="zh-CN" w:bidi="ar-SA"/>
              </w:rPr>
              <w:t>-N：8mg/L），经城镇污水管网排入泗水河。</w:t>
            </w:r>
          </w:p>
          <w:p>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b/>
                <w:bCs/>
                <w:color w:val="auto"/>
                <w:sz w:val="24"/>
                <w:szCs w:val="24"/>
                <w:lang w:eastAsia="zh-CN"/>
              </w:rPr>
            </w:pPr>
            <w:r>
              <w:rPr>
                <w:b/>
                <w:bCs/>
                <w:color w:val="auto"/>
                <w:sz w:val="24"/>
                <w:szCs w:val="24"/>
                <w:lang w:eastAsia="zh-CN"/>
              </w:rPr>
              <w:t>表 4-</w:t>
            </w:r>
            <w:r>
              <w:rPr>
                <w:rFonts w:hint="eastAsia"/>
                <w:b/>
                <w:bCs/>
                <w:color w:val="auto"/>
                <w:sz w:val="24"/>
                <w:szCs w:val="24"/>
                <w:lang w:val="en-US" w:eastAsia="zh-CN"/>
              </w:rPr>
              <w:t>5</w:t>
            </w:r>
            <w:r>
              <w:rPr>
                <w:b/>
                <w:bCs/>
                <w:color w:val="auto"/>
                <w:sz w:val="24"/>
                <w:szCs w:val="24"/>
                <w:lang w:eastAsia="zh-CN"/>
              </w:rPr>
              <w:t xml:space="preserve">  </w:t>
            </w:r>
            <w:r>
              <w:rPr>
                <w:rFonts w:hint="eastAsia"/>
                <w:b/>
                <w:bCs/>
                <w:color w:val="auto"/>
                <w:sz w:val="24"/>
                <w:szCs w:val="24"/>
                <w:lang w:eastAsia="zh-CN"/>
              </w:rPr>
              <w:t>污水处理单元处理效率预测一览表  单位：mg/L</w:t>
            </w:r>
          </w:p>
          <w:tbl>
            <w:tblPr>
              <w:tblStyle w:val="74"/>
              <w:tblW w:w="85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15"/>
              <w:gridCol w:w="3273"/>
              <w:gridCol w:w="1512"/>
              <w:gridCol w:w="155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5488" w:type="dxa"/>
                  <w:gridSpan w:val="2"/>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default" w:ascii="Times New Roman" w:hAnsi="Times New Roman" w:cs="Times New Roman"/>
                      <w:b/>
                      <w:bCs/>
                      <w:sz w:val="21"/>
                      <w:szCs w:val="21"/>
                      <w:u w:val="none"/>
                      <w:lang w:val="en-US" w:eastAsia="zh-CN"/>
                    </w:rPr>
                    <w:t>项目</w:t>
                  </w:r>
                </w:p>
              </w:tc>
              <w:tc>
                <w:tcPr>
                  <w:tcW w:w="1512"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b/>
                      <w:bCs/>
                      <w:color w:val="auto"/>
                      <w:spacing w:val="3"/>
                      <w:sz w:val="21"/>
                      <w:szCs w:val="21"/>
                      <w:u w:val="none"/>
                    </w:rPr>
                    <w:t>COD</w:t>
                  </w:r>
                </w:p>
              </w:tc>
              <w:tc>
                <w:tcPr>
                  <w:tcW w:w="1556"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b/>
                      <w:bCs/>
                      <w:color w:val="auto"/>
                      <w:sz w:val="21"/>
                      <w:szCs w:val="21"/>
                      <w:u w:val="none"/>
                    </w:rPr>
                    <w:t>NH</w:t>
                  </w:r>
                  <w:r>
                    <w:rPr>
                      <w:rFonts w:hint="default" w:ascii="Times New Roman" w:hAnsi="Times New Roman" w:cs="Times New Roman"/>
                      <w:b/>
                      <w:bCs/>
                      <w:color w:val="auto"/>
                      <w:spacing w:val="9"/>
                      <w:position w:val="-1"/>
                      <w:sz w:val="21"/>
                      <w:szCs w:val="21"/>
                      <w:u w:val="none"/>
                      <w:vertAlign w:val="subscript"/>
                    </w:rPr>
                    <w:t>3</w:t>
                  </w:r>
                  <w:r>
                    <w:rPr>
                      <w:rFonts w:hint="default" w:ascii="Times New Roman" w:hAnsi="Times New Roman" w:cs="Times New Roman"/>
                      <w:b/>
                      <w:bCs/>
                      <w:color w:val="auto"/>
                      <w:spacing w:val="9"/>
                      <w:sz w:val="21"/>
                      <w:szCs w:val="21"/>
                      <w:u w:val="none"/>
                    </w:rPr>
                    <w:t>-N</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5488" w:type="dxa"/>
                  <w:gridSpan w:val="2"/>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生活污水</w:t>
                  </w:r>
                  <w:r>
                    <w:rPr>
                      <w:rFonts w:hint="default" w:ascii="Times New Roman" w:hAnsi="Times New Roman" w:cs="Times New Roman"/>
                      <w:sz w:val="21"/>
                      <w:szCs w:val="21"/>
                      <w:u w:val="none"/>
                      <w:lang w:val="en-US" w:eastAsia="zh-CN"/>
                    </w:rPr>
                    <w:t>0.</w:t>
                  </w:r>
                  <w:r>
                    <w:rPr>
                      <w:rFonts w:hint="eastAsia" w:cs="Times New Roman"/>
                      <w:sz w:val="21"/>
                      <w:szCs w:val="21"/>
                      <w:u w:val="none"/>
                      <w:lang w:val="en-US" w:eastAsia="zh-CN"/>
                    </w:rPr>
                    <w:t>16</w:t>
                  </w:r>
                  <w:r>
                    <w:rPr>
                      <w:rFonts w:hint="default" w:ascii="Times New Roman" w:hAnsi="Times New Roman" w:cs="Times New Roman"/>
                      <w:sz w:val="21"/>
                      <w:szCs w:val="21"/>
                      <w:u w:val="none"/>
                    </w:rPr>
                    <w:t>m</w:t>
                  </w:r>
                  <w:r>
                    <w:rPr>
                      <w:rFonts w:hint="default" w:ascii="Times New Roman" w:hAnsi="Times New Roman" w:cs="Times New Roman"/>
                      <w:sz w:val="21"/>
                      <w:szCs w:val="21"/>
                      <w:u w:val="none"/>
                      <w:vertAlign w:val="superscript"/>
                    </w:rPr>
                    <w:t>3</w:t>
                  </w:r>
                  <w:r>
                    <w:rPr>
                      <w:rFonts w:hint="default" w:ascii="Times New Roman" w:hAnsi="Times New Roman" w:cs="Times New Roman"/>
                      <w:sz w:val="21"/>
                      <w:szCs w:val="21"/>
                      <w:u w:val="none"/>
                    </w:rPr>
                    <w:t>/d</w:t>
                  </w:r>
                </w:p>
              </w:tc>
              <w:tc>
                <w:tcPr>
                  <w:tcW w:w="1512"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300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2215" w:type="dxa"/>
                  <w:vMerge w:val="restart"/>
                  <w:tcBorders>
                    <w:bottom w:val="nil"/>
                  </w:tcBorders>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化粪池</w:t>
                  </w:r>
                </w:p>
              </w:tc>
              <w:tc>
                <w:tcPr>
                  <w:tcW w:w="3273"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进水浓度</w:t>
                  </w:r>
                </w:p>
              </w:tc>
              <w:tc>
                <w:tcPr>
                  <w:tcW w:w="1512"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300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2215" w:type="dxa"/>
                  <w:vMerge w:val="continue"/>
                  <w:tcBorders>
                    <w:top w:val="nil"/>
                    <w:bottom w:val="nil"/>
                  </w:tcBorders>
                  <w:noWrap w:val="0"/>
                  <w:vAlign w:val="center"/>
                </w:tcPr>
                <w:p>
                  <w:pPr>
                    <w:spacing w:line="240" w:lineRule="auto"/>
                    <w:jc w:val="center"/>
                    <w:rPr>
                      <w:rFonts w:hint="default" w:ascii="Times New Roman" w:hAnsi="Times New Roman" w:cs="Times New Roman"/>
                      <w:sz w:val="21"/>
                      <w:szCs w:val="21"/>
                      <w:u w:val="none"/>
                    </w:rPr>
                  </w:pPr>
                </w:p>
              </w:tc>
              <w:tc>
                <w:tcPr>
                  <w:tcW w:w="3273"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去除率（%）</w:t>
                  </w:r>
                </w:p>
              </w:tc>
              <w:tc>
                <w:tcPr>
                  <w:tcW w:w="1512"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30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2215" w:type="dxa"/>
                  <w:vMerge w:val="continue"/>
                  <w:tcBorders>
                    <w:top w:val="nil"/>
                  </w:tcBorders>
                  <w:noWrap w:val="0"/>
                  <w:vAlign w:val="center"/>
                </w:tcPr>
                <w:p>
                  <w:pPr>
                    <w:spacing w:line="240" w:lineRule="auto"/>
                    <w:jc w:val="center"/>
                    <w:rPr>
                      <w:rFonts w:hint="default" w:ascii="Times New Roman" w:hAnsi="Times New Roman" w:cs="Times New Roman"/>
                      <w:sz w:val="21"/>
                      <w:szCs w:val="21"/>
                      <w:u w:val="none"/>
                    </w:rPr>
                  </w:pPr>
                </w:p>
              </w:tc>
              <w:tc>
                <w:tcPr>
                  <w:tcW w:w="3273"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出水浓度</w:t>
                  </w:r>
                </w:p>
              </w:tc>
              <w:tc>
                <w:tcPr>
                  <w:tcW w:w="1512" w:type="dxa"/>
                  <w:noWrap w:val="0"/>
                  <w:vAlign w:val="center"/>
                </w:tcPr>
                <w:p>
                  <w:pPr>
                    <w:spacing w:line="240" w:lineRule="auto"/>
                    <w:jc w:val="center"/>
                    <w:rPr>
                      <w:rFonts w:hint="default" w:ascii="Times New Roman" w:hAnsi="Times New Roman" w:cs="Times New Roman"/>
                      <w:sz w:val="21"/>
                      <w:szCs w:val="21"/>
                      <w:u w:val="none"/>
                    </w:rPr>
                  </w:pPr>
                  <w:r>
                    <w:rPr>
                      <w:rFonts w:hint="default" w:ascii="Times New Roman" w:hAnsi="Times New Roman" w:cs="Times New Roman"/>
                      <w:sz w:val="21"/>
                      <w:szCs w:val="21"/>
                      <w:u w:val="none"/>
                    </w:rPr>
                    <w:t>210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eastAsia" w:cs="Times New Roman"/>
                      <w:sz w:val="21"/>
                      <w:szCs w:val="21"/>
                      <w:u w:val="none"/>
                      <w:lang w:val="en-US" w:eastAsia="zh-CN"/>
                    </w:rPr>
                    <w:t>29.25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5488" w:type="dxa"/>
                  <w:gridSpan w:val="2"/>
                  <w:noWrap w:val="0"/>
                  <w:vAlign w:val="center"/>
                </w:tcPr>
                <w:p>
                  <w:pPr>
                    <w:spacing w:line="240" w:lineRule="auto"/>
                    <w:jc w:val="center"/>
                    <w:rPr>
                      <w:rFonts w:hint="default" w:ascii="Times New Roman" w:hAnsi="Times New Roman" w:cs="Times New Roman"/>
                      <w:sz w:val="21"/>
                      <w:szCs w:val="21"/>
                      <w:u w:val="none"/>
                      <w:lang w:eastAsia="zh-CN"/>
                    </w:rPr>
                  </w:pPr>
                  <w:r>
                    <w:rPr>
                      <w:rFonts w:hint="eastAsia" w:cs="Times New Roman"/>
                      <w:sz w:val="21"/>
                      <w:szCs w:val="21"/>
                      <w:u w:val="none"/>
                      <w:lang w:eastAsia="zh-CN"/>
                    </w:rPr>
                    <w:t>艾草产业园污水处理设备</w:t>
                  </w:r>
                  <w:r>
                    <w:rPr>
                      <w:rFonts w:hint="default" w:ascii="Times New Roman" w:hAnsi="Times New Roman" w:cs="Times New Roman"/>
                      <w:sz w:val="21"/>
                      <w:szCs w:val="21"/>
                      <w:u w:val="none"/>
                      <w:lang w:eastAsia="zh-CN"/>
                    </w:rPr>
                    <w:t>进水水质要求</w:t>
                  </w:r>
                </w:p>
              </w:tc>
              <w:tc>
                <w:tcPr>
                  <w:tcW w:w="1512"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500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5488" w:type="dxa"/>
                  <w:gridSpan w:val="2"/>
                  <w:noWrap w:val="0"/>
                  <w:vAlign w:val="center"/>
                </w:tcPr>
                <w:p>
                  <w:pPr>
                    <w:spacing w:line="240" w:lineRule="auto"/>
                    <w:jc w:val="center"/>
                    <w:rPr>
                      <w:rFonts w:hint="default" w:ascii="Times New Roman" w:hAnsi="Times New Roman" w:cs="Times New Roman"/>
                      <w:sz w:val="21"/>
                      <w:szCs w:val="21"/>
                      <w:u w:val="none"/>
                      <w:lang w:eastAsia="zh-CN"/>
                    </w:rPr>
                  </w:pPr>
                  <w:r>
                    <w:rPr>
                      <w:rFonts w:hint="default" w:ascii="Times New Roman" w:hAnsi="Times New Roman" w:cs="Times New Roman"/>
                      <w:sz w:val="21"/>
                      <w:szCs w:val="21"/>
                      <w:u w:val="none"/>
                      <w:lang w:eastAsia="zh-CN"/>
                    </w:rPr>
                    <w:t>《农村生活污水处理设施水污染物排放标准》（DB41/1820-2019）中的一级标准</w:t>
                  </w:r>
                </w:p>
              </w:tc>
              <w:tc>
                <w:tcPr>
                  <w:tcW w:w="1512"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60</w:t>
                  </w:r>
                </w:p>
              </w:tc>
              <w:tc>
                <w:tcPr>
                  <w:tcW w:w="1556" w:type="dxa"/>
                  <w:noWrap w:val="0"/>
                  <w:vAlign w:val="center"/>
                </w:tcPr>
                <w:p>
                  <w:pPr>
                    <w:spacing w:line="240" w:lineRule="auto"/>
                    <w:jc w:val="center"/>
                    <w:rPr>
                      <w:rFonts w:hint="default" w:ascii="Times New Roman" w:hAnsi="Times New Roman" w:eastAsia="宋体" w:cs="Times New Roman"/>
                      <w:sz w:val="21"/>
                      <w:szCs w:val="21"/>
                      <w:u w:val="none"/>
                      <w:lang w:eastAsia="zh-CN"/>
                    </w:rPr>
                  </w:pPr>
                  <w:r>
                    <w:rPr>
                      <w:rFonts w:hint="default" w:ascii="Times New Roman" w:hAnsi="Times New Roman" w:cs="Times New Roman"/>
                      <w:sz w:val="21"/>
                      <w:szCs w:val="21"/>
                      <w:u w:val="none"/>
                      <w:lang w:val="en-US" w:eastAsia="zh-CN"/>
                    </w:rP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0" w:hRule="atLeast"/>
              </w:trPr>
              <w:tc>
                <w:tcPr>
                  <w:tcW w:w="5488" w:type="dxa"/>
                  <w:gridSpan w:val="2"/>
                  <w:noWrap w:val="0"/>
                  <w:vAlign w:val="center"/>
                </w:tcPr>
                <w:p>
                  <w:pPr>
                    <w:spacing w:line="240" w:lineRule="auto"/>
                    <w:jc w:val="center"/>
                    <w:rPr>
                      <w:rFonts w:hint="default" w:ascii="Times New Roman" w:hAnsi="Times New Roman" w:cs="Times New Roman"/>
                      <w:sz w:val="21"/>
                      <w:szCs w:val="21"/>
                      <w:u w:val="none"/>
                      <w:lang w:eastAsia="zh-CN"/>
                    </w:rPr>
                  </w:pPr>
                  <w:r>
                    <w:rPr>
                      <w:rFonts w:hint="default" w:ascii="Times New Roman" w:hAnsi="Times New Roman" w:cs="Times New Roman"/>
                      <w:sz w:val="21"/>
                      <w:szCs w:val="21"/>
                      <w:u w:val="none"/>
                      <w:lang w:eastAsia="zh-CN"/>
                    </w:rPr>
                    <w:t>年排放量t/a</w:t>
                  </w:r>
                </w:p>
              </w:tc>
              <w:tc>
                <w:tcPr>
                  <w:tcW w:w="1512"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cs="Times New Roman"/>
                      <w:color w:val="000000"/>
                      <w:kern w:val="0"/>
                      <w:sz w:val="21"/>
                      <w:szCs w:val="21"/>
                      <w:u w:val="none"/>
                      <w:lang w:val="en-US" w:eastAsia="zh-CN"/>
                    </w:rPr>
                    <w:t>0.0029</w:t>
                  </w:r>
                </w:p>
              </w:tc>
              <w:tc>
                <w:tcPr>
                  <w:tcW w:w="1556"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cs="Times New Roman"/>
                      <w:color w:val="000000"/>
                      <w:kern w:val="0"/>
                      <w:sz w:val="21"/>
                      <w:szCs w:val="21"/>
                      <w:u w:val="none"/>
                      <w:lang w:val="en-US" w:eastAsia="zh-CN"/>
                    </w:rPr>
                    <w:t>0.00038</w:t>
                  </w:r>
                </w:p>
              </w:tc>
            </w:tr>
          </w:tbl>
          <w:p>
            <w:pPr>
              <w:spacing w:line="360" w:lineRule="auto"/>
              <w:ind w:firstLine="480" w:firstLineChars="200"/>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b w:val="0"/>
                <w:bCs w:val="0"/>
                <w:color w:val="auto"/>
                <w:kern w:val="2"/>
                <w:sz w:val="24"/>
                <w:szCs w:val="24"/>
                <w:u w:val="none"/>
                <w:lang w:val="en-US" w:eastAsia="zh-CN" w:bidi="ar-SA"/>
              </w:rPr>
              <w:t>综上，项目现有工程排入艾草产业园污水管网的总污水量为</w:t>
            </w:r>
            <w:r>
              <w:rPr>
                <w:rFonts w:hint="eastAsia" w:cs="Times New Roman"/>
                <w:b w:val="0"/>
                <w:bCs w:val="0"/>
                <w:color w:val="auto"/>
                <w:kern w:val="2"/>
                <w:sz w:val="24"/>
                <w:szCs w:val="24"/>
                <w:u w:val="none"/>
                <w:lang w:val="en-US" w:eastAsia="zh-CN" w:bidi="ar-SA"/>
              </w:rPr>
              <w:t>0.16</w:t>
            </w:r>
            <w:r>
              <w:rPr>
                <w:rFonts w:hint="eastAsia" w:ascii="Times New Roman" w:hAnsi="Times New Roman" w:eastAsia="宋体" w:cs="Times New Roman"/>
                <w:b w:val="0"/>
                <w:bCs w:val="0"/>
                <w:color w:val="auto"/>
                <w:kern w:val="2"/>
                <w:sz w:val="24"/>
                <w:szCs w:val="24"/>
                <w:u w:val="none"/>
                <w:lang w:val="en-US" w:eastAsia="zh-CN" w:bidi="ar-SA"/>
              </w:rPr>
              <w:t>m³</w:t>
            </w:r>
            <w:r>
              <w:rPr>
                <w:rFonts w:hint="default" w:ascii="Times New Roman" w:hAnsi="Times New Roman" w:eastAsia="宋体" w:cs="Times New Roman"/>
                <w:b w:val="0"/>
                <w:bCs w:val="0"/>
                <w:color w:val="auto"/>
                <w:kern w:val="2"/>
                <w:sz w:val="24"/>
                <w:szCs w:val="24"/>
                <w:u w:val="none"/>
                <w:lang w:val="en-US" w:eastAsia="zh-CN" w:bidi="ar-SA"/>
              </w:rPr>
              <w:t>/d，废水水质为：COD：</w:t>
            </w:r>
            <w:r>
              <w:rPr>
                <w:rFonts w:hint="eastAsia" w:ascii="Times New Roman" w:hAnsi="Times New Roman" w:eastAsia="宋体" w:cs="Times New Roman"/>
                <w:b w:val="0"/>
                <w:bCs w:val="0"/>
                <w:color w:val="auto"/>
                <w:kern w:val="2"/>
                <w:sz w:val="24"/>
                <w:szCs w:val="24"/>
                <w:u w:val="none"/>
                <w:lang w:val="en-US" w:eastAsia="zh-CN" w:bidi="ar-SA"/>
              </w:rPr>
              <w:t>210</w:t>
            </w:r>
            <w:r>
              <w:rPr>
                <w:rFonts w:hint="default" w:ascii="Times New Roman" w:hAnsi="Times New Roman" w:eastAsia="宋体" w:cs="Times New Roman"/>
                <w:b w:val="0"/>
                <w:bCs w:val="0"/>
                <w:color w:val="auto"/>
                <w:kern w:val="2"/>
                <w:sz w:val="24"/>
                <w:szCs w:val="24"/>
                <w:u w:val="none"/>
                <w:lang w:val="en-US" w:eastAsia="zh-CN" w:bidi="ar-SA"/>
              </w:rPr>
              <w:t>mg/L、NH</w:t>
            </w:r>
            <w:r>
              <w:rPr>
                <w:rFonts w:hint="default" w:ascii="Times New Roman" w:hAnsi="Times New Roman" w:eastAsia="宋体" w:cs="Times New Roman"/>
                <w:b w:val="0"/>
                <w:bCs w:val="0"/>
                <w:color w:val="auto"/>
                <w:kern w:val="2"/>
                <w:sz w:val="24"/>
                <w:szCs w:val="24"/>
                <w:u w:val="none"/>
                <w:vertAlign w:val="subscript"/>
                <w:lang w:val="en-US" w:eastAsia="zh-CN" w:bidi="ar-SA"/>
              </w:rPr>
              <w:t>3</w:t>
            </w:r>
            <w:r>
              <w:rPr>
                <w:rFonts w:hint="default" w:ascii="Times New Roman" w:hAnsi="Times New Roman" w:eastAsia="宋体" w:cs="Times New Roman"/>
                <w:b w:val="0"/>
                <w:bCs w:val="0"/>
                <w:color w:val="auto"/>
                <w:kern w:val="2"/>
                <w:sz w:val="24"/>
                <w:szCs w:val="24"/>
                <w:u w:val="none"/>
                <w:lang w:val="en-US" w:eastAsia="zh-CN" w:bidi="ar-SA"/>
              </w:rPr>
              <w:t>-N：</w:t>
            </w:r>
            <w:r>
              <w:rPr>
                <w:rFonts w:hint="eastAsia" w:cs="Times New Roman"/>
                <w:b w:val="0"/>
                <w:bCs w:val="0"/>
                <w:color w:val="auto"/>
                <w:kern w:val="2"/>
                <w:sz w:val="24"/>
                <w:szCs w:val="24"/>
                <w:u w:val="none"/>
                <w:lang w:val="en-US" w:eastAsia="zh-CN" w:bidi="ar-SA"/>
              </w:rPr>
              <w:t>29.25</w:t>
            </w:r>
            <w:r>
              <w:rPr>
                <w:rFonts w:hint="default" w:ascii="Times New Roman" w:hAnsi="Times New Roman" w:eastAsia="宋体" w:cs="Times New Roman"/>
                <w:b w:val="0"/>
                <w:bCs w:val="0"/>
                <w:color w:val="auto"/>
                <w:kern w:val="2"/>
                <w:sz w:val="24"/>
                <w:szCs w:val="24"/>
                <w:u w:val="none"/>
                <w:lang w:val="en-US" w:eastAsia="zh-CN" w:bidi="ar-SA"/>
              </w:rPr>
              <w:t>mg/L</w:t>
            </w:r>
            <w:r>
              <w:rPr>
                <w:rFonts w:hint="eastAsia" w:ascii="Times New Roman" w:hAnsi="Times New Roman" w:eastAsia="宋体" w:cs="Times New Roman"/>
                <w:b w:val="0"/>
                <w:bCs w:val="0"/>
                <w:color w:val="auto"/>
                <w:kern w:val="2"/>
                <w:sz w:val="24"/>
                <w:szCs w:val="24"/>
                <w:u w:val="none"/>
                <w:lang w:val="en-US" w:eastAsia="zh-CN" w:bidi="ar-SA"/>
              </w:rPr>
              <w:t>，可达到</w:t>
            </w:r>
            <w:r>
              <w:rPr>
                <w:rFonts w:hint="eastAsia" w:cs="Times New Roman"/>
                <w:b w:val="0"/>
                <w:bCs w:val="0"/>
                <w:color w:val="auto"/>
                <w:kern w:val="2"/>
                <w:sz w:val="24"/>
                <w:szCs w:val="24"/>
                <w:u w:val="none"/>
                <w:lang w:val="en-US" w:eastAsia="zh-CN" w:bidi="ar-SA"/>
              </w:rPr>
              <w:t>艾草产业园污水处理设备</w:t>
            </w:r>
            <w:r>
              <w:rPr>
                <w:rFonts w:hint="eastAsia" w:ascii="Times New Roman" w:hAnsi="Times New Roman" w:eastAsia="宋体" w:cs="Times New Roman"/>
                <w:b w:val="0"/>
                <w:bCs w:val="0"/>
                <w:color w:val="auto"/>
                <w:kern w:val="2"/>
                <w:sz w:val="24"/>
                <w:szCs w:val="24"/>
                <w:u w:val="none"/>
                <w:lang w:val="en-US" w:eastAsia="zh-CN" w:bidi="ar-SA"/>
              </w:rPr>
              <w:t>进水水质要求（COD：500mg/L；NH</w:t>
            </w:r>
            <w:r>
              <w:rPr>
                <w:rFonts w:hint="eastAsia" w:ascii="Times New Roman" w:hAnsi="Times New Roman" w:eastAsia="宋体" w:cs="Times New Roman"/>
                <w:b w:val="0"/>
                <w:bCs w:val="0"/>
                <w:color w:val="auto"/>
                <w:kern w:val="2"/>
                <w:sz w:val="24"/>
                <w:szCs w:val="24"/>
                <w:u w:val="none"/>
                <w:vertAlign w:val="subscript"/>
                <w:lang w:val="en-US" w:eastAsia="zh-CN" w:bidi="ar-SA"/>
              </w:rPr>
              <w:t>3</w:t>
            </w:r>
            <w:r>
              <w:rPr>
                <w:rFonts w:hint="eastAsia" w:ascii="Times New Roman" w:hAnsi="Times New Roman" w:eastAsia="宋体" w:cs="Times New Roman"/>
                <w:b w:val="0"/>
                <w:bCs w:val="0"/>
                <w:color w:val="auto"/>
                <w:kern w:val="2"/>
                <w:sz w:val="24"/>
                <w:szCs w:val="24"/>
                <w:u w:val="none"/>
                <w:lang w:val="en-US" w:eastAsia="zh-CN" w:bidi="ar-SA"/>
              </w:rPr>
              <w:t>-N：45mg/L），经</w:t>
            </w:r>
            <w:r>
              <w:rPr>
                <w:rFonts w:hint="eastAsia" w:cs="Times New Roman"/>
                <w:b w:val="0"/>
                <w:bCs w:val="0"/>
                <w:color w:val="auto"/>
                <w:kern w:val="2"/>
                <w:sz w:val="24"/>
                <w:szCs w:val="24"/>
                <w:u w:val="none"/>
                <w:lang w:val="en-US" w:eastAsia="zh-CN" w:bidi="ar-SA"/>
              </w:rPr>
              <w:t>艾草产业园污水处理设备</w:t>
            </w:r>
            <w:r>
              <w:rPr>
                <w:rFonts w:hint="eastAsia" w:ascii="Times New Roman" w:hAnsi="Times New Roman" w:eastAsia="宋体" w:cs="Times New Roman"/>
                <w:b w:val="0"/>
                <w:bCs w:val="0"/>
                <w:color w:val="auto"/>
                <w:kern w:val="2"/>
                <w:sz w:val="24"/>
                <w:szCs w:val="24"/>
                <w:u w:val="none"/>
                <w:lang w:val="en-US" w:eastAsia="zh-CN" w:bidi="ar-SA"/>
              </w:rPr>
              <w:t>处理后，达到河南省《农村生活污水处理设施水污染物排放标准》（DB41/1820-2019）中的一级标准（COD：60mg/L；NH</w:t>
            </w:r>
            <w:r>
              <w:rPr>
                <w:rFonts w:hint="eastAsia" w:ascii="Times New Roman" w:hAnsi="Times New Roman" w:eastAsia="宋体" w:cs="Times New Roman"/>
                <w:b w:val="0"/>
                <w:bCs w:val="0"/>
                <w:color w:val="auto"/>
                <w:kern w:val="2"/>
                <w:sz w:val="24"/>
                <w:szCs w:val="24"/>
                <w:u w:val="none"/>
                <w:vertAlign w:val="subscript"/>
                <w:lang w:val="en-US" w:eastAsia="zh-CN" w:bidi="ar-SA"/>
              </w:rPr>
              <w:t>3</w:t>
            </w:r>
            <w:r>
              <w:rPr>
                <w:rFonts w:hint="eastAsia" w:ascii="Times New Roman" w:hAnsi="Times New Roman" w:eastAsia="宋体" w:cs="Times New Roman"/>
                <w:b w:val="0"/>
                <w:bCs w:val="0"/>
                <w:color w:val="auto"/>
                <w:kern w:val="2"/>
                <w:sz w:val="24"/>
                <w:szCs w:val="24"/>
                <w:u w:val="none"/>
                <w:lang w:val="en-US" w:eastAsia="zh-CN" w:bidi="ar-SA"/>
              </w:rPr>
              <w:t>-N：8mg/L），经城镇污水管网排入泗水河</w:t>
            </w:r>
            <w:r>
              <w:rPr>
                <w:rFonts w:hint="default" w:ascii="Times New Roman" w:hAnsi="Times New Roman" w:eastAsia="宋体" w:cs="Times New Roman"/>
                <w:b w:val="0"/>
                <w:bCs w:val="0"/>
                <w:color w:val="auto"/>
                <w:kern w:val="2"/>
                <w:sz w:val="24"/>
                <w:szCs w:val="24"/>
                <w:u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63" w:afterLines="20" w:afterAutospacing="0" w:line="520" w:lineRule="exact"/>
              <w:ind w:right="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2.2、措施可行性分析</w:t>
            </w:r>
          </w:p>
          <w:p>
            <w:pPr>
              <w:pStyle w:val="75"/>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u w:val="none" w:color="auto"/>
                <w:lang w:eastAsia="zh-CN"/>
              </w:rPr>
            </w:pPr>
            <w:r>
              <w:rPr>
                <w:rFonts w:hint="eastAsia"/>
                <w:sz w:val="24"/>
                <w:u w:val="none" w:color="auto"/>
                <w:lang w:eastAsia="zh-CN"/>
              </w:rPr>
              <w:t>（</w:t>
            </w:r>
            <w:r>
              <w:rPr>
                <w:rFonts w:hint="eastAsia"/>
                <w:sz w:val="24"/>
                <w:u w:val="none" w:color="auto"/>
                <w:lang w:val="en-US" w:eastAsia="zh-CN"/>
              </w:rPr>
              <w:t>1</w:t>
            </w:r>
            <w:r>
              <w:rPr>
                <w:rFonts w:hint="eastAsia"/>
                <w:sz w:val="24"/>
                <w:u w:val="none" w:color="auto"/>
                <w:lang w:eastAsia="zh-CN"/>
              </w:rPr>
              <w:t>）项目废水治理措施</w:t>
            </w:r>
          </w:p>
          <w:p>
            <w:pPr>
              <w:pStyle w:val="75"/>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u w:val="none" w:color="auto"/>
                <w:lang w:eastAsia="zh-CN"/>
              </w:rPr>
            </w:pPr>
            <w:r>
              <w:rPr>
                <w:rFonts w:hint="eastAsia"/>
                <w:sz w:val="24"/>
                <w:u w:val="none" w:color="auto"/>
                <w:lang w:eastAsia="zh-CN"/>
              </w:rPr>
              <w:t>生活污水由园区配套的化粪池（10m³）处理后，进入艾草产业园污水处理设备，达标后</w:t>
            </w:r>
            <w:r>
              <w:rPr>
                <w:rFonts w:hint="eastAsia" w:ascii="Times New Roman" w:hAnsi="Times New Roman" w:eastAsia="宋体" w:cs="Times New Roman"/>
                <w:b w:val="0"/>
                <w:bCs w:val="0"/>
                <w:color w:val="auto"/>
                <w:kern w:val="2"/>
                <w:sz w:val="24"/>
                <w:szCs w:val="24"/>
                <w:u w:val="none" w:color="auto"/>
                <w:lang w:val="en-US" w:eastAsia="zh-CN" w:bidi="ar-SA"/>
              </w:rPr>
              <w:t>经城镇污水管网排入泗水河</w:t>
            </w:r>
            <w:r>
              <w:rPr>
                <w:rFonts w:hint="eastAsia"/>
                <w:sz w:val="24"/>
                <w:u w:val="none" w:color="auto"/>
                <w:lang w:eastAsia="zh-CN"/>
              </w:rPr>
              <w:t>。本项目园区配套的化粪池1座</w:t>
            </w:r>
            <w:r>
              <w:rPr>
                <w:rFonts w:hint="eastAsia"/>
                <w:sz w:val="24"/>
                <w:u w:val="none" w:color="auto"/>
                <w:lang w:val="en-US" w:eastAsia="zh-CN"/>
              </w:rPr>
              <w:t>1</w:t>
            </w:r>
            <w:r>
              <w:rPr>
                <w:rFonts w:hint="eastAsia"/>
                <w:sz w:val="24"/>
                <w:u w:val="none" w:color="auto"/>
                <w:lang w:eastAsia="zh-CN"/>
              </w:rPr>
              <w:t>0m³，位于厂区生产车间外的东北侧。</w:t>
            </w:r>
          </w:p>
          <w:p>
            <w:pPr>
              <w:pStyle w:val="75"/>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u w:val="none" w:color="auto"/>
                <w:lang w:eastAsia="zh-CN"/>
              </w:rPr>
            </w:pPr>
            <w:r>
              <w:rPr>
                <w:rFonts w:hint="default" w:ascii="Times New Roman" w:hAnsi="Times New Roman" w:eastAsia="宋体" w:cs="Times New Roman"/>
                <w:b w:val="0"/>
                <w:bCs/>
                <w:color w:val="auto"/>
                <w:kern w:val="2"/>
                <w:sz w:val="24"/>
                <w:szCs w:val="24"/>
                <w:u w:val="none" w:color="auto"/>
                <w:lang w:val="en-US" w:eastAsia="zh-CN" w:bidi="ar-SA"/>
              </w:rPr>
              <w:t>（</w:t>
            </w:r>
            <w:r>
              <w:rPr>
                <w:rFonts w:hint="eastAsia" w:cs="Times New Roman"/>
                <w:b w:val="0"/>
                <w:bCs/>
                <w:color w:val="auto"/>
                <w:kern w:val="2"/>
                <w:sz w:val="24"/>
                <w:szCs w:val="24"/>
                <w:u w:val="none" w:color="auto"/>
                <w:lang w:val="en-US" w:eastAsia="zh-CN" w:bidi="ar-SA"/>
              </w:rPr>
              <w:t>2</w:t>
            </w:r>
            <w:r>
              <w:rPr>
                <w:rFonts w:hint="default" w:ascii="Times New Roman" w:hAnsi="Times New Roman" w:eastAsia="宋体" w:cs="Times New Roman"/>
                <w:b w:val="0"/>
                <w:bCs/>
                <w:color w:val="auto"/>
                <w:kern w:val="2"/>
                <w:sz w:val="24"/>
                <w:szCs w:val="24"/>
                <w:u w:val="none" w:color="auto"/>
                <w:lang w:val="en-US" w:eastAsia="zh-CN" w:bidi="ar-SA"/>
              </w:rPr>
              <w:t>）</w:t>
            </w:r>
            <w:r>
              <w:rPr>
                <w:rFonts w:hint="eastAsia" w:ascii="Times New Roman" w:hAnsi="Times New Roman" w:eastAsia="宋体" w:cs="Times New Roman"/>
                <w:b w:val="0"/>
                <w:bCs/>
                <w:color w:val="auto"/>
                <w:kern w:val="2"/>
                <w:sz w:val="24"/>
                <w:szCs w:val="24"/>
                <w:u w:val="none" w:color="auto"/>
                <w:lang w:val="en-US" w:eastAsia="zh-CN" w:bidi="ar-SA"/>
              </w:rPr>
              <w:t>艾草产业园污水处理</w:t>
            </w:r>
            <w:r>
              <w:rPr>
                <w:rFonts w:hint="eastAsia" w:cs="Times New Roman"/>
                <w:b w:val="0"/>
                <w:bCs/>
                <w:color w:val="auto"/>
                <w:kern w:val="2"/>
                <w:sz w:val="24"/>
                <w:szCs w:val="24"/>
                <w:u w:val="none" w:color="auto"/>
                <w:lang w:val="en-US" w:eastAsia="zh-CN" w:bidi="ar-SA"/>
              </w:rPr>
              <w:t>设备</w:t>
            </w:r>
            <w:r>
              <w:rPr>
                <w:rFonts w:hint="eastAsia"/>
                <w:sz w:val="24"/>
                <w:u w:val="none" w:color="auto"/>
                <w:lang w:eastAsia="zh-CN"/>
              </w:rPr>
              <w:t>基本情况</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b w:val="0"/>
                <w:bCs/>
                <w:color w:val="auto"/>
                <w:kern w:val="2"/>
                <w:sz w:val="24"/>
                <w:szCs w:val="24"/>
                <w:u w:val="none" w:color="auto"/>
                <w:lang w:val="en-US" w:eastAsia="zh-CN" w:bidi="ar-SA"/>
              </w:rPr>
            </w:pPr>
            <w:r>
              <w:rPr>
                <w:rFonts w:hint="eastAsia" w:ascii="Times New Roman" w:hAnsi="Times New Roman" w:eastAsia="宋体" w:cs="Times New Roman"/>
                <w:b w:val="0"/>
                <w:bCs/>
                <w:color w:val="auto"/>
                <w:kern w:val="2"/>
                <w:sz w:val="24"/>
                <w:szCs w:val="24"/>
                <w:u w:val="none" w:color="auto"/>
                <w:lang w:val="en-US" w:eastAsia="zh-CN" w:bidi="ar-SA"/>
              </w:rPr>
              <w:t>艾草产业园污水处理</w:t>
            </w:r>
            <w:r>
              <w:rPr>
                <w:rFonts w:hint="eastAsia" w:cs="Times New Roman"/>
                <w:b w:val="0"/>
                <w:bCs/>
                <w:color w:val="auto"/>
                <w:kern w:val="2"/>
                <w:sz w:val="24"/>
                <w:szCs w:val="24"/>
                <w:u w:val="none" w:color="auto"/>
                <w:lang w:val="en-US" w:eastAsia="zh-CN" w:bidi="ar-SA"/>
              </w:rPr>
              <w:t>设备</w:t>
            </w:r>
            <w:r>
              <w:rPr>
                <w:rFonts w:hint="eastAsia" w:ascii="Times New Roman" w:hAnsi="Times New Roman" w:cs="Times New Roman"/>
                <w:b w:val="0"/>
                <w:bCs/>
                <w:color w:val="auto"/>
                <w:kern w:val="2"/>
                <w:sz w:val="24"/>
                <w:szCs w:val="24"/>
                <w:u w:val="none" w:color="auto"/>
                <w:lang w:val="en-US" w:eastAsia="zh-CN" w:bidi="ar-SA"/>
              </w:rPr>
              <w:t>位于艾草产业园内东北侧，</w:t>
            </w:r>
            <w:r>
              <w:rPr>
                <w:rFonts w:hint="eastAsia" w:cs="Times New Roman"/>
                <w:b w:val="0"/>
                <w:bCs/>
                <w:color w:val="auto"/>
                <w:kern w:val="2"/>
                <w:sz w:val="24"/>
                <w:szCs w:val="24"/>
                <w:u w:val="none" w:color="auto"/>
                <w:lang w:val="en-US" w:eastAsia="zh-CN" w:bidi="ar-SA"/>
              </w:rPr>
              <w:t>园区大门北侧，与本项目直线距离258m处。</w:t>
            </w:r>
            <w:r>
              <w:rPr>
                <w:rFonts w:hint="eastAsia" w:ascii="Times New Roman" w:hAnsi="Times New Roman" w:eastAsia="宋体" w:cs="Times New Roman"/>
                <w:b w:val="0"/>
                <w:bCs/>
                <w:color w:val="auto"/>
                <w:kern w:val="2"/>
                <w:sz w:val="24"/>
                <w:szCs w:val="24"/>
                <w:u w:val="none" w:color="auto"/>
                <w:lang w:val="en-US" w:eastAsia="zh-CN" w:bidi="ar-SA"/>
              </w:rPr>
              <w:t>艾草产业园污水处理</w:t>
            </w:r>
            <w:r>
              <w:rPr>
                <w:rFonts w:hint="eastAsia" w:cs="Times New Roman"/>
                <w:b w:val="0"/>
                <w:bCs/>
                <w:color w:val="auto"/>
                <w:kern w:val="2"/>
                <w:sz w:val="24"/>
                <w:szCs w:val="24"/>
                <w:u w:val="none" w:color="auto"/>
                <w:lang w:val="en-US" w:eastAsia="zh-CN" w:bidi="ar-SA"/>
              </w:rPr>
              <w:t>设备</w:t>
            </w:r>
            <w:r>
              <w:rPr>
                <w:rFonts w:hint="eastAsia" w:ascii="Times New Roman" w:hAnsi="Times New Roman" w:cs="Times New Roman"/>
                <w:b w:val="0"/>
                <w:bCs/>
                <w:color w:val="auto"/>
                <w:kern w:val="2"/>
                <w:sz w:val="24"/>
                <w:szCs w:val="24"/>
                <w:u w:val="none" w:color="auto"/>
                <w:lang w:val="en-US" w:eastAsia="zh-CN" w:bidi="ar-SA"/>
              </w:rPr>
              <w:t>收水范围</w:t>
            </w:r>
            <w:r>
              <w:rPr>
                <w:rFonts w:hint="eastAsia" w:cs="Times New Roman"/>
                <w:b w:val="0"/>
                <w:bCs/>
                <w:color w:val="auto"/>
                <w:kern w:val="2"/>
                <w:sz w:val="24"/>
                <w:szCs w:val="24"/>
                <w:u w:val="none" w:color="auto"/>
                <w:lang w:val="en-US" w:eastAsia="zh-CN" w:bidi="ar-SA"/>
              </w:rPr>
              <w:t>为整个</w:t>
            </w:r>
            <w:r>
              <w:rPr>
                <w:rFonts w:hint="eastAsia" w:ascii="Times New Roman" w:hAnsi="Times New Roman" w:eastAsia="宋体" w:cs="Times New Roman"/>
                <w:b w:val="0"/>
                <w:bCs/>
                <w:color w:val="auto"/>
                <w:kern w:val="2"/>
                <w:sz w:val="24"/>
                <w:szCs w:val="24"/>
                <w:u w:val="none" w:color="auto"/>
                <w:lang w:val="en-US" w:eastAsia="zh-CN" w:bidi="ar-SA"/>
              </w:rPr>
              <w:t>艾草产业园</w:t>
            </w:r>
            <w:r>
              <w:rPr>
                <w:rFonts w:hint="eastAsia" w:cs="Times New Roman"/>
                <w:b w:val="0"/>
                <w:bCs/>
                <w:color w:val="auto"/>
                <w:kern w:val="2"/>
                <w:sz w:val="24"/>
                <w:szCs w:val="24"/>
                <w:u w:val="none" w:color="auto"/>
                <w:lang w:val="en-US" w:eastAsia="zh-CN" w:bidi="ar-SA"/>
              </w:rPr>
              <w:t>，</w:t>
            </w:r>
            <w:r>
              <w:rPr>
                <w:rFonts w:hint="eastAsia" w:ascii="Times New Roman" w:hAnsi="Times New Roman" w:cs="Times New Roman"/>
                <w:b w:val="0"/>
                <w:bCs/>
                <w:color w:val="auto"/>
                <w:kern w:val="2"/>
                <w:sz w:val="24"/>
                <w:szCs w:val="24"/>
                <w:u w:val="none" w:color="auto"/>
                <w:lang w:val="en-US" w:eastAsia="zh-CN" w:bidi="ar-SA"/>
              </w:rPr>
              <w:t>主要收集</w:t>
            </w:r>
            <w:r>
              <w:rPr>
                <w:rFonts w:hint="eastAsia" w:cs="Times New Roman"/>
                <w:b w:val="0"/>
                <w:bCs/>
                <w:color w:val="auto"/>
                <w:kern w:val="2"/>
                <w:sz w:val="24"/>
                <w:szCs w:val="24"/>
                <w:u w:val="none" w:color="auto"/>
                <w:lang w:val="en-US" w:eastAsia="zh-CN" w:bidi="ar-SA"/>
              </w:rPr>
              <w:t>企业</w:t>
            </w:r>
            <w:r>
              <w:rPr>
                <w:rFonts w:hint="eastAsia" w:ascii="Times New Roman" w:hAnsi="Times New Roman" w:cs="Times New Roman"/>
                <w:b w:val="0"/>
                <w:bCs/>
                <w:color w:val="auto"/>
                <w:kern w:val="2"/>
                <w:sz w:val="24"/>
                <w:szCs w:val="24"/>
                <w:u w:val="none" w:color="auto"/>
                <w:lang w:val="en-US" w:eastAsia="zh-CN" w:bidi="ar-SA"/>
              </w:rPr>
              <w:t>的生活污水。该一体化污水处理设备于2024年5月22日</w:t>
            </w:r>
            <w:r>
              <w:rPr>
                <w:rFonts w:hint="eastAsia" w:cs="Times New Roman"/>
                <w:b w:val="0"/>
                <w:bCs/>
                <w:color w:val="auto"/>
                <w:kern w:val="2"/>
                <w:sz w:val="24"/>
                <w:szCs w:val="24"/>
                <w:u w:val="none" w:color="auto"/>
                <w:lang w:val="en-US" w:eastAsia="zh-CN" w:bidi="ar-SA"/>
              </w:rPr>
              <w:t>建设</w:t>
            </w:r>
            <w:r>
              <w:rPr>
                <w:rFonts w:hint="eastAsia" w:ascii="Times New Roman" w:hAnsi="Times New Roman" w:cs="Times New Roman"/>
                <w:b w:val="0"/>
                <w:bCs/>
                <w:color w:val="auto"/>
                <w:kern w:val="2"/>
                <w:sz w:val="24"/>
                <w:szCs w:val="24"/>
                <w:u w:val="none" w:color="auto"/>
                <w:lang w:val="en-US" w:eastAsia="zh-CN" w:bidi="ar-SA"/>
              </w:rPr>
              <w:t>，目前正常运行。处理水质要求</w:t>
            </w:r>
            <w:r>
              <w:rPr>
                <w:rFonts w:hint="eastAsia" w:cs="Times New Roman"/>
                <w:b w:val="0"/>
                <w:bCs/>
                <w:color w:val="auto"/>
                <w:kern w:val="2"/>
                <w:sz w:val="24"/>
                <w:szCs w:val="24"/>
                <w:u w:val="none" w:color="auto"/>
                <w:lang w:val="en-US" w:eastAsia="zh-CN" w:bidi="ar-SA"/>
              </w:rPr>
              <w:t>可</w:t>
            </w:r>
            <w:r>
              <w:rPr>
                <w:rFonts w:hint="eastAsia" w:ascii="Times New Roman" w:hAnsi="Times New Roman" w:eastAsia="宋体" w:cs="Times New Roman"/>
                <w:b w:val="0"/>
                <w:bCs w:val="0"/>
                <w:color w:val="auto"/>
                <w:kern w:val="2"/>
                <w:sz w:val="24"/>
                <w:szCs w:val="24"/>
                <w:u w:val="none" w:color="auto"/>
                <w:lang w:val="en-US" w:eastAsia="zh-CN" w:bidi="ar-SA"/>
              </w:rPr>
              <w:t>达到河南省《农村生活污水处理设施水污染物排放标准》（DB41/1820-2019）中的一级标准（COD：60mg/L；NH</w:t>
            </w:r>
            <w:r>
              <w:rPr>
                <w:rFonts w:hint="eastAsia" w:ascii="Times New Roman" w:hAnsi="Times New Roman" w:eastAsia="宋体" w:cs="Times New Roman"/>
                <w:b w:val="0"/>
                <w:bCs w:val="0"/>
                <w:color w:val="auto"/>
                <w:kern w:val="2"/>
                <w:sz w:val="24"/>
                <w:szCs w:val="24"/>
                <w:u w:val="none" w:color="auto"/>
                <w:vertAlign w:val="subscript"/>
                <w:lang w:val="en-US" w:eastAsia="zh-CN" w:bidi="ar-SA"/>
              </w:rPr>
              <w:t>3</w:t>
            </w:r>
            <w:r>
              <w:rPr>
                <w:rFonts w:hint="eastAsia" w:ascii="Times New Roman" w:hAnsi="Times New Roman" w:eastAsia="宋体" w:cs="Times New Roman"/>
                <w:b w:val="0"/>
                <w:bCs w:val="0"/>
                <w:color w:val="auto"/>
                <w:kern w:val="2"/>
                <w:sz w:val="24"/>
                <w:szCs w:val="24"/>
                <w:u w:val="none" w:color="auto"/>
                <w:lang w:val="en-US" w:eastAsia="zh-CN" w:bidi="ar-SA"/>
              </w:rPr>
              <w:t>-N：8mg/L）</w:t>
            </w:r>
            <w:r>
              <w:rPr>
                <w:rFonts w:hint="eastAsia" w:cs="Times New Roman"/>
                <w:b w:val="0"/>
                <w:bCs w:val="0"/>
                <w:color w:val="auto"/>
                <w:kern w:val="2"/>
                <w:sz w:val="24"/>
                <w:szCs w:val="24"/>
                <w:u w:val="none" w:color="auto"/>
                <w:lang w:val="en-US" w:eastAsia="zh-CN" w:bidi="ar-SA"/>
              </w:rPr>
              <w:t>。</w:t>
            </w:r>
            <w:r>
              <w:rPr>
                <w:rFonts w:hint="eastAsia" w:ascii="Times New Roman" w:hAnsi="Times New Roman" w:cs="Times New Roman"/>
                <w:b w:val="0"/>
                <w:bCs/>
                <w:color w:val="auto"/>
                <w:kern w:val="2"/>
                <w:sz w:val="24"/>
                <w:szCs w:val="24"/>
                <w:u w:val="none" w:color="auto"/>
                <w:lang w:val="en-US" w:eastAsia="zh-CN" w:bidi="ar-SA"/>
              </w:rPr>
              <w:t>生活污水经过格栅拦截，然后进入调节池进行调质调量，依靠重力自流或由提升泵提升至HAOB生活污水处理设备进行生化处理，出水达标排放。</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val="0"/>
                <w:bCs/>
                <w:color w:val="auto"/>
                <w:kern w:val="2"/>
                <w:sz w:val="24"/>
                <w:szCs w:val="24"/>
                <w:u w:val="none" w:color="auto"/>
                <w:lang w:val="en-US" w:eastAsia="zh-CN" w:bidi="ar-SA"/>
              </w:rPr>
            </w:pPr>
            <w:r>
              <w:rPr>
                <w:rFonts w:hint="default" w:ascii="Times New Roman" w:hAnsi="Times New Roman" w:eastAsia="宋体" w:cs="Times New Roman"/>
                <w:b w:val="0"/>
                <w:bCs/>
                <w:color w:val="auto"/>
                <w:kern w:val="2"/>
                <w:sz w:val="24"/>
                <w:szCs w:val="24"/>
                <w:u w:val="none" w:color="auto"/>
                <w:lang w:val="en-US" w:eastAsia="zh-CN" w:bidi="ar-SA"/>
              </w:rPr>
              <w:t>（</w:t>
            </w:r>
            <w:r>
              <w:rPr>
                <w:rFonts w:hint="eastAsia" w:cs="Times New Roman"/>
                <w:b w:val="0"/>
                <w:bCs/>
                <w:color w:val="auto"/>
                <w:kern w:val="2"/>
                <w:sz w:val="24"/>
                <w:szCs w:val="24"/>
                <w:u w:val="none" w:color="auto"/>
                <w:lang w:val="en-US" w:eastAsia="zh-CN" w:bidi="ar-SA"/>
              </w:rPr>
              <w:t>3</w:t>
            </w:r>
            <w:r>
              <w:rPr>
                <w:rFonts w:hint="default" w:ascii="Times New Roman" w:hAnsi="Times New Roman" w:eastAsia="宋体" w:cs="Times New Roman"/>
                <w:b w:val="0"/>
                <w:bCs/>
                <w:color w:val="auto"/>
                <w:kern w:val="2"/>
                <w:sz w:val="24"/>
                <w:szCs w:val="24"/>
                <w:u w:val="none" w:color="auto"/>
                <w:lang w:val="en-US" w:eastAsia="zh-CN" w:bidi="ar-SA"/>
              </w:rPr>
              <w:t>）</w:t>
            </w:r>
            <w:r>
              <w:rPr>
                <w:rFonts w:hint="eastAsia" w:cs="Times New Roman"/>
                <w:b w:val="0"/>
                <w:bCs/>
                <w:color w:val="auto"/>
                <w:kern w:val="2"/>
                <w:sz w:val="24"/>
                <w:szCs w:val="24"/>
                <w:u w:val="none" w:color="auto"/>
                <w:lang w:val="en-US" w:eastAsia="zh-CN" w:bidi="ar-SA"/>
              </w:rPr>
              <w:t>艾草产业园污水处理设备</w:t>
            </w:r>
            <w:r>
              <w:rPr>
                <w:rFonts w:hint="eastAsia"/>
                <w:sz w:val="24"/>
                <w:u w:val="none" w:color="auto"/>
                <w:lang w:eastAsia="zh-CN"/>
              </w:rPr>
              <w:t>收纳本项目废水途径的合理性分析</w:t>
            </w:r>
            <w:r>
              <w:rPr>
                <w:rFonts w:hint="eastAsia" w:ascii="Times New Roman" w:hAnsi="Times New Roman" w:eastAsia="宋体" w:cs="Times New Roman"/>
                <w:b w:val="0"/>
                <w:bCs/>
                <w:color w:val="auto"/>
                <w:kern w:val="2"/>
                <w:sz w:val="24"/>
                <w:szCs w:val="24"/>
                <w:u w:val="none" w:color="auto"/>
                <w:lang w:val="en-US" w:eastAsia="zh-CN" w:bidi="ar-SA"/>
              </w:rPr>
              <w:t>：</w:t>
            </w:r>
          </w:p>
          <w:p>
            <w:pPr>
              <w:pStyle w:val="5"/>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 w:val="0"/>
                <w:bCs/>
                <w:color w:val="auto"/>
                <w:kern w:val="2"/>
                <w:sz w:val="24"/>
                <w:szCs w:val="24"/>
                <w:u w:val="none" w:color="auto"/>
                <w:lang w:val="en-US" w:eastAsia="zh-CN" w:bidi="ar-SA"/>
              </w:rPr>
            </w:pPr>
            <w:r>
              <w:rPr>
                <w:rFonts w:hint="eastAsia" w:ascii="Times New Roman" w:hAnsi="Times New Roman" w:cs="Times New Roman"/>
                <w:b w:val="0"/>
                <w:bCs/>
                <w:color w:val="auto"/>
                <w:kern w:val="2"/>
                <w:sz w:val="24"/>
                <w:szCs w:val="24"/>
                <w:u w:val="none" w:color="auto"/>
                <w:lang w:val="en-US" w:eastAsia="zh-CN" w:bidi="ar-SA"/>
              </w:rPr>
              <w:t>截止2024年7月22日，设计处理能力为200t/d，已运行53天，累计处理水量3539m</w:t>
            </w:r>
            <w:r>
              <w:rPr>
                <w:rFonts w:hint="eastAsia" w:ascii="Times New Roman" w:hAnsi="Times New Roman" w:cs="Times New Roman"/>
                <w:b w:val="0"/>
                <w:bCs/>
                <w:color w:val="auto"/>
                <w:kern w:val="2"/>
                <w:sz w:val="24"/>
                <w:szCs w:val="24"/>
                <w:u w:val="none" w:color="auto"/>
                <w:vertAlign w:val="superscript"/>
                <w:lang w:val="en-US" w:eastAsia="zh-CN" w:bidi="ar-SA"/>
              </w:rPr>
              <w:t>3</w:t>
            </w:r>
            <w:r>
              <w:rPr>
                <w:rFonts w:hint="eastAsia" w:ascii="Times New Roman" w:hAnsi="Times New Roman" w:cs="Times New Roman"/>
                <w:b w:val="0"/>
                <w:bCs/>
                <w:color w:val="auto"/>
                <w:kern w:val="2"/>
                <w:sz w:val="24"/>
                <w:szCs w:val="24"/>
                <w:u w:val="none" w:color="auto"/>
                <w:lang w:val="en-US" w:eastAsia="zh-CN" w:bidi="ar-SA"/>
              </w:rPr>
              <w:t>，日均处理污水66.8m</w:t>
            </w:r>
            <w:r>
              <w:rPr>
                <w:rFonts w:hint="eastAsia" w:ascii="Times New Roman" w:hAnsi="Times New Roman" w:cs="Times New Roman"/>
                <w:b w:val="0"/>
                <w:bCs/>
                <w:color w:val="auto"/>
                <w:kern w:val="2"/>
                <w:sz w:val="24"/>
                <w:szCs w:val="24"/>
                <w:u w:val="none" w:color="auto"/>
                <w:vertAlign w:val="superscript"/>
                <w:lang w:val="en-US" w:eastAsia="zh-CN" w:bidi="ar-SA"/>
              </w:rPr>
              <w:t>3</w:t>
            </w:r>
            <w:r>
              <w:rPr>
                <w:rFonts w:hint="eastAsia" w:ascii="Times New Roman" w:hAnsi="Times New Roman" w:cs="Times New Roman"/>
                <w:b w:val="0"/>
                <w:bCs/>
                <w:color w:val="auto"/>
                <w:kern w:val="2"/>
                <w:sz w:val="24"/>
                <w:szCs w:val="24"/>
                <w:u w:val="none" w:color="auto"/>
                <w:lang w:val="en-US" w:eastAsia="zh-CN" w:bidi="ar-SA"/>
              </w:rPr>
              <w:t>/d。</w:t>
            </w:r>
            <w:r>
              <w:rPr>
                <w:rFonts w:ascii="Times New Roman" w:hAnsi="Times New Roman"/>
                <w:sz w:val="24"/>
                <w:u w:val="none" w:color="auto"/>
              </w:rPr>
              <w:t>本项目需</w:t>
            </w:r>
            <w:r>
              <w:rPr>
                <w:rFonts w:hint="eastAsia"/>
                <w:sz w:val="24"/>
                <w:u w:val="none" w:color="auto"/>
                <w:lang w:val="en-US" w:eastAsia="zh-CN"/>
              </w:rPr>
              <w:t>处理</w:t>
            </w:r>
            <w:r>
              <w:rPr>
                <w:rFonts w:ascii="Times New Roman" w:hAnsi="Times New Roman"/>
                <w:sz w:val="24"/>
                <w:u w:val="none" w:color="auto"/>
              </w:rPr>
              <w:t>的生活废水</w:t>
            </w:r>
            <w:r>
              <w:rPr>
                <w:rFonts w:hint="eastAsia"/>
                <w:sz w:val="24"/>
                <w:u w:val="none" w:color="auto"/>
                <w:lang w:val="en-US" w:eastAsia="zh-CN"/>
              </w:rPr>
              <w:t>0.16</w:t>
            </w:r>
            <w:r>
              <w:rPr>
                <w:rFonts w:ascii="Times New Roman" w:hAnsi="Times New Roman"/>
                <w:sz w:val="24"/>
                <w:u w:val="none" w:color="auto"/>
              </w:rPr>
              <w:t>m</w:t>
            </w:r>
            <w:r>
              <w:rPr>
                <w:rFonts w:ascii="Times New Roman" w:hAnsi="Times New Roman"/>
                <w:sz w:val="24"/>
                <w:u w:val="none" w:color="auto"/>
                <w:vertAlign w:val="superscript"/>
              </w:rPr>
              <w:t>3</w:t>
            </w:r>
            <w:r>
              <w:rPr>
                <w:rFonts w:ascii="Times New Roman" w:hAnsi="Times New Roman"/>
                <w:sz w:val="24"/>
                <w:u w:val="none" w:color="auto"/>
              </w:rPr>
              <w:t>/d</w:t>
            </w:r>
            <w:r>
              <w:rPr>
                <w:rFonts w:hint="eastAsia" w:ascii="Times New Roman" w:hAnsi="Times New Roman"/>
                <w:sz w:val="24"/>
                <w:u w:val="none" w:color="auto"/>
                <w:lang w:eastAsia="zh-CN"/>
              </w:rPr>
              <w:t>，相对污水处理厂处理能力所占比重很小，</w:t>
            </w:r>
            <w:r>
              <w:rPr>
                <w:rFonts w:hint="default" w:ascii="Times New Roman" w:hAnsi="Times New Roman" w:cs="Times New Roman"/>
                <w:color w:val="000000"/>
                <w:sz w:val="24"/>
                <w:u w:val="none" w:color="auto"/>
              </w:rPr>
              <w:t>因此</w:t>
            </w:r>
            <w:r>
              <w:rPr>
                <w:rFonts w:hint="eastAsia" w:ascii="Times New Roman" w:hAnsi="Times New Roman" w:cs="Times New Roman"/>
                <w:color w:val="000000"/>
                <w:sz w:val="24"/>
                <w:u w:val="none" w:color="auto"/>
                <w:lang w:eastAsia="zh-CN"/>
              </w:rPr>
              <w:t>泗水</w:t>
            </w:r>
            <w:r>
              <w:rPr>
                <w:rFonts w:hint="default" w:ascii="Times New Roman" w:hAnsi="Times New Roman" w:cs="Times New Roman"/>
                <w:color w:val="000000"/>
                <w:sz w:val="24"/>
                <w:u w:val="none" w:color="auto"/>
              </w:rPr>
              <w:t>河污水处理厂有足够能力处理本项目产生的废水。</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val="0"/>
                <w:bCs/>
                <w:color w:val="auto"/>
                <w:kern w:val="2"/>
                <w:sz w:val="24"/>
                <w:szCs w:val="24"/>
                <w:u w:val="none" w:color="auto"/>
                <w:lang w:val="en-US" w:eastAsia="zh-CN" w:bidi="ar-SA"/>
              </w:rPr>
            </w:pPr>
            <w:r>
              <w:rPr>
                <w:rFonts w:hint="eastAsia" w:ascii="Times New Roman" w:hAnsi="Times New Roman" w:eastAsia="宋体" w:cs="Times New Roman"/>
                <w:b w:val="0"/>
                <w:bCs/>
                <w:color w:val="auto"/>
                <w:kern w:val="2"/>
                <w:sz w:val="24"/>
                <w:szCs w:val="24"/>
                <w:u w:val="none" w:color="auto"/>
                <w:lang w:val="en-US" w:eastAsia="zh-CN" w:bidi="ar-SA"/>
              </w:rPr>
              <w:t>综上，项目生活污水</w:t>
            </w:r>
            <w:r>
              <w:rPr>
                <w:rFonts w:hint="eastAsia" w:cs="Times New Roman"/>
                <w:b w:val="0"/>
                <w:bCs/>
                <w:color w:val="auto"/>
                <w:kern w:val="2"/>
                <w:sz w:val="24"/>
                <w:szCs w:val="24"/>
                <w:u w:val="none" w:color="auto"/>
                <w:lang w:val="en-US" w:eastAsia="zh-CN" w:bidi="ar-SA"/>
              </w:rPr>
              <w:t>处理</w:t>
            </w:r>
            <w:r>
              <w:rPr>
                <w:rFonts w:hint="eastAsia" w:ascii="Times New Roman" w:hAnsi="Times New Roman" w:eastAsia="宋体" w:cs="Times New Roman"/>
                <w:b w:val="0"/>
                <w:bCs/>
                <w:color w:val="auto"/>
                <w:kern w:val="2"/>
                <w:sz w:val="24"/>
                <w:szCs w:val="24"/>
                <w:u w:val="none" w:color="auto"/>
                <w:lang w:val="en-US" w:eastAsia="zh-CN" w:bidi="ar-SA"/>
              </w:rPr>
              <w:t>措施可行。</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color w:val="auto"/>
                <w:kern w:val="2"/>
                <w:sz w:val="24"/>
                <w:szCs w:val="24"/>
                <w:u w:val="single" w:color="auto"/>
                <w:lang w:val="en-US" w:eastAsia="zh-CN" w:bidi="ar-SA"/>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right="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3、声环境影响分析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right="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3.1噪声源确定</w:t>
            </w:r>
          </w:p>
          <w:p>
            <w:pPr>
              <w:pStyle w:val="61"/>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ascii="Times New Roman" w:hAnsi="Times New Roman" w:cs="Times New Roman"/>
                <w:bCs/>
                <w:color w:val="auto"/>
              </w:rPr>
            </w:pPr>
            <w:r>
              <w:rPr>
                <w:rFonts w:hint="default" w:ascii="Times New Roman" w:hAnsi="Times New Roman" w:cs="Times New Roman"/>
                <w:color w:val="auto"/>
                <w:sz w:val="24"/>
                <w:szCs w:val="24"/>
              </w:rPr>
              <w:t>本项目营运期</w:t>
            </w:r>
            <w:r>
              <w:rPr>
                <w:rFonts w:hint="default" w:ascii="Times New Roman" w:hAnsi="Times New Roman" w:cs="Times New Roman"/>
                <w:color w:val="auto"/>
              </w:rPr>
              <w:t>主要噪声源来自</w:t>
            </w:r>
            <w:r>
              <w:rPr>
                <w:rFonts w:hint="eastAsia" w:cs="Times New Roman"/>
                <w:b w:val="0"/>
                <w:bCs/>
                <w:i w:val="0"/>
                <w:iCs w:val="0"/>
                <w:color w:val="auto"/>
                <w:kern w:val="21"/>
                <w:sz w:val="24"/>
                <w:szCs w:val="24"/>
                <w:u w:val="none"/>
                <w:lang w:val="en-US" w:eastAsia="zh-CN" w:bidi="ar-SA"/>
              </w:rPr>
              <w:t>搅拌机</w:t>
            </w:r>
            <w:r>
              <w:rPr>
                <w:rFonts w:hint="default" w:ascii="Times New Roman" w:hAnsi="Times New Roman" w:cs="Times New Roman"/>
                <w:color w:val="auto"/>
              </w:rPr>
              <w:t>、</w:t>
            </w:r>
            <w:r>
              <w:rPr>
                <w:rFonts w:hint="eastAsia" w:ascii="Times New Roman" w:hAnsi="Times New Roman" w:cs="Times New Roman"/>
                <w:color w:val="auto"/>
                <w:lang w:eastAsia="zh-CN"/>
              </w:rPr>
              <w:t>涂布机、干复机、烘干机、分切压延机</w:t>
            </w:r>
            <w:r>
              <w:rPr>
                <w:rFonts w:hint="default" w:ascii="Times New Roman" w:hAnsi="Times New Roman" w:cs="Times New Roman"/>
                <w:color w:val="auto"/>
              </w:rPr>
              <w:t>等设备运行时产生的噪声，其噪声源强在7</w:t>
            </w:r>
            <w:r>
              <w:rPr>
                <w:rFonts w:hint="eastAsia" w:ascii="Times New Roman" w:hAnsi="Times New Roman" w:cs="Times New Roman"/>
                <w:color w:val="auto"/>
                <w:lang w:val="en-US" w:eastAsia="zh-CN"/>
              </w:rPr>
              <w:t>0</w:t>
            </w:r>
            <w:r>
              <w:rPr>
                <w:rFonts w:hint="default" w:ascii="Times New Roman" w:hAnsi="Times New Roman" w:cs="Times New Roman"/>
                <w:color w:val="auto"/>
              </w:rPr>
              <w:t>-</w:t>
            </w:r>
            <w:r>
              <w:rPr>
                <w:rFonts w:hint="eastAsia" w:ascii="Times New Roman" w:hAnsi="Times New Roman" w:cs="Times New Roman"/>
                <w:color w:val="auto"/>
                <w:lang w:val="en-US" w:eastAsia="zh-CN"/>
              </w:rPr>
              <w:t>85</w:t>
            </w:r>
            <w:r>
              <w:rPr>
                <w:rFonts w:hint="default" w:ascii="Times New Roman" w:hAnsi="Times New Roman" w:cs="Times New Roman"/>
                <w:color w:val="auto"/>
              </w:rPr>
              <w:t>dB(A)之间，设备仅在昼间工作，</w:t>
            </w:r>
            <w:r>
              <w:rPr>
                <w:rFonts w:hint="default" w:ascii="Times New Roman" w:hAnsi="Times New Roman" w:cs="Times New Roman"/>
                <w:bCs/>
                <w:color w:val="auto"/>
              </w:rPr>
              <w:t>项目主要噪声源情况见</w:t>
            </w:r>
            <w:r>
              <w:rPr>
                <w:rFonts w:hint="eastAsia" w:ascii="Times New Roman" w:hAnsi="Times New Roman" w:cs="Times New Roman"/>
                <w:bCs/>
                <w:color w:val="auto"/>
                <w:lang w:eastAsia="zh-CN"/>
              </w:rPr>
              <w:t>下表</w:t>
            </w:r>
            <w:r>
              <w:rPr>
                <w:rFonts w:hint="default" w:ascii="Times New Roman" w:hAnsi="Times New Roman" w:cs="Times New Roman"/>
                <w:bCs/>
                <w:color w:val="auto"/>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center"/>
              <w:textAlignment w:val="auto"/>
              <w:rPr>
                <w:rFonts w:hint="default" w:ascii="Times New Roman" w:hAnsi="Times New Roman" w:eastAsia="宋体" w:cs="Times New Roman"/>
                <w:b/>
                <w:bCs w:val="0"/>
                <w:sz w:val="24"/>
                <w:szCs w:val="24"/>
                <w:lang w:eastAsia="zh-CN"/>
              </w:rPr>
            </w:pPr>
            <w:r>
              <w:rPr>
                <w:rFonts w:hint="default" w:ascii="Times New Roman" w:hAnsi="Times New Roman" w:eastAsia="宋体" w:cs="Times New Roman"/>
                <w:b/>
                <w:bCs w:val="0"/>
                <w:sz w:val="24"/>
                <w:szCs w:val="24"/>
                <w:lang w:eastAsia="zh-CN"/>
              </w:rPr>
              <w:t>表</w:t>
            </w:r>
            <w:r>
              <w:rPr>
                <w:rFonts w:hint="eastAsia" w:ascii="Times New Roman" w:hAnsi="Times New Roman" w:eastAsia="宋体" w:cs="Times New Roman"/>
                <w:b/>
                <w:bCs w:val="0"/>
                <w:sz w:val="24"/>
                <w:szCs w:val="24"/>
                <w:lang w:val="en-US" w:eastAsia="zh-CN"/>
              </w:rPr>
              <w:t>4-6</w:t>
            </w:r>
            <w:r>
              <w:rPr>
                <w:rFonts w:hint="default" w:ascii="Times New Roman" w:hAnsi="Times New Roman" w:eastAsia="宋体" w:cs="Times New Roman"/>
                <w:b/>
                <w:bCs w:val="0"/>
                <w:sz w:val="24"/>
                <w:szCs w:val="24"/>
                <w:lang w:eastAsia="zh-CN"/>
              </w:rPr>
              <w:t xml:space="preserve">  本项目各噪声源情况一览表</w:t>
            </w:r>
          </w:p>
          <w:tbl>
            <w:tblPr>
              <w:tblStyle w:val="26"/>
              <w:tblW w:w="855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461"/>
              <w:gridCol w:w="1393"/>
              <w:gridCol w:w="1995"/>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2461" w:type="dxa"/>
                  <w:noWrap w:val="0"/>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噪声源</w:t>
                  </w:r>
                </w:p>
              </w:tc>
              <w:tc>
                <w:tcPr>
                  <w:tcW w:w="1393" w:type="dxa"/>
                  <w:noWrap w:val="0"/>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数量</w:t>
                  </w:r>
                </w:p>
              </w:tc>
              <w:tc>
                <w:tcPr>
                  <w:tcW w:w="1995" w:type="dxa"/>
                  <w:noWrap w:val="0"/>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噪声级（dB(A)）</w:t>
                  </w:r>
                </w:p>
              </w:tc>
              <w:tc>
                <w:tcPr>
                  <w:tcW w:w="1911" w:type="dxa"/>
                  <w:noWrap w:val="0"/>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2461" w:type="dxa"/>
                  <w:noWrap w:val="0"/>
                  <w:vAlign w:val="center"/>
                </w:tcPr>
                <w:p>
                  <w:pPr>
                    <w:spacing w:line="240" w:lineRule="auto"/>
                    <w:jc w:val="center"/>
                    <w:rPr>
                      <w:rFonts w:hint="eastAsia" w:ascii="Times New Roman" w:hAnsi="Times New Roman" w:cs="Times New Roman"/>
                      <w:color w:val="auto"/>
                      <w:sz w:val="21"/>
                      <w:szCs w:val="21"/>
                      <w:lang w:eastAsia="zh-CN"/>
                    </w:rPr>
                  </w:pPr>
                  <w:r>
                    <w:rPr>
                      <w:rFonts w:hint="eastAsia"/>
                      <w:color w:val="auto"/>
                      <w:u w:val="none"/>
                      <w:lang w:val="en-US" w:eastAsia="zh-CN"/>
                    </w:rPr>
                    <w:t>搅拌机</w:t>
                  </w:r>
                </w:p>
              </w:tc>
              <w:tc>
                <w:tcPr>
                  <w:tcW w:w="1393"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r>
                    <w:rPr>
                      <w:rFonts w:hint="eastAsia" w:ascii="Times New Roman" w:hAnsi="Times New Roman" w:cs="Times New Roman"/>
                      <w:color w:val="auto"/>
                      <w:sz w:val="21"/>
                      <w:szCs w:val="21"/>
                      <w:lang w:val="en-US" w:eastAsia="zh-CN"/>
                    </w:rPr>
                    <w:t>台</w:t>
                  </w:r>
                </w:p>
              </w:tc>
              <w:tc>
                <w:tcPr>
                  <w:tcW w:w="1995" w:type="dxa"/>
                  <w:noWrap w:val="0"/>
                  <w:vAlign w:val="center"/>
                </w:tcPr>
                <w:p>
                  <w:pPr>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75</w:t>
                  </w:r>
                </w:p>
              </w:tc>
              <w:tc>
                <w:tcPr>
                  <w:tcW w:w="1911"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2</w:t>
                  </w:r>
                </w:p>
              </w:tc>
              <w:tc>
                <w:tcPr>
                  <w:tcW w:w="2461" w:type="dxa"/>
                  <w:noWrap w:val="0"/>
                  <w:vAlign w:val="center"/>
                </w:tcPr>
                <w:p>
                  <w:pPr>
                    <w:spacing w:line="240" w:lineRule="auto"/>
                    <w:jc w:val="center"/>
                    <w:rPr>
                      <w:rFonts w:hint="default" w:ascii="Times New Roman" w:hAnsi="Times New Roman" w:cs="Times New Roman"/>
                      <w:color w:val="auto"/>
                      <w:sz w:val="21"/>
                      <w:szCs w:val="21"/>
                    </w:rPr>
                  </w:pPr>
                  <w:r>
                    <w:rPr>
                      <w:rFonts w:hint="eastAsia"/>
                      <w:color w:val="auto"/>
                      <w:u w:val="none"/>
                      <w:lang w:val="en-US" w:eastAsia="zh-CN"/>
                    </w:rPr>
                    <w:t>涂布机</w:t>
                  </w:r>
                </w:p>
              </w:tc>
              <w:tc>
                <w:tcPr>
                  <w:tcW w:w="1393" w:type="dxa"/>
                  <w:noWrap w:val="0"/>
                  <w:vAlign w:val="center"/>
                </w:tcPr>
                <w:p>
                  <w:pPr>
                    <w:spacing w:line="240" w:lineRule="auto"/>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台</w:t>
                  </w:r>
                </w:p>
              </w:tc>
              <w:tc>
                <w:tcPr>
                  <w:tcW w:w="1995" w:type="dxa"/>
                  <w:noWrap w:val="0"/>
                  <w:vAlign w:val="center"/>
                </w:tcPr>
                <w:p>
                  <w:pPr>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75</w:t>
                  </w:r>
                </w:p>
              </w:tc>
              <w:tc>
                <w:tcPr>
                  <w:tcW w:w="1911" w:type="dxa"/>
                  <w:noWrap w:val="0"/>
                  <w:vAlign w:val="center"/>
                </w:tcPr>
                <w:p>
                  <w:pPr>
                    <w:spacing w:line="240" w:lineRule="auto"/>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3</w:t>
                  </w:r>
                </w:p>
              </w:tc>
              <w:tc>
                <w:tcPr>
                  <w:tcW w:w="2461" w:type="dxa"/>
                  <w:noWrap w:val="0"/>
                  <w:vAlign w:val="center"/>
                </w:tcPr>
                <w:p>
                  <w:pPr>
                    <w:spacing w:line="240" w:lineRule="auto"/>
                    <w:jc w:val="center"/>
                    <w:rPr>
                      <w:rFonts w:hint="default" w:ascii="Times New Roman" w:hAnsi="Times New Roman" w:cs="Times New Roman"/>
                      <w:color w:val="auto"/>
                      <w:sz w:val="21"/>
                      <w:szCs w:val="21"/>
                    </w:rPr>
                  </w:pPr>
                  <w:r>
                    <w:rPr>
                      <w:rFonts w:hint="eastAsia"/>
                      <w:color w:val="auto"/>
                      <w:u w:val="none"/>
                      <w:lang w:val="en-US" w:eastAsia="zh-CN"/>
                    </w:rPr>
                    <w:t>干复机</w:t>
                  </w:r>
                </w:p>
              </w:tc>
              <w:tc>
                <w:tcPr>
                  <w:tcW w:w="1393" w:type="dxa"/>
                  <w:noWrap w:val="0"/>
                  <w:vAlign w:val="center"/>
                </w:tcPr>
                <w:p>
                  <w:pPr>
                    <w:spacing w:line="240" w:lineRule="auto"/>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台</w:t>
                  </w:r>
                </w:p>
              </w:tc>
              <w:tc>
                <w:tcPr>
                  <w:tcW w:w="1995" w:type="dxa"/>
                  <w:noWrap w:val="0"/>
                  <w:vAlign w:val="center"/>
                </w:tcPr>
                <w:p>
                  <w:pPr>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75</w:t>
                  </w:r>
                </w:p>
              </w:tc>
              <w:tc>
                <w:tcPr>
                  <w:tcW w:w="1911" w:type="dxa"/>
                  <w:noWrap w:val="0"/>
                  <w:vAlign w:val="center"/>
                </w:tcPr>
                <w:p>
                  <w:pPr>
                    <w:spacing w:line="240" w:lineRule="auto"/>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2461" w:type="dxa"/>
                  <w:noWrap w:val="0"/>
                  <w:vAlign w:val="center"/>
                </w:tcPr>
                <w:p>
                  <w:pPr>
                    <w:spacing w:line="240" w:lineRule="auto"/>
                    <w:jc w:val="center"/>
                    <w:rPr>
                      <w:rFonts w:hint="eastAsia" w:ascii="Times New Roman" w:hAnsi="Times New Roman" w:cs="Times New Roman"/>
                      <w:color w:val="auto"/>
                      <w:sz w:val="21"/>
                      <w:szCs w:val="21"/>
                      <w:lang w:eastAsia="zh-CN"/>
                    </w:rPr>
                  </w:pPr>
                  <w:r>
                    <w:rPr>
                      <w:rFonts w:hint="eastAsia"/>
                      <w:color w:val="auto"/>
                      <w:u w:val="none"/>
                      <w:lang w:val="en-US" w:eastAsia="zh-CN"/>
                    </w:rPr>
                    <w:t>烘干机</w:t>
                  </w:r>
                </w:p>
              </w:tc>
              <w:tc>
                <w:tcPr>
                  <w:tcW w:w="1393"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r>
                    <w:rPr>
                      <w:rFonts w:hint="eastAsia" w:ascii="Times New Roman" w:hAnsi="Times New Roman" w:cs="Times New Roman"/>
                      <w:color w:val="auto"/>
                      <w:sz w:val="21"/>
                      <w:szCs w:val="21"/>
                      <w:lang w:val="en-US" w:eastAsia="zh-CN"/>
                    </w:rPr>
                    <w:t>台</w:t>
                  </w:r>
                </w:p>
              </w:tc>
              <w:tc>
                <w:tcPr>
                  <w:tcW w:w="1995" w:type="dxa"/>
                  <w:noWrap w:val="0"/>
                  <w:vAlign w:val="center"/>
                </w:tcPr>
                <w:p>
                  <w:pPr>
                    <w:spacing w:line="240" w:lineRule="auto"/>
                    <w:jc w:val="center"/>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75</w:t>
                  </w:r>
                </w:p>
              </w:tc>
              <w:tc>
                <w:tcPr>
                  <w:tcW w:w="1911" w:type="dxa"/>
                  <w:noWrap w:val="0"/>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461" w:type="dxa"/>
                  <w:noWrap w:val="0"/>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u w:val="none"/>
                      <w:lang w:val="en-US" w:eastAsia="zh-CN"/>
                    </w:rPr>
                    <w:t>分切压延机</w:t>
                  </w:r>
                </w:p>
              </w:tc>
              <w:tc>
                <w:tcPr>
                  <w:tcW w:w="1393" w:type="dxa"/>
                  <w:noWrap w:val="0"/>
                  <w:vAlign w:val="center"/>
                </w:tcPr>
                <w:p>
                  <w:pPr>
                    <w:spacing w:line="240" w:lineRule="auto"/>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1</w:t>
                  </w:r>
                  <w:r>
                    <w:rPr>
                      <w:rFonts w:hint="default" w:ascii="Times New Roman" w:hAnsi="Times New Roman" w:cs="Times New Roman"/>
                      <w:color w:val="auto"/>
                      <w:sz w:val="21"/>
                      <w:szCs w:val="21"/>
                    </w:rPr>
                    <w:t>台</w:t>
                  </w:r>
                </w:p>
              </w:tc>
              <w:tc>
                <w:tcPr>
                  <w:tcW w:w="1995" w:type="dxa"/>
                  <w:noWrap w:val="0"/>
                  <w:vAlign w:val="center"/>
                </w:tcPr>
                <w:p>
                  <w:pPr>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7</w:t>
                  </w:r>
                  <w:r>
                    <w:rPr>
                      <w:rFonts w:hint="eastAsia" w:cs="Times New Roman"/>
                      <w:b w:val="0"/>
                      <w:bCs w:val="0"/>
                      <w:color w:val="auto"/>
                      <w:sz w:val="21"/>
                      <w:szCs w:val="21"/>
                      <w:u w:val="none"/>
                      <w:lang w:val="en-US" w:eastAsia="zh-CN"/>
                    </w:rPr>
                    <w:t>0</w:t>
                  </w:r>
                </w:p>
              </w:tc>
              <w:tc>
                <w:tcPr>
                  <w:tcW w:w="1911" w:type="dxa"/>
                  <w:noWrap w:val="0"/>
                  <w:vAlign w:val="center"/>
                </w:tcPr>
                <w:p>
                  <w:pPr>
                    <w:spacing w:line="240" w:lineRule="auto"/>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92"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2461"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风机</w:t>
                  </w:r>
                </w:p>
              </w:tc>
              <w:tc>
                <w:tcPr>
                  <w:tcW w:w="1393" w:type="dxa"/>
                  <w:noWrap w:val="0"/>
                  <w:vAlign w:val="center"/>
                </w:tcPr>
                <w:p>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r>
                    <w:rPr>
                      <w:rFonts w:hint="eastAsia" w:ascii="Times New Roman" w:hAnsi="Times New Roman" w:cs="Times New Roman"/>
                      <w:color w:val="auto"/>
                      <w:sz w:val="21"/>
                      <w:szCs w:val="21"/>
                      <w:lang w:val="en-US" w:eastAsia="zh-CN"/>
                    </w:rPr>
                    <w:t>台</w:t>
                  </w:r>
                </w:p>
              </w:tc>
              <w:tc>
                <w:tcPr>
                  <w:tcW w:w="1995" w:type="dxa"/>
                  <w:noWrap w:val="0"/>
                  <w:vAlign w:val="center"/>
                </w:tcPr>
                <w:p>
                  <w:pPr>
                    <w:spacing w:line="240" w:lineRule="auto"/>
                    <w:jc w:val="center"/>
                    <w:rPr>
                      <w:rFonts w:hint="default" w:ascii="Times New Roman" w:hAnsi="Times New Roman"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80</w:t>
                  </w:r>
                </w:p>
              </w:tc>
              <w:tc>
                <w:tcPr>
                  <w:tcW w:w="1911"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车间</w:t>
                  </w:r>
                  <w:r>
                    <w:rPr>
                      <w:rFonts w:hint="eastAsia" w:cs="Times New Roman"/>
                      <w:color w:val="auto"/>
                      <w:sz w:val="21"/>
                      <w:szCs w:val="21"/>
                      <w:lang w:val="en-US" w:eastAsia="zh-CN"/>
                    </w:rPr>
                    <w:t>外</w:t>
                  </w:r>
                </w:p>
              </w:tc>
            </w:tr>
          </w:tbl>
          <w:p>
            <w:pPr>
              <w:pStyle w:val="61"/>
              <w:ind w:left="0" w:leftChars="0" w:firstLine="0" w:firstLineChars="0"/>
              <w:rPr>
                <w:rFonts w:hint="default" w:ascii="Times New Roman" w:hAnsi="Times New Roman" w:eastAsia="宋体" w:cs="Times New Roman"/>
                <w:b/>
                <w:bCs/>
              </w:rPr>
            </w:pPr>
            <w:r>
              <w:rPr>
                <w:rFonts w:hint="default" w:ascii="Times New Roman" w:hAnsi="Times New Roman" w:eastAsia="宋体" w:cs="Times New Roman"/>
                <w:b/>
                <w:bCs/>
              </w:rPr>
              <w:t>3.2</w:t>
            </w:r>
            <w:r>
              <w:rPr>
                <w:rFonts w:hint="eastAsia" w:ascii="Times New Roman" w:hAnsi="Times New Roman" w:eastAsia="宋体" w:cs="Times New Roman"/>
                <w:b/>
                <w:bCs/>
                <w:lang w:eastAsia="zh-CN"/>
              </w:rPr>
              <w:t>、</w:t>
            </w:r>
            <w:r>
              <w:rPr>
                <w:rFonts w:hint="default" w:ascii="Times New Roman" w:hAnsi="Times New Roman" w:eastAsia="宋体" w:cs="Times New Roman"/>
                <w:b/>
                <w:bCs/>
              </w:rPr>
              <w:t>噪声污染治理措施</w:t>
            </w:r>
          </w:p>
          <w:p>
            <w:pPr>
              <w:pStyle w:val="61"/>
              <w:keepNext w:val="0"/>
              <w:keepLines w:val="0"/>
              <w:pageBreakBefore w:val="0"/>
              <w:kinsoku/>
              <w:wordWrap/>
              <w:overflowPunct/>
              <w:topLinePunct w:val="0"/>
              <w:autoSpaceDE/>
              <w:autoSpaceDN/>
              <w:bidi w:val="0"/>
              <w:spacing w:line="520" w:lineRule="exact"/>
              <w:ind w:firstLine="480"/>
              <w:textAlignment w:val="auto"/>
              <w:rPr>
                <w:rFonts w:hint="eastAsia" w:ascii="Calibri" w:hAnsi="Calibri" w:eastAsia="宋体" w:cs="宋体"/>
              </w:rPr>
            </w:pPr>
            <w:r>
              <w:rPr>
                <w:rFonts w:hint="eastAsia" w:ascii="Calibri" w:hAnsi="Calibri" w:eastAsia="宋体" w:cs="宋体"/>
              </w:rPr>
              <w:t>为了减少生产运营过程中噪声对居民的影响，环评要求：合理布局高噪声设备，并对高噪声设备采取必要的减震、隔声和消声处理措施；合理安排工作时间，严禁高噪声设备夜间作业；加强对设备进行维修，保证设备正常工作；在保证工艺生产的同时注意选用低噪声的设备。厂区噪声通过墙体隔声、距离衰减后可降低</w:t>
            </w:r>
            <w:r>
              <w:rPr>
                <w:rFonts w:hint="default" w:ascii="Times New Roman" w:hAnsi="Times New Roman" w:eastAsia="宋体" w:cs="Times New Roman"/>
              </w:rPr>
              <w:t>20~30dB（A）</w:t>
            </w:r>
            <w:r>
              <w:rPr>
                <w:rFonts w:hint="eastAsia" w:ascii="Calibri" w:hAnsi="Calibri" w:eastAsia="宋体" w:cs="宋体"/>
              </w:rPr>
              <w:t>。</w:t>
            </w:r>
          </w:p>
          <w:p>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left"/>
              <w:textAlignment w:val="auto"/>
              <w:rPr>
                <w:rFonts w:hint="eastAsia" w:ascii="宋体" w:hAnsi="宋体"/>
                <w:sz w:val="24"/>
              </w:rPr>
            </w:pPr>
            <w:r>
              <w:rPr>
                <w:rFonts w:ascii="宋体" w:hAnsi="宋体"/>
                <w:sz w:val="24"/>
              </w:rPr>
              <w:t>厂区主要产噪设备、源强、降噪措施及效果见</w:t>
            </w:r>
            <w:r>
              <w:rPr>
                <w:rFonts w:hint="eastAsia" w:ascii="宋体" w:hAnsi="宋体"/>
                <w:sz w:val="24"/>
              </w:rPr>
              <w:t>下表</w:t>
            </w:r>
          </w:p>
          <w:p>
            <w:pPr>
              <w:pStyle w:val="6"/>
              <w:spacing w:before="156" w:after="156"/>
              <w:jc w:val="center"/>
              <w:rPr>
                <w:rFonts w:ascii="Times New Roman" w:hAnsi="Times New Roman" w:cs="Times New Roman"/>
                <w:b/>
                <w:bCs/>
                <w:color w:val="000000"/>
                <w:sz w:val="21"/>
                <w:szCs w:val="21"/>
                <w:lang w:eastAsia="zh-CN"/>
              </w:rPr>
            </w:pPr>
          </w:p>
          <w:p>
            <w:pPr>
              <w:widowControl/>
              <w:adjustRightInd w:val="0"/>
              <w:snapToGrid w:val="0"/>
              <w:spacing w:line="360" w:lineRule="auto"/>
              <w:ind w:firstLine="480" w:firstLineChars="200"/>
              <w:jc w:val="left"/>
              <w:rPr>
                <w:rFonts w:hint="eastAsia" w:ascii="宋体" w:hAnsi="宋体"/>
                <w:sz w:val="24"/>
              </w:rPr>
            </w:pPr>
          </w:p>
          <w:p>
            <w:pPr>
              <w:adjustRightInd w:val="0"/>
              <w:snapToGrid w:val="0"/>
              <w:spacing w:line="360" w:lineRule="auto"/>
              <w:rPr>
                <w:rFonts w:hint="eastAsia" w:ascii="宋体" w:cs="宋体"/>
                <w:b/>
                <w:kern w:val="0"/>
                <w:sz w:val="28"/>
                <w:szCs w:val="28"/>
                <w:vertAlign w:val="baseline"/>
              </w:rPr>
            </w:pPr>
          </w:p>
        </w:tc>
      </w:tr>
    </w:tbl>
    <w:p>
      <w:pPr>
        <w:adjustRightInd w:val="0"/>
        <w:snapToGrid w:val="0"/>
        <w:spacing w:line="360" w:lineRule="auto"/>
        <w:rPr>
          <w:rFonts w:hint="eastAsia" w:ascii="宋体" w:cs="宋体"/>
          <w:b/>
          <w:kern w:val="0"/>
          <w:sz w:val="28"/>
          <w:szCs w:val="28"/>
        </w:rPr>
      </w:pPr>
    </w:p>
    <w:p>
      <w:pPr>
        <w:pStyle w:val="2"/>
        <w:outlineLvl w:val="9"/>
        <w:rPr>
          <w:rFonts w:hint="eastAsia" w:ascii="宋体" w:cs="宋体"/>
          <w:b w:val="0"/>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jc w:val="center"/>
        <w:rPr>
          <w:rFonts w:ascii="Times New Roman" w:hAnsi="Times New Roman" w:cs="Times New Roman"/>
          <w:b/>
          <w:bCs/>
          <w:color w:val="000000"/>
          <w:sz w:val="21"/>
          <w:szCs w:val="21"/>
          <w:lang w:eastAsia="zh-CN"/>
        </w:rPr>
      </w:pPr>
      <w:r>
        <w:rPr>
          <w:rFonts w:ascii="Times New Roman" w:hAnsi="Times New Roman" w:cs="Times New Roman"/>
          <w:b/>
          <w:bCs/>
          <w:color w:val="000000"/>
          <w:sz w:val="21"/>
          <w:szCs w:val="21"/>
          <w:lang w:eastAsia="zh-CN"/>
        </w:rPr>
        <w:t>表4-</w:t>
      </w:r>
      <w:r>
        <w:rPr>
          <w:rFonts w:hint="eastAsia" w:ascii="Times New Roman" w:hAnsi="Times New Roman" w:cs="Times New Roman"/>
          <w:b/>
          <w:bCs/>
          <w:color w:val="000000"/>
          <w:sz w:val="21"/>
          <w:szCs w:val="21"/>
          <w:lang w:val="en-US" w:eastAsia="zh-CN"/>
        </w:rPr>
        <w:t xml:space="preserve">7 </w:t>
      </w:r>
      <w:r>
        <w:rPr>
          <w:rFonts w:ascii="Times New Roman" w:hAnsi="Times New Roman" w:cs="Times New Roman"/>
          <w:b/>
          <w:bCs/>
          <w:color w:val="000000"/>
          <w:sz w:val="21"/>
          <w:szCs w:val="21"/>
          <w:lang w:eastAsia="zh-CN"/>
        </w:rPr>
        <w:t xml:space="preserve"> 主要噪声源及噪声强度一览表</w:t>
      </w:r>
      <w:r>
        <w:rPr>
          <w:rFonts w:hint="eastAsia" w:cs="Times New Roman"/>
          <w:b/>
          <w:bCs/>
          <w:color w:val="000000"/>
          <w:sz w:val="21"/>
          <w:szCs w:val="21"/>
          <w:lang w:eastAsia="zh-CN"/>
        </w:rPr>
        <w:t>（室内声源）</w:t>
      </w:r>
      <w:r>
        <w:rPr>
          <w:rFonts w:hint="eastAsia" w:ascii="Times New Roman" w:hAnsi="Times New Roman" w:cs="Times New Roman"/>
          <w:b/>
          <w:bCs/>
          <w:color w:val="000000"/>
          <w:sz w:val="21"/>
          <w:szCs w:val="21"/>
          <w:lang w:eastAsia="zh-CN"/>
        </w:rPr>
        <w:t xml:space="preserve">   </w:t>
      </w:r>
      <w:r>
        <w:rPr>
          <w:rFonts w:ascii="Times New Roman" w:hAnsi="Times New Roman" w:cs="Times New Roman"/>
          <w:b/>
          <w:bCs/>
          <w:color w:val="000000"/>
          <w:sz w:val="21"/>
          <w:szCs w:val="21"/>
          <w:lang w:eastAsia="zh-CN"/>
        </w:rPr>
        <w:t>单位：dB(A)</w:t>
      </w:r>
    </w:p>
    <w:tbl>
      <w:tblPr>
        <w:tblStyle w:val="74"/>
        <w:tblW w:w="1302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4"/>
        <w:gridCol w:w="769"/>
        <w:gridCol w:w="1136"/>
        <w:gridCol w:w="912"/>
        <w:gridCol w:w="464"/>
        <w:gridCol w:w="487"/>
        <w:gridCol w:w="526"/>
        <w:gridCol w:w="485"/>
        <w:gridCol w:w="464"/>
        <w:gridCol w:w="547"/>
        <w:gridCol w:w="571"/>
        <w:gridCol w:w="553"/>
        <w:gridCol w:w="495"/>
        <w:gridCol w:w="474"/>
        <w:gridCol w:w="526"/>
        <w:gridCol w:w="508"/>
        <w:gridCol w:w="513"/>
        <w:gridCol w:w="571"/>
        <w:gridCol w:w="571"/>
        <w:gridCol w:w="586"/>
        <w:gridCol w:w="644"/>
        <w:gridCol w:w="69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480" w:hRule="atLeast"/>
        </w:trPr>
        <w:tc>
          <w:tcPr>
            <w:tcW w:w="524" w:type="dxa"/>
            <w:vMerge w:val="restart"/>
            <w:tcBorders>
              <w:bottom w:val="nil"/>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序号</w:t>
            </w:r>
          </w:p>
        </w:tc>
        <w:tc>
          <w:tcPr>
            <w:tcW w:w="769" w:type="dxa"/>
            <w:vMerge w:val="restart"/>
            <w:tcBorders>
              <w:bottom w:val="nil"/>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建筑物名称</w:t>
            </w:r>
          </w:p>
        </w:tc>
        <w:tc>
          <w:tcPr>
            <w:tcW w:w="1136" w:type="dxa"/>
            <w:vMerge w:val="restart"/>
            <w:tcBorders>
              <w:bottom w:val="nil"/>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声源名称</w:t>
            </w:r>
          </w:p>
        </w:tc>
        <w:tc>
          <w:tcPr>
            <w:tcW w:w="912" w:type="dxa"/>
            <w:vMerge w:val="restart"/>
            <w:tcBorders>
              <w:bottom w:val="nil"/>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声源控制措施</w:t>
            </w:r>
          </w:p>
        </w:tc>
        <w:tc>
          <w:tcPr>
            <w:tcW w:w="1962" w:type="dxa"/>
            <w:gridSpan w:val="4"/>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距室内边界距离/m</w:t>
            </w:r>
          </w:p>
        </w:tc>
        <w:tc>
          <w:tcPr>
            <w:tcW w:w="2135" w:type="dxa"/>
            <w:gridSpan w:val="4"/>
            <w:tcBorders>
              <w:bottom w:val="nil"/>
            </w:tcBorders>
            <w:noWrap w:val="0"/>
            <w:vAlign w:val="center"/>
          </w:tcPr>
          <w:p>
            <w:pPr>
              <w:jc w:val="center"/>
              <w:rPr>
                <w:rFonts w:ascii="Times New Roman" w:hAnsi="Times New Roman" w:cs="Times New Roman"/>
                <w:b/>
                <w:bCs/>
                <w:sz w:val="21"/>
                <w:szCs w:val="21"/>
                <w:lang w:eastAsia="zh-CN"/>
              </w:rPr>
            </w:pPr>
            <w:r>
              <w:rPr>
                <w:rFonts w:ascii="Times New Roman" w:hAnsi="Times New Roman" w:cs="Times New Roman"/>
                <w:b/>
                <w:bCs/>
                <w:sz w:val="21"/>
                <w:szCs w:val="21"/>
                <w:lang w:eastAsia="zh-CN"/>
              </w:rPr>
              <w:t>室内边界声级/dB（A）</w:t>
            </w:r>
          </w:p>
        </w:tc>
        <w:tc>
          <w:tcPr>
            <w:tcW w:w="495" w:type="dxa"/>
            <w:vMerge w:val="restart"/>
            <w:tcBorders>
              <w:bottom w:val="nil"/>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运行时间段</w:t>
            </w:r>
          </w:p>
        </w:tc>
        <w:tc>
          <w:tcPr>
            <w:tcW w:w="2021" w:type="dxa"/>
            <w:gridSpan w:val="4"/>
            <w:tcBorders>
              <w:bottom w:val="single" w:color="auto" w:sz="4" w:space="0"/>
              <w:right w:val="single" w:color="auto" w:sz="4" w:space="0"/>
            </w:tcBorders>
            <w:noWrap w:val="0"/>
            <w:vAlign w:val="center"/>
          </w:tcPr>
          <w:p>
            <w:pPr>
              <w:jc w:val="center"/>
              <w:rPr>
                <w:rFonts w:ascii="Times New Roman" w:hAnsi="Times New Roman" w:cs="Times New Roman"/>
                <w:b/>
                <w:bCs/>
                <w:sz w:val="21"/>
                <w:szCs w:val="21"/>
              </w:rPr>
            </w:pPr>
            <w:r>
              <w:rPr>
                <w:rFonts w:ascii="Times New Roman" w:hAnsi="Times New Roman" w:cs="Times New Roman"/>
                <w:b/>
                <w:bCs/>
                <w:sz w:val="21"/>
                <w:szCs w:val="21"/>
              </w:rPr>
              <w:t>建筑物插入损失/dB（A）</w:t>
            </w:r>
          </w:p>
        </w:tc>
        <w:tc>
          <w:tcPr>
            <w:tcW w:w="3069" w:type="dxa"/>
            <w:gridSpan w:val="5"/>
            <w:tcBorders>
              <w:left w:val="single" w:color="auto" w:sz="4" w:space="0"/>
              <w:bottom w:val="single" w:color="auto" w:sz="4" w:space="0"/>
            </w:tcBorders>
            <w:noWrap w:val="0"/>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eastAsia="zh-CN"/>
              </w:rPr>
              <w:t>建筑物外噪声声压级</w:t>
            </w:r>
            <w:r>
              <w:rPr>
                <w:rFonts w:hint="eastAsia" w:ascii="Times New Roman" w:hAnsi="Times New Roman" w:cs="Times New Roman"/>
                <w:b/>
                <w:bCs/>
                <w:sz w:val="21"/>
                <w:szCs w:val="21"/>
                <w:lang w:val="en-US" w:eastAsia="zh-CN"/>
              </w:rPr>
              <w:t>/</w:t>
            </w:r>
            <w:r>
              <w:rPr>
                <w:rFonts w:ascii="Times New Roman" w:hAnsi="Times New Roman" w:cs="Times New Roman"/>
                <w:b/>
                <w:bCs/>
                <w:sz w:val="21"/>
                <w:szCs w:val="21"/>
              </w:rPr>
              <w:t>dB（A）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12" w:hRule="atLeast"/>
        </w:trPr>
        <w:tc>
          <w:tcPr>
            <w:tcW w:w="524" w:type="dxa"/>
            <w:vMerge w:val="continue"/>
            <w:tcBorders>
              <w:top w:val="nil"/>
              <w:bottom w:val="nil"/>
            </w:tcBorders>
            <w:noWrap w:val="0"/>
            <w:textDirection w:val="tbRlV"/>
            <w:vAlign w:val="center"/>
          </w:tcPr>
          <w:p>
            <w:pPr>
              <w:jc w:val="center"/>
              <w:rPr>
                <w:rFonts w:ascii="Times New Roman" w:hAnsi="Times New Roman" w:cs="Times New Roman"/>
                <w:b/>
                <w:bCs/>
                <w:sz w:val="21"/>
                <w:szCs w:val="21"/>
              </w:rPr>
            </w:pPr>
          </w:p>
        </w:tc>
        <w:tc>
          <w:tcPr>
            <w:tcW w:w="769" w:type="dxa"/>
            <w:vMerge w:val="continue"/>
            <w:tcBorders>
              <w:top w:val="nil"/>
              <w:bottom w:val="nil"/>
            </w:tcBorders>
            <w:noWrap w:val="0"/>
            <w:textDirection w:val="tbRlV"/>
            <w:vAlign w:val="center"/>
          </w:tcPr>
          <w:p>
            <w:pPr>
              <w:jc w:val="center"/>
              <w:rPr>
                <w:rFonts w:ascii="Times New Roman" w:hAnsi="Times New Roman" w:cs="Times New Roman"/>
                <w:b/>
                <w:bCs/>
                <w:sz w:val="21"/>
                <w:szCs w:val="21"/>
              </w:rPr>
            </w:pPr>
          </w:p>
        </w:tc>
        <w:tc>
          <w:tcPr>
            <w:tcW w:w="1136" w:type="dxa"/>
            <w:vMerge w:val="continue"/>
            <w:tcBorders>
              <w:top w:val="nil"/>
              <w:bottom w:val="nil"/>
            </w:tcBorders>
            <w:noWrap w:val="0"/>
            <w:vAlign w:val="center"/>
          </w:tcPr>
          <w:p>
            <w:pPr>
              <w:jc w:val="center"/>
              <w:rPr>
                <w:rFonts w:ascii="Times New Roman" w:hAnsi="Times New Roman" w:cs="Times New Roman"/>
                <w:b/>
                <w:bCs/>
                <w:sz w:val="21"/>
                <w:szCs w:val="21"/>
              </w:rPr>
            </w:pPr>
          </w:p>
        </w:tc>
        <w:tc>
          <w:tcPr>
            <w:tcW w:w="912" w:type="dxa"/>
            <w:vMerge w:val="continue"/>
            <w:tcBorders>
              <w:top w:val="nil"/>
              <w:bottom w:val="nil"/>
            </w:tcBorders>
            <w:noWrap w:val="0"/>
            <w:vAlign w:val="center"/>
          </w:tcPr>
          <w:p>
            <w:pPr>
              <w:jc w:val="center"/>
              <w:rPr>
                <w:rFonts w:ascii="Times New Roman" w:hAnsi="Times New Roman" w:cs="Times New Roman"/>
                <w:b/>
                <w:bCs/>
                <w:sz w:val="21"/>
                <w:szCs w:val="21"/>
              </w:rPr>
            </w:pPr>
          </w:p>
        </w:tc>
        <w:tc>
          <w:tcPr>
            <w:tcW w:w="464" w:type="dxa"/>
            <w:vMerge w:val="restart"/>
            <w:tcBorders>
              <w:bottom w:val="nil"/>
            </w:tcBorders>
            <w:noWrap w:val="0"/>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东</w:t>
            </w:r>
          </w:p>
        </w:tc>
        <w:tc>
          <w:tcPr>
            <w:tcW w:w="487" w:type="dxa"/>
            <w:vMerge w:val="restart"/>
            <w:tcBorders>
              <w:bottom w:val="nil"/>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南</w:t>
            </w:r>
          </w:p>
        </w:tc>
        <w:tc>
          <w:tcPr>
            <w:tcW w:w="526" w:type="dxa"/>
            <w:vMerge w:val="restart"/>
            <w:tcBorders>
              <w:top w:val="single" w:color="auto" w:sz="4" w:space="0"/>
              <w:bottom w:val="nil"/>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西</w:t>
            </w:r>
          </w:p>
        </w:tc>
        <w:tc>
          <w:tcPr>
            <w:tcW w:w="485" w:type="dxa"/>
            <w:vMerge w:val="restart"/>
            <w:tcBorders>
              <w:top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北</w:t>
            </w:r>
          </w:p>
        </w:tc>
        <w:tc>
          <w:tcPr>
            <w:tcW w:w="464" w:type="dxa"/>
            <w:vMerge w:val="restart"/>
            <w:tcBorders>
              <w:top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东</w:t>
            </w:r>
          </w:p>
        </w:tc>
        <w:tc>
          <w:tcPr>
            <w:tcW w:w="547"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南</w:t>
            </w:r>
          </w:p>
        </w:tc>
        <w:tc>
          <w:tcPr>
            <w:tcW w:w="571"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西</w:t>
            </w:r>
          </w:p>
        </w:tc>
        <w:tc>
          <w:tcPr>
            <w:tcW w:w="553" w:type="dxa"/>
            <w:vMerge w:val="restart"/>
            <w:tcBorders>
              <w:top w:val="single" w:color="auto" w:sz="4" w:space="0"/>
              <w:lef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北</w:t>
            </w:r>
          </w:p>
        </w:tc>
        <w:tc>
          <w:tcPr>
            <w:tcW w:w="495" w:type="dxa"/>
            <w:vMerge w:val="continue"/>
            <w:tcBorders>
              <w:top w:val="nil"/>
              <w:bottom w:val="nil"/>
            </w:tcBorders>
            <w:noWrap w:val="0"/>
            <w:textDirection w:val="tbRlV"/>
            <w:vAlign w:val="center"/>
          </w:tcPr>
          <w:p>
            <w:pPr>
              <w:jc w:val="center"/>
              <w:rPr>
                <w:rFonts w:ascii="Times New Roman" w:hAnsi="Times New Roman" w:cs="Times New Roman"/>
                <w:b/>
                <w:bCs/>
                <w:sz w:val="21"/>
                <w:szCs w:val="21"/>
              </w:rPr>
            </w:pPr>
          </w:p>
        </w:tc>
        <w:tc>
          <w:tcPr>
            <w:tcW w:w="474" w:type="dxa"/>
            <w:vMerge w:val="restart"/>
            <w:tcBorders>
              <w:top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东</w:t>
            </w:r>
          </w:p>
        </w:tc>
        <w:tc>
          <w:tcPr>
            <w:tcW w:w="526"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南</w:t>
            </w:r>
          </w:p>
        </w:tc>
        <w:tc>
          <w:tcPr>
            <w:tcW w:w="508"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西</w:t>
            </w:r>
          </w:p>
        </w:tc>
        <w:tc>
          <w:tcPr>
            <w:tcW w:w="513"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北</w:t>
            </w:r>
          </w:p>
        </w:tc>
        <w:tc>
          <w:tcPr>
            <w:tcW w:w="571"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东</w:t>
            </w:r>
          </w:p>
        </w:tc>
        <w:tc>
          <w:tcPr>
            <w:tcW w:w="571"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南</w:t>
            </w:r>
          </w:p>
        </w:tc>
        <w:tc>
          <w:tcPr>
            <w:tcW w:w="586"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西</w:t>
            </w:r>
          </w:p>
        </w:tc>
        <w:tc>
          <w:tcPr>
            <w:tcW w:w="644"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cs="Times New Roman"/>
                <w:b/>
                <w:bCs/>
                <w:sz w:val="21"/>
                <w:szCs w:val="21"/>
                <w:lang w:eastAsia="zh-CN"/>
              </w:rPr>
              <w:t>北</w:t>
            </w:r>
          </w:p>
        </w:tc>
        <w:tc>
          <w:tcPr>
            <w:tcW w:w="697" w:type="dxa"/>
            <w:vMerge w:val="restart"/>
            <w:tcBorders>
              <w:top w:val="single" w:color="auto" w:sz="4" w:space="0"/>
              <w:left w:val="single" w:color="auto" w:sz="4" w:space="0"/>
            </w:tcBorders>
            <w:noWrap w:val="0"/>
            <w:vAlign w:val="center"/>
          </w:tcPr>
          <w:p>
            <w:pPr>
              <w:jc w:val="center"/>
              <w:rPr>
                <w:rFonts w:hint="default" w:ascii="Times New Roman" w:hAnsi="Times New Roman" w:cs="Times New Roman"/>
                <w:b/>
                <w:bCs/>
                <w:sz w:val="21"/>
                <w:szCs w:val="21"/>
                <w:lang w:val="en-US" w:eastAsia="zh-CN"/>
              </w:rPr>
            </w:pPr>
            <w:r>
              <w:rPr>
                <w:rFonts w:hint="eastAsia" w:ascii="Times New Roman" w:hAnsi="Times New Roman" w:cs="Times New Roman"/>
                <w:b/>
                <w:bCs/>
                <w:sz w:val="21"/>
                <w:szCs w:val="21"/>
                <w:lang w:eastAsia="zh-CN"/>
              </w:rPr>
              <w:t>建筑物外距离</w:t>
            </w:r>
            <w:r>
              <w:rPr>
                <w:rFonts w:hint="eastAsia" w:ascii="Times New Roman" w:hAnsi="Times New Roman" w:cs="Times New Roman"/>
                <w:b/>
                <w:bCs/>
                <w:sz w:val="21"/>
                <w:szCs w:val="21"/>
                <w:lang w:val="en-US" w:eastAsia="zh-CN"/>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12" w:hRule="atLeast"/>
        </w:trPr>
        <w:tc>
          <w:tcPr>
            <w:tcW w:w="524" w:type="dxa"/>
            <w:vMerge w:val="continue"/>
            <w:tcBorders>
              <w:top w:val="nil"/>
            </w:tcBorders>
            <w:noWrap w:val="0"/>
            <w:textDirection w:val="tbRlV"/>
            <w:vAlign w:val="center"/>
          </w:tcPr>
          <w:p>
            <w:pPr>
              <w:jc w:val="center"/>
              <w:rPr>
                <w:rFonts w:ascii="Times New Roman" w:hAnsi="Times New Roman" w:cs="Times New Roman"/>
                <w:sz w:val="21"/>
                <w:szCs w:val="21"/>
              </w:rPr>
            </w:pPr>
          </w:p>
        </w:tc>
        <w:tc>
          <w:tcPr>
            <w:tcW w:w="769" w:type="dxa"/>
            <w:vMerge w:val="continue"/>
            <w:tcBorders>
              <w:top w:val="nil"/>
            </w:tcBorders>
            <w:noWrap w:val="0"/>
            <w:textDirection w:val="tbRlV"/>
            <w:vAlign w:val="center"/>
          </w:tcPr>
          <w:p>
            <w:pPr>
              <w:jc w:val="center"/>
              <w:rPr>
                <w:rFonts w:ascii="Times New Roman" w:hAnsi="Times New Roman" w:cs="Times New Roman"/>
                <w:sz w:val="21"/>
                <w:szCs w:val="21"/>
              </w:rPr>
            </w:pPr>
          </w:p>
        </w:tc>
        <w:tc>
          <w:tcPr>
            <w:tcW w:w="1136" w:type="dxa"/>
            <w:vMerge w:val="continue"/>
            <w:tcBorders>
              <w:top w:val="nil"/>
            </w:tcBorders>
            <w:noWrap w:val="0"/>
            <w:vAlign w:val="center"/>
          </w:tcPr>
          <w:p>
            <w:pPr>
              <w:jc w:val="center"/>
              <w:rPr>
                <w:rFonts w:ascii="Times New Roman" w:hAnsi="Times New Roman" w:cs="Times New Roman"/>
                <w:sz w:val="21"/>
                <w:szCs w:val="21"/>
              </w:rPr>
            </w:pPr>
          </w:p>
        </w:tc>
        <w:tc>
          <w:tcPr>
            <w:tcW w:w="912" w:type="dxa"/>
            <w:vMerge w:val="continue"/>
            <w:tcBorders>
              <w:top w:val="nil"/>
            </w:tcBorders>
            <w:noWrap w:val="0"/>
            <w:vAlign w:val="center"/>
          </w:tcPr>
          <w:p>
            <w:pPr>
              <w:jc w:val="center"/>
              <w:rPr>
                <w:rFonts w:ascii="Times New Roman" w:hAnsi="Times New Roman" w:cs="Times New Roman"/>
                <w:sz w:val="21"/>
                <w:szCs w:val="21"/>
              </w:rPr>
            </w:pPr>
          </w:p>
        </w:tc>
        <w:tc>
          <w:tcPr>
            <w:tcW w:w="464" w:type="dxa"/>
            <w:vMerge w:val="continue"/>
            <w:tcBorders>
              <w:top w:val="nil"/>
            </w:tcBorders>
            <w:noWrap w:val="0"/>
            <w:vAlign w:val="center"/>
          </w:tcPr>
          <w:p>
            <w:pPr>
              <w:jc w:val="center"/>
              <w:rPr>
                <w:rFonts w:ascii="Times New Roman" w:hAnsi="Times New Roman" w:cs="Times New Roman"/>
                <w:sz w:val="21"/>
                <w:szCs w:val="21"/>
              </w:rPr>
            </w:pPr>
          </w:p>
        </w:tc>
        <w:tc>
          <w:tcPr>
            <w:tcW w:w="487" w:type="dxa"/>
            <w:vMerge w:val="continue"/>
            <w:tcBorders>
              <w:top w:val="nil"/>
            </w:tcBorders>
            <w:noWrap w:val="0"/>
            <w:vAlign w:val="center"/>
          </w:tcPr>
          <w:p>
            <w:pPr>
              <w:jc w:val="center"/>
              <w:rPr>
                <w:rFonts w:ascii="Times New Roman" w:hAnsi="Times New Roman" w:cs="Times New Roman"/>
                <w:sz w:val="21"/>
                <w:szCs w:val="21"/>
              </w:rPr>
            </w:pPr>
          </w:p>
        </w:tc>
        <w:tc>
          <w:tcPr>
            <w:tcW w:w="526" w:type="dxa"/>
            <w:vMerge w:val="continue"/>
            <w:tcBorders>
              <w:top w:val="nil"/>
            </w:tcBorders>
            <w:noWrap w:val="0"/>
            <w:vAlign w:val="center"/>
          </w:tcPr>
          <w:p>
            <w:pPr>
              <w:jc w:val="center"/>
              <w:rPr>
                <w:rFonts w:ascii="Times New Roman" w:hAnsi="Times New Roman" w:cs="Times New Roman"/>
                <w:sz w:val="21"/>
                <w:szCs w:val="21"/>
              </w:rPr>
            </w:pPr>
          </w:p>
        </w:tc>
        <w:tc>
          <w:tcPr>
            <w:tcW w:w="485" w:type="dxa"/>
            <w:vMerge w:val="continue"/>
            <w:tcBorders>
              <w:top w:val="nil"/>
            </w:tcBorders>
            <w:noWrap w:val="0"/>
            <w:vAlign w:val="center"/>
          </w:tcPr>
          <w:p>
            <w:pPr>
              <w:jc w:val="center"/>
              <w:rPr>
                <w:rFonts w:ascii="Times New Roman" w:hAnsi="Times New Roman" w:cs="Times New Roman"/>
                <w:sz w:val="21"/>
                <w:szCs w:val="21"/>
              </w:rPr>
            </w:pPr>
          </w:p>
        </w:tc>
        <w:tc>
          <w:tcPr>
            <w:tcW w:w="464" w:type="dxa"/>
            <w:vMerge w:val="continue"/>
            <w:tcBorders>
              <w:top w:val="nil"/>
              <w:right w:val="single" w:color="auto" w:sz="4" w:space="0"/>
            </w:tcBorders>
            <w:noWrap w:val="0"/>
            <w:vAlign w:val="center"/>
          </w:tcPr>
          <w:p>
            <w:pPr>
              <w:jc w:val="center"/>
              <w:rPr>
                <w:rFonts w:ascii="Times New Roman" w:hAnsi="Times New Roman" w:cs="Times New Roman"/>
                <w:sz w:val="21"/>
                <w:szCs w:val="21"/>
              </w:rPr>
            </w:pPr>
          </w:p>
        </w:tc>
        <w:tc>
          <w:tcPr>
            <w:tcW w:w="547"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71"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53" w:type="dxa"/>
            <w:vMerge w:val="continue"/>
            <w:tcBorders>
              <w:top w:val="nil"/>
              <w:left w:val="single" w:color="auto" w:sz="4" w:space="0"/>
            </w:tcBorders>
            <w:noWrap w:val="0"/>
            <w:vAlign w:val="center"/>
          </w:tcPr>
          <w:p>
            <w:pPr>
              <w:jc w:val="center"/>
              <w:rPr>
                <w:rFonts w:ascii="Times New Roman" w:hAnsi="Times New Roman" w:cs="Times New Roman"/>
                <w:sz w:val="21"/>
                <w:szCs w:val="21"/>
              </w:rPr>
            </w:pPr>
          </w:p>
        </w:tc>
        <w:tc>
          <w:tcPr>
            <w:tcW w:w="495" w:type="dxa"/>
            <w:vMerge w:val="continue"/>
            <w:tcBorders>
              <w:top w:val="nil"/>
            </w:tcBorders>
            <w:noWrap w:val="0"/>
            <w:textDirection w:val="tbRlV"/>
            <w:vAlign w:val="center"/>
          </w:tcPr>
          <w:p>
            <w:pPr>
              <w:jc w:val="center"/>
              <w:rPr>
                <w:rFonts w:ascii="Times New Roman" w:hAnsi="Times New Roman" w:cs="Times New Roman"/>
                <w:sz w:val="21"/>
                <w:szCs w:val="21"/>
              </w:rPr>
            </w:pPr>
          </w:p>
        </w:tc>
        <w:tc>
          <w:tcPr>
            <w:tcW w:w="474" w:type="dxa"/>
            <w:vMerge w:val="continue"/>
            <w:tcBorders>
              <w:top w:val="nil"/>
              <w:right w:val="single" w:color="auto" w:sz="4" w:space="0"/>
            </w:tcBorders>
            <w:noWrap w:val="0"/>
            <w:vAlign w:val="center"/>
          </w:tcPr>
          <w:p>
            <w:pPr>
              <w:jc w:val="center"/>
              <w:rPr>
                <w:rFonts w:ascii="Times New Roman" w:hAnsi="Times New Roman" w:cs="Times New Roman"/>
                <w:sz w:val="21"/>
                <w:szCs w:val="21"/>
              </w:rPr>
            </w:pPr>
          </w:p>
        </w:tc>
        <w:tc>
          <w:tcPr>
            <w:tcW w:w="526"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08"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13"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71"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71"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586"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644" w:type="dxa"/>
            <w:vMerge w:val="continue"/>
            <w:tcBorders>
              <w:top w:val="nil"/>
              <w:left w:val="single" w:color="auto" w:sz="4" w:space="0"/>
              <w:right w:val="single" w:color="auto" w:sz="4" w:space="0"/>
            </w:tcBorders>
            <w:noWrap w:val="0"/>
            <w:vAlign w:val="center"/>
          </w:tcPr>
          <w:p>
            <w:pPr>
              <w:jc w:val="center"/>
              <w:rPr>
                <w:rFonts w:ascii="Times New Roman" w:hAnsi="Times New Roman" w:cs="Times New Roman"/>
                <w:sz w:val="21"/>
                <w:szCs w:val="21"/>
              </w:rPr>
            </w:pPr>
          </w:p>
        </w:tc>
        <w:tc>
          <w:tcPr>
            <w:tcW w:w="697" w:type="dxa"/>
            <w:vMerge w:val="continue"/>
            <w:tcBorders>
              <w:top w:val="nil"/>
              <w:left w:val="single" w:color="auto" w:sz="4" w:space="0"/>
            </w:tcBorders>
            <w:noWrap w:val="0"/>
            <w:vAlign w:val="center"/>
          </w:tcPr>
          <w:p>
            <w:pPr>
              <w:jc w:val="center"/>
              <w:rPr>
                <w:rFonts w:ascii="Times New Roman" w:hAnsi="Times New Roman" w:cs="Times New Roman"/>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567" w:hRule="atLeast"/>
        </w:trPr>
        <w:tc>
          <w:tcPr>
            <w:tcW w:w="524" w:type="dxa"/>
            <w:noWrap w:val="0"/>
            <w:vAlign w:val="center"/>
          </w:tcPr>
          <w:p>
            <w:pPr>
              <w:jc w:val="center"/>
              <w:rPr>
                <w:rFonts w:ascii="Times New Roman" w:hAnsi="Times New Roman" w:cs="Times New Roman"/>
                <w:sz w:val="21"/>
                <w:szCs w:val="21"/>
              </w:rPr>
            </w:pPr>
            <w:r>
              <w:rPr>
                <w:rFonts w:ascii="Times New Roman" w:hAnsi="Times New Roman" w:cs="Times New Roman"/>
                <w:sz w:val="21"/>
                <w:szCs w:val="21"/>
              </w:rPr>
              <w:t>1</w:t>
            </w:r>
          </w:p>
        </w:tc>
        <w:tc>
          <w:tcPr>
            <w:tcW w:w="769" w:type="dxa"/>
            <w:vMerge w:val="restart"/>
            <w:noWrap w:val="0"/>
            <w:vAlign w:val="center"/>
          </w:tcPr>
          <w:p>
            <w:pPr>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1</w:t>
            </w:r>
            <w:r>
              <w:rPr>
                <w:rFonts w:hint="eastAsia" w:ascii="Times New Roman" w:hAnsi="Times New Roman" w:cs="Times New Roman"/>
                <w:sz w:val="21"/>
                <w:szCs w:val="21"/>
                <w:lang w:val="en-US" w:eastAsia="zh-CN"/>
              </w:rPr>
              <w:t>楼</w:t>
            </w:r>
            <w:r>
              <w:rPr>
                <w:rFonts w:hint="eastAsia" w:ascii="Times New Roman" w:hAnsi="Times New Roman" w:cs="Times New Roman"/>
                <w:sz w:val="21"/>
                <w:szCs w:val="21"/>
                <w:lang w:eastAsia="zh-CN"/>
              </w:rPr>
              <w:t>生产车间</w:t>
            </w:r>
          </w:p>
        </w:tc>
        <w:tc>
          <w:tcPr>
            <w:tcW w:w="1136" w:type="dxa"/>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搅拌机</w:t>
            </w:r>
          </w:p>
        </w:tc>
        <w:tc>
          <w:tcPr>
            <w:tcW w:w="912" w:type="dxa"/>
            <w:vMerge w:val="restart"/>
            <w:noWrap w:val="0"/>
            <w:vAlign w:val="center"/>
          </w:tcPr>
          <w:p>
            <w:pPr>
              <w:jc w:val="center"/>
              <w:rPr>
                <w:rFonts w:ascii="Times New Roman" w:hAnsi="Times New Roman" w:cs="Times New Roman"/>
                <w:sz w:val="21"/>
                <w:szCs w:val="21"/>
                <w:lang w:eastAsia="zh-CN"/>
              </w:rPr>
            </w:pPr>
            <w:r>
              <w:rPr>
                <w:rFonts w:ascii="Times New Roman" w:hAnsi="Times New Roman" w:cs="Times New Roman"/>
                <w:sz w:val="21"/>
                <w:szCs w:val="21"/>
                <w:lang w:eastAsia="zh-CN"/>
              </w:rPr>
              <w:t>选用低噪声设备、隔声、减振</w:t>
            </w:r>
          </w:p>
          <w:p>
            <w:pPr>
              <w:jc w:val="center"/>
              <w:rPr>
                <w:rFonts w:ascii="Times New Roman" w:hAnsi="Times New Roman" w:cs="Times New Roman"/>
                <w:sz w:val="21"/>
                <w:szCs w:val="21"/>
                <w:lang w:eastAsia="zh-CN"/>
              </w:rPr>
            </w:pPr>
          </w:p>
        </w:tc>
        <w:tc>
          <w:tcPr>
            <w:tcW w:w="464"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7.7</w:t>
            </w:r>
          </w:p>
        </w:tc>
        <w:tc>
          <w:tcPr>
            <w:tcW w:w="487"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20.5</w:t>
            </w:r>
          </w:p>
        </w:tc>
        <w:tc>
          <w:tcPr>
            <w:tcW w:w="52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39.5</w:t>
            </w:r>
          </w:p>
        </w:tc>
        <w:tc>
          <w:tcPr>
            <w:tcW w:w="485"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7.3</w:t>
            </w:r>
          </w:p>
        </w:tc>
        <w:tc>
          <w:tcPr>
            <w:tcW w:w="464" w:type="dxa"/>
            <w:tcBorders>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547"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71"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53" w:type="dxa"/>
            <w:tcBorders>
              <w:lef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495" w:type="dxa"/>
            <w:vMerge w:val="restart"/>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8:00-</w:t>
            </w:r>
          </w:p>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18:00</w:t>
            </w:r>
          </w:p>
        </w:tc>
        <w:tc>
          <w:tcPr>
            <w:tcW w:w="474" w:type="dxa"/>
            <w:tcBorders>
              <w:bottom w:val="single" w:color="auto" w:sz="4" w:space="0"/>
              <w:right w:val="single" w:color="auto" w:sz="4" w:space="0"/>
            </w:tcBorders>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26.0</w:t>
            </w:r>
          </w:p>
        </w:tc>
        <w:tc>
          <w:tcPr>
            <w:tcW w:w="526" w:type="dxa"/>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26.0</w:t>
            </w:r>
          </w:p>
        </w:tc>
        <w:tc>
          <w:tcPr>
            <w:tcW w:w="508" w:type="dxa"/>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26.0</w:t>
            </w:r>
          </w:p>
        </w:tc>
        <w:tc>
          <w:tcPr>
            <w:tcW w:w="513" w:type="dxa"/>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26.0</w:t>
            </w:r>
          </w:p>
        </w:tc>
        <w:tc>
          <w:tcPr>
            <w:tcW w:w="571" w:type="dxa"/>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sz w:val="21"/>
                <w:szCs w:val="21"/>
                <w:lang w:val="en-US" w:eastAsia="zh-CN"/>
              </w:rPr>
            </w:pPr>
            <w:r>
              <w:rPr>
                <w:rFonts w:ascii="Arial" w:hAnsi="Arial" w:eastAsia="Arial" w:cs="Arial"/>
                <w:sz w:val="20"/>
              </w:rPr>
              <w:t>33.1</w:t>
            </w:r>
          </w:p>
        </w:tc>
        <w:tc>
          <w:tcPr>
            <w:tcW w:w="571" w:type="dxa"/>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sz w:val="21"/>
                <w:szCs w:val="21"/>
                <w:lang w:val="en-US" w:eastAsia="zh-CN"/>
              </w:rPr>
            </w:pPr>
            <w:r>
              <w:rPr>
                <w:rFonts w:ascii="Arial" w:hAnsi="Arial" w:eastAsia="Arial" w:cs="Arial"/>
                <w:sz w:val="20"/>
              </w:rPr>
              <w:t>32.9</w:t>
            </w:r>
          </w:p>
        </w:tc>
        <w:tc>
          <w:tcPr>
            <w:tcW w:w="586" w:type="dxa"/>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sz w:val="21"/>
                <w:szCs w:val="21"/>
                <w:lang w:val="en-US" w:eastAsia="zh-CN"/>
              </w:rPr>
            </w:pPr>
            <w:r>
              <w:rPr>
                <w:rFonts w:ascii="Arial" w:hAnsi="Arial" w:eastAsia="Arial" w:cs="Arial"/>
                <w:sz w:val="20"/>
              </w:rPr>
              <w:t>32.9</w:t>
            </w:r>
          </w:p>
        </w:tc>
        <w:tc>
          <w:tcPr>
            <w:tcW w:w="644" w:type="dxa"/>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sz w:val="21"/>
                <w:szCs w:val="21"/>
                <w:lang w:val="en-US" w:eastAsia="zh-CN"/>
              </w:rPr>
            </w:pPr>
            <w:r>
              <w:rPr>
                <w:rFonts w:ascii="Arial" w:hAnsi="Arial" w:eastAsia="Arial" w:cs="Arial"/>
                <w:sz w:val="20"/>
              </w:rPr>
              <w:t>33.1</w:t>
            </w:r>
          </w:p>
        </w:tc>
        <w:tc>
          <w:tcPr>
            <w:tcW w:w="697" w:type="dxa"/>
            <w:tcBorders>
              <w:left w:val="single" w:color="auto" w:sz="4" w:space="0"/>
              <w:bottom w:val="single" w:color="auto" w:sz="4" w:space="0"/>
            </w:tcBorders>
            <w:noWrap w:val="0"/>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567" w:hRule="atLeast"/>
        </w:trPr>
        <w:tc>
          <w:tcPr>
            <w:tcW w:w="524" w:type="dxa"/>
            <w:noWrap w:val="0"/>
            <w:vAlign w:val="center"/>
          </w:tcPr>
          <w:p>
            <w:pPr>
              <w:jc w:val="center"/>
              <w:rPr>
                <w:rFonts w:ascii="Times New Roman" w:hAnsi="Times New Roman" w:cs="Times New Roman"/>
                <w:sz w:val="21"/>
                <w:szCs w:val="21"/>
                <w:lang w:eastAsia="zh-CN"/>
              </w:rPr>
            </w:pPr>
            <w:r>
              <w:rPr>
                <w:rFonts w:ascii="Times New Roman" w:hAnsi="Times New Roman" w:cs="Times New Roman"/>
                <w:sz w:val="21"/>
                <w:szCs w:val="21"/>
                <w:lang w:eastAsia="zh-CN"/>
              </w:rPr>
              <w:t>2</w:t>
            </w:r>
          </w:p>
        </w:tc>
        <w:tc>
          <w:tcPr>
            <w:tcW w:w="769" w:type="dxa"/>
            <w:vMerge w:val="continue"/>
            <w:noWrap w:val="0"/>
            <w:textDirection w:val="tbRlV"/>
            <w:vAlign w:val="center"/>
          </w:tcPr>
          <w:p>
            <w:pPr>
              <w:jc w:val="center"/>
              <w:rPr>
                <w:rFonts w:ascii="Times New Roman" w:hAnsi="Times New Roman" w:cs="Times New Roman"/>
                <w:sz w:val="21"/>
                <w:szCs w:val="21"/>
                <w:lang w:eastAsia="zh-CN"/>
              </w:rPr>
            </w:pPr>
          </w:p>
        </w:tc>
        <w:tc>
          <w:tcPr>
            <w:tcW w:w="1136" w:type="dxa"/>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涂布机</w:t>
            </w:r>
          </w:p>
        </w:tc>
        <w:tc>
          <w:tcPr>
            <w:tcW w:w="912" w:type="dxa"/>
            <w:vMerge w:val="continue"/>
            <w:noWrap w:val="0"/>
            <w:vAlign w:val="center"/>
          </w:tcPr>
          <w:p>
            <w:pPr>
              <w:jc w:val="center"/>
              <w:rPr>
                <w:rFonts w:ascii="Times New Roman" w:hAnsi="Times New Roman" w:cs="Times New Roman"/>
                <w:sz w:val="21"/>
                <w:szCs w:val="21"/>
                <w:lang w:eastAsia="zh-CN"/>
              </w:rPr>
            </w:pPr>
          </w:p>
        </w:tc>
        <w:tc>
          <w:tcPr>
            <w:tcW w:w="464"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38.4</w:t>
            </w:r>
          </w:p>
        </w:tc>
        <w:tc>
          <w:tcPr>
            <w:tcW w:w="487"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20.4</w:t>
            </w:r>
          </w:p>
        </w:tc>
        <w:tc>
          <w:tcPr>
            <w:tcW w:w="52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8.8</w:t>
            </w:r>
          </w:p>
        </w:tc>
        <w:tc>
          <w:tcPr>
            <w:tcW w:w="485"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7.7</w:t>
            </w:r>
          </w:p>
        </w:tc>
        <w:tc>
          <w:tcPr>
            <w:tcW w:w="464" w:type="dxa"/>
            <w:tcBorders>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47"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71"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553" w:type="dxa"/>
            <w:tcBorders>
              <w:lef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495" w:type="dxa"/>
            <w:vMerge w:val="continue"/>
            <w:noWrap w:val="0"/>
            <w:textDirection w:val="tbRlV"/>
            <w:vAlign w:val="center"/>
          </w:tcPr>
          <w:p>
            <w:pPr>
              <w:jc w:val="center"/>
              <w:rPr>
                <w:rFonts w:ascii="Times New Roman" w:hAnsi="Times New Roman" w:cs="Times New Roman"/>
                <w:sz w:val="21"/>
                <w:szCs w:val="21"/>
                <w:lang w:eastAsia="zh-CN"/>
              </w:rPr>
            </w:pPr>
          </w:p>
        </w:tc>
        <w:tc>
          <w:tcPr>
            <w:tcW w:w="474" w:type="dxa"/>
            <w:tcBorders>
              <w:top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2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1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8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33.1</w:t>
            </w:r>
          </w:p>
        </w:tc>
        <w:tc>
          <w:tcPr>
            <w:tcW w:w="64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33.1</w:t>
            </w:r>
          </w:p>
        </w:tc>
        <w:tc>
          <w:tcPr>
            <w:tcW w:w="697" w:type="dxa"/>
            <w:tcBorders>
              <w:top w:val="single" w:color="auto" w:sz="4" w:space="0"/>
              <w:left w:val="single" w:color="auto" w:sz="4" w:space="0"/>
              <w:bottom w:val="single" w:color="auto" w:sz="4" w:space="0"/>
            </w:tcBorders>
            <w:noWrap w:val="0"/>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567" w:hRule="atLeast"/>
        </w:trPr>
        <w:tc>
          <w:tcPr>
            <w:tcW w:w="524" w:type="dxa"/>
            <w:noWrap w:val="0"/>
            <w:vAlign w:val="center"/>
          </w:tcPr>
          <w:p>
            <w:pPr>
              <w:jc w:val="center"/>
              <w:rPr>
                <w:rFonts w:ascii="Times New Roman" w:hAnsi="Times New Roman" w:cs="Times New Roman"/>
                <w:sz w:val="21"/>
                <w:szCs w:val="21"/>
                <w:lang w:eastAsia="zh-CN"/>
              </w:rPr>
            </w:pPr>
            <w:r>
              <w:rPr>
                <w:rFonts w:ascii="Times New Roman" w:hAnsi="Times New Roman" w:cs="Times New Roman"/>
                <w:sz w:val="21"/>
                <w:szCs w:val="21"/>
                <w:lang w:eastAsia="zh-CN"/>
              </w:rPr>
              <w:t>3</w:t>
            </w:r>
          </w:p>
        </w:tc>
        <w:tc>
          <w:tcPr>
            <w:tcW w:w="769" w:type="dxa"/>
            <w:vMerge w:val="continue"/>
            <w:noWrap w:val="0"/>
            <w:textDirection w:val="tbRlV"/>
            <w:vAlign w:val="center"/>
          </w:tcPr>
          <w:p>
            <w:pPr>
              <w:jc w:val="center"/>
              <w:rPr>
                <w:rFonts w:ascii="Times New Roman" w:hAnsi="Times New Roman" w:cs="Times New Roman"/>
                <w:sz w:val="21"/>
                <w:szCs w:val="21"/>
                <w:lang w:eastAsia="zh-CN"/>
              </w:rPr>
            </w:pPr>
          </w:p>
        </w:tc>
        <w:tc>
          <w:tcPr>
            <w:tcW w:w="1136" w:type="dxa"/>
            <w:noWrap w:val="0"/>
            <w:vAlign w:val="center"/>
          </w:tcPr>
          <w:p>
            <w:pPr>
              <w:jc w:val="center"/>
              <w:rPr>
                <w:rFonts w:hint="default" w:ascii="Times New Roman" w:hAnsi="Times New Roman" w:cs="Times New Roman"/>
                <w:sz w:val="21"/>
                <w:szCs w:val="21"/>
                <w:lang w:val="en-US" w:eastAsia="zh-CN"/>
              </w:rPr>
            </w:pPr>
            <w:r>
              <w:rPr>
                <w:rFonts w:ascii="Arial" w:hAnsi="Arial" w:eastAsia="Arial" w:cs="Arial"/>
                <w:sz w:val="20"/>
              </w:rPr>
              <w:t>干复机</w:t>
            </w:r>
          </w:p>
        </w:tc>
        <w:tc>
          <w:tcPr>
            <w:tcW w:w="912" w:type="dxa"/>
            <w:vMerge w:val="continue"/>
            <w:noWrap w:val="0"/>
            <w:vAlign w:val="center"/>
          </w:tcPr>
          <w:p>
            <w:pPr>
              <w:jc w:val="center"/>
              <w:rPr>
                <w:rFonts w:ascii="Times New Roman" w:hAnsi="Times New Roman" w:cs="Times New Roman"/>
                <w:sz w:val="21"/>
                <w:szCs w:val="21"/>
                <w:lang w:eastAsia="zh-CN"/>
              </w:rPr>
            </w:pPr>
          </w:p>
        </w:tc>
        <w:tc>
          <w:tcPr>
            <w:tcW w:w="464"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32.4</w:t>
            </w:r>
          </w:p>
        </w:tc>
        <w:tc>
          <w:tcPr>
            <w:tcW w:w="487"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20.5</w:t>
            </w:r>
          </w:p>
        </w:tc>
        <w:tc>
          <w:tcPr>
            <w:tcW w:w="52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14.9</w:t>
            </w:r>
          </w:p>
        </w:tc>
        <w:tc>
          <w:tcPr>
            <w:tcW w:w="485"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7.6</w:t>
            </w:r>
          </w:p>
        </w:tc>
        <w:tc>
          <w:tcPr>
            <w:tcW w:w="464" w:type="dxa"/>
            <w:tcBorders>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47"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71"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53" w:type="dxa"/>
            <w:tcBorders>
              <w:lef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495" w:type="dxa"/>
            <w:vMerge w:val="continue"/>
            <w:noWrap w:val="0"/>
            <w:textDirection w:val="tbRlV"/>
            <w:vAlign w:val="center"/>
          </w:tcPr>
          <w:p>
            <w:pPr>
              <w:jc w:val="center"/>
              <w:rPr>
                <w:rFonts w:ascii="Times New Roman" w:hAnsi="Times New Roman" w:cs="Times New Roman"/>
                <w:sz w:val="21"/>
                <w:szCs w:val="21"/>
                <w:lang w:eastAsia="zh-CN"/>
              </w:rPr>
            </w:pPr>
          </w:p>
        </w:tc>
        <w:tc>
          <w:tcPr>
            <w:tcW w:w="474" w:type="dxa"/>
            <w:tcBorders>
              <w:top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2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1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8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64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33.1</w:t>
            </w:r>
          </w:p>
        </w:tc>
        <w:tc>
          <w:tcPr>
            <w:tcW w:w="697" w:type="dxa"/>
            <w:tcBorders>
              <w:top w:val="single" w:color="auto" w:sz="4" w:space="0"/>
              <w:left w:val="single" w:color="auto" w:sz="4" w:space="0"/>
              <w:bottom w:val="single" w:color="auto" w:sz="4" w:space="0"/>
            </w:tcBorders>
            <w:noWrap w:val="0"/>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567" w:hRule="atLeast"/>
        </w:trPr>
        <w:tc>
          <w:tcPr>
            <w:tcW w:w="524" w:type="dxa"/>
            <w:noWrap w:val="0"/>
            <w:vAlign w:val="center"/>
          </w:tcPr>
          <w:p>
            <w:pPr>
              <w:jc w:val="center"/>
              <w:rPr>
                <w:rFonts w:ascii="Times New Roman" w:hAnsi="Times New Roman" w:cs="Times New Roman"/>
                <w:sz w:val="21"/>
                <w:szCs w:val="21"/>
                <w:lang w:eastAsia="zh-CN"/>
              </w:rPr>
            </w:pPr>
            <w:r>
              <w:rPr>
                <w:rFonts w:ascii="Times New Roman" w:hAnsi="Times New Roman" w:cs="Times New Roman"/>
                <w:sz w:val="21"/>
                <w:szCs w:val="21"/>
                <w:lang w:eastAsia="zh-CN"/>
              </w:rPr>
              <w:t>4</w:t>
            </w:r>
          </w:p>
        </w:tc>
        <w:tc>
          <w:tcPr>
            <w:tcW w:w="769" w:type="dxa"/>
            <w:vMerge w:val="continue"/>
            <w:noWrap w:val="0"/>
            <w:textDirection w:val="tbRlV"/>
            <w:vAlign w:val="center"/>
          </w:tcPr>
          <w:p>
            <w:pPr>
              <w:jc w:val="center"/>
              <w:rPr>
                <w:rFonts w:ascii="Times New Roman" w:hAnsi="Times New Roman" w:cs="Times New Roman"/>
                <w:sz w:val="21"/>
                <w:szCs w:val="21"/>
                <w:lang w:eastAsia="zh-CN"/>
              </w:rPr>
            </w:pPr>
          </w:p>
        </w:tc>
        <w:tc>
          <w:tcPr>
            <w:tcW w:w="1136" w:type="dxa"/>
            <w:noWrap w:val="0"/>
            <w:vAlign w:val="center"/>
          </w:tcPr>
          <w:p>
            <w:pPr>
              <w:jc w:val="center"/>
              <w:rPr>
                <w:rFonts w:hint="eastAsia" w:ascii="Times New Roman" w:hAnsi="Times New Roman" w:eastAsia="宋体" w:cs="Times New Roman"/>
                <w:sz w:val="21"/>
                <w:szCs w:val="21"/>
                <w:lang w:eastAsia="zh-CN"/>
              </w:rPr>
            </w:pPr>
            <w:r>
              <w:rPr>
                <w:rFonts w:hint="eastAsia" w:ascii="Arial" w:hAnsi="Arial" w:eastAsia="宋体" w:cs="Arial"/>
                <w:sz w:val="20"/>
                <w:lang w:eastAsia="zh-CN"/>
              </w:rPr>
              <w:t>烘干机</w:t>
            </w:r>
          </w:p>
        </w:tc>
        <w:tc>
          <w:tcPr>
            <w:tcW w:w="912" w:type="dxa"/>
            <w:vMerge w:val="continue"/>
            <w:noWrap w:val="0"/>
            <w:vAlign w:val="center"/>
          </w:tcPr>
          <w:p>
            <w:pPr>
              <w:jc w:val="center"/>
              <w:rPr>
                <w:rFonts w:ascii="Times New Roman" w:hAnsi="Times New Roman" w:cs="Times New Roman"/>
                <w:sz w:val="21"/>
                <w:szCs w:val="21"/>
                <w:lang w:eastAsia="zh-CN"/>
              </w:rPr>
            </w:pPr>
          </w:p>
        </w:tc>
        <w:tc>
          <w:tcPr>
            <w:tcW w:w="464"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25.6</w:t>
            </w:r>
          </w:p>
        </w:tc>
        <w:tc>
          <w:tcPr>
            <w:tcW w:w="487"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20.5</w:t>
            </w:r>
          </w:p>
        </w:tc>
        <w:tc>
          <w:tcPr>
            <w:tcW w:w="52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21.7</w:t>
            </w:r>
          </w:p>
        </w:tc>
        <w:tc>
          <w:tcPr>
            <w:tcW w:w="485"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7.5</w:t>
            </w:r>
          </w:p>
        </w:tc>
        <w:tc>
          <w:tcPr>
            <w:tcW w:w="464" w:type="dxa"/>
            <w:tcBorders>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47"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71"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58.9</w:t>
            </w:r>
          </w:p>
        </w:tc>
        <w:tc>
          <w:tcPr>
            <w:tcW w:w="553" w:type="dxa"/>
            <w:tcBorders>
              <w:lef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59.1</w:t>
            </w:r>
          </w:p>
        </w:tc>
        <w:tc>
          <w:tcPr>
            <w:tcW w:w="495" w:type="dxa"/>
            <w:vMerge w:val="continue"/>
            <w:noWrap w:val="0"/>
            <w:textDirection w:val="tbRlV"/>
            <w:vAlign w:val="center"/>
          </w:tcPr>
          <w:p>
            <w:pPr>
              <w:jc w:val="center"/>
              <w:rPr>
                <w:rFonts w:ascii="Times New Roman" w:hAnsi="Times New Roman" w:cs="Times New Roman"/>
                <w:sz w:val="21"/>
                <w:szCs w:val="21"/>
                <w:lang w:eastAsia="zh-CN"/>
              </w:rPr>
            </w:pPr>
          </w:p>
        </w:tc>
        <w:tc>
          <w:tcPr>
            <w:tcW w:w="474" w:type="dxa"/>
            <w:tcBorders>
              <w:top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2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1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58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32.9</w:t>
            </w:r>
          </w:p>
        </w:tc>
        <w:tc>
          <w:tcPr>
            <w:tcW w:w="64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33.1</w:t>
            </w:r>
          </w:p>
        </w:tc>
        <w:tc>
          <w:tcPr>
            <w:tcW w:w="697" w:type="dxa"/>
            <w:tcBorders>
              <w:top w:val="single" w:color="auto" w:sz="4" w:space="0"/>
              <w:left w:val="single" w:color="auto" w:sz="4" w:space="0"/>
              <w:bottom w:val="single" w:color="auto" w:sz="4" w:space="0"/>
            </w:tcBorders>
            <w:noWrap w:val="0"/>
            <w:vAlign w:val="center"/>
          </w:tcPr>
          <w:p>
            <w:pPr>
              <w:jc w:val="center"/>
              <w:rPr>
                <w:rFonts w:hint="default" w:ascii="Arial" w:hAnsi="Arial" w:eastAsia="宋体" w:cs="Arial"/>
                <w:sz w:val="20"/>
                <w:lang w:val="en-US" w:eastAsia="zh-CN"/>
              </w:rPr>
            </w:pPr>
            <w:r>
              <w:rPr>
                <w:rFonts w:hint="eastAsia" w:ascii="Arial" w:hAnsi="Arial" w:eastAsia="宋体" w:cs="Arial"/>
                <w:sz w:val="20"/>
                <w:lang w:val="en-US" w:eastAsia="zh-CN"/>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567" w:hRule="atLeast"/>
        </w:trPr>
        <w:tc>
          <w:tcPr>
            <w:tcW w:w="524" w:type="dxa"/>
            <w:noWrap w:val="0"/>
            <w:vAlign w:val="center"/>
          </w:tcPr>
          <w:p>
            <w:pPr>
              <w:jc w:val="center"/>
              <w:rPr>
                <w:rFonts w:ascii="Times New Roman" w:hAnsi="Times New Roman" w:cs="Times New Roman"/>
                <w:sz w:val="21"/>
                <w:szCs w:val="21"/>
                <w:lang w:eastAsia="zh-CN"/>
              </w:rPr>
            </w:pPr>
            <w:r>
              <w:rPr>
                <w:rFonts w:ascii="Times New Roman" w:hAnsi="Times New Roman" w:cs="Times New Roman"/>
                <w:sz w:val="21"/>
                <w:szCs w:val="21"/>
                <w:lang w:eastAsia="zh-CN"/>
              </w:rPr>
              <w:t>5</w:t>
            </w:r>
          </w:p>
        </w:tc>
        <w:tc>
          <w:tcPr>
            <w:tcW w:w="769" w:type="dxa"/>
            <w:vMerge w:val="continue"/>
            <w:noWrap w:val="0"/>
            <w:textDirection w:val="tbRlV"/>
            <w:vAlign w:val="center"/>
          </w:tcPr>
          <w:p>
            <w:pPr>
              <w:jc w:val="center"/>
              <w:rPr>
                <w:rFonts w:ascii="Times New Roman" w:hAnsi="Times New Roman" w:cs="Times New Roman"/>
                <w:sz w:val="21"/>
                <w:szCs w:val="21"/>
                <w:lang w:eastAsia="zh-CN"/>
              </w:rPr>
            </w:pPr>
          </w:p>
        </w:tc>
        <w:tc>
          <w:tcPr>
            <w:tcW w:w="113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分切压延机</w:t>
            </w:r>
          </w:p>
        </w:tc>
        <w:tc>
          <w:tcPr>
            <w:tcW w:w="912" w:type="dxa"/>
            <w:vMerge w:val="continue"/>
            <w:noWrap w:val="0"/>
            <w:vAlign w:val="center"/>
          </w:tcPr>
          <w:p>
            <w:pPr>
              <w:jc w:val="center"/>
              <w:rPr>
                <w:rFonts w:ascii="Times New Roman" w:hAnsi="Times New Roman" w:cs="Times New Roman"/>
                <w:sz w:val="21"/>
                <w:szCs w:val="21"/>
                <w:lang w:eastAsia="zh-CN"/>
              </w:rPr>
            </w:pPr>
          </w:p>
        </w:tc>
        <w:tc>
          <w:tcPr>
            <w:tcW w:w="464"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21.0</w:t>
            </w:r>
          </w:p>
        </w:tc>
        <w:tc>
          <w:tcPr>
            <w:tcW w:w="487"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20.4</w:t>
            </w:r>
          </w:p>
        </w:tc>
        <w:tc>
          <w:tcPr>
            <w:tcW w:w="526"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26.2</w:t>
            </w:r>
          </w:p>
        </w:tc>
        <w:tc>
          <w:tcPr>
            <w:tcW w:w="485" w:type="dxa"/>
            <w:noWrap w:val="0"/>
            <w:vAlign w:val="center"/>
          </w:tcPr>
          <w:p>
            <w:pPr>
              <w:jc w:val="center"/>
              <w:rPr>
                <w:rFonts w:ascii="Times New Roman" w:hAnsi="Times New Roman" w:cs="Times New Roman"/>
                <w:sz w:val="21"/>
                <w:szCs w:val="21"/>
                <w:lang w:eastAsia="zh-CN"/>
              </w:rPr>
            </w:pPr>
            <w:r>
              <w:rPr>
                <w:rFonts w:ascii="Arial" w:hAnsi="Arial" w:eastAsia="Arial" w:cs="Arial"/>
                <w:sz w:val="20"/>
              </w:rPr>
              <w:t>7.6</w:t>
            </w:r>
          </w:p>
        </w:tc>
        <w:tc>
          <w:tcPr>
            <w:tcW w:w="464" w:type="dxa"/>
            <w:tcBorders>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53.9</w:t>
            </w:r>
          </w:p>
        </w:tc>
        <w:tc>
          <w:tcPr>
            <w:tcW w:w="547"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53.9</w:t>
            </w:r>
          </w:p>
        </w:tc>
        <w:tc>
          <w:tcPr>
            <w:tcW w:w="571" w:type="dxa"/>
            <w:tcBorders>
              <w:left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53.9</w:t>
            </w:r>
          </w:p>
        </w:tc>
        <w:tc>
          <w:tcPr>
            <w:tcW w:w="553" w:type="dxa"/>
            <w:tcBorders>
              <w:lef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54.1</w:t>
            </w:r>
          </w:p>
        </w:tc>
        <w:tc>
          <w:tcPr>
            <w:tcW w:w="495" w:type="dxa"/>
            <w:vMerge w:val="continue"/>
            <w:noWrap w:val="0"/>
            <w:textDirection w:val="tbRlV"/>
            <w:vAlign w:val="center"/>
          </w:tcPr>
          <w:p>
            <w:pPr>
              <w:jc w:val="center"/>
              <w:rPr>
                <w:rFonts w:ascii="Times New Roman" w:hAnsi="Times New Roman" w:cs="Times New Roman"/>
                <w:sz w:val="21"/>
                <w:szCs w:val="21"/>
                <w:lang w:eastAsia="zh-CN"/>
              </w:rPr>
            </w:pPr>
          </w:p>
        </w:tc>
        <w:tc>
          <w:tcPr>
            <w:tcW w:w="474" w:type="dxa"/>
            <w:tcBorders>
              <w:top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2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1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kern w:val="2"/>
                <w:sz w:val="21"/>
                <w:szCs w:val="21"/>
                <w:lang w:val="en-US" w:eastAsia="zh-CN" w:bidi="ar-SA"/>
              </w:rPr>
            </w:pPr>
            <w:r>
              <w:rPr>
                <w:rFonts w:ascii="Arial" w:hAnsi="Arial" w:eastAsia="Arial" w:cs="Arial"/>
                <w:sz w:val="20"/>
              </w:rPr>
              <w:t>26.0</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27.9</w:t>
            </w:r>
          </w:p>
        </w:tc>
        <w:tc>
          <w:tcPr>
            <w:tcW w:w="57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27.9</w:t>
            </w:r>
          </w:p>
        </w:tc>
        <w:tc>
          <w:tcPr>
            <w:tcW w:w="58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27.9</w:t>
            </w:r>
          </w:p>
        </w:tc>
        <w:tc>
          <w:tcPr>
            <w:tcW w:w="64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sz w:val="21"/>
                <w:szCs w:val="21"/>
                <w:lang w:eastAsia="zh-CN"/>
              </w:rPr>
            </w:pPr>
            <w:r>
              <w:rPr>
                <w:rFonts w:ascii="Arial" w:hAnsi="Arial" w:eastAsia="Arial" w:cs="Arial"/>
                <w:sz w:val="20"/>
              </w:rPr>
              <w:t>28.1</w:t>
            </w:r>
          </w:p>
        </w:tc>
        <w:tc>
          <w:tcPr>
            <w:tcW w:w="697" w:type="dxa"/>
            <w:tcBorders>
              <w:top w:val="single" w:color="auto" w:sz="4" w:space="0"/>
              <w:left w:val="single" w:color="auto" w:sz="4" w:space="0"/>
              <w:bottom w:val="single" w:color="auto" w:sz="4" w:space="0"/>
            </w:tcBorders>
            <w:noWrap w:val="0"/>
            <w:vAlign w:val="center"/>
          </w:tcPr>
          <w:p>
            <w:pPr>
              <w:jc w:val="center"/>
              <w:rPr>
                <w:rFonts w:hint="eastAsia" w:ascii="Arial" w:hAnsi="Arial" w:eastAsia="宋体" w:cs="Arial"/>
                <w:sz w:val="20"/>
                <w:lang w:val="en-US" w:eastAsia="zh-CN"/>
              </w:rPr>
            </w:pPr>
            <w:r>
              <w:rPr>
                <w:rFonts w:hint="eastAsia" w:ascii="Arial" w:hAnsi="Arial" w:eastAsia="宋体" w:cs="Arial"/>
                <w:sz w:val="20"/>
                <w:lang w:val="en-US" w:eastAsia="zh-CN"/>
              </w:rPr>
              <w:t>1</w:t>
            </w:r>
          </w:p>
        </w:tc>
      </w:tr>
    </w:tbl>
    <w:p>
      <w:pPr>
        <w:jc w:val="center"/>
        <w:rPr>
          <w:rFonts w:ascii="Times New Roman" w:hAnsi="Times New Roman" w:cs="Times New Roman"/>
          <w:b/>
          <w:bCs/>
          <w:color w:val="000000"/>
          <w:sz w:val="21"/>
          <w:szCs w:val="21"/>
          <w:lang w:eastAsia="zh-CN"/>
        </w:rPr>
      </w:pPr>
    </w:p>
    <w:p>
      <w:pPr>
        <w:jc w:val="center"/>
        <w:rPr>
          <w:rFonts w:ascii="Times New Roman" w:hAnsi="Times New Roman" w:cs="Times New Roman"/>
          <w:b/>
          <w:bCs/>
          <w:color w:val="000000"/>
          <w:sz w:val="21"/>
          <w:szCs w:val="21"/>
          <w:lang w:eastAsia="zh-CN"/>
        </w:rPr>
      </w:pPr>
      <w:r>
        <w:rPr>
          <w:rFonts w:ascii="Times New Roman" w:hAnsi="Times New Roman" w:cs="Times New Roman"/>
          <w:b/>
          <w:bCs/>
          <w:color w:val="000000"/>
          <w:sz w:val="21"/>
          <w:szCs w:val="21"/>
          <w:lang w:eastAsia="zh-CN"/>
        </w:rPr>
        <w:t>表4-</w:t>
      </w:r>
      <w:r>
        <w:rPr>
          <w:rFonts w:hint="eastAsia" w:ascii="Times New Roman" w:hAnsi="Times New Roman" w:cs="Times New Roman"/>
          <w:b/>
          <w:bCs/>
          <w:color w:val="000000"/>
          <w:sz w:val="21"/>
          <w:szCs w:val="21"/>
          <w:lang w:val="en-US" w:eastAsia="zh-CN"/>
        </w:rPr>
        <w:t xml:space="preserve">8 </w:t>
      </w:r>
      <w:r>
        <w:rPr>
          <w:rFonts w:ascii="Times New Roman" w:hAnsi="Times New Roman" w:cs="Times New Roman"/>
          <w:b/>
          <w:bCs/>
          <w:color w:val="000000"/>
          <w:sz w:val="21"/>
          <w:szCs w:val="21"/>
          <w:lang w:eastAsia="zh-CN"/>
        </w:rPr>
        <w:t xml:space="preserve"> 主要噪声源及噪声强度一览表</w:t>
      </w:r>
      <w:r>
        <w:rPr>
          <w:rFonts w:hint="eastAsia" w:cs="Times New Roman"/>
          <w:b/>
          <w:bCs/>
          <w:color w:val="000000"/>
          <w:sz w:val="21"/>
          <w:szCs w:val="21"/>
          <w:lang w:eastAsia="zh-CN"/>
        </w:rPr>
        <w:t>（室</w:t>
      </w:r>
      <w:r>
        <w:rPr>
          <w:rFonts w:cs="Times New Roman" w:asciiTheme="minorEastAsia" w:hAnsiTheme="minorEastAsia" w:eastAsiaTheme="minorEastAsia"/>
          <w:b/>
          <w:bCs/>
          <w:lang w:eastAsia="zh-CN"/>
        </w:rPr>
        <w:t>外</w:t>
      </w:r>
      <w:r>
        <w:rPr>
          <w:rFonts w:hint="eastAsia" w:cs="Times New Roman"/>
          <w:b/>
          <w:bCs/>
          <w:color w:val="000000"/>
          <w:sz w:val="21"/>
          <w:szCs w:val="21"/>
          <w:lang w:eastAsia="zh-CN"/>
        </w:rPr>
        <w:t>声源）</w:t>
      </w:r>
      <w:r>
        <w:rPr>
          <w:rFonts w:hint="eastAsia" w:ascii="Times New Roman" w:hAnsi="Times New Roman" w:cs="Times New Roman"/>
          <w:b/>
          <w:bCs/>
          <w:color w:val="000000"/>
          <w:sz w:val="21"/>
          <w:szCs w:val="21"/>
          <w:lang w:eastAsia="zh-CN"/>
        </w:rPr>
        <w:t xml:space="preserve">   </w:t>
      </w:r>
      <w:r>
        <w:rPr>
          <w:rFonts w:ascii="Times New Roman" w:hAnsi="Times New Roman" w:cs="Times New Roman"/>
          <w:b/>
          <w:bCs/>
          <w:color w:val="000000"/>
          <w:sz w:val="21"/>
          <w:szCs w:val="21"/>
          <w:lang w:eastAsia="zh-CN"/>
        </w:rPr>
        <w:t>单位：dB(A)</w:t>
      </w:r>
    </w:p>
    <w:tbl>
      <w:tblPr>
        <w:tblStyle w:val="26"/>
        <w:tblW w:w="132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9"/>
        <w:gridCol w:w="1717"/>
        <w:gridCol w:w="1032"/>
        <w:gridCol w:w="939"/>
        <w:gridCol w:w="1008"/>
        <w:gridCol w:w="836"/>
        <w:gridCol w:w="2122"/>
        <w:gridCol w:w="2403"/>
        <w:gridCol w:w="2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exact"/>
          <w:jc w:val="center"/>
        </w:trPr>
        <w:tc>
          <w:tcPr>
            <w:tcW w:w="1019" w:type="dxa"/>
            <w:vMerge w:val="restart"/>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序号</w:t>
            </w:r>
          </w:p>
        </w:tc>
        <w:tc>
          <w:tcPr>
            <w:tcW w:w="1717" w:type="dxa"/>
            <w:vMerge w:val="restart"/>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声源名称</w:t>
            </w:r>
          </w:p>
        </w:tc>
        <w:tc>
          <w:tcPr>
            <w:tcW w:w="1032" w:type="dxa"/>
            <w:vMerge w:val="restart"/>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型号</w:t>
            </w:r>
          </w:p>
        </w:tc>
        <w:tc>
          <w:tcPr>
            <w:tcW w:w="2783" w:type="dxa"/>
            <w:gridSpan w:val="3"/>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空间相对位置/m</w:t>
            </w:r>
          </w:p>
        </w:tc>
        <w:tc>
          <w:tcPr>
            <w:tcW w:w="2122" w:type="dxa"/>
            <w:vMerge w:val="restart"/>
            <w:shd w:val="clear" w:color="auto" w:fill="auto"/>
            <w:vAlign w:val="center"/>
          </w:tcPr>
          <w:p>
            <w:pPr>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b/>
                <w:bCs/>
                <w:sz w:val="21"/>
                <w:szCs w:val="21"/>
              </w:rPr>
              <w:t>声功率级/dB(A)</w:t>
            </w:r>
          </w:p>
        </w:tc>
        <w:tc>
          <w:tcPr>
            <w:tcW w:w="2403" w:type="dxa"/>
            <w:vMerge w:val="restart"/>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声源控制措施</w:t>
            </w:r>
          </w:p>
        </w:tc>
        <w:tc>
          <w:tcPr>
            <w:tcW w:w="2147" w:type="dxa"/>
            <w:vMerge w:val="restart"/>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b/>
                <w:sz w:val="21"/>
                <w:szCs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019" w:type="dxa"/>
            <w:vMerge w:val="continue"/>
            <w:shd w:val="clear" w:color="auto" w:fill="auto"/>
            <w:vAlign w:val="center"/>
          </w:tcPr>
          <w:p>
            <w:pPr>
              <w:jc w:val="center"/>
              <w:rPr>
                <w:rFonts w:ascii="Times New Roman" w:hAnsi="Times New Roman" w:cs="Times New Roman" w:eastAsiaTheme="minorEastAsia"/>
                <w:sz w:val="21"/>
                <w:szCs w:val="21"/>
              </w:rPr>
            </w:pPr>
          </w:p>
        </w:tc>
        <w:tc>
          <w:tcPr>
            <w:tcW w:w="1717" w:type="dxa"/>
            <w:vMerge w:val="continue"/>
            <w:shd w:val="clear" w:color="auto" w:fill="auto"/>
            <w:vAlign w:val="center"/>
          </w:tcPr>
          <w:p>
            <w:pPr>
              <w:jc w:val="center"/>
              <w:rPr>
                <w:rFonts w:ascii="Times New Roman" w:hAnsi="Times New Roman" w:cs="Times New Roman" w:eastAsiaTheme="minorEastAsia"/>
                <w:sz w:val="21"/>
                <w:szCs w:val="21"/>
              </w:rPr>
            </w:pPr>
          </w:p>
        </w:tc>
        <w:tc>
          <w:tcPr>
            <w:tcW w:w="1032" w:type="dxa"/>
            <w:vMerge w:val="continue"/>
            <w:shd w:val="clear" w:color="auto" w:fill="auto"/>
            <w:vAlign w:val="center"/>
          </w:tcPr>
          <w:p>
            <w:pPr>
              <w:jc w:val="center"/>
              <w:rPr>
                <w:rFonts w:ascii="Times New Roman" w:hAnsi="Times New Roman" w:cs="Times New Roman" w:eastAsiaTheme="minorEastAsia"/>
                <w:sz w:val="21"/>
                <w:szCs w:val="21"/>
              </w:rPr>
            </w:pPr>
          </w:p>
        </w:tc>
        <w:tc>
          <w:tcPr>
            <w:tcW w:w="939" w:type="dxa"/>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X</w:t>
            </w:r>
          </w:p>
        </w:tc>
        <w:tc>
          <w:tcPr>
            <w:tcW w:w="1008" w:type="dxa"/>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Y</w:t>
            </w:r>
          </w:p>
        </w:tc>
        <w:tc>
          <w:tcPr>
            <w:tcW w:w="836" w:type="dxa"/>
            <w:shd w:val="clear" w:color="auto" w:fill="auto"/>
            <w:vAlign w:val="center"/>
          </w:tcPr>
          <w:p>
            <w:pPr>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Z</w:t>
            </w:r>
          </w:p>
        </w:tc>
        <w:tc>
          <w:tcPr>
            <w:tcW w:w="2122" w:type="dxa"/>
            <w:vMerge w:val="continue"/>
            <w:shd w:val="clear" w:color="auto" w:fill="auto"/>
            <w:vAlign w:val="center"/>
          </w:tcPr>
          <w:p>
            <w:pPr>
              <w:jc w:val="center"/>
              <w:rPr>
                <w:rFonts w:ascii="Times New Roman" w:hAnsi="Times New Roman" w:cs="Times New Roman" w:eastAsiaTheme="minorEastAsia"/>
                <w:sz w:val="21"/>
                <w:szCs w:val="21"/>
              </w:rPr>
            </w:pPr>
          </w:p>
        </w:tc>
        <w:tc>
          <w:tcPr>
            <w:tcW w:w="2403" w:type="dxa"/>
            <w:vMerge w:val="continue"/>
            <w:shd w:val="clear" w:color="auto" w:fill="auto"/>
            <w:vAlign w:val="center"/>
          </w:tcPr>
          <w:p>
            <w:pPr>
              <w:jc w:val="center"/>
              <w:rPr>
                <w:rFonts w:ascii="Times New Roman" w:hAnsi="Times New Roman" w:cs="Times New Roman" w:eastAsiaTheme="minorEastAsia"/>
                <w:sz w:val="21"/>
                <w:szCs w:val="21"/>
              </w:rPr>
            </w:pPr>
          </w:p>
        </w:tc>
        <w:tc>
          <w:tcPr>
            <w:tcW w:w="2147" w:type="dxa"/>
            <w:vMerge w:val="continue"/>
            <w:shd w:val="clear" w:color="auto" w:fill="auto"/>
            <w:vAlign w:val="center"/>
          </w:tcPr>
          <w:p>
            <w:pPr>
              <w:jc w:val="center"/>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482" w:hRule="exact"/>
          <w:jc w:val="center"/>
        </w:trPr>
        <w:tc>
          <w:tcPr>
            <w:tcW w:w="1019" w:type="dxa"/>
            <w:shd w:val="clear" w:color="auto" w:fill="auto"/>
            <w:vAlign w:val="center"/>
          </w:tcPr>
          <w:p>
            <w:pPr>
              <w:jc w:val="center"/>
            </w:pPr>
            <w:r>
              <w:rPr>
                <w:rFonts w:ascii="Arial" w:hAnsi="Arial" w:eastAsia="Arial" w:cs="Arial"/>
                <w:sz w:val="20"/>
              </w:rPr>
              <w:t>1</w:t>
            </w:r>
          </w:p>
        </w:tc>
        <w:tc>
          <w:tcPr>
            <w:tcW w:w="1717" w:type="dxa"/>
            <w:shd w:val="clear" w:color="auto" w:fill="auto"/>
            <w:vAlign w:val="center"/>
          </w:tcPr>
          <w:p>
            <w:pPr>
              <w:jc w:val="center"/>
            </w:pPr>
            <w:r>
              <w:rPr>
                <w:rFonts w:ascii="Arial" w:hAnsi="Arial" w:eastAsia="Arial" w:cs="Arial"/>
                <w:sz w:val="20"/>
              </w:rPr>
              <w:t>风机</w:t>
            </w:r>
          </w:p>
        </w:tc>
        <w:tc>
          <w:tcPr>
            <w:tcW w:w="1032" w:type="dxa"/>
            <w:shd w:val="clear" w:color="auto" w:fill="auto"/>
            <w:vAlign w:val="center"/>
          </w:tcPr>
          <w:p>
            <w:pPr>
              <w:jc w:val="center"/>
              <w:rPr>
                <w:rFonts w:hint="eastAsia" w:eastAsia="宋体"/>
                <w:lang w:val="en-US" w:eastAsia="zh-CN"/>
              </w:rPr>
            </w:pPr>
            <w:r>
              <w:rPr>
                <w:rFonts w:hint="eastAsia"/>
                <w:lang w:val="en-US" w:eastAsia="zh-CN"/>
              </w:rPr>
              <w:t>/</w:t>
            </w:r>
          </w:p>
        </w:tc>
        <w:tc>
          <w:tcPr>
            <w:tcW w:w="939" w:type="dxa"/>
            <w:shd w:val="clear" w:color="auto" w:fill="auto"/>
            <w:vAlign w:val="center"/>
          </w:tcPr>
          <w:p>
            <w:pPr>
              <w:jc w:val="center"/>
            </w:pPr>
            <w:r>
              <w:rPr>
                <w:rFonts w:ascii="Arial" w:hAnsi="Arial" w:eastAsia="Arial" w:cs="Arial"/>
                <w:sz w:val="20"/>
              </w:rPr>
              <w:t>-5.9</w:t>
            </w:r>
          </w:p>
        </w:tc>
        <w:tc>
          <w:tcPr>
            <w:tcW w:w="1008" w:type="dxa"/>
            <w:shd w:val="clear" w:color="auto" w:fill="auto"/>
            <w:vAlign w:val="center"/>
          </w:tcPr>
          <w:p>
            <w:pPr>
              <w:jc w:val="center"/>
            </w:pPr>
            <w:r>
              <w:rPr>
                <w:rFonts w:ascii="Arial" w:hAnsi="Arial" w:eastAsia="Arial" w:cs="Arial"/>
                <w:sz w:val="20"/>
              </w:rPr>
              <w:t>15.7</w:t>
            </w:r>
          </w:p>
        </w:tc>
        <w:tc>
          <w:tcPr>
            <w:tcW w:w="836" w:type="dxa"/>
            <w:shd w:val="clear" w:color="auto" w:fill="auto"/>
            <w:vAlign w:val="center"/>
          </w:tcPr>
          <w:p>
            <w:pPr>
              <w:jc w:val="center"/>
            </w:pPr>
            <w:r>
              <w:rPr>
                <w:rFonts w:ascii="Arial" w:hAnsi="Arial" w:eastAsia="Arial" w:cs="Arial"/>
                <w:sz w:val="20"/>
              </w:rPr>
              <w:t>1.2</w:t>
            </w:r>
          </w:p>
        </w:tc>
        <w:tc>
          <w:tcPr>
            <w:tcW w:w="2122" w:type="dxa"/>
            <w:shd w:val="clear" w:color="auto" w:fill="auto"/>
            <w:vAlign w:val="center"/>
          </w:tcPr>
          <w:p>
            <w:pPr>
              <w:jc w:val="center"/>
            </w:pPr>
            <w:r>
              <w:rPr>
                <w:rFonts w:ascii="Arial" w:hAnsi="Arial" w:eastAsia="Arial" w:cs="Arial"/>
                <w:sz w:val="20"/>
              </w:rPr>
              <w:t>80</w:t>
            </w:r>
          </w:p>
        </w:tc>
        <w:tc>
          <w:tcPr>
            <w:tcW w:w="2403" w:type="dxa"/>
            <w:shd w:val="clear" w:color="auto" w:fill="auto"/>
            <w:vAlign w:val="center"/>
          </w:tcPr>
          <w:p>
            <w:pPr>
              <w:jc w:val="center"/>
              <w:rPr>
                <w:rFonts w:hint="default" w:eastAsia="宋体"/>
                <w:lang w:val="en-US" w:eastAsia="zh-CN"/>
              </w:rPr>
            </w:pPr>
            <w:r>
              <w:rPr>
                <w:rFonts w:hint="eastAsia"/>
                <w:lang w:val="en-US" w:eastAsia="zh-CN"/>
              </w:rPr>
              <w:t>基础减震</w:t>
            </w:r>
          </w:p>
        </w:tc>
        <w:tc>
          <w:tcPr>
            <w:tcW w:w="2147" w:type="dxa"/>
            <w:shd w:val="clear" w:color="auto" w:fill="auto"/>
            <w:vAlign w:val="center"/>
          </w:tcPr>
          <w:p>
            <w:pPr>
              <w:jc w:val="center"/>
              <w:rPr>
                <w:rFonts w:hint="default" w:eastAsia="宋体"/>
                <w:lang w:val="en-US" w:eastAsia="zh-CN"/>
              </w:rPr>
            </w:pPr>
            <w:r>
              <w:rPr>
                <w:rFonts w:hint="eastAsia" w:ascii="Arial" w:hAnsi="Arial" w:eastAsia="宋体" w:cs="Arial"/>
                <w:sz w:val="20"/>
                <w:lang w:val="en-US" w:eastAsia="zh-CN"/>
              </w:rPr>
              <w:t>8:00-18:00</w:t>
            </w:r>
          </w:p>
        </w:tc>
      </w:tr>
    </w:tbl>
    <w:p>
      <w:pPr>
        <w:pStyle w:val="2"/>
        <w:rPr>
          <w:rFonts w:hint="eastAsia"/>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
        <w:outlineLvl w:val="9"/>
        <w:rPr>
          <w:rFonts w:hint="eastAsia"/>
        </w:rPr>
      </w:pPr>
    </w:p>
    <w:tbl>
      <w:tblPr>
        <w:tblStyle w:val="27"/>
        <w:tblW w:w="96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8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02" w:hRule="atLeast"/>
          <w:jc w:val="center"/>
        </w:trPr>
        <w:tc>
          <w:tcPr>
            <w:tcW w:w="896" w:type="dxa"/>
            <w:noWrap w:val="0"/>
            <w:vAlign w:val="top"/>
          </w:tcPr>
          <w:p>
            <w:pPr>
              <w:rPr>
                <w:rFonts w:hint="eastAsia"/>
                <w:vertAlign w:val="baseline"/>
              </w:rPr>
            </w:pPr>
          </w:p>
        </w:tc>
        <w:tc>
          <w:tcPr>
            <w:tcW w:w="8752" w:type="dxa"/>
            <w:noWrap w:val="0"/>
            <w:vAlign w:val="top"/>
          </w:tcPr>
          <w:p>
            <w:pPr>
              <w:pStyle w:val="61"/>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w:t>
            </w:r>
            <w:r>
              <w:rPr>
                <w:rFonts w:hint="eastAsia" w:ascii="Times New Roman" w:hAnsi="Times New Roman" w:eastAsia="宋体" w:cs="Times New Roman"/>
                <w:b/>
                <w:bCs/>
                <w:lang w:val="en-US" w:eastAsia="zh-CN"/>
              </w:rPr>
              <w:t>、</w:t>
            </w:r>
            <w:r>
              <w:rPr>
                <w:rFonts w:hint="default" w:ascii="Times New Roman" w:hAnsi="Times New Roman" w:eastAsia="宋体" w:cs="Times New Roman"/>
                <w:b/>
                <w:bCs/>
                <w:lang w:val="en-US" w:eastAsia="zh-CN"/>
              </w:rPr>
              <w:t>预测模式</w:t>
            </w:r>
          </w:p>
          <w:p>
            <w:pPr>
              <w:pStyle w:val="76"/>
              <w:widowControl w:val="0"/>
              <w:ind w:firstLine="480"/>
              <w:jc w:val="both"/>
              <w:rPr>
                <w:rFonts w:cs="Times New Roman"/>
              </w:rPr>
            </w:pPr>
            <w:r>
              <w:rPr>
                <w:rFonts w:cs="Times New Roman"/>
              </w:rPr>
              <w:t>采用《环境影响评价技术导则  声环境》（HJ2.4-2021）中附录B的工业噪声预测计算模型进行预测。</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r>
              <w:rPr>
                <w:rFonts w:hint="eastAsia" w:ascii="Times New Roman" w:hAnsi="Times New Roman" w:cs="Times New Roman"/>
                <w:sz w:val="24"/>
                <w:szCs w:val="24"/>
                <w:lang w:eastAsia="zh-CN"/>
              </w:rPr>
              <w:t>1</w:t>
            </w:r>
            <w:r>
              <w:rPr>
                <w:rFonts w:ascii="Times New Roman" w:hAnsi="Times New Roman" w:cs="Times New Roman"/>
                <w:sz w:val="24"/>
                <w:szCs w:val="24"/>
                <w:lang w:eastAsia="zh-CN"/>
              </w:rPr>
              <w:t>）计算某个室内声源在靠近围护结构处的倍频带声压级：</w:t>
            </w:r>
          </w:p>
          <w:p>
            <w:pPr>
              <w:pStyle w:val="49"/>
              <w:spacing w:before="24" w:after="24"/>
              <w:ind w:firstLine="480"/>
              <w:rPr>
                <w:rFonts w:ascii="Times New Roman" w:hAnsi="Times New Roman" w:eastAsia="宋体" w:cs="Times New Roman"/>
                <w:color w:val="auto"/>
                <w:szCs w:val="24"/>
                <w:lang w:eastAsia="zh-CN"/>
              </w:rPr>
            </w:pPr>
            <w:r>
              <w:rPr>
                <w:rFonts w:ascii="Times New Roman" w:hAnsi="Times New Roman" w:eastAsia="宋体" w:cs="Times New Roman"/>
                <w:color w:val="auto"/>
                <w:szCs w:val="24"/>
                <w:lang w:eastAsia="zh-CN"/>
              </w:rPr>
              <w:object>
                <v:shape id="_x0000_i1025" o:spt="75" type="#_x0000_t75" style="height:34.65pt;width:133.15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式中：</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L</w:t>
            </w:r>
            <w:r>
              <w:rPr>
                <w:rFonts w:ascii="Times New Roman" w:hAnsi="Times New Roman" w:cs="Times New Roman"/>
                <w:sz w:val="24"/>
                <w:szCs w:val="24"/>
                <w:vertAlign w:val="subscript"/>
                <w:lang w:eastAsia="zh-CN"/>
              </w:rPr>
              <w:t>P1</w:t>
            </w:r>
            <w:r>
              <w:rPr>
                <w:rFonts w:ascii="Times New Roman" w:hAnsi="Times New Roman" w:cs="Times New Roman"/>
                <w:sz w:val="24"/>
                <w:szCs w:val="24"/>
                <w:lang w:eastAsia="zh-CN"/>
              </w:rPr>
              <w:tab/>
            </w:r>
            <w:r>
              <w:rPr>
                <w:rFonts w:ascii="Times New Roman" w:hAnsi="Times New Roman" w:cs="Times New Roman"/>
                <w:sz w:val="24"/>
                <w:szCs w:val="24"/>
                <w:lang w:eastAsia="zh-CN"/>
              </w:rPr>
              <w:t>——某个室内声源在靠近围护结构处产生的倍频带声压级，dB；</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L</w:t>
            </w:r>
            <w:r>
              <w:rPr>
                <w:rFonts w:ascii="Times New Roman" w:hAnsi="Times New Roman" w:cs="Times New Roman"/>
                <w:sz w:val="24"/>
                <w:szCs w:val="24"/>
                <w:vertAlign w:val="subscript"/>
                <w:lang w:eastAsia="zh-CN"/>
              </w:rPr>
              <w:t>W</w:t>
            </w:r>
            <w:r>
              <w:rPr>
                <w:rFonts w:ascii="Times New Roman" w:hAnsi="Times New Roman" w:cs="Times New Roman"/>
                <w:sz w:val="24"/>
                <w:szCs w:val="24"/>
                <w:lang w:eastAsia="zh-CN"/>
              </w:rPr>
              <w:tab/>
            </w:r>
            <w:r>
              <w:rPr>
                <w:rFonts w:ascii="Times New Roman" w:hAnsi="Times New Roman" w:cs="Times New Roman"/>
                <w:sz w:val="24"/>
                <w:szCs w:val="24"/>
                <w:lang w:eastAsia="zh-CN"/>
              </w:rPr>
              <w:t>——某个声源的倍频带声功率级，dB；</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r</w:t>
            </w:r>
            <w:r>
              <w:rPr>
                <w:rFonts w:ascii="Times New Roman" w:hAnsi="Times New Roman" w:cs="Times New Roman"/>
                <w:sz w:val="24"/>
                <w:szCs w:val="24"/>
                <w:lang w:eastAsia="zh-CN"/>
              </w:rPr>
              <w:tab/>
            </w:r>
            <w:r>
              <w:rPr>
                <w:rFonts w:ascii="Times New Roman" w:hAnsi="Times New Roman" w:cs="Times New Roman"/>
                <w:sz w:val="24"/>
                <w:szCs w:val="24"/>
                <w:lang w:eastAsia="zh-CN"/>
              </w:rPr>
              <w:t>——声源到靠近围护结构某点处的距离，m；</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R</w:t>
            </w:r>
            <w:r>
              <w:rPr>
                <w:rFonts w:ascii="Times New Roman" w:hAnsi="Times New Roman" w:cs="Times New Roman"/>
                <w:sz w:val="24"/>
                <w:szCs w:val="24"/>
                <w:lang w:eastAsia="zh-CN"/>
              </w:rPr>
              <w:tab/>
            </w:r>
            <w:r>
              <w:rPr>
                <w:rFonts w:ascii="Times New Roman" w:hAnsi="Times New Roman" w:cs="Times New Roman"/>
                <w:sz w:val="24"/>
                <w:szCs w:val="24"/>
                <w:lang w:eastAsia="zh-CN"/>
              </w:rPr>
              <w:t>——房间常数，R=Sa/（1-a），S为房间内表面积，</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；a为平均吸声系数。</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Q</w:t>
            </w:r>
            <w:r>
              <w:rPr>
                <w:rFonts w:ascii="Times New Roman" w:hAnsi="Times New Roman" w:cs="Times New Roman"/>
                <w:sz w:val="24"/>
                <w:szCs w:val="24"/>
                <w:lang w:eastAsia="zh-CN"/>
              </w:rPr>
              <w:tab/>
            </w:r>
            <w:r>
              <w:rPr>
                <w:rFonts w:ascii="Times New Roman" w:hAnsi="Times New Roman" w:cs="Times New Roman"/>
                <w:sz w:val="24"/>
                <w:szCs w:val="24"/>
                <w:lang w:eastAsia="zh-CN"/>
              </w:rPr>
              <w:t>——指向性因数；通常对无指向性声源，当声源放在房间中心时，Q=1；当放在一面墙的中心时，Q=2；当放在两面墙夹角处时，Q=4；当放在三面墙夹角处时，Q=8。</w:t>
            </w:r>
          </w:p>
          <w:p>
            <w:pPr>
              <w:spacing w:line="360" w:lineRule="auto"/>
              <w:ind w:firstLine="480" w:firstLineChars="200"/>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r>
              <w:rPr>
                <w:rFonts w:hint="eastAsia" w:ascii="Times New Roman" w:hAnsi="Times New Roman" w:cs="Times New Roman"/>
                <w:sz w:val="24"/>
                <w:szCs w:val="24"/>
                <w:lang w:eastAsia="zh-CN"/>
              </w:rPr>
              <w:t>2</w:t>
            </w:r>
            <w:r>
              <w:rPr>
                <w:rFonts w:ascii="Times New Roman" w:hAnsi="Times New Roman" w:cs="Times New Roman"/>
                <w:sz w:val="24"/>
                <w:szCs w:val="24"/>
                <w:lang w:eastAsia="zh-CN"/>
              </w:rPr>
              <w:t>）计算所有室内声源在靠近围护结构处产生的总倍频带声压级：</w:t>
            </w:r>
          </w:p>
          <w:p>
            <w:pPr>
              <w:pStyle w:val="49"/>
              <w:spacing w:before="24" w:after="24"/>
              <w:ind w:firstLine="480"/>
              <w:rPr>
                <w:rFonts w:ascii="Times New Roman"/>
                <w:szCs w:val="24"/>
              </w:rPr>
            </w:pPr>
            <w:r>
              <w:rPr>
                <w:rFonts w:ascii="Times New Roman"/>
                <w:position w:val="-32"/>
                <w:szCs w:val="24"/>
              </w:rPr>
              <w:object>
                <v:shape id="_x0000_i1026" o:spt="75" type="#_x0000_t75" style="height:37.35pt;width:132.45pt;" o:ole="t" filled="f" o:preferrelative="t" stroked="f" coordsize="21600,21600">
                  <v:path/>
                  <v:fill on="f" focussize="0,0"/>
                  <v:stroke on="f" joinstyle="miter"/>
                  <v:imagedata r:id="rId18" o:title=""/>
                  <o:lock v:ext="edit" aspectratio="t"/>
                  <w10:wrap type="none"/>
                  <w10:anchorlock/>
                </v:shape>
                <o:OLEObject Type="Embed" ProgID="Equation.3" ShapeID="_x0000_i1026" DrawAspect="Content" ObjectID="_1468075726" r:id="rId17">
                  <o:LockedField>false</o:LockedField>
                </o:OLEObject>
              </w:object>
            </w:r>
          </w:p>
          <w:p>
            <w:pPr>
              <w:pStyle w:val="76"/>
              <w:widowControl w:val="0"/>
              <w:ind w:firstLine="480"/>
              <w:jc w:val="both"/>
              <w:rPr>
                <w:rFonts w:cs="Times New Roman"/>
              </w:rPr>
            </w:pPr>
            <w:r>
              <w:rPr>
                <w:rFonts w:cs="Times New Roman"/>
              </w:rPr>
              <w:t>式中：</w:t>
            </w:r>
          </w:p>
          <w:p>
            <w:pPr>
              <w:pStyle w:val="76"/>
              <w:widowControl w:val="0"/>
              <w:ind w:firstLine="480"/>
              <w:jc w:val="both"/>
              <w:rPr>
                <w:rFonts w:cs="Times New Roman"/>
              </w:rPr>
            </w:pPr>
            <w:r>
              <w:rPr>
                <w:rFonts w:cs="Times New Roman"/>
              </w:rPr>
              <w:t>LP1i（T）——靠近围护结构处室内N个声源i倍频带的叠加声压级，dB；</w:t>
            </w:r>
          </w:p>
          <w:p>
            <w:pPr>
              <w:pStyle w:val="76"/>
              <w:widowControl w:val="0"/>
              <w:ind w:firstLine="480"/>
              <w:jc w:val="both"/>
              <w:rPr>
                <w:rFonts w:cs="Times New Roman"/>
              </w:rPr>
            </w:pPr>
            <w:r>
              <w:rPr>
                <w:rFonts w:cs="Times New Roman"/>
              </w:rPr>
              <w:t>LP1ij——室内j声源i倍频带的声压级，dB；</w:t>
            </w:r>
          </w:p>
          <w:p>
            <w:pPr>
              <w:pStyle w:val="76"/>
              <w:widowControl w:val="0"/>
              <w:ind w:firstLine="480"/>
              <w:jc w:val="both"/>
              <w:rPr>
                <w:rFonts w:cs="Times New Roman"/>
              </w:rPr>
            </w:pPr>
            <w:r>
              <w:rPr>
                <w:rFonts w:cs="Times New Roman"/>
              </w:rPr>
              <w:t>N ——室内声源总数。</w:t>
            </w:r>
          </w:p>
          <w:p>
            <w:pPr>
              <w:pStyle w:val="76"/>
              <w:widowControl w:val="0"/>
              <w:ind w:firstLine="480"/>
              <w:jc w:val="both"/>
              <w:rPr>
                <w:rFonts w:cs="Times New Roman"/>
              </w:rPr>
            </w:pPr>
            <w:r>
              <w:rPr>
                <w:rFonts w:cs="Times New Roman"/>
              </w:rPr>
              <w:t>（</w:t>
            </w:r>
            <w:r>
              <w:rPr>
                <w:rFonts w:hint="eastAsia" w:cs="Times New Roman"/>
              </w:rPr>
              <w:t>3</w:t>
            </w:r>
            <w:r>
              <w:rPr>
                <w:rFonts w:cs="Times New Roman"/>
              </w:rPr>
              <w:t>）计算室外靠近围护结构处的声压级：</w:t>
            </w:r>
          </w:p>
          <w:p>
            <w:pPr>
              <w:pStyle w:val="76"/>
              <w:widowControl w:val="0"/>
              <w:ind w:firstLine="480"/>
              <w:jc w:val="both"/>
              <w:rPr>
                <w:rFonts w:cs="Times New Roman"/>
              </w:rPr>
            </w:pPr>
            <w:r>
              <w:rPr>
                <w:rFonts w:cs="Times New Roman"/>
              </w:rPr>
              <w:object>
                <v:shape id="_x0000_i1027" o:spt="75" type="#_x0000_t75" style="height:18.35pt;width:133.15pt;" o:ole="t" filled="f" o:preferrelative="t"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p>
          <w:p>
            <w:pPr>
              <w:pStyle w:val="76"/>
              <w:widowControl w:val="0"/>
              <w:ind w:firstLine="480"/>
              <w:jc w:val="both"/>
              <w:rPr>
                <w:rFonts w:cs="Times New Roman"/>
              </w:rPr>
            </w:pPr>
            <w:r>
              <w:rPr>
                <w:rFonts w:cs="Times New Roman"/>
              </w:rPr>
              <w:t>式中：</w:t>
            </w:r>
          </w:p>
          <w:p>
            <w:pPr>
              <w:pStyle w:val="76"/>
              <w:widowControl w:val="0"/>
              <w:ind w:firstLine="480"/>
              <w:jc w:val="both"/>
              <w:rPr>
                <w:rFonts w:cs="Times New Roman"/>
              </w:rPr>
            </w:pPr>
            <w:r>
              <w:rPr>
                <w:rFonts w:cs="Times New Roman"/>
              </w:rPr>
              <w:t>LP2i（T）——靠近围护结构处室外N个声源i倍频带的叠加声压级，dB；</w:t>
            </w:r>
          </w:p>
          <w:p>
            <w:pPr>
              <w:pStyle w:val="76"/>
              <w:widowControl w:val="0"/>
              <w:ind w:firstLine="480"/>
              <w:jc w:val="both"/>
              <w:rPr>
                <w:rFonts w:cs="Times New Roman"/>
              </w:rPr>
            </w:pPr>
            <w:r>
              <w:rPr>
                <w:rFonts w:cs="Times New Roman"/>
              </w:rPr>
              <w:t>TLi——围护结构i倍频带的隔声量，dB。</w:t>
            </w:r>
          </w:p>
          <w:p>
            <w:pPr>
              <w:pStyle w:val="76"/>
              <w:widowControl w:val="0"/>
              <w:ind w:firstLine="480"/>
              <w:jc w:val="both"/>
              <w:rPr>
                <w:rFonts w:cs="Times New Roman"/>
              </w:rPr>
            </w:pPr>
            <w:r>
              <w:rPr>
                <w:rFonts w:cs="Times New Roman"/>
              </w:rPr>
              <w:t>（</w:t>
            </w:r>
            <w:r>
              <w:rPr>
                <w:rFonts w:hint="eastAsia" w:cs="Times New Roman"/>
              </w:rPr>
              <w:t>4</w:t>
            </w:r>
            <w:r>
              <w:rPr>
                <w:rFonts w:cs="Times New Roman"/>
              </w:rPr>
              <w:t>）将室外声级LP2（T）和透声面积换算成等效的室外声源，计算等效的室外声源（LW）：</w:t>
            </w:r>
          </w:p>
          <w:p>
            <w:pPr>
              <w:pStyle w:val="76"/>
              <w:widowControl w:val="0"/>
              <w:ind w:firstLine="480"/>
              <w:jc w:val="both"/>
              <w:rPr>
                <w:rFonts w:cs="Times New Roman"/>
              </w:rPr>
            </w:pPr>
            <w:r>
              <w:rPr>
                <w:rFonts w:cs="Times New Roman"/>
              </w:rPr>
              <w:object>
                <v:shape id="_x0000_i1028" o:spt="75" type="#_x0000_t75" style="height:18.35pt;width:101.9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p>
          <w:p>
            <w:pPr>
              <w:pStyle w:val="76"/>
              <w:widowControl w:val="0"/>
              <w:ind w:firstLine="480"/>
              <w:jc w:val="both"/>
              <w:rPr>
                <w:rFonts w:cs="Times New Roman"/>
              </w:rPr>
            </w:pPr>
            <w:r>
              <w:rPr>
                <w:rFonts w:cs="Times New Roman"/>
              </w:rPr>
              <w:t>式中：</w:t>
            </w:r>
          </w:p>
          <w:p>
            <w:pPr>
              <w:pStyle w:val="76"/>
              <w:widowControl w:val="0"/>
              <w:ind w:firstLine="480"/>
              <w:jc w:val="both"/>
              <w:rPr>
                <w:rFonts w:cs="Times New Roman"/>
              </w:rPr>
            </w:pPr>
            <w:r>
              <w:rPr>
                <w:rFonts w:cs="Times New Roman"/>
              </w:rPr>
              <w:t>S</w:t>
            </w:r>
            <w:r>
              <w:rPr>
                <w:rFonts w:cs="Times New Roman"/>
              </w:rPr>
              <w:tab/>
            </w:r>
            <w:r>
              <w:rPr>
                <w:rFonts w:cs="Times New Roman"/>
              </w:rPr>
              <w:t>——透声面积，</w:t>
            </w:r>
            <w:r>
              <w:rPr>
                <w:rFonts w:hint="eastAsia" w:cs="Times New Roman"/>
              </w:rPr>
              <w:t>㎡</w:t>
            </w:r>
            <w:r>
              <w:rPr>
                <w:rFonts w:cs="Times New Roman"/>
              </w:rPr>
              <w:t>。</w:t>
            </w:r>
          </w:p>
          <w:p>
            <w:pPr>
              <w:pStyle w:val="76"/>
              <w:widowControl w:val="0"/>
              <w:ind w:firstLine="480"/>
              <w:jc w:val="both"/>
              <w:rPr>
                <w:rFonts w:cs="Times New Roman"/>
              </w:rPr>
            </w:pPr>
            <w:r>
              <w:rPr>
                <w:rFonts w:cs="Times New Roman"/>
              </w:rPr>
              <w:t>（</w:t>
            </w:r>
            <w:r>
              <w:rPr>
                <w:rFonts w:hint="eastAsia" w:cs="Times New Roman"/>
              </w:rPr>
              <w:t>5</w:t>
            </w:r>
            <w:r>
              <w:rPr>
                <w:rFonts w:cs="Times New Roman"/>
              </w:rPr>
              <w:t>）按室外声源预测方法计算预测点处的A声级。</w:t>
            </w:r>
          </w:p>
          <w:p>
            <w:pPr>
              <w:pStyle w:val="76"/>
              <w:widowControl w:val="0"/>
              <w:ind w:firstLine="480"/>
              <w:jc w:val="both"/>
              <w:rPr>
                <w:rFonts w:cs="Times New Roman"/>
              </w:rPr>
            </w:pPr>
            <w:r>
              <w:rPr>
                <w:rFonts w:cs="Times New Roman"/>
              </w:rPr>
              <w:t>（</w:t>
            </w:r>
            <w:r>
              <w:rPr>
                <w:rFonts w:hint="eastAsia" w:cs="Times New Roman"/>
              </w:rPr>
              <w:t>6</w:t>
            </w:r>
            <w:r>
              <w:rPr>
                <w:rFonts w:cs="Times New Roman"/>
              </w:rPr>
              <w:t>）无指向性点声源几何发散衰减的基本公式：</w:t>
            </w:r>
          </w:p>
          <w:p>
            <w:pPr>
              <w:pStyle w:val="49"/>
              <w:spacing w:before="24" w:after="24"/>
              <w:ind w:firstLine="480"/>
              <w:rPr>
                <w:rFonts w:ascii="Times New Roman"/>
                <w:szCs w:val="24"/>
              </w:rPr>
            </w:pPr>
            <w:r>
              <w:rPr>
                <w:rFonts w:ascii="Times New Roman"/>
                <w:position w:val="-32"/>
                <w:szCs w:val="24"/>
              </w:rPr>
              <w:object>
                <v:shape id="_x0000_i1029" o:spt="75" type="#_x0000_t75" style="height:37.35pt;width:125pt;" o:ole="t" filled="f" o:preferrelative="t" stroked="f" coordsize="21600,21600">
                  <v:path/>
                  <v:fill on="f" focussize="0,0"/>
                  <v:stroke on="f" joinstyle="miter"/>
                  <v:imagedata r:id="rId24" o:title=""/>
                  <o:lock v:ext="edit" aspectratio="t"/>
                  <w10:wrap type="none"/>
                  <w10:anchorlock/>
                </v:shape>
                <o:OLEObject Type="Embed" ProgID="Equation.3" ShapeID="_x0000_i1029" DrawAspect="Content" ObjectID="_1468075729" r:id="rId23">
                  <o:LockedField>false</o:LockedField>
                </o:OLEObject>
              </w:object>
            </w:r>
          </w:p>
          <w:p>
            <w:pPr>
              <w:pStyle w:val="76"/>
              <w:widowControl w:val="0"/>
              <w:ind w:firstLine="480"/>
              <w:jc w:val="both"/>
              <w:rPr>
                <w:rFonts w:cs="Times New Roman"/>
              </w:rPr>
            </w:pPr>
            <w:r>
              <w:rPr>
                <w:rFonts w:cs="Times New Roman"/>
              </w:rPr>
              <w:t>如果声源处于半自由声场，则：</w:t>
            </w:r>
          </w:p>
          <w:p>
            <w:pPr>
              <w:pStyle w:val="76"/>
              <w:widowControl w:val="0"/>
              <w:ind w:firstLine="480"/>
              <w:jc w:val="both"/>
              <w:rPr>
                <w:rFonts w:cs="Times New Roman"/>
              </w:rPr>
            </w:pPr>
            <w:r>
              <w:rPr>
                <w:rFonts w:cs="Times New Roman"/>
              </w:rPr>
              <w:object>
                <v:shape id="_x0000_i1030" o:spt="75" type="#_x0000_t75" style="height:18.35pt;width:117.5pt;" o:ole="t" filled="f" o:preferrelative="t" stroked="f" coordsize="21600,21600">
                  <v:path/>
                  <v:fill on="f" focussize="0,0"/>
                  <v:stroke on="f" joinstyle="miter"/>
                  <v:imagedata r:id="rId26" o:title=""/>
                  <o:lock v:ext="edit" aspectratio="t"/>
                  <w10:wrap type="none"/>
                  <w10:anchorlock/>
                </v:shape>
                <o:OLEObject Type="Embed" ProgID="Equation.3" ShapeID="_x0000_i1030" DrawAspect="Content" ObjectID="_1468075730" r:id="rId25">
                  <o:LockedField>false</o:LockedField>
                </o:OLEObject>
              </w:object>
            </w:r>
          </w:p>
          <w:p>
            <w:pPr>
              <w:pStyle w:val="76"/>
              <w:widowControl w:val="0"/>
              <w:ind w:firstLine="480"/>
              <w:jc w:val="both"/>
              <w:rPr>
                <w:rFonts w:cs="Times New Roman"/>
              </w:rPr>
            </w:pPr>
            <w:r>
              <w:rPr>
                <w:rFonts w:cs="Times New Roman"/>
              </w:rPr>
              <w:t>（</w:t>
            </w:r>
            <w:r>
              <w:rPr>
                <w:rFonts w:hint="eastAsia" w:cs="Times New Roman"/>
              </w:rPr>
              <w:t>7</w:t>
            </w:r>
            <w:r>
              <w:rPr>
                <w:rFonts w:cs="Times New Roman"/>
              </w:rPr>
              <w:t>）噪声贡献值计算</w:t>
            </w:r>
          </w:p>
          <w:p>
            <w:pPr>
              <w:pStyle w:val="76"/>
              <w:widowControl w:val="0"/>
              <w:ind w:firstLine="480"/>
              <w:jc w:val="both"/>
              <w:rPr>
                <w:rFonts w:cs="Times New Roman"/>
              </w:rPr>
            </w:pPr>
            <w:r>
              <w:rPr>
                <w:rFonts w:cs="Times New Roman"/>
              </w:rPr>
              <w:t>设第i个室外声源在预测点产生的A声级为LAi，在T时间内该声源工作时间为ti；第j个等效室外声源在预测点产生的A声级为LAj，在T时间内该声源工作时间为tj，则拟建工程声源对预测点产生的贡献值（Leqg）为：</w:t>
            </w:r>
          </w:p>
          <w:p>
            <w:pPr>
              <w:pStyle w:val="76"/>
              <w:widowControl w:val="0"/>
              <w:ind w:firstLine="480"/>
              <w:jc w:val="both"/>
              <w:rPr>
                <w:rFonts w:cs="Times New Roman"/>
              </w:rPr>
            </w:pPr>
            <w:r>
              <w:rPr>
                <w:rFonts w:cs="Times New Roman"/>
              </w:rPr>
              <w:object>
                <v:shape id="_x0000_i1031" o:spt="75" type="#_x0000_t75" style="height:39.4pt;width:207.85pt;" o:ole="t" filled="f" o:preferrelative="t" stroked="f" coordsize="21600,21600">
                  <v:path/>
                  <v:fill on="f" focussize="0,0"/>
                  <v:stroke on="f" joinstyle="miter"/>
                  <v:imagedata r:id="rId28" o:title=""/>
                  <o:lock v:ext="edit" aspectratio="t"/>
                  <w10:wrap type="none"/>
                  <w10:anchorlock/>
                </v:shape>
                <o:OLEObject Type="Embed" ProgID="Equation.3" ShapeID="_x0000_i1031" DrawAspect="Content" ObjectID="_1468075731" r:id="rId27">
                  <o:LockedField>false</o:LockedField>
                </o:OLEObject>
              </w:object>
            </w:r>
          </w:p>
          <w:p>
            <w:pPr>
              <w:pStyle w:val="76"/>
              <w:widowControl w:val="0"/>
              <w:ind w:firstLine="480"/>
              <w:jc w:val="both"/>
              <w:rPr>
                <w:rFonts w:cs="Times New Roman"/>
              </w:rPr>
            </w:pPr>
            <w:r>
              <w:rPr>
                <w:rFonts w:cs="Times New Roman"/>
              </w:rPr>
              <w:t>式中：</w:t>
            </w:r>
          </w:p>
          <w:p>
            <w:pPr>
              <w:pStyle w:val="76"/>
              <w:widowControl w:val="0"/>
              <w:ind w:firstLine="480"/>
              <w:jc w:val="both"/>
              <w:rPr>
                <w:rFonts w:cs="Times New Roman"/>
              </w:rPr>
            </w:pPr>
            <w:r>
              <w:rPr>
                <w:rFonts w:cs="Times New Roman"/>
              </w:rPr>
              <w:t>tj——在T时间内j声源工作时间，s；</w:t>
            </w:r>
          </w:p>
          <w:p>
            <w:pPr>
              <w:pStyle w:val="76"/>
              <w:widowControl w:val="0"/>
              <w:ind w:firstLine="480"/>
              <w:jc w:val="both"/>
              <w:rPr>
                <w:rFonts w:cs="Times New Roman"/>
              </w:rPr>
            </w:pPr>
            <w:r>
              <w:rPr>
                <w:rFonts w:cs="Times New Roman"/>
              </w:rPr>
              <w:t>ti——在T时间内i声源工作时间，s；</w:t>
            </w:r>
          </w:p>
          <w:p>
            <w:pPr>
              <w:pStyle w:val="76"/>
              <w:widowControl w:val="0"/>
              <w:ind w:firstLine="480"/>
              <w:jc w:val="both"/>
              <w:rPr>
                <w:rFonts w:cs="Times New Roman"/>
              </w:rPr>
            </w:pPr>
            <w:r>
              <w:rPr>
                <w:rFonts w:cs="Times New Roman"/>
              </w:rPr>
              <w:t>T——用于计算等效声级的时间，s；</w:t>
            </w:r>
          </w:p>
          <w:p>
            <w:pPr>
              <w:pStyle w:val="76"/>
              <w:widowControl w:val="0"/>
              <w:ind w:firstLine="480"/>
              <w:jc w:val="both"/>
              <w:rPr>
                <w:rFonts w:cs="Times New Roman"/>
              </w:rPr>
            </w:pPr>
            <w:r>
              <w:rPr>
                <w:rFonts w:cs="Times New Roman"/>
              </w:rPr>
              <w:t>N——室外声源个数；</w:t>
            </w:r>
          </w:p>
          <w:p>
            <w:pPr>
              <w:pStyle w:val="76"/>
              <w:widowControl w:val="0"/>
              <w:ind w:firstLine="480"/>
              <w:jc w:val="both"/>
              <w:rPr>
                <w:rFonts w:cs="Times New Roman"/>
              </w:rPr>
            </w:pPr>
            <w:r>
              <w:rPr>
                <w:rFonts w:cs="Times New Roman"/>
              </w:rPr>
              <w:t>M——等效室外声源个数。</w:t>
            </w:r>
          </w:p>
          <w:p>
            <w:pPr>
              <w:spacing w:line="520" w:lineRule="exact"/>
              <w:ind w:firstLine="480" w:firstLineChars="200"/>
              <w:rPr>
                <w:rFonts w:hint="eastAsia"/>
                <w:sz w:val="24"/>
                <w:szCs w:val="24"/>
              </w:rPr>
            </w:pPr>
            <w:r>
              <w:rPr>
                <w:rFonts w:cs="Times New Roman"/>
                <w:sz w:val="24"/>
                <w:szCs w:val="24"/>
              </w:rPr>
              <w:t>由上述预测模式对厂界进行预测，各噪声源衰减到各厂界后结果见下表。</w:t>
            </w: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p>
          <w:p>
            <w:pPr>
              <w:tabs>
                <w:tab w:val="left" w:pos="7275"/>
              </w:tabs>
              <w:spacing w:line="360" w:lineRule="auto"/>
              <w:jc w:val="center"/>
              <w:rPr>
                <w:rFonts w:hint="eastAsia" w:ascii="Times New Roman" w:hAnsi="Times New Roman" w:eastAsia="宋体" w:cs="Times New Roman"/>
                <w:b/>
                <w:bCs w:val="0"/>
                <w:sz w:val="24"/>
                <w:szCs w:val="24"/>
                <w:lang w:eastAsia="zh-CN"/>
              </w:rPr>
            </w:pPr>
            <w:r>
              <w:rPr>
                <w:rFonts w:hint="eastAsia" w:ascii="Times New Roman" w:hAnsi="Times New Roman" w:eastAsia="宋体" w:cs="Times New Roman"/>
                <w:b/>
                <w:bCs w:val="0"/>
                <w:sz w:val="24"/>
                <w:szCs w:val="24"/>
                <w:lang w:eastAsia="zh-CN"/>
              </w:rPr>
              <w:t>表</w:t>
            </w:r>
            <w:r>
              <w:rPr>
                <w:rFonts w:hint="eastAsia" w:ascii="Times New Roman" w:hAnsi="Times New Roman" w:eastAsia="宋体" w:cs="Times New Roman"/>
                <w:b/>
                <w:bCs w:val="0"/>
                <w:sz w:val="24"/>
                <w:szCs w:val="24"/>
                <w:lang w:val="en-US" w:eastAsia="zh-CN"/>
              </w:rPr>
              <w:t>4-</w:t>
            </w:r>
            <w:r>
              <w:rPr>
                <w:rFonts w:hint="eastAsia" w:cs="Times New Roman"/>
                <w:b/>
                <w:bCs w:val="0"/>
                <w:sz w:val="24"/>
                <w:szCs w:val="24"/>
                <w:lang w:val="en-US" w:eastAsia="zh-CN"/>
              </w:rPr>
              <w:t>9</w:t>
            </w:r>
            <w:r>
              <w:rPr>
                <w:rFonts w:hint="eastAsia" w:ascii="Times New Roman" w:hAnsi="Times New Roman" w:eastAsia="宋体" w:cs="Times New Roman"/>
                <w:b/>
                <w:bCs w:val="0"/>
                <w:sz w:val="24"/>
                <w:szCs w:val="24"/>
                <w:lang w:val="en-US" w:eastAsia="zh-CN"/>
              </w:rPr>
              <w:t xml:space="preserve"> </w:t>
            </w:r>
            <w:r>
              <w:rPr>
                <w:rFonts w:hint="eastAsia" w:ascii="Times New Roman" w:hAnsi="Times New Roman" w:eastAsia="宋体" w:cs="Times New Roman"/>
                <w:b/>
                <w:bCs w:val="0"/>
                <w:sz w:val="24"/>
                <w:szCs w:val="24"/>
                <w:lang w:eastAsia="zh-CN"/>
              </w:rPr>
              <w:t xml:space="preserve"> 噪声衰减预测结果   单位：dB（A）</w:t>
            </w:r>
          </w:p>
          <w:tbl>
            <w:tblPr>
              <w:tblStyle w:val="26"/>
              <w:tblW w:w="85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01"/>
              <w:gridCol w:w="803"/>
              <w:gridCol w:w="803"/>
              <w:gridCol w:w="993"/>
              <w:gridCol w:w="803"/>
              <w:gridCol w:w="1417"/>
              <w:gridCol w:w="1418"/>
              <w:gridCol w:w="1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1" w:type="dxa"/>
                  <w:vMerge w:val="restart"/>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b/>
                      <w:sz w:val="21"/>
                      <w:szCs w:val="21"/>
                    </w:rPr>
                    <w:t>预测方位</w:t>
                  </w:r>
                </w:p>
              </w:tc>
              <w:tc>
                <w:tcPr>
                  <w:tcW w:w="2599" w:type="dxa"/>
                  <w:gridSpan w:val="3"/>
                  <w:shd w:val="clear" w:color="auto" w:fill="auto"/>
                  <w:noWrap w:val="0"/>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sz w:val="21"/>
                      <w:szCs w:val="21"/>
                      <w:lang w:val="en-US" w:eastAsia="zh-CN"/>
                    </w:rPr>
                    <w:t>最大值点</w:t>
                  </w:r>
                  <w:r>
                    <w:rPr>
                      <w:rFonts w:ascii="Times New Roman" w:hAnsi="Times New Roman" w:eastAsia="宋体" w:cs="Times New Roman"/>
                      <w:b/>
                      <w:sz w:val="21"/>
                      <w:szCs w:val="21"/>
                    </w:rPr>
                    <w:t>空间相对位置/m</w:t>
                  </w:r>
                </w:p>
              </w:tc>
              <w:tc>
                <w:tcPr>
                  <w:tcW w:w="803" w:type="dxa"/>
                  <w:vMerge w:val="restart"/>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b/>
                      <w:sz w:val="21"/>
                      <w:szCs w:val="21"/>
                    </w:rPr>
                    <w:t>时段</w:t>
                  </w:r>
                </w:p>
              </w:tc>
              <w:tc>
                <w:tcPr>
                  <w:tcW w:w="1417" w:type="dxa"/>
                  <w:vMerge w:val="restart"/>
                  <w:shd w:val="clear" w:color="auto" w:fill="auto"/>
                  <w:noWrap w:val="0"/>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sz w:val="21"/>
                      <w:szCs w:val="21"/>
                    </w:rPr>
                    <w:t>贡献值</w:t>
                  </w:r>
                  <w:r>
                    <w:rPr>
                      <w:rFonts w:ascii="Times New Roman" w:hAnsi="Times New Roman" w:eastAsia="宋体" w:cs="Times New Roman"/>
                      <w:b/>
                      <w:sz w:val="21"/>
                      <w:szCs w:val="21"/>
                    </w:rPr>
                    <w:t>（dB(A)）</w:t>
                  </w:r>
                </w:p>
              </w:tc>
              <w:tc>
                <w:tcPr>
                  <w:tcW w:w="1418" w:type="dxa"/>
                  <w:vMerge w:val="restart"/>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b/>
                      <w:sz w:val="21"/>
                      <w:szCs w:val="21"/>
                    </w:rPr>
                    <w:t>标准限值（dB(A)）</w:t>
                  </w:r>
                </w:p>
              </w:tc>
              <w:tc>
                <w:tcPr>
                  <w:tcW w:w="1188" w:type="dxa"/>
                  <w:vMerge w:val="restart"/>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b/>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1" w:type="dxa"/>
                  <w:vMerge w:val="continue"/>
                  <w:shd w:val="clear" w:color="auto" w:fill="auto"/>
                  <w:noWrap w:val="0"/>
                  <w:vAlign w:val="center"/>
                </w:tcPr>
                <w:p>
                  <w:pPr>
                    <w:jc w:val="center"/>
                    <w:rPr>
                      <w:rFonts w:ascii="Times New Roman" w:hAnsi="Times New Roman" w:eastAsia="宋体" w:cs="Times New Roman"/>
                      <w:sz w:val="21"/>
                      <w:szCs w:val="21"/>
                    </w:rPr>
                  </w:pPr>
                </w:p>
              </w:tc>
              <w:tc>
                <w:tcPr>
                  <w:tcW w:w="803" w:type="dxa"/>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X</w:t>
                  </w:r>
                </w:p>
              </w:tc>
              <w:tc>
                <w:tcPr>
                  <w:tcW w:w="803" w:type="dxa"/>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Y</w:t>
                  </w:r>
                </w:p>
              </w:tc>
              <w:tc>
                <w:tcPr>
                  <w:tcW w:w="993" w:type="dxa"/>
                  <w:shd w:val="clear" w:color="auto" w:fill="auto"/>
                  <w:noWrap w:val="0"/>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Z</w:t>
                  </w:r>
                </w:p>
              </w:tc>
              <w:tc>
                <w:tcPr>
                  <w:tcW w:w="803" w:type="dxa"/>
                  <w:vMerge w:val="continue"/>
                  <w:shd w:val="clear" w:color="auto" w:fill="auto"/>
                  <w:noWrap w:val="0"/>
                  <w:vAlign w:val="center"/>
                </w:tcPr>
                <w:p>
                  <w:pPr>
                    <w:jc w:val="center"/>
                    <w:rPr>
                      <w:rFonts w:ascii="Times New Roman" w:hAnsi="Times New Roman" w:eastAsia="宋体" w:cs="Times New Roman"/>
                      <w:sz w:val="21"/>
                      <w:szCs w:val="21"/>
                    </w:rPr>
                  </w:pPr>
                </w:p>
              </w:tc>
              <w:tc>
                <w:tcPr>
                  <w:tcW w:w="1417" w:type="dxa"/>
                  <w:vMerge w:val="continue"/>
                  <w:shd w:val="clear" w:color="auto" w:fill="auto"/>
                  <w:noWrap w:val="0"/>
                  <w:vAlign w:val="center"/>
                </w:tcPr>
                <w:p>
                  <w:pPr>
                    <w:jc w:val="center"/>
                    <w:rPr>
                      <w:rFonts w:ascii="Times New Roman" w:hAnsi="Times New Roman" w:eastAsia="宋体" w:cs="Times New Roman"/>
                      <w:sz w:val="21"/>
                      <w:szCs w:val="21"/>
                    </w:rPr>
                  </w:pPr>
                </w:p>
              </w:tc>
              <w:tc>
                <w:tcPr>
                  <w:tcW w:w="1418" w:type="dxa"/>
                  <w:vMerge w:val="continue"/>
                  <w:shd w:val="clear" w:color="auto" w:fill="auto"/>
                  <w:noWrap w:val="0"/>
                  <w:vAlign w:val="center"/>
                </w:tcPr>
                <w:p>
                  <w:pPr>
                    <w:jc w:val="center"/>
                    <w:rPr>
                      <w:rFonts w:ascii="Times New Roman" w:hAnsi="Times New Roman" w:eastAsia="宋体" w:cs="Times New Roman"/>
                      <w:sz w:val="21"/>
                      <w:szCs w:val="21"/>
                    </w:rPr>
                  </w:pPr>
                </w:p>
              </w:tc>
              <w:tc>
                <w:tcPr>
                  <w:tcW w:w="1188" w:type="dxa"/>
                  <w:vMerge w:val="continue"/>
                  <w:shd w:val="clear" w:color="auto" w:fill="auto"/>
                  <w:noWrap w:val="0"/>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1" w:type="dxa"/>
                  <w:shd w:val="clear" w:color="auto" w:fill="auto"/>
                  <w:noWrap w:val="0"/>
                  <w:vAlign w:val="center"/>
                </w:tcPr>
                <w:p>
                  <w:pPr>
                    <w:jc w:val="center"/>
                  </w:pPr>
                  <w:r>
                    <w:rPr>
                      <w:rFonts w:ascii="Arial" w:hAnsi="Arial" w:eastAsia="Arial" w:cs="Arial"/>
                      <w:sz w:val="20"/>
                    </w:rPr>
                    <w:t>东侧</w:t>
                  </w:r>
                </w:p>
              </w:tc>
              <w:tc>
                <w:tcPr>
                  <w:tcW w:w="803" w:type="dxa"/>
                  <w:shd w:val="clear" w:color="auto" w:fill="auto"/>
                  <w:noWrap w:val="0"/>
                  <w:vAlign w:val="center"/>
                </w:tcPr>
                <w:p>
                  <w:pPr>
                    <w:jc w:val="center"/>
                  </w:pPr>
                  <w:r>
                    <w:rPr>
                      <w:rFonts w:ascii="Arial" w:hAnsi="Arial" w:eastAsia="Arial" w:cs="Arial"/>
                      <w:sz w:val="20"/>
                    </w:rPr>
                    <w:t>28.9</w:t>
                  </w:r>
                </w:p>
              </w:tc>
              <w:tc>
                <w:tcPr>
                  <w:tcW w:w="803" w:type="dxa"/>
                  <w:shd w:val="clear" w:color="auto" w:fill="auto"/>
                  <w:noWrap w:val="0"/>
                  <w:vAlign w:val="center"/>
                </w:tcPr>
                <w:p>
                  <w:pPr>
                    <w:jc w:val="center"/>
                  </w:pPr>
                  <w:r>
                    <w:rPr>
                      <w:rFonts w:ascii="Arial" w:hAnsi="Arial" w:eastAsia="Arial" w:cs="Arial"/>
                      <w:sz w:val="20"/>
                    </w:rPr>
                    <w:t>0.7</w:t>
                  </w:r>
                </w:p>
              </w:tc>
              <w:tc>
                <w:tcPr>
                  <w:tcW w:w="993" w:type="dxa"/>
                  <w:shd w:val="clear" w:color="auto" w:fill="auto"/>
                  <w:noWrap w:val="0"/>
                  <w:vAlign w:val="center"/>
                </w:tcPr>
                <w:p>
                  <w:pPr>
                    <w:jc w:val="center"/>
                  </w:pPr>
                  <w:r>
                    <w:rPr>
                      <w:rFonts w:ascii="Arial" w:hAnsi="Arial" w:eastAsia="Arial" w:cs="Arial"/>
                      <w:sz w:val="20"/>
                    </w:rPr>
                    <w:t>1.2</w:t>
                  </w:r>
                </w:p>
              </w:tc>
              <w:tc>
                <w:tcPr>
                  <w:tcW w:w="803" w:type="dxa"/>
                  <w:shd w:val="clear" w:color="auto" w:fill="auto"/>
                  <w:noWrap w:val="0"/>
                  <w:vAlign w:val="center"/>
                </w:tcPr>
                <w:p>
                  <w:pPr>
                    <w:jc w:val="center"/>
                  </w:pPr>
                  <w:r>
                    <w:rPr>
                      <w:rFonts w:ascii="Arial" w:hAnsi="Arial" w:eastAsia="Arial" w:cs="Arial"/>
                      <w:sz w:val="20"/>
                    </w:rPr>
                    <w:t>昼间</w:t>
                  </w:r>
                </w:p>
              </w:tc>
              <w:tc>
                <w:tcPr>
                  <w:tcW w:w="1417" w:type="dxa"/>
                  <w:shd w:val="clear" w:color="auto" w:fill="auto"/>
                  <w:noWrap w:val="0"/>
                  <w:vAlign w:val="center"/>
                </w:tcPr>
                <w:p>
                  <w:pPr>
                    <w:jc w:val="center"/>
                  </w:pPr>
                  <w:r>
                    <w:rPr>
                      <w:rFonts w:ascii="Arial" w:hAnsi="Arial" w:eastAsia="Arial" w:cs="Arial"/>
                      <w:sz w:val="20"/>
                    </w:rPr>
                    <w:t>41.6</w:t>
                  </w:r>
                </w:p>
              </w:tc>
              <w:tc>
                <w:tcPr>
                  <w:tcW w:w="1418" w:type="dxa"/>
                  <w:shd w:val="clear" w:color="auto" w:fill="auto"/>
                  <w:noWrap w:val="0"/>
                  <w:vAlign w:val="center"/>
                </w:tcPr>
                <w:p>
                  <w:pPr>
                    <w:jc w:val="center"/>
                  </w:pPr>
                  <w:r>
                    <w:rPr>
                      <w:rFonts w:ascii="Arial" w:hAnsi="Arial" w:eastAsia="Arial" w:cs="Arial"/>
                      <w:sz w:val="20"/>
                    </w:rPr>
                    <w:t>60</w:t>
                  </w:r>
                </w:p>
              </w:tc>
              <w:tc>
                <w:tcPr>
                  <w:tcW w:w="1188" w:type="dxa"/>
                  <w:shd w:val="clear" w:color="auto" w:fill="auto"/>
                  <w:noWrap w:val="0"/>
                  <w:vAlign w:val="center"/>
                </w:tcPr>
                <w:p>
                  <w:pPr>
                    <w:jc w:val="center"/>
                  </w:pPr>
                  <w:r>
                    <w:rPr>
                      <w:rFonts w:ascii="Arial" w:hAnsi="Arial" w:eastAsia="Arial" w:cs="Arial"/>
                      <w:sz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1" w:type="dxa"/>
                  <w:shd w:val="clear" w:color="auto" w:fill="auto"/>
                  <w:noWrap w:val="0"/>
                  <w:vAlign w:val="center"/>
                </w:tcPr>
                <w:p>
                  <w:pPr>
                    <w:jc w:val="center"/>
                  </w:pPr>
                  <w:r>
                    <w:rPr>
                      <w:rFonts w:ascii="Arial" w:hAnsi="Arial" w:eastAsia="Arial" w:cs="Arial"/>
                      <w:sz w:val="20"/>
                    </w:rPr>
                    <w:t>南侧</w:t>
                  </w:r>
                </w:p>
              </w:tc>
              <w:tc>
                <w:tcPr>
                  <w:tcW w:w="803" w:type="dxa"/>
                  <w:shd w:val="clear" w:color="auto" w:fill="auto"/>
                  <w:noWrap w:val="0"/>
                  <w:vAlign w:val="center"/>
                </w:tcPr>
                <w:p>
                  <w:pPr>
                    <w:jc w:val="center"/>
                  </w:pPr>
                  <w:r>
                    <w:rPr>
                      <w:rFonts w:ascii="Arial" w:hAnsi="Arial" w:eastAsia="Arial" w:cs="Arial"/>
                      <w:sz w:val="20"/>
                    </w:rPr>
                    <w:t>-4.1</w:t>
                  </w:r>
                </w:p>
              </w:tc>
              <w:tc>
                <w:tcPr>
                  <w:tcW w:w="803" w:type="dxa"/>
                  <w:shd w:val="clear" w:color="auto" w:fill="auto"/>
                  <w:noWrap w:val="0"/>
                  <w:vAlign w:val="center"/>
                </w:tcPr>
                <w:p>
                  <w:pPr>
                    <w:jc w:val="center"/>
                  </w:pPr>
                  <w:r>
                    <w:rPr>
                      <w:rFonts w:ascii="Arial" w:hAnsi="Arial" w:eastAsia="Arial" w:cs="Arial"/>
                      <w:sz w:val="20"/>
                    </w:rPr>
                    <w:t>-18.6</w:t>
                  </w:r>
                </w:p>
              </w:tc>
              <w:tc>
                <w:tcPr>
                  <w:tcW w:w="993" w:type="dxa"/>
                  <w:shd w:val="clear" w:color="auto" w:fill="auto"/>
                  <w:noWrap w:val="0"/>
                  <w:vAlign w:val="center"/>
                </w:tcPr>
                <w:p>
                  <w:pPr>
                    <w:jc w:val="center"/>
                  </w:pPr>
                  <w:r>
                    <w:rPr>
                      <w:rFonts w:ascii="Arial" w:hAnsi="Arial" w:eastAsia="Arial" w:cs="Arial"/>
                      <w:sz w:val="20"/>
                    </w:rPr>
                    <w:t>1.2</w:t>
                  </w:r>
                </w:p>
              </w:tc>
              <w:tc>
                <w:tcPr>
                  <w:tcW w:w="803" w:type="dxa"/>
                  <w:shd w:val="clear" w:color="auto" w:fill="auto"/>
                  <w:noWrap w:val="0"/>
                  <w:vAlign w:val="center"/>
                </w:tcPr>
                <w:p>
                  <w:pPr>
                    <w:jc w:val="center"/>
                  </w:pPr>
                  <w:r>
                    <w:rPr>
                      <w:rFonts w:ascii="Arial" w:hAnsi="Arial" w:eastAsia="Arial" w:cs="Arial"/>
                      <w:sz w:val="20"/>
                    </w:rPr>
                    <w:t>昼间</w:t>
                  </w:r>
                </w:p>
              </w:tc>
              <w:tc>
                <w:tcPr>
                  <w:tcW w:w="1417" w:type="dxa"/>
                  <w:shd w:val="clear" w:color="auto" w:fill="auto"/>
                  <w:noWrap w:val="0"/>
                  <w:vAlign w:val="center"/>
                </w:tcPr>
                <w:p>
                  <w:pPr>
                    <w:jc w:val="center"/>
                  </w:pPr>
                  <w:r>
                    <w:rPr>
                      <w:rFonts w:ascii="Arial" w:hAnsi="Arial" w:eastAsia="Arial" w:cs="Arial"/>
                      <w:sz w:val="20"/>
                    </w:rPr>
                    <w:t>43.3</w:t>
                  </w:r>
                </w:p>
              </w:tc>
              <w:tc>
                <w:tcPr>
                  <w:tcW w:w="1418" w:type="dxa"/>
                  <w:shd w:val="clear" w:color="auto" w:fill="auto"/>
                  <w:noWrap w:val="0"/>
                  <w:vAlign w:val="center"/>
                </w:tcPr>
                <w:p>
                  <w:pPr>
                    <w:jc w:val="center"/>
                  </w:pPr>
                  <w:r>
                    <w:rPr>
                      <w:rFonts w:ascii="Arial" w:hAnsi="Arial" w:eastAsia="Arial" w:cs="Arial"/>
                      <w:sz w:val="20"/>
                    </w:rPr>
                    <w:t>60</w:t>
                  </w:r>
                </w:p>
              </w:tc>
              <w:tc>
                <w:tcPr>
                  <w:tcW w:w="1188" w:type="dxa"/>
                  <w:shd w:val="clear" w:color="auto" w:fill="auto"/>
                  <w:noWrap w:val="0"/>
                  <w:vAlign w:val="center"/>
                </w:tcPr>
                <w:p>
                  <w:pPr>
                    <w:jc w:val="center"/>
                  </w:pPr>
                  <w:r>
                    <w:rPr>
                      <w:rFonts w:ascii="Arial" w:hAnsi="Arial" w:eastAsia="Arial" w:cs="Arial"/>
                      <w:sz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101" w:type="dxa"/>
                  <w:shd w:val="clear" w:color="auto" w:fill="auto"/>
                  <w:noWrap w:val="0"/>
                  <w:vAlign w:val="center"/>
                </w:tcPr>
                <w:p>
                  <w:pPr>
                    <w:jc w:val="center"/>
                  </w:pPr>
                  <w:r>
                    <w:rPr>
                      <w:rFonts w:ascii="Arial" w:hAnsi="Arial" w:eastAsia="Arial" w:cs="Arial"/>
                      <w:sz w:val="20"/>
                    </w:rPr>
                    <w:t>西侧</w:t>
                  </w:r>
                </w:p>
              </w:tc>
              <w:tc>
                <w:tcPr>
                  <w:tcW w:w="803" w:type="dxa"/>
                  <w:shd w:val="clear" w:color="auto" w:fill="auto"/>
                  <w:noWrap w:val="0"/>
                  <w:vAlign w:val="center"/>
                </w:tcPr>
                <w:p>
                  <w:pPr>
                    <w:jc w:val="center"/>
                  </w:pPr>
                  <w:r>
                    <w:rPr>
                      <w:rFonts w:ascii="Arial" w:hAnsi="Arial" w:eastAsia="Arial" w:cs="Arial"/>
                      <w:sz w:val="20"/>
                    </w:rPr>
                    <w:t>-27.9</w:t>
                  </w:r>
                </w:p>
              </w:tc>
              <w:tc>
                <w:tcPr>
                  <w:tcW w:w="803" w:type="dxa"/>
                  <w:shd w:val="clear" w:color="auto" w:fill="auto"/>
                  <w:noWrap w:val="0"/>
                  <w:vAlign w:val="center"/>
                </w:tcPr>
                <w:p>
                  <w:pPr>
                    <w:jc w:val="center"/>
                  </w:pPr>
                  <w:r>
                    <w:rPr>
                      <w:rFonts w:ascii="Arial" w:hAnsi="Arial" w:eastAsia="Arial" w:cs="Arial"/>
                      <w:sz w:val="20"/>
                    </w:rPr>
                    <w:t>4.7</w:t>
                  </w:r>
                </w:p>
              </w:tc>
              <w:tc>
                <w:tcPr>
                  <w:tcW w:w="993" w:type="dxa"/>
                  <w:shd w:val="clear" w:color="auto" w:fill="auto"/>
                  <w:noWrap w:val="0"/>
                  <w:vAlign w:val="center"/>
                </w:tcPr>
                <w:p>
                  <w:pPr>
                    <w:jc w:val="center"/>
                  </w:pPr>
                  <w:r>
                    <w:rPr>
                      <w:rFonts w:ascii="Arial" w:hAnsi="Arial" w:eastAsia="Arial" w:cs="Arial"/>
                      <w:sz w:val="20"/>
                    </w:rPr>
                    <w:t>1.2</w:t>
                  </w:r>
                </w:p>
              </w:tc>
              <w:tc>
                <w:tcPr>
                  <w:tcW w:w="803" w:type="dxa"/>
                  <w:shd w:val="clear" w:color="auto" w:fill="auto"/>
                  <w:noWrap w:val="0"/>
                  <w:vAlign w:val="center"/>
                </w:tcPr>
                <w:p>
                  <w:pPr>
                    <w:jc w:val="center"/>
                  </w:pPr>
                  <w:r>
                    <w:rPr>
                      <w:rFonts w:ascii="Arial" w:hAnsi="Arial" w:eastAsia="Arial" w:cs="Arial"/>
                      <w:sz w:val="20"/>
                    </w:rPr>
                    <w:t>昼间</w:t>
                  </w:r>
                </w:p>
              </w:tc>
              <w:tc>
                <w:tcPr>
                  <w:tcW w:w="1417" w:type="dxa"/>
                  <w:shd w:val="clear" w:color="auto" w:fill="auto"/>
                  <w:noWrap w:val="0"/>
                  <w:vAlign w:val="center"/>
                </w:tcPr>
                <w:p>
                  <w:pPr>
                    <w:jc w:val="center"/>
                  </w:pPr>
                  <w:r>
                    <w:rPr>
                      <w:rFonts w:ascii="Arial" w:hAnsi="Arial" w:eastAsia="Arial" w:cs="Arial"/>
                      <w:sz w:val="20"/>
                    </w:rPr>
                    <w:t>43.3</w:t>
                  </w:r>
                </w:p>
              </w:tc>
              <w:tc>
                <w:tcPr>
                  <w:tcW w:w="1418" w:type="dxa"/>
                  <w:shd w:val="clear" w:color="auto" w:fill="auto"/>
                  <w:noWrap w:val="0"/>
                  <w:vAlign w:val="center"/>
                </w:tcPr>
                <w:p>
                  <w:pPr>
                    <w:jc w:val="center"/>
                  </w:pPr>
                  <w:r>
                    <w:rPr>
                      <w:rFonts w:ascii="Arial" w:hAnsi="Arial" w:eastAsia="Arial" w:cs="Arial"/>
                      <w:sz w:val="20"/>
                    </w:rPr>
                    <w:t>60</w:t>
                  </w:r>
                </w:p>
              </w:tc>
              <w:tc>
                <w:tcPr>
                  <w:tcW w:w="1188" w:type="dxa"/>
                  <w:shd w:val="clear" w:color="auto" w:fill="auto"/>
                  <w:noWrap w:val="0"/>
                  <w:vAlign w:val="center"/>
                </w:tcPr>
                <w:p>
                  <w:pPr>
                    <w:jc w:val="center"/>
                  </w:pPr>
                  <w:r>
                    <w:rPr>
                      <w:rFonts w:ascii="Arial" w:hAnsi="Arial" w:eastAsia="Arial" w:cs="Arial"/>
                      <w:sz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cantSplit/>
                <w:trHeight w:val="340" w:hRule="atLeast"/>
                <w:jc w:val="center"/>
              </w:trPr>
              <w:tc>
                <w:tcPr>
                  <w:tcW w:w="1101" w:type="dxa"/>
                  <w:shd w:val="clear" w:color="auto" w:fill="auto"/>
                  <w:noWrap w:val="0"/>
                  <w:vAlign w:val="center"/>
                </w:tcPr>
                <w:p>
                  <w:pPr>
                    <w:jc w:val="center"/>
                  </w:pPr>
                  <w:r>
                    <w:rPr>
                      <w:rFonts w:ascii="Arial" w:hAnsi="Arial" w:eastAsia="Arial" w:cs="Arial"/>
                      <w:sz w:val="20"/>
                    </w:rPr>
                    <w:t>北侧</w:t>
                  </w:r>
                </w:p>
              </w:tc>
              <w:tc>
                <w:tcPr>
                  <w:tcW w:w="803" w:type="dxa"/>
                  <w:shd w:val="clear" w:color="auto" w:fill="auto"/>
                  <w:noWrap w:val="0"/>
                  <w:vAlign w:val="center"/>
                </w:tcPr>
                <w:p>
                  <w:pPr>
                    <w:jc w:val="center"/>
                  </w:pPr>
                  <w:r>
                    <w:rPr>
                      <w:rFonts w:ascii="Arial" w:hAnsi="Arial" w:eastAsia="Arial" w:cs="Arial"/>
                      <w:sz w:val="20"/>
                    </w:rPr>
                    <w:t>-2.1</w:t>
                  </w:r>
                </w:p>
              </w:tc>
              <w:tc>
                <w:tcPr>
                  <w:tcW w:w="803" w:type="dxa"/>
                  <w:shd w:val="clear" w:color="auto" w:fill="auto"/>
                  <w:noWrap w:val="0"/>
                  <w:vAlign w:val="center"/>
                </w:tcPr>
                <w:p>
                  <w:pPr>
                    <w:jc w:val="center"/>
                  </w:pPr>
                  <w:r>
                    <w:rPr>
                      <w:rFonts w:ascii="Arial" w:hAnsi="Arial" w:eastAsia="Arial" w:cs="Arial"/>
                      <w:sz w:val="20"/>
                    </w:rPr>
                    <w:t>19.2</w:t>
                  </w:r>
                </w:p>
              </w:tc>
              <w:tc>
                <w:tcPr>
                  <w:tcW w:w="993" w:type="dxa"/>
                  <w:shd w:val="clear" w:color="auto" w:fill="auto"/>
                  <w:noWrap w:val="0"/>
                  <w:vAlign w:val="center"/>
                </w:tcPr>
                <w:p>
                  <w:pPr>
                    <w:jc w:val="center"/>
                  </w:pPr>
                  <w:r>
                    <w:rPr>
                      <w:rFonts w:ascii="Arial" w:hAnsi="Arial" w:eastAsia="Arial" w:cs="Arial"/>
                      <w:sz w:val="20"/>
                    </w:rPr>
                    <w:t>1.2</w:t>
                  </w:r>
                </w:p>
              </w:tc>
              <w:tc>
                <w:tcPr>
                  <w:tcW w:w="803" w:type="dxa"/>
                  <w:shd w:val="clear" w:color="auto" w:fill="auto"/>
                  <w:noWrap w:val="0"/>
                  <w:vAlign w:val="center"/>
                </w:tcPr>
                <w:p>
                  <w:pPr>
                    <w:jc w:val="center"/>
                  </w:pPr>
                  <w:r>
                    <w:rPr>
                      <w:rFonts w:ascii="Arial" w:hAnsi="Arial" w:eastAsia="Arial" w:cs="Arial"/>
                      <w:sz w:val="20"/>
                    </w:rPr>
                    <w:t>昼间</w:t>
                  </w:r>
                </w:p>
              </w:tc>
              <w:tc>
                <w:tcPr>
                  <w:tcW w:w="1417" w:type="dxa"/>
                  <w:shd w:val="clear" w:color="auto" w:fill="auto"/>
                  <w:noWrap w:val="0"/>
                  <w:vAlign w:val="center"/>
                </w:tcPr>
                <w:p>
                  <w:pPr>
                    <w:jc w:val="center"/>
                  </w:pPr>
                  <w:r>
                    <w:rPr>
                      <w:rFonts w:ascii="Arial" w:hAnsi="Arial" w:eastAsia="Arial" w:cs="Arial"/>
                      <w:sz w:val="20"/>
                    </w:rPr>
                    <w:t>48.9</w:t>
                  </w:r>
                </w:p>
              </w:tc>
              <w:tc>
                <w:tcPr>
                  <w:tcW w:w="1418" w:type="dxa"/>
                  <w:shd w:val="clear" w:color="auto" w:fill="auto"/>
                  <w:noWrap w:val="0"/>
                  <w:vAlign w:val="center"/>
                </w:tcPr>
                <w:p>
                  <w:pPr>
                    <w:jc w:val="center"/>
                  </w:pPr>
                  <w:r>
                    <w:rPr>
                      <w:rFonts w:ascii="Arial" w:hAnsi="Arial" w:eastAsia="Arial" w:cs="Arial"/>
                      <w:sz w:val="20"/>
                    </w:rPr>
                    <w:t>60</w:t>
                  </w:r>
                </w:p>
              </w:tc>
              <w:tc>
                <w:tcPr>
                  <w:tcW w:w="1188" w:type="dxa"/>
                  <w:shd w:val="clear" w:color="auto" w:fill="auto"/>
                  <w:noWrap w:val="0"/>
                  <w:vAlign w:val="center"/>
                </w:tcPr>
                <w:p>
                  <w:pPr>
                    <w:jc w:val="center"/>
                  </w:pPr>
                  <w:r>
                    <w:rPr>
                      <w:rFonts w:ascii="Arial" w:hAnsi="Arial" w:eastAsia="Arial" w:cs="Arial"/>
                      <w:sz w:val="20"/>
                    </w:rPr>
                    <w:t>达标</w:t>
                  </w:r>
                </w:p>
              </w:tc>
            </w:tr>
          </w:tbl>
          <w:p>
            <w:pPr>
              <w:keepNext w:val="0"/>
              <w:keepLines w:val="0"/>
              <w:pageBreakBefore w:val="0"/>
              <w:widowControl w:val="0"/>
              <w:tabs>
                <w:tab w:val="left" w:pos="7275"/>
              </w:tabs>
              <w:kinsoku/>
              <w:wordWrap/>
              <w:overflowPunct/>
              <w:topLinePunct w:val="0"/>
              <w:autoSpaceDE/>
              <w:autoSpaceDN/>
              <w:bidi w:val="0"/>
              <w:adjustRightInd/>
              <w:snapToGrid/>
              <w:spacing w:line="360" w:lineRule="auto"/>
              <w:ind w:firstLine="420" w:firstLineChars="200"/>
              <w:jc w:val="left"/>
              <w:textAlignment w:val="auto"/>
              <w:rPr>
                <w:rFonts w:hint="eastAsia" w:ascii="Times New Roman" w:hAnsi="Times New Roman" w:eastAsia="宋体" w:cs="Times New Roman"/>
                <w:b/>
                <w:bCs w:val="0"/>
                <w:sz w:val="21"/>
                <w:szCs w:val="21"/>
                <w:lang w:eastAsia="zh-CN"/>
              </w:rPr>
            </w:pPr>
            <w:r>
              <w:rPr>
                <w:rFonts w:hint="eastAsia" w:ascii="Times New Roman" w:hAnsi="Times New Roman" w:eastAsia="宋体" w:cs="Times New Roman"/>
                <w:b w:val="0"/>
                <w:bCs/>
                <w:sz w:val="21"/>
                <w:szCs w:val="21"/>
                <w:lang w:val="en-US" w:eastAsia="zh-CN"/>
              </w:rPr>
              <w:t>备注：</w:t>
            </w:r>
            <w:r>
              <w:rPr>
                <w:rFonts w:hint="default" w:ascii="Times New Roman" w:hAnsi="Times New Roman" w:eastAsia="宋体" w:cs="Times New Roman"/>
                <w:b w:val="0"/>
                <w:bCs/>
                <w:sz w:val="21"/>
                <w:szCs w:val="21"/>
                <w:lang w:val="en-US" w:eastAsia="zh-CN"/>
              </w:rPr>
              <w:t>表中坐标以厂界中心（112.584892,33.139473）为坐标原点，正东向为X轴正方向，正北向为Y轴正方向</w:t>
            </w:r>
            <w:r>
              <w:rPr>
                <w:rFonts w:hint="eastAsia" w:cs="Times New Roman"/>
                <w:b w:val="0"/>
                <w:bCs/>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rPr>
                <w:rFonts w:hint="eastAsia" w:hAnsi="宋体"/>
                <w:bCs/>
                <w:sz w:val="24"/>
              </w:rPr>
            </w:pPr>
            <w:r>
              <w:rPr>
                <w:rFonts w:hint="eastAsia" w:hAnsi="宋体"/>
                <w:bCs/>
                <w:sz w:val="24"/>
              </w:rPr>
              <w:t>项目夜间不进行生产，由上表可知，项目选用低噪设备、车间隔声、设备减振，加强设备维护保养，再经过距离衰减，对厂界四周影响较小，</w:t>
            </w:r>
            <w:r>
              <w:rPr>
                <w:rFonts w:hint="eastAsia" w:hAnsi="宋体"/>
                <w:bCs/>
                <w:sz w:val="24"/>
                <w:lang w:eastAsia="zh-CN"/>
              </w:rPr>
              <w:t>四周厂界</w:t>
            </w:r>
            <w:r>
              <w:rPr>
                <w:rFonts w:hint="eastAsia" w:hAnsi="宋体"/>
                <w:bCs/>
                <w:sz w:val="24"/>
              </w:rPr>
              <w:t>能够达到《工业企业厂界环境噪声排放标准》（GB12348-2008）中2类区昼间标准要求。</w:t>
            </w:r>
          </w:p>
          <w:p>
            <w:pPr>
              <w:pStyle w:val="61"/>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w:t>
            </w:r>
            <w:r>
              <w:rPr>
                <w:rFonts w:hint="eastAsia" w:ascii="Times New Roman" w:hAnsi="Times New Roman" w:eastAsia="宋体" w:cs="Times New Roman"/>
                <w:b/>
                <w:bCs/>
                <w:lang w:val="en-US" w:eastAsia="zh-CN"/>
              </w:rPr>
              <w:t>4、项目噪声监测计划</w:t>
            </w:r>
          </w:p>
          <w:p>
            <w:pPr>
              <w:pStyle w:val="20"/>
              <w:keepNext w:val="0"/>
              <w:keepLines w:val="0"/>
              <w:pageBreakBefore w:val="0"/>
              <w:widowControl w:val="0"/>
              <w:kinsoku/>
              <w:wordWrap w:val="0"/>
              <w:overflowPunct/>
              <w:topLinePunct w:val="0"/>
              <w:autoSpaceDE/>
              <w:autoSpaceDN/>
              <w:bidi w:val="0"/>
              <w:adjustRightInd/>
              <w:snapToGrid/>
              <w:spacing w:line="520" w:lineRule="exact"/>
              <w:ind w:left="0" w:firstLine="480" w:firstLineChars="200"/>
              <w:textAlignment w:val="auto"/>
              <w:rPr>
                <w:b/>
                <w:sz w:val="24"/>
                <w:szCs w:val="24"/>
              </w:rPr>
            </w:pPr>
            <w:r>
              <w:rPr>
                <w:sz w:val="24"/>
              </w:rPr>
              <w:t>项目噪声监测计划见下表。</w:t>
            </w:r>
          </w:p>
          <w:p>
            <w:pPr>
              <w:pStyle w:val="6"/>
              <w:spacing w:before="156" w:after="156"/>
              <w:jc w:val="center"/>
              <w:rPr>
                <w:rFonts w:ascii="Times New Roman" w:hAnsi="Times New Roman" w:cs="Times New Roman"/>
                <w:b/>
                <w:bCs/>
                <w:color w:val="000000"/>
                <w:sz w:val="24"/>
                <w:szCs w:val="24"/>
                <w:lang w:eastAsia="zh-CN"/>
              </w:rPr>
            </w:pPr>
            <w:r>
              <w:rPr>
                <w:rFonts w:ascii="Times New Roman" w:hAnsi="Times New Roman" w:cs="Times New Roman"/>
                <w:b/>
                <w:bCs/>
                <w:color w:val="000000"/>
                <w:sz w:val="24"/>
                <w:szCs w:val="24"/>
                <w:lang w:eastAsia="zh-CN"/>
              </w:rPr>
              <w:t>表4-</w:t>
            </w:r>
            <w:r>
              <w:rPr>
                <w:rFonts w:hint="eastAsia" w:ascii="Times New Roman" w:hAnsi="Times New Roman" w:cs="Times New Roman"/>
                <w:b/>
                <w:bCs/>
                <w:color w:val="000000"/>
                <w:sz w:val="24"/>
                <w:szCs w:val="24"/>
                <w:lang w:val="en-US" w:eastAsia="zh-CN"/>
              </w:rPr>
              <w:t xml:space="preserve">10  </w:t>
            </w:r>
            <w:r>
              <w:rPr>
                <w:rFonts w:hint="eastAsia" w:ascii="Times New Roman" w:hAnsi="Times New Roman" w:cs="Times New Roman"/>
                <w:b/>
                <w:bCs/>
                <w:color w:val="000000"/>
                <w:sz w:val="24"/>
                <w:szCs w:val="24"/>
                <w:lang w:eastAsia="zh-CN"/>
              </w:rPr>
              <w:t>噪声</w:t>
            </w:r>
            <w:r>
              <w:rPr>
                <w:rFonts w:ascii="Times New Roman" w:hAnsi="Times New Roman" w:cs="Times New Roman"/>
                <w:b/>
                <w:bCs/>
                <w:color w:val="000000"/>
                <w:sz w:val="24"/>
                <w:szCs w:val="24"/>
                <w:lang w:eastAsia="zh-CN"/>
              </w:rPr>
              <w:t>自行监测要求一览表</w:t>
            </w:r>
          </w:p>
          <w:tbl>
            <w:tblPr>
              <w:tblStyle w:val="26"/>
              <w:tblW w:w="841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59"/>
              <w:gridCol w:w="1725"/>
              <w:gridCol w:w="1391"/>
              <w:gridCol w:w="3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Header/>
                <w:jc w:val="center"/>
              </w:trPr>
              <w:tc>
                <w:tcPr>
                  <w:tcW w:w="2059" w:type="dxa"/>
                  <w:tcBorders>
                    <w:tl2br w:val="nil"/>
                    <w:tr2bl w:val="nil"/>
                  </w:tcBorders>
                  <w:noWrap w:val="0"/>
                  <w:vAlign w:val="center"/>
                </w:tcPr>
                <w:p>
                  <w:pPr>
                    <w:spacing w:line="240" w:lineRule="auto"/>
                    <w:jc w:val="center"/>
                    <w:rPr>
                      <w:rFonts w:ascii="Times New Roman" w:hAnsi="Times New Roman" w:cs="Times New Roman"/>
                      <w:b/>
                      <w:bCs/>
                      <w:sz w:val="21"/>
                      <w:szCs w:val="21"/>
                      <w:lang w:eastAsia="zh-CN"/>
                    </w:rPr>
                  </w:pPr>
                  <w:r>
                    <w:rPr>
                      <w:rFonts w:ascii="Times New Roman" w:hAnsi="Times New Roman" w:cs="Times New Roman"/>
                      <w:b/>
                      <w:bCs/>
                      <w:sz w:val="21"/>
                      <w:szCs w:val="21"/>
                      <w:lang w:eastAsia="zh-CN"/>
                    </w:rPr>
                    <w:t>监测点位</w:t>
                  </w:r>
                </w:p>
              </w:tc>
              <w:tc>
                <w:tcPr>
                  <w:tcW w:w="1725" w:type="dxa"/>
                  <w:tcBorders>
                    <w:tl2br w:val="nil"/>
                    <w:tr2bl w:val="nil"/>
                  </w:tcBorders>
                  <w:noWrap w:val="0"/>
                  <w:vAlign w:val="center"/>
                </w:tcPr>
                <w:p>
                  <w:pPr>
                    <w:spacing w:line="240" w:lineRule="auto"/>
                    <w:jc w:val="center"/>
                    <w:rPr>
                      <w:rFonts w:ascii="Times New Roman" w:hAnsi="Times New Roman" w:cs="Times New Roman"/>
                      <w:b/>
                      <w:bCs/>
                      <w:sz w:val="21"/>
                      <w:szCs w:val="21"/>
                      <w:lang w:eastAsia="zh-CN"/>
                    </w:rPr>
                  </w:pPr>
                  <w:r>
                    <w:rPr>
                      <w:rFonts w:ascii="Times New Roman" w:hAnsi="Times New Roman" w:cs="Times New Roman"/>
                      <w:b/>
                      <w:bCs/>
                      <w:sz w:val="21"/>
                      <w:szCs w:val="21"/>
                    </w:rPr>
                    <w:t>监测</w:t>
                  </w:r>
                  <w:r>
                    <w:rPr>
                      <w:rFonts w:ascii="Times New Roman" w:hAnsi="Times New Roman" w:cs="Times New Roman"/>
                      <w:b/>
                      <w:bCs/>
                      <w:sz w:val="21"/>
                      <w:szCs w:val="21"/>
                      <w:lang w:eastAsia="zh-CN"/>
                    </w:rPr>
                    <w:t>指标</w:t>
                  </w:r>
                </w:p>
              </w:tc>
              <w:tc>
                <w:tcPr>
                  <w:tcW w:w="1391" w:type="dxa"/>
                  <w:tcBorders>
                    <w:tl2br w:val="nil"/>
                    <w:tr2bl w:val="nil"/>
                  </w:tcBorders>
                  <w:noWrap w:val="0"/>
                  <w:vAlign w:val="center"/>
                </w:tcPr>
                <w:p>
                  <w:pPr>
                    <w:spacing w:line="240" w:lineRule="auto"/>
                    <w:jc w:val="center"/>
                    <w:rPr>
                      <w:rFonts w:ascii="Times New Roman" w:hAnsi="Times New Roman" w:cs="Times New Roman"/>
                      <w:b/>
                      <w:bCs/>
                      <w:sz w:val="21"/>
                      <w:szCs w:val="21"/>
                    </w:rPr>
                  </w:pPr>
                  <w:r>
                    <w:rPr>
                      <w:rFonts w:ascii="Times New Roman" w:hAnsi="Times New Roman" w:cs="Times New Roman"/>
                      <w:b/>
                      <w:bCs/>
                      <w:sz w:val="21"/>
                      <w:szCs w:val="21"/>
                    </w:rPr>
                    <w:t>监测频次</w:t>
                  </w:r>
                </w:p>
              </w:tc>
              <w:tc>
                <w:tcPr>
                  <w:tcW w:w="3243" w:type="dxa"/>
                  <w:tcBorders>
                    <w:tl2br w:val="nil"/>
                    <w:tr2bl w:val="nil"/>
                  </w:tcBorders>
                  <w:noWrap w:val="0"/>
                  <w:vAlign w:val="center"/>
                </w:tcPr>
                <w:p>
                  <w:pPr>
                    <w:spacing w:line="240" w:lineRule="auto"/>
                    <w:jc w:val="center"/>
                    <w:rPr>
                      <w:rFonts w:hint="default" w:ascii="Times New Roman" w:hAnsi="Times New Roman" w:cs="Times New Roman"/>
                      <w:b/>
                      <w:bCs/>
                      <w:sz w:val="21"/>
                      <w:szCs w:val="21"/>
                      <w:lang w:val="en-US" w:eastAsia="zh-CN"/>
                    </w:rPr>
                  </w:pPr>
                  <w:r>
                    <w:rPr>
                      <w:rFonts w:hint="eastAsia" w:cs="Times New Roman"/>
                      <w:b/>
                      <w:bCs/>
                      <w:sz w:val="21"/>
                      <w:szCs w:val="21"/>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2059" w:type="dxa"/>
                  <w:tcBorders>
                    <w:tl2br w:val="nil"/>
                    <w:tr2bl w:val="nil"/>
                  </w:tcBorders>
                  <w:noWrap w:val="0"/>
                  <w:vAlign w:val="center"/>
                </w:tcPr>
                <w:p>
                  <w:pPr>
                    <w:autoSpaceDE/>
                    <w:autoSpaceDN/>
                    <w:spacing w:line="240" w:lineRule="auto"/>
                    <w:jc w:val="center"/>
                    <w:rPr>
                      <w:rFonts w:ascii="Times New Roman" w:hAnsi="Times New Roman" w:cs="Times New Roman"/>
                      <w:kern w:val="2"/>
                      <w:sz w:val="30"/>
                      <w:szCs w:val="21"/>
                      <w:lang w:eastAsia="zh-CN"/>
                    </w:rPr>
                  </w:pPr>
                  <w:r>
                    <w:rPr>
                      <w:rFonts w:ascii="Times New Roman" w:hAnsi="Times New Roman" w:cs="Times New Roman"/>
                      <w:kern w:val="2"/>
                      <w:sz w:val="21"/>
                      <w:szCs w:val="21"/>
                      <w:lang w:eastAsia="zh-CN"/>
                    </w:rPr>
                    <w:t>厂界四周外1m处</w:t>
                  </w:r>
                </w:p>
              </w:tc>
              <w:tc>
                <w:tcPr>
                  <w:tcW w:w="1725" w:type="dxa"/>
                  <w:tcBorders>
                    <w:tl2br w:val="nil"/>
                    <w:tr2bl w:val="nil"/>
                  </w:tcBorders>
                  <w:noWrap w:val="0"/>
                  <w:vAlign w:val="center"/>
                </w:tcPr>
                <w:p>
                  <w:pPr>
                    <w:autoSpaceDE/>
                    <w:autoSpaceDN/>
                    <w:spacing w:line="240" w:lineRule="auto"/>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等效连续A声级</w:t>
                  </w:r>
                  <w:r>
                    <w:rPr>
                      <w:rFonts w:hint="eastAsia" w:ascii="Times New Roman" w:hAnsi="Times New Roman" w:cs="Times New Roman"/>
                      <w:sz w:val="21"/>
                      <w:szCs w:val="21"/>
                      <w:lang w:eastAsia="zh-CN"/>
                    </w:rPr>
                    <w:t>（昼间）</w:t>
                  </w:r>
                </w:p>
              </w:tc>
              <w:tc>
                <w:tcPr>
                  <w:tcW w:w="1391" w:type="dxa"/>
                  <w:tcBorders>
                    <w:tl2br w:val="nil"/>
                    <w:tr2bl w:val="nil"/>
                  </w:tcBorders>
                  <w:noWrap w:val="0"/>
                  <w:vAlign w:val="center"/>
                </w:tcPr>
                <w:p>
                  <w:pPr>
                    <w:autoSpaceDE/>
                    <w:autoSpaceDN/>
                    <w:spacing w:line="240" w:lineRule="auto"/>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1次/季度</w:t>
                  </w:r>
                </w:p>
              </w:tc>
              <w:tc>
                <w:tcPr>
                  <w:tcW w:w="3243" w:type="dxa"/>
                  <w:tcBorders>
                    <w:tl2br w:val="nil"/>
                    <w:tr2bl w:val="nil"/>
                  </w:tcBorders>
                  <w:noWrap w:val="0"/>
                  <w:vAlign w:val="center"/>
                </w:tcPr>
                <w:p>
                  <w:pPr>
                    <w:autoSpaceDE/>
                    <w:autoSpaceDN/>
                    <w:spacing w:line="240" w:lineRule="auto"/>
                    <w:jc w:val="center"/>
                    <w:rPr>
                      <w:rFonts w:ascii="Times New Roman" w:hAnsi="Times New Roman" w:cs="Times New Roman"/>
                      <w:kern w:val="2"/>
                      <w:sz w:val="21"/>
                      <w:szCs w:val="21"/>
                      <w:lang w:eastAsia="zh-CN"/>
                    </w:rPr>
                  </w:pPr>
                  <w:r>
                    <w:rPr>
                      <w:rFonts w:hint="eastAsia" w:ascii="Times New Roman" w:hAnsi="Times New Roman" w:cs="Times New Roman"/>
                      <w:sz w:val="21"/>
                      <w:szCs w:val="21"/>
                      <w:lang w:eastAsia="zh-CN"/>
                    </w:rPr>
                    <w:t>《工业企业厂界环境噪声排放标准》（GB12348-2008）中2类</w:t>
                  </w:r>
                </w:p>
              </w:tc>
            </w:tr>
          </w:tbl>
          <w:p>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default" w:hAnsi="宋体"/>
                <w:bCs/>
                <w:color w:val="auto"/>
                <w:sz w:val="24"/>
                <w:lang w:val="en-US" w:eastAsia="zh-CN"/>
              </w:rPr>
            </w:pPr>
            <w:r>
              <w:rPr>
                <w:rFonts w:hint="eastAsia" w:hAnsi="宋体"/>
                <w:b/>
                <w:bCs w:val="0"/>
                <w:sz w:val="24"/>
                <w:lang w:val="en-US" w:eastAsia="zh-CN"/>
              </w:rPr>
              <w:t>4、运营期固废污染影响和保护措施</w:t>
            </w:r>
          </w:p>
          <w:p>
            <w:pPr>
              <w:keepNext w:val="0"/>
              <w:keepLines w:val="0"/>
              <w:pageBreakBefore w:val="0"/>
              <w:widowControl w:val="0"/>
              <w:kinsoku/>
              <w:wordWrap/>
              <w:overflowPunct/>
              <w:topLinePunct w:val="0"/>
              <w:autoSpaceDE/>
              <w:autoSpaceDN/>
              <w:bidi w:val="0"/>
              <w:spacing w:line="520" w:lineRule="exact"/>
              <w:jc w:val="left"/>
              <w:textAlignment w:val="auto"/>
              <w:rPr>
                <w:rFonts w:hint="eastAsia" w:hAnsi="宋体"/>
                <w:b/>
                <w:bCs w:val="0"/>
                <w:sz w:val="24"/>
                <w:u w:val="none"/>
                <w:lang w:eastAsia="zh-CN"/>
              </w:rPr>
            </w:pPr>
            <w:r>
              <w:rPr>
                <w:rFonts w:hint="eastAsia" w:hAnsi="宋体"/>
                <w:b/>
                <w:bCs w:val="0"/>
                <w:sz w:val="24"/>
                <w:u w:val="none"/>
                <w:lang w:val="en-US" w:eastAsia="zh-CN"/>
              </w:rPr>
              <w:t>4.1、</w:t>
            </w:r>
            <w:r>
              <w:rPr>
                <w:rFonts w:hint="eastAsia" w:hAnsi="宋体"/>
                <w:b/>
                <w:bCs w:val="0"/>
                <w:sz w:val="24"/>
                <w:u w:val="none"/>
                <w:lang w:eastAsia="zh-CN"/>
              </w:rPr>
              <w:t>固体废物污染源分析</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hAnsi="宋体"/>
                <w:bCs/>
                <w:sz w:val="24"/>
                <w:u w:val="none"/>
                <w:lang w:eastAsia="zh-CN"/>
              </w:rPr>
            </w:pPr>
            <w:r>
              <w:rPr>
                <w:rFonts w:hint="default" w:hAnsi="宋体"/>
                <w:bCs/>
                <w:sz w:val="24"/>
                <w:u w:val="none"/>
                <w:lang w:eastAsia="zh-CN"/>
              </w:rPr>
              <w:t>本项目营运期固体废物主要为分切过程产生的废边角料、废包装材料、生活垃圾、化粪池污泥、废活性炭等</w:t>
            </w:r>
            <w:r>
              <w:rPr>
                <w:rFonts w:hint="eastAsia" w:hAnsi="宋体"/>
                <w:bCs/>
                <w:sz w:val="24"/>
                <w:u w:val="none"/>
                <w:lang w:eastAsia="zh-CN"/>
              </w:rPr>
              <w:t>。</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eastAsia" w:hAnsi="宋体"/>
                <w:bCs/>
                <w:sz w:val="24"/>
                <w:u w:val="none"/>
                <w:lang w:val="en-US" w:eastAsia="zh-CN"/>
              </w:rPr>
            </w:pPr>
            <w:r>
              <w:rPr>
                <w:rFonts w:hint="eastAsia" w:hAnsi="宋体"/>
                <w:bCs/>
                <w:sz w:val="24"/>
                <w:u w:val="none"/>
                <w:lang w:val="en-US" w:eastAsia="zh-CN"/>
              </w:rPr>
              <w:t>（1）废边角料</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eastAsia" w:hAnsi="宋体"/>
                <w:bCs/>
                <w:sz w:val="24"/>
                <w:u w:val="none"/>
                <w:lang w:val="en-US" w:eastAsia="zh-CN"/>
              </w:rPr>
            </w:pPr>
            <w:r>
              <w:rPr>
                <w:rFonts w:hint="eastAsia" w:hAnsi="宋体"/>
                <w:bCs/>
                <w:sz w:val="24"/>
                <w:u w:val="none"/>
                <w:lang w:val="en-US" w:eastAsia="zh-CN"/>
              </w:rPr>
              <w:t>项目在烘干后进行分切，会产生废边角料，根据企业提供，废边角料产生量约为0.45t/a，</w:t>
            </w:r>
            <w:r>
              <w:rPr>
                <w:rFonts w:hint="default" w:ascii="Times New Roman" w:hAnsi="Times New Roman" w:eastAsia="宋体" w:cs="Times New Roman"/>
                <w:b w:val="0"/>
                <w:bCs w:val="0"/>
                <w:color w:val="auto"/>
                <w:sz w:val="24"/>
                <w:szCs w:val="24"/>
                <w:u w:val="none"/>
              </w:rPr>
              <w:t>根据《一般固体废物分类与代码》（GB/T39198-2020）和《固体废物分类与代码目录》（公告2024年第4号），代码为“</w:t>
            </w:r>
            <w:r>
              <w:rPr>
                <w:rFonts w:hint="default" w:ascii="Times New Roman" w:hAnsi="Times New Roman" w:eastAsia="宋体" w:cs="Times New Roman"/>
                <w:b w:val="0"/>
                <w:bCs w:val="0"/>
                <w:color w:val="auto"/>
                <w:sz w:val="24"/>
                <w:szCs w:val="24"/>
                <w:u w:val="none"/>
                <w:lang w:val="en-US" w:eastAsia="zh-CN"/>
              </w:rPr>
              <w:t>900</w:t>
            </w:r>
            <w:r>
              <w:rPr>
                <w:rFonts w:hint="default" w:ascii="Times New Roman" w:hAnsi="Times New Roman" w:eastAsia="宋体" w:cs="Times New Roman"/>
                <w:b w:val="0"/>
                <w:bCs w:val="0"/>
                <w:color w:val="auto"/>
                <w:sz w:val="24"/>
                <w:szCs w:val="24"/>
                <w:u w:val="none"/>
              </w:rPr>
              <w:t>-</w:t>
            </w:r>
            <w:r>
              <w:rPr>
                <w:rFonts w:hint="default" w:ascii="Times New Roman" w:hAnsi="Times New Roman" w:eastAsia="宋体" w:cs="Times New Roman"/>
                <w:b w:val="0"/>
                <w:bCs w:val="0"/>
                <w:color w:val="auto"/>
                <w:sz w:val="24"/>
                <w:szCs w:val="24"/>
                <w:u w:val="none"/>
                <w:lang w:val="en-US" w:eastAsia="zh-CN"/>
              </w:rPr>
              <w:t>099</w:t>
            </w:r>
            <w:r>
              <w:rPr>
                <w:rFonts w:hint="default" w:ascii="Times New Roman" w:hAnsi="Times New Roman" w:eastAsia="宋体" w:cs="Times New Roman"/>
                <w:b w:val="0"/>
                <w:bCs w:val="0"/>
                <w:color w:val="auto"/>
                <w:sz w:val="24"/>
                <w:szCs w:val="24"/>
                <w:u w:val="none"/>
              </w:rPr>
              <w:t>-</w:t>
            </w:r>
            <w:r>
              <w:rPr>
                <w:rFonts w:hint="default" w:ascii="Times New Roman" w:hAnsi="Times New Roman" w:eastAsia="宋体" w:cs="Times New Roman"/>
                <w:b w:val="0"/>
                <w:bCs w:val="0"/>
                <w:color w:val="auto"/>
                <w:sz w:val="24"/>
                <w:szCs w:val="24"/>
                <w:u w:val="none"/>
                <w:lang w:val="en-US" w:eastAsia="zh-CN"/>
              </w:rPr>
              <w:t>S07</w:t>
            </w:r>
            <w:r>
              <w:rPr>
                <w:rFonts w:hint="default" w:ascii="Times New Roman" w:hAnsi="Times New Roman" w:eastAsia="宋体" w:cs="Times New Roman"/>
                <w:b w:val="0"/>
                <w:bCs w:val="0"/>
                <w:color w:val="auto"/>
                <w:sz w:val="24"/>
                <w:szCs w:val="24"/>
                <w:u w:val="none"/>
              </w:rPr>
              <w:t>”</w:t>
            </w:r>
            <w:r>
              <w:rPr>
                <w:rFonts w:hint="eastAsia" w:cs="Times New Roman"/>
                <w:b w:val="0"/>
                <w:bCs w:val="0"/>
                <w:color w:val="auto"/>
                <w:sz w:val="24"/>
                <w:szCs w:val="24"/>
                <w:u w:val="none"/>
                <w:lang w:eastAsia="zh-CN"/>
              </w:rPr>
              <w:t>，</w:t>
            </w:r>
            <w:r>
              <w:rPr>
                <w:rFonts w:hint="eastAsia" w:hAnsi="宋体"/>
                <w:bCs/>
                <w:sz w:val="24"/>
                <w:u w:val="none"/>
                <w:lang w:val="en-US" w:eastAsia="zh-CN"/>
              </w:rPr>
              <w:t>废边角料</w:t>
            </w:r>
            <w:r>
              <w:rPr>
                <w:rFonts w:hint="eastAsia" w:hAnsi="宋体"/>
                <w:bCs/>
                <w:sz w:val="24"/>
                <w:u w:val="none"/>
                <w:lang w:eastAsia="zh-CN"/>
              </w:rPr>
              <w:t>暂存于固废暂存间，</w:t>
            </w:r>
            <w:r>
              <w:rPr>
                <w:rFonts w:hint="eastAsia" w:hAnsi="宋体"/>
                <w:bCs/>
                <w:sz w:val="24"/>
                <w:u w:val="none"/>
                <w:lang w:val="en-US" w:eastAsia="zh-CN"/>
              </w:rPr>
              <w:t>收集后外售给废品收购站</w:t>
            </w:r>
            <w:r>
              <w:rPr>
                <w:rFonts w:hint="eastAsia" w:hAnsi="宋体"/>
                <w:bCs/>
                <w:sz w:val="24"/>
                <w:u w:val="none"/>
                <w:lang w:eastAsia="zh-CN"/>
              </w:rPr>
              <w:t>。</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eastAsia" w:hAnsi="宋体"/>
                <w:bCs/>
                <w:sz w:val="24"/>
                <w:u w:val="none"/>
                <w:lang w:eastAsia="zh-CN"/>
              </w:rPr>
            </w:pPr>
            <w:r>
              <w:rPr>
                <w:rFonts w:hint="eastAsia" w:hAnsi="宋体"/>
                <w:bCs/>
                <w:sz w:val="24"/>
                <w:u w:val="none"/>
                <w:lang w:eastAsia="zh-CN"/>
              </w:rPr>
              <w:t>（</w:t>
            </w:r>
            <w:r>
              <w:rPr>
                <w:rFonts w:hint="eastAsia" w:hAnsi="宋体"/>
                <w:bCs/>
                <w:sz w:val="24"/>
                <w:u w:val="none"/>
                <w:lang w:val="en-US" w:eastAsia="zh-CN"/>
              </w:rPr>
              <w:t>2</w:t>
            </w:r>
            <w:r>
              <w:rPr>
                <w:rFonts w:hint="eastAsia" w:hAnsi="宋体"/>
                <w:bCs/>
                <w:sz w:val="24"/>
                <w:u w:val="none"/>
                <w:lang w:eastAsia="zh-CN"/>
              </w:rPr>
              <w:t>）废包装材料</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hAnsi="宋体"/>
                <w:bCs/>
                <w:sz w:val="24"/>
                <w:u w:val="none"/>
                <w:lang w:val="en-US" w:eastAsia="zh-CN"/>
              </w:rPr>
            </w:pPr>
            <w:r>
              <w:rPr>
                <w:rFonts w:hint="eastAsia" w:hAnsi="宋体"/>
                <w:bCs/>
                <w:sz w:val="24"/>
                <w:u w:val="none"/>
                <w:lang w:eastAsia="zh-CN"/>
              </w:rPr>
              <w:t>项目生产过程中会产生废包装物，主要为原料包装袋，成品包装过程产生的破损包装袋，废包装材料产生量约为</w:t>
            </w:r>
            <w:r>
              <w:rPr>
                <w:rFonts w:hint="eastAsia" w:hAnsi="宋体"/>
                <w:bCs/>
                <w:sz w:val="24"/>
                <w:u w:val="none"/>
                <w:lang w:val="en-US" w:eastAsia="zh-CN"/>
              </w:rPr>
              <w:t>0.32t/a，</w:t>
            </w:r>
            <w:r>
              <w:rPr>
                <w:rFonts w:hint="default" w:ascii="Times New Roman" w:hAnsi="Times New Roman" w:eastAsia="宋体" w:cs="Times New Roman"/>
                <w:b w:val="0"/>
                <w:bCs w:val="0"/>
                <w:color w:val="auto"/>
                <w:sz w:val="24"/>
                <w:szCs w:val="24"/>
                <w:u w:val="none"/>
              </w:rPr>
              <w:t>根据《一般固体废物分类与代码》（GB/T39198-2020）和《固体废物分类与代码目录》（公告2024年第4号），代码为“</w:t>
            </w:r>
            <w:r>
              <w:rPr>
                <w:rFonts w:hint="default" w:ascii="Times New Roman" w:hAnsi="Times New Roman" w:eastAsia="宋体" w:cs="Times New Roman"/>
                <w:b w:val="0"/>
                <w:bCs w:val="0"/>
                <w:color w:val="auto"/>
                <w:sz w:val="24"/>
                <w:szCs w:val="24"/>
                <w:u w:val="none"/>
                <w:lang w:val="en-US" w:eastAsia="zh-CN"/>
              </w:rPr>
              <w:t>900-003-S17</w:t>
            </w:r>
            <w:r>
              <w:rPr>
                <w:rFonts w:hint="default" w:ascii="Times New Roman" w:hAnsi="Times New Roman" w:eastAsia="宋体" w:cs="Times New Roman"/>
                <w:b w:val="0"/>
                <w:bCs w:val="0"/>
                <w:color w:val="auto"/>
                <w:sz w:val="24"/>
                <w:szCs w:val="24"/>
                <w:u w:val="none"/>
              </w:rPr>
              <w:t>”</w:t>
            </w:r>
            <w:r>
              <w:rPr>
                <w:rFonts w:hint="eastAsia" w:cs="Times New Roman"/>
                <w:b w:val="0"/>
                <w:bCs w:val="0"/>
                <w:color w:val="auto"/>
                <w:sz w:val="24"/>
                <w:szCs w:val="24"/>
                <w:u w:val="none"/>
                <w:lang w:eastAsia="zh-CN"/>
              </w:rPr>
              <w:t>，</w:t>
            </w:r>
            <w:r>
              <w:rPr>
                <w:rFonts w:hint="eastAsia" w:hAnsi="宋体"/>
                <w:bCs/>
                <w:sz w:val="24"/>
                <w:u w:val="none"/>
                <w:lang w:val="en-US" w:eastAsia="zh-CN"/>
              </w:rPr>
              <w:t>项目收集后</w:t>
            </w:r>
            <w:r>
              <w:rPr>
                <w:rFonts w:hint="eastAsia" w:hAnsi="宋体"/>
                <w:bCs/>
                <w:sz w:val="24"/>
                <w:u w:val="none"/>
                <w:lang w:eastAsia="zh-CN"/>
              </w:rPr>
              <w:t>暂存于固废暂存间，</w:t>
            </w:r>
            <w:r>
              <w:rPr>
                <w:rFonts w:hint="eastAsia" w:hAnsi="宋体"/>
                <w:bCs/>
                <w:sz w:val="24"/>
                <w:u w:val="none"/>
                <w:lang w:val="en-US" w:eastAsia="zh-CN"/>
              </w:rPr>
              <w:t>收集后外售给废品收购站。</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hAnsi="宋体"/>
                <w:bCs/>
                <w:sz w:val="24"/>
                <w:u w:val="none"/>
              </w:rPr>
            </w:pPr>
            <w:r>
              <w:rPr>
                <w:rFonts w:hint="eastAsia" w:hAnsi="宋体"/>
                <w:bCs/>
                <w:sz w:val="24"/>
                <w:u w:val="none"/>
                <w:lang w:eastAsia="zh-CN"/>
              </w:rPr>
              <w:t>（</w:t>
            </w:r>
            <w:r>
              <w:rPr>
                <w:rFonts w:hint="eastAsia" w:hAnsi="宋体"/>
                <w:bCs/>
                <w:sz w:val="24"/>
                <w:u w:val="none"/>
                <w:lang w:val="en-US" w:eastAsia="zh-CN"/>
              </w:rPr>
              <w:t>3</w:t>
            </w:r>
            <w:r>
              <w:rPr>
                <w:rFonts w:hint="eastAsia" w:hAnsi="宋体"/>
                <w:bCs/>
                <w:sz w:val="24"/>
                <w:u w:val="none"/>
                <w:lang w:eastAsia="zh-CN"/>
              </w:rPr>
              <w:t>）</w:t>
            </w:r>
            <w:r>
              <w:rPr>
                <w:rFonts w:hint="default" w:hAnsi="宋体"/>
                <w:bCs/>
                <w:sz w:val="24"/>
                <w:u w:val="none"/>
              </w:rPr>
              <w:t>生活垃圾</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hAnsi="宋体"/>
                <w:bCs/>
                <w:sz w:val="24"/>
                <w:u w:val="none"/>
                <w:lang w:val="en-US" w:eastAsia="zh-CN"/>
              </w:rPr>
            </w:pPr>
            <w:r>
              <w:rPr>
                <w:rFonts w:hint="default" w:hAnsi="宋体"/>
                <w:bCs/>
                <w:sz w:val="24"/>
                <w:u w:val="none"/>
              </w:rPr>
              <w:t>职工生活产生的生活垃圾产生量按0.5kg/人·天计，职工</w:t>
            </w:r>
            <w:r>
              <w:rPr>
                <w:rFonts w:hint="eastAsia" w:hAnsi="宋体"/>
                <w:bCs/>
                <w:sz w:val="24"/>
                <w:u w:val="none"/>
                <w:lang w:val="en-US" w:eastAsia="zh-CN"/>
              </w:rPr>
              <w:t>4人</w:t>
            </w:r>
            <w:r>
              <w:rPr>
                <w:rFonts w:hint="default" w:hAnsi="宋体"/>
                <w:bCs/>
                <w:sz w:val="24"/>
                <w:u w:val="none"/>
              </w:rPr>
              <w:t>，生活垃圾产生量为</w:t>
            </w:r>
            <w:r>
              <w:rPr>
                <w:rFonts w:hint="eastAsia" w:hAnsi="宋体"/>
                <w:bCs/>
                <w:sz w:val="24"/>
                <w:u w:val="none"/>
                <w:lang w:val="en-US" w:eastAsia="zh-CN"/>
              </w:rPr>
              <w:t>2</w:t>
            </w:r>
            <w:r>
              <w:rPr>
                <w:rFonts w:hint="default" w:hAnsi="宋体"/>
                <w:bCs/>
                <w:sz w:val="24"/>
                <w:u w:val="none"/>
              </w:rPr>
              <w:t>kg/d，</w:t>
            </w:r>
            <w:r>
              <w:rPr>
                <w:rFonts w:hint="eastAsia" w:hAnsi="宋体"/>
                <w:bCs/>
                <w:sz w:val="24"/>
                <w:u w:val="none"/>
                <w:lang w:val="en-US" w:eastAsia="zh-CN"/>
              </w:rPr>
              <w:t>0.6</w:t>
            </w:r>
            <w:r>
              <w:rPr>
                <w:rFonts w:hint="default" w:hAnsi="宋体"/>
                <w:bCs/>
                <w:sz w:val="24"/>
                <w:u w:val="none"/>
              </w:rPr>
              <w:t>t/a。由企业统一收集后定期清运至垃圾中转站。</w:t>
            </w:r>
          </w:p>
          <w:p>
            <w:pPr>
              <w:pStyle w:val="2"/>
              <w:keepLines w:val="0"/>
              <w:pageBreakBefore w:val="0"/>
              <w:widowControl w:val="0"/>
              <w:numPr>
                <w:ilvl w:val="0"/>
                <w:numId w:val="0"/>
              </w:numPr>
              <w:kinsoku/>
              <w:wordWrap/>
              <w:topLinePunct w:val="0"/>
              <w:autoSpaceDE/>
              <w:autoSpaceDN/>
              <w:bidi w:val="0"/>
              <w:adjustRightInd/>
              <w:spacing w:before="0" w:after="0" w:line="520" w:lineRule="exact"/>
              <w:ind w:left="0" w:leftChars="0" w:firstLine="480" w:firstLineChars="200"/>
              <w:textAlignment w:val="auto"/>
              <w:rPr>
                <w:rFonts w:hint="eastAsia" w:ascii="宋体" w:hAnsi="宋体" w:eastAsia="宋体" w:cs="宋体"/>
                <w:b w:val="0"/>
                <w:bCs w:val="0"/>
                <w:sz w:val="24"/>
                <w:szCs w:val="24"/>
                <w:u w:val="none"/>
                <w:lang w:eastAsia="zh-CN"/>
              </w:rPr>
            </w:pPr>
            <w:r>
              <w:rPr>
                <w:rFonts w:hint="eastAsia" w:hAnsi="宋体"/>
                <w:b w:val="0"/>
                <w:bCs w:val="0"/>
                <w:sz w:val="24"/>
                <w:u w:val="none"/>
                <w:lang w:eastAsia="zh-CN"/>
              </w:rPr>
              <w:t>（</w:t>
            </w:r>
            <w:r>
              <w:rPr>
                <w:rFonts w:hint="eastAsia" w:hAnsi="宋体"/>
                <w:b w:val="0"/>
                <w:bCs w:val="0"/>
                <w:sz w:val="24"/>
                <w:u w:val="none"/>
                <w:lang w:val="en-US" w:eastAsia="zh-CN"/>
              </w:rPr>
              <w:t>4</w:t>
            </w:r>
            <w:r>
              <w:rPr>
                <w:rFonts w:hint="eastAsia" w:hAnsi="宋体"/>
                <w:b w:val="0"/>
                <w:bCs w:val="0"/>
                <w:sz w:val="24"/>
                <w:u w:val="none"/>
                <w:lang w:eastAsia="zh-CN"/>
              </w:rPr>
              <w:t>）</w:t>
            </w:r>
            <w:r>
              <w:rPr>
                <w:rFonts w:hint="default" w:ascii="Times New Roman" w:hAnsi="Times New Roman" w:eastAsia="宋体" w:cs="Times New Roman"/>
                <w:b w:val="0"/>
                <w:bCs w:val="0"/>
                <w:sz w:val="24"/>
                <w:szCs w:val="24"/>
                <w:u w:val="none"/>
                <w:lang w:eastAsia="zh-CN"/>
              </w:rPr>
              <w:t>化</w:t>
            </w:r>
            <w:r>
              <w:rPr>
                <w:rFonts w:hint="eastAsia" w:ascii="宋体" w:hAnsi="宋体" w:eastAsia="宋体" w:cs="宋体"/>
                <w:b w:val="0"/>
                <w:bCs w:val="0"/>
                <w:sz w:val="24"/>
                <w:szCs w:val="24"/>
                <w:u w:val="none"/>
                <w:lang w:eastAsia="zh-CN"/>
              </w:rPr>
              <w:t>粪池污泥</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default" w:hAnsi="宋体"/>
                <w:bCs/>
                <w:sz w:val="24"/>
                <w:u w:val="none"/>
              </w:rPr>
            </w:pPr>
            <w:r>
              <w:rPr>
                <w:rFonts w:hint="eastAsia" w:ascii="宋体" w:hAnsi="宋体" w:eastAsia="宋体" w:cs="宋体"/>
                <w:b w:val="0"/>
                <w:bCs w:val="0"/>
                <w:color w:val="auto"/>
                <w:sz w:val="24"/>
                <w:szCs w:val="24"/>
                <w:u w:val="none"/>
              </w:rPr>
              <w:t>项目化粪池污水处理产生污泥，污泥产生量约为</w:t>
            </w:r>
            <w:r>
              <w:rPr>
                <w:rFonts w:hint="eastAsia" w:cs="Times New Roman"/>
                <w:b w:val="0"/>
                <w:bCs w:val="0"/>
                <w:color w:val="auto"/>
                <w:sz w:val="24"/>
                <w:szCs w:val="24"/>
                <w:u w:val="none"/>
                <w:lang w:val="en-US" w:eastAsia="zh-CN"/>
              </w:rPr>
              <w:t>0.36</w:t>
            </w:r>
            <w:r>
              <w:rPr>
                <w:rFonts w:hint="default" w:ascii="Times New Roman" w:hAnsi="Times New Roman" w:eastAsia="宋体" w:cs="Times New Roman"/>
                <w:b w:val="0"/>
                <w:bCs w:val="0"/>
                <w:color w:val="auto"/>
                <w:sz w:val="24"/>
                <w:szCs w:val="24"/>
                <w:u w:val="none"/>
              </w:rPr>
              <w:t>t/a（含水率90%），根据《一般固体废物分类与代码》（GB/T39198-2020）和《固体废物分类与代码目录》（公告2024年第4号），代码为“</w:t>
            </w:r>
            <w:r>
              <w:rPr>
                <w:rFonts w:hint="default" w:ascii="Times New Roman" w:hAnsi="Times New Roman" w:eastAsia="宋体" w:cs="Times New Roman"/>
                <w:b w:val="0"/>
                <w:bCs w:val="0"/>
                <w:color w:val="auto"/>
                <w:sz w:val="24"/>
                <w:szCs w:val="24"/>
                <w:u w:val="none"/>
                <w:lang w:val="en-US" w:eastAsia="zh-CN"/>
              </w:rPr>
              <w:t>900</w:t>
            </w:r>
            <w:r>
              <w:rPr>
                <w:rFonts w:hint="default" w:ascii="Times New Roman" w:hAnsi="Times New Roman" w:eastAsia="宋体" w:cs="Times New Roman"/>
                <w:b w:val="0"/>
                <w:bCs w:val="0"/>
                <w:color w:val="auto"/>
                <w:sz w:val="24"/>
                <w:szCs w:val="24"/>
                <w:u w:val="none"/>
              </w:rPr>
              <w:t>-</w:t>
            </w:r>
            <w:r>
              <w:rPr>
                <w:rFonts w:hint="default" w:ascii="Times New Roman" w:hAnsi="Times New Roman" w:eastAsia="宋体" w:cs="Times New Roman"/>
                <w:b w:val="0"/>
                <w:bCs w:val="0"/>
                <w:color w:val="auto"/>
                <w:sz w:val="24"/>
                <w:szCs w:val="24"/>
                <w:u w:val="none"/>
                <w:lang w:val="en-US" w:eastAsia="zh-CN"/>
              </w:rPr>
              <w:t>099</w:t>
            </w:r>
            <w:r>
              <w:rPr>
                <w:rFonts w:hint="default" w:ascii="Times New Roman" w:hAnsi="Times New Roman" w:eastAsia="宋体" w:cs="Times New Roman"/>
                <w:b w:val="0"/>
                <w:bCs w:val="0"/>
                <w:color w:val="auto"/>
                <w:sz w:val="24"/>
                <w:szCs w:val="24"/>
                <w:u w:val="none"/>
              </w:rPr>
              <w:t>-</w:t>
            </w:r>
            <w:r>
              <w:rPr>
                <w:rFonts w:hint="default" w:ascii="Times New Roman" w:hAnsi="Times New Roman" w:eastAsia="宋体" w:cs="Times New Roman"/>
                <w:b w:val="0"/>
                <w:bCs w:val="0"/>
                <w:color w:val="auto"/>
                <w:sz w:val="24"/>
                <w:szCs w:val="24"/>
                <w:u w:val="none"/>
                <w:lang w:val="en-US" w:eastAsia="zh-CN"/>
              </w:rPr>
              <w:t>S07</w:t>
            </w:r>
            <w:r>
              <w:rPr>
                <w:rFonts w:hint="default" w:ascii="Times New Roman" w:hAnsi="Times New Roman" w:eastAsia="宋体" w:cs="Times New Roman"/>
                <w:b w:val="0"/>
                <w:bCs w:val="0"/>
                <w:color w:val="auto"/>
                <w:sz w:val="24"/>
                <w:szCs w:val="24"/>
                <w:u w:val="none"/>
              </w:rPr>
              <w:t>”</w:t>
            </w:r>
            <w:r>
              <w:rPr>
                <w:rFonts w:hint="eastAsia" w:cs="Times New Roman"/>
                <w:b w:val="0"/>
                <w:bCs w:val="0"/>
                <w:color w:val="auto"/>
                <w:sz w:val="24"/>
                <w:szCs w:val="24"/>
                <w:u w:val="none"/>
                <w:lang w:eastAsia="zh-CN"/>
              </w:rPr>
              <w:t>，</w:t>
            </w:r>
            <w:r>
              <w:rPr>
                <w:rFonts w:hint="eastAsia" w:ascii="宋体" w:hAnsi="宋体" w:eastAsia="宋体" w:cs="宋体"/>
                <w:b w:val="0"/>
                <w:bCs w:val="0"/>
                <w:color w:val="auto"/>
                <w:sz w:val="24"/>
                <w:szCs w:val="24"/>
                <w:u w:val="none"/>
              </w:rPr>
              <w:t>污泥定期由环卫部门定期清掏处置。</w:t>
            </w:r>
          </w:p>
          <w:p>
            <w:pPr>
              <w:pStyle w:val="2"/>
              <w:keepLines w:val="0"/>
              <w:pageBreakBefore w:val="0"/>
              <w:widowControl w:val="0"/>
              <w:numPr>
                <w:ilvl w:val="0"/>
                <w:numId w:val="0"/>
              </w:numPr>
              <w:kinsoku/>
              <w:wordWrap/>
              <w:topLinePunct w:val="0"/>
              <w:autoSpaceDE/>
              <w:autoSpaceDN/>
              <w:bidi w:val="0"/>
              <w:adjustRightInd/>
              <w:spacing w:before="0" w:after="0" w:line="520" w:lineRule="exact"/>
              <w:ind w:left="0" w:leftChars="0" w:firstLine="480" w:firstLineChars="200"/>
              <w:textAlignment w:val="auto"/>
              <w:rPr>
                <w:rFonts w:hint="eastAsia" w:ascii="Times New Roman" w:hAnsi="Times New Roman" w:eastAsia="宋体" w:cs="Times New Roman"/>
                <w:b w:val="0"/>
                <w:bCs w:val="0"/>
                <w:color w:val="000000"/>
                <w:kern w:val="44"/>
                <w:sz w:val="24"/>
                <w:szCs w:val="24"/>
                <w:u w:val="none"/>
                <w:lang w:val="en-US" w:eastAsia="zh-CN" w:bidi="ar-SA"/>
              </w:rPr>
            </w:pPr>
            <w:r>
              <w:rPr>
                <w:rFonts w:hint="default" w:ascii="Times New Roman" w:hAnsi="Times New Roman" w:eastAsia="宋体" w:cs="Times New Roman"/>
                <w:b w:val="0"/>
                <w:bCs w:val="0"/>
                <w:color w:val="000000"/>
                <w:kern w:val="44"/>
                <w:sz w:val="24"/>
                <w:szCs w:val="24"/>
                <w:u w:val="none"/>
                <w:lang w:val="en-US" w:eastAsia="zh-CN" w:bidi="ar-SA"/>
              </w:rPr>
              <w:t>（</w:t>
            </w:r>
            <w:r>
              <w:rPr>
                <w:rFonts w:hint="eastAsia" w:eastAsia="宋体" w:cs="Times New Roman"/>
                <w:b w:val="0"/>
                <w:bCs w:val="0"/>
                <w:color w:val="000000"/>
                <w:kern w:val="44"/>
                <w:sz w:val="24"/>
                <w:szCs w:val="24"/>
                <w:u w:val="none"/>
                <w:lang w:val="en-US" w:eastAsia="zh-CN" w:bidi="ar-SA"/>
              </w:rPr>
              <w:t>5</w:t>
            </w:r>
            <w:r>
              <w:rPr>
                <w:rFonts w:hint="eastAsia" w:ascii="宋体" w:hAnsi="宋体" w:eastAsia="宋体" w:cs="宋体"/>
                <w:b w:val="0"/>
                <w:bCs w:val="0"/>
                <w:color w:val="000000"/>
                <w:kern w:val="44"/>
                <w:sz w:val="24"/>
                <w:szCs w:val="24"/>
                <w:u w:val="none"/>
                <w:lang w:val="en-US" w:eastAsia="zh-CN" w:bidi="ar-SA"/>
              </w:rPr>
              <w:t>）</w:t>
            </w:r>
            <w:r>
              <w:rPr>
                <w:rFonts w:hint="eastAsia" w:ascii="Times New Roman" w:hAnsi="Times New Roman" w:eastAsia="宋体" w:cs="Times New Roman"/>
                <w:b w:val="0"/>
                <w:bCs w:val="0"/>
                <w:color w:val="000000"/>
                <w:kern w:val="44"/>
                <w:sz w:val="24"/>
                <w:szCs w:val="24"/>
                <w:u w:val="none"/>
                <w:lang w:val="en-US" w:eastAsia="zh-CN" w:bidi="ar-SA"/>
              </w:rPr>
              <w:t>废活性炭</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u w:val="none"/>
                <w:lang w:val="en-US" w:eastAsia="zh-CN"/>
              </w:rPr>
            </w:pPr>
            <w:r>
              <w:rPr>
                <w:rFonts w:hint="eastAsia" w:ascii="Times New Roman" w:hAnsi="宋体" w:eastAsia="宋体" w:cs="Times New Roman"/>
                <w:bCs/>
                <w:sz w:val="24"/>
                <w:u w:val="none"/>
                <w:lang w:eastAsia="zh-CN"/>
              </w:rPr>
              <w:t>在最好的活性炭饱和状态下，1kg的活性炭能吸附0</w:t>
            </w:r>
            <w:r>
              <w:rPr>
                <w:rFonts w:hint="eastAsia" w:ascii="Times New Roman" w:hAnsi="宋体" w:eastAsia="宋体" w:cs="Times New Roman"/>
                <w:bCs/>
                <w:sz w:val="24"/>
                <w:u w:val="none"/>
                <w:lang w:val="en-US" w:eastAsia="zh-CN"/>
              </w:rPr>
              <w:t>.</w:t>
            </w:r>
            <w:r>
              <w:rPr>
                <w:rFonts w:hint="eastAsia" w:ascii="Times New Roman" w:hAnsi="宋体" w:eastAsia="宋体" w:cs="Times New Roman"/>
                <w:bCs/>
                <w:sz w:val="24"/>
                <w:u w:val="none"/>
                <w:lang w:eastAsia="zh-CN"/>
              </w:rPr>
              <w:t>35kg的C</w:t>
            </w:r>
            <w:r>
              <w:rPr>
                <w:rFonts w:hint="eastAsia" w:ascii="Times New Roman" w:hAnsi="宋体" w:eastAsia="宋体" w:cs="Times New Roman"/>
                <w:bCs/>
                <w:sz w:val="24"/>
                <w:u w:val="none"/>
                <w:vertAlign w:val="subscript"/>
                <w:lang w:eastAsia="zh-CN"/>
              </w:rPr>
              <w:t>3</w:t>
            </w:r>
            <w:r>
              <w:rPr>
                <w:rFonts w:hint="eastAsia" w:ascii="Times New Roman" w:hAnsi="宋体" w:eastAsia="宋体" w:cs="Times New Roman"/>
                <w:bCs/>
                <w:sz w:val="24"/>
                <w:u w:val="none"/>
                <w:lang w:eastAsia="zh-CN"/>
              </w:rPr>
              <w:t>、C</w:t>
            </w:r>
            <w:r>
              <w:rPr>
                <w:rFonts w:hint="eastAsia" w:ascii="Times New Roman" w:hAnsi="宋体" w:eastAsia="宋体" w:cs="Times New Roman"/>
                <w:bCs/>
                <w:sz w:val="24"/>
                <w:u w:val="none"/>
                <w:vertAlign w:val="subscript"/>
                <w:lang w:eastAsia="zh-CN"/>
              </w:rPr>
              <w:t>6</w:t>
            </w:r>
            <w:r>
              <w:rPr>
                <w:rFonts w:hint="eastAsia" w:ascii="Times New Roman" w:hAnsi="宋体" w:eastAsia="宋体" w:cs="Times New Roman"/>
                <w:bCs/>
                <w:sz w:val="24"/>
                <w:u w:val="none"/>
                <w:lang w:eastAsia="zh-CN"/>
              </w:rPr>
              <w:t>烃类。</w:t>
            </w:r>
            <w:r>
              <w:rPr>
                <w:rFonts w:hint="eastAsia" w:hAnsi="宋体" w:cs="Times New Roman"/>
                <w:bCs/>
                <w:sz w:val="24"/>
                <w:u w:val="none"/>
                <w:lang w:eastAsia="zh-CN"/>
              </w:rPr>
              <w:t>根据前文计算，</w:t>
            </w:r>
            <w:r>
              <w:rPr>
                <w:rFonts w:hint="eastAsia" w:ascii="Times New Roman" w:hAnsi="宋体" w:eastAsia="宋体" w:cs="Times New Roman"/>
                <w:bCs/>
                <w:sz w:val="24"/>
                <w:u w:val="none"/>
                <w:lang w:val="en-US" w:eastAsia="zh-CN"/>
              </w:rPr>
              <w:t>项目</w:t>
            </w:r>
            <w:r>
              <w:rPr>
                <w:rFonts w:hint="eastAsia" w:ascii="Times New Roman" w:hAnsi="宋体" w:eastAsia="宋体" w:cs="Times New Roman"/>
                <w:bCs/>
                <w:sz w:val="24"/>
                <w:u w:val="none"/>
                <w:lang w:eastAsia="zh-CN"/>
              </w:rPr>
              <w:t>活性炭吸附</w:t>
            </w:r>
            <w:r>
              <w:rPr>
                <w:rFonts w:hint="eastAsia" w:ascii="Times New Roman" w:hAnsi="宋体" w:eastAsia="宋体" w:cs="Times New Roman"/>
                <w:bCs/>
                <w:sz w:val="24"/>
                <w:u w:val="none"/>
                <w:lang w:val="en-US" w:eastAsia="zh-CN"/>
              </w:rPr>
              <w:t>的废气量</w:t>
            </w:r>
            <w:r>
              <w:rPr>
                <w:rFonts w:hint="eastAsia" w:hAnsi="宋体" w:cs="Times New Roman"/>
                <w:bCs/>
                <w:sz w:val="24"/>
                <w:u w:val="none"/>
                <w:lang w:val="en-US" w:eastAsia="zh-CN"/>
              </w:rPr>
              <w:t>0.194</w:t>
            </w:r>
            <w:r>
              <w:rPr>
                <w:rFonts w:hint="eastAsia" w:ascii="Times New Roman" w:hAnsi="宋体" w:eastAsia="宋体" w:cs="Times New Roman"/>
                <w:bCs/>
                <w:sz w:val="24"/>
                <w:u w:val="none"/>
                <w:lang w:val="en-US" w:eastAsia="zh-CN"/>
              </w:rPr>
              <w:t>t/a，</w:t>
            </w:r>
            <w:r>
              <w:rPr>
                <w:rFonts w:hint="eastAsia" w:ascii="Times New Roman" w:hAnsi="宋体" w:eastAsia="宋体" w:cs="Times New Roman"/>
                <w:bCs/>
                <w:sz w:val="24"/>
                <w:u w:val="none"/>
                <w:lang w:eastAsia="zh-CN"/>
              </w:rPr>
              <w:t>则产生废活性炭量约为</w:t>
            </w:r>
            <w:r>
              <w:rPr>
                <w:rFonts w:hint="eastAsia" w:hAnsi="宋体" w:cs="Times New Roman"/>
                <w:bCs/>
                <w:sz w:val="24"/>
                <w:u w:val="none"/>
                <w:lang w:val="en-US" w:eastAsia="zh-CN"/>
              </w:rPr>
              <w:t>0.748t</w:t>
            </w:r>
            <w:r>
              <w:rPr>
                <w:rFonts w:hint="eastAsia" w:ascii="Times New Roman" w:hAnsi="宋体" w:eastAsia="宋体" w:cs="Times New Roman"/>
                <w:bCs/>
                <w:sz w:val="24"/>
                <w:u w:val="none"/>
                <w:lang w:val="en-US" w:eastAsia="zh-CN"/>
              </w:rPr>
              <w:t>/</w:t>
            </w:r>
            <w:r>
              <w:rPr>
                <w:rFonts w:hint="eastAsia" w:ascii="Times New Roman" w:hAnsi="宋体" w:eastAsia="宋体" w:cs="Times New Roman"/>
                <w:bCs/>
                <w:sz w:val="24"/>
                <w:u w:val="none"/>
                <w:lang w:eastAsia="zh-CN"/>
              </w:rPr>
              <w:t>a</w:t>
            </w:r>
            <w:r>
              <w:rPr>
                <w:rFonts w:hint="eastAsia" w:ascii="Times New Roman" w:hAnsi="宋体" w:eastAsia="宋体" w:cs="Times New Roman"/>
                <w:bCs/>
                <w:sz w:val="24"/>
                <w:u w:val="none"/>
                <w:lang w:val="en-US" w:eastAsia="zh-CN"/>
              </w:rPr>
              <w:t>。</w:t>
            </w:r>
            <w:r>
              <w:rPr>
                <w:rFonts w:hint="eastAsia" w:ascii="Times New Roman" w:hAnsi="宋体" w:eastAsia="宋体" w:cs="Times New Roman"/>
                <w:bCs/>
                <w:sz w:val="24"/>
                <w:u w:val="none"/>
                <w:lang w:eastAsia="zh-CN"/>
              </w:rPr>
              <w:t>根据《国家危险废物名录</w:t>
            </w:r>
            <w:r>
              <w:rPr>
                <w:rFonts w:hint="eastAsia" w:hAnsi="宋体" w:cs="Times New Roman"/>
                <w:bCs/>
                <w:sz w:val="24"/>
                <w:u w:val="none"/>
                <w:lang w:eastAsia="zh-CN"/>
              </w:rPr>
              <w:t>（</w:t>
            </w:r>
            <w:r>
              <w:rPr>
                <w:rFonts w:hint="eastAsia" w:hAnsi="宋体" w:cs="Times New Roman"/>
                <w:bCs/>
                <w:sz w:val="24"/>
                <w:u w:val="none"/>
                <w:lang w:val="en-US" w:eastAsia="zh-CN"/>
              </w:rPr>
              <w:t>2025年版</w:t>
            </w:r>
            <w:r>
              <w:rPr>
                <w:rFonts w:hint="eastAsia" w:hAnsi="宋体" w:cs="Times New Roman"/>
                <w:bCs/>
                <w:sz w:val="24"/>
                <w:u w:val="none"/>
                <w:lang w:eastAsia="zh-CN"/>
              </w:rPr>
              <w:t>）</w:t>
            </w:r>
            <w:r>
              <w:rPr>
                <w:rFonts w:hint="eastAsia" w:ascii="Times New Roman" w:hAnsi="宋体" w:eastAsia="宋体" w:cs="Times New Roman"/>
                <w:bCs/>
                <w:sz w:val="24"/>
                <w:u w:val="none"/>
                <w:lang w:eastAsia="zh-CN"/>
              </w:rPr>
              <w:t>》，属于危险固体废物（编号为HW49900-041-49）。</w:t>
            </w:r>
          </w:p>
          <w:p>
            <w:pPr>
              <w:keepNext w:val="0"/>
              <w:keepLines w:val="0"/>
              <w:pageBreakBefore w:val="0"/>
              <w:widowControl w:val="0"/>
              <w:kinsoku/>
              <w:wordWrap/>
              <w:overflowPunct/>
              <w:topLinePunct w:val="0"/>
              <w:autoSpaceDE/>
              <w:autoSpaceDN/>
              <w:bidi w:val="0"/>
              <w:spacing w:line="520" w:lineRule="exact"/>
              <w:ind w:firstLine="480" w:firstLineChars="200"/>
              <w:jc w:val="left"/>
              <w:textAlignment w:val="auto"/>
              <w:rPr>
                <w:rFonts w:hint="eastAsia"/>
                <w:u w:val="none"/>
                <w:lang w:val="en-US" w:eastAsia="zh-CN"/>
              </w:rPr>
            </w:pPr>
            <w:r>
              <w:rPr>
                <w:rFonts w:hint="eastAsia" w:hAnsi="宋体"/>
                <w:bCs/>
                <w:sz w:val="24"/>
                <w:u w:val="none"/>
                <w:lang w:eastAsia="zh-CN"/>
              </w:rPr>
              <w:t>本项目设置垃圾桶若干用于收集生活垃圾；</w:t>
            </w:r>
            <w:r>
              <w:rPr>
                <w:rFonts w:hint="eastAsia" w:hAnsi="宋体"/>
                <w:bCs/>
                <w:sz w:val="24"/>
                <w:u w:val="none"/>
                <w:lang w:val="en-US" w:eastAsia="zh-CN"/>
              </w:rPr>
              <w:t>设置固废暂存间1座10m</w:t>
            </w:r>
            <w:r>
              <w:rPr>
                <w:rFonts w:hint="eastAsia" w:hAnsi="宋体"/>
                <w:bCs/>
                <w:sz w:val="24"/>
                <w:u w:val="none"/>
                <w:vertAlign w:val="superscript"/>
                <w:lang w:val="en-US" w:eastAsia="zh-CN"/>
              </w:rPr>
              <w:t>2</w:t>
            </w:r>
            <w:r>
              <w:rPr>
                <w:rFonts w:hint="eastAsia" w:hAnsi="宋体"/>
                <w:bCs/>
                <w:sz w:val="24"/>
                <w:u w:val="none"/>
                <w:lang w:val="en-US" w:eastAsia="zh-CN"/>
              </w:rPr>
              <w:t>，用于废边角料和废包装材料暂存，且分区存放，不混放；设置危废暂存间1座10m</w:t>
            </w:r>
            <w:r>
              <w:rPr>
                <w:rFonts w:hint="eastAsia" w:hAnsi="宋体"/>
                <w:bCs/>
                <w:sz w:val="24"/>
                <w:u w:val="none"/>
                <w:vertAlign w:val="superscript"/>
                <w:lang w:val="en-US" w:eastAsia="zh-CN"/>
              </w:rPr>
              <w:t>2</w:t>
            </w:r>
            <w:r>
              <w:rPr>
                <w:rFonts w:hint="eastAsia" w:hAnsi="宋体"/>
                <w:bCs/>
                <w:sz w:val="24"/>
                <w:u w:val="none"/>
                <w:lang w:val="en-US" w:eastAsia="zh-CN"/>
              </w:rPr>
              <w:t>，用于存放废</w:t>
            </w:r>
            <w:r>
              <w:rPr>
                <w:rFonts w:hint="eastAsia" w:ascii="Times New Roman" w:hAnsi="Times New Roman" w:eastAsia="宋体" w:cs="Times New Roman"/>
                <w:b w:val="0"/>
                <w:bCs w:val="0"/>
                <w:color w:val="000000"/>
                <w:kern w:val="44"/>
                <w:sz w:val="24"/>
                <w:szCs w:val="24"/>
                <w:u w:val="none"/>
                <w:lang w:val="en-US" w:eastAsia="zh-CN" w:bidi="ar-SA"/>
              </w:rPr>
              <w:t>活性炭</w:t>
            </w:r>
            <w:r>
              <w:rPr>
                <w:rFonts w:hint="eastAsia" w:hAnsi="宋体"/>
                <w:bCs/>
                <w:sz w:val="24"/>
                <w:u w:val="none"/>
                <w:lang w:val="en-US" w:eastAsia="zh-CN"/>
              </w:rPr>
              <w:t>。</w:t>
            </w:r>
          </w:p>
          <w:p>
            <w:pPr>
              <w:pStyle w:val="6"/>
              <w:spacing w:before="156" w:after="156"/>
              <w:jc w:val="center"/>
              <w:rPr>
                <w:rFonts w:ascii="Times New Roman" w:hAnsi="Times New Roman" w:cs="Times New Roman"/>
                <w:b/>
                <w:bCs/>
                <w:color w:val="000000"/>
                <w:sz w:val="24"/>
                <w:szCs w:val="24"/>
                <w:lang w:eastAsia="zh-CN"/>
              </w:rPr>
            </w:pPr>
            <w:r>
              <w:rPr>
                <w:rFonts w:ascii="Times New Roman" w:hAnsi="Times New Roman" w:cs="Times New Roman"/>
                <w:b/>
                <w:bCs/>
                <w:color w:val="000000"/>
                <w:sz w:val="24"/>
                <w:szCs w:val="24"/>
                <w:lang w:eastAsia="zh-CN"/>
              </w:rPr>
              <w:t>表4-</w:t>
            </w:r>
            <w:r>
              <w:rPr>
                <w:rFonts w:hint="eastAsia" w:ascii="Times New Roman" w:hAnsi="Times New Roman" w:cs="Times New Roman"/>
                <w:b/>
                <w:bCs/>
                <w:color w:val="000000"/>
                <w:sz w:val="24"/>
                <w:szCs w:val="24"/>
                <w:lang w:eastAsia="zh-CN"/>
              </w:rPr>
              <w:t>1</w:t>
            </w:r>
            <w:r>
              <w:rPr>
                <w:rFonts w:hint="eastAsia" w:ascii="Times New Roman" w:hAnsi="Times New Roman" w:cs="Times New Roman"/>
                <w:b/>
                <w:bCs/>
                <w:color w:val="000000"/>
                <w:sz w:val="24"/>
                <w:szCs w:val="24"/>
                <w:lang w:val="en-US" w:eastAsia="zh-CN"/>
              </w:rPr>
              <w:t xml:space="preserve">1 </w:t>
            </w:r>
            <w:r>
              <w:rPr>
                <w:rFonts w:ascii="Times New Roman" w:hAnsi="Times New Roman" w:cs="Times New Roman"/>
                <w:b/>
                <w:bCs/>
                <w:color w:val="000000"/>
                <w:sz w:val="24"/>
                <w:szCs w:val="24"/>
                <w:lang w:eastAsia="zh-CN"/>
              </w:rPr>
              <w:t xml:space="preserve"> 项目</w:t>
            </w:r>
            <w:r>
              <w:rPr>
                <w:rFonts w:hint="eastAsia" w:ascii="Times New Roman" w:hAnsi="Times New Roman" w:cs="Times New Roman"/>
                <w:b/>
                <w:bCs/>
                <w:color w:val="000000"/>
                <w:sz w:val="24"/>
                <w:szCs w:val="24"/>
                <w:lang w:eastAsia="zh-CN"/>
              </w:rPr>
              <w:t>固体废物产生处置情况一览表</w:t>
            </w:r>
          </w:p>
          <w:tbl>
            <w:tblPr>
              <w:tblStyle w:val="26"/>
              <w:tblW w:w="85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1414"/>
              <w:gridCol w:w="930"/>
              <w:gridCol w:w="672"/>
              <w:gridCol w:w="988"/>
              <w:gridCol w:w="701"/>
              <w:gridCol w:w="814"/>
              <w:gridCol w:w="573"/>
              <w:gridCol w:w="1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4" w:hRule="atLeast"/>
                <w:jc w:val="center"/>
              </w:trPr>
              <w:tc>
                <w:tcPr>
                  <w:tcW w:w="505" w:type="dxa"/>
                  <w:noWrap w:val="0"/>
                  <w:vAlign w:val="center"/>
                </w:tcPr>
                <w:p>
                  <w:pPr>
                    <w:tabs>
                      <w:tab w:val="left" w:pos="720"/>
                    </w:tabs>
                    <w:spacing w:line="240" w:lineRule="auto"/>
                    <w:jc w:val="center"/>
                    <w:rPr>
                      <w:rFonts w:ascii="Times New Roman" w:hAnsi="Times New Roman" w:cs="Times New Roman"/>
                      <w:b/>
                      <w:bCs/>
                      <w:sz w:val="21"/>
                      <w:szCs w:val="21"/>
                      <w:u w:val="none"/>
                      <w:lang w:eastAsia="zh-CN"/>
                    </w:rPr>
                  </w:pPr>
                  <w:r>
                    <w:rPr>
                      <w:rFonts w:ascii="Times New Roman" w:hAnsi="Times New Roman" w:cs="Times New Roman"/>
                      <w:b/>
                      <w:bCs/>
                      <w:sz w:val="21"/>
                      <w:szCs w:val="21"/>
                      <w:u w:val="none"/>
                      <w:lang w:eastAsia="zh-CN"/>
                    </w:rPr>
                    <w:t>序号</w:t>
                  </w:r>
                </w:p>
              </w:tc>
              <w:tc>
                <w:tcPr>
                  <w:tcW w:w="1414"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名称</w:t>
                  </w:r>
                </w:p>
              </w:tc>
              <w:tc>
                <w:tcPr>
                  <w:tcW w:w="930"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来源</w:t>
                  </w:r>
                </w:p>
              </w:tc>
              <w:tc>
                <w:tcPr>
                  <w:tcW w:w="672"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形态</w:t>
                  </w:r>
                </w:p>
              </w:tc>
              <w:tc>
                <w:tcPr>
                  <w:tcW w:w="988"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主要</w:t>
                  </w:r>
                </w:p>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成分</w:t>
                  </w:r>
                </w:p>
              </w:tc>
              <w:tc>
                <w:tcPr>
                  <w:tcW w:w="701" w:type="dxa"/>
                  <w:noWrap w:val="0"/>
                  <w:vAlign w:val="center"/>
                </w:tcPr>
                <w:p>
                  <w:pPr>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废物</w:t>
                  </w:r>
                </w:p>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类别</w:t>
                  </w:r>
                </w:p>
              </w:tc>
              <w:tc>
                <w:tcPr>
                  <w:tcW w:w="814"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产生量</w:t>
                  </w:r>
                </w:p>
              </w:tc>
              <w:tc>
                <w:tcPr>
                  <w:tcW w:w="573" w:type="dxa"/>
                  <w:noWrap w:val="0"/>
                  <w:vAlign w:val="center"/>
                </w:tcPr>
                <w:p>
                  <w:pPr>
                    <w:tabs>
                      <w:tab w:val="left" w:pos="720"/>
                    </w:tabs>
                    <w:spacing w:line="240" w:lineRule="auto"/>
                    <w:jc w:val="center"/>
                    <w:rPr>
                      <w:rFonts w:ascii="Times New Roman" w:hAnsi="Times New Roman" w:cs="Times New Roman"/>
                      <w:b/>
                      <w:bCs/>
                      <w:sz w:val="21"/>
                      <w:szCs w:val="21"/>
                      <w:u w:val="none"/>
                      <w:lang w:eastAsia="zh-CN"/>
                    </w:rPr>
                  </w:pPr>
                  <w:r>
                    <w:rPr>
                      <w:rFonts w:ascii="Times New Roman" w:hAnsi="Times New Roman" w:cs="Times New Roman"/>
                      <w:b/>
                      <w:bCs/>
                      <w:sz w:val="21"/>
                      <w:szCs w:val="21"/>
                      <w:u w:val="none"/>
                      <w:lang w:eastAsia="zh-CN"/>
                    </w:rPr>
                    <w:t>单位</w:t>
                  </w:r>
                </w:p>
              </w:tc>
              <w:tc>
                <w:tcPr>
                  <w:tcW w:w="1924" w:type="dxa"/>
                  <w:noWrap w:val="0"/>
                  <w:vAlign w:val="center"/>
                </w:tcPr>
                <w:p>
                  <w:pPr>
                    <w:tabs>
                      <w:tab w:val="left" w:pos="720"/>
                    </w:tabs>
                    <w:spacing w:line="240" w:lineRule="auto"/>
                    <w:jc w:val="center"/>
                    <w:rPr>
                      <w:rFonts w:ascii="Times New Roman" w:hAnsi="Times New Roman" w:cs="Times New Roman"/>
                      <w:b/>
                      <w:bCs/>
                      <w:sz w:val="21"/>
                      <w:szCs w:val="21"/>
                      <w:u w:val="none"/>
                    </w:rPr>
                  </w:pPr>
                  <w:r>
                    <w:rPr>
                      <w:rFonts w:ascii="Times New Roman" w:hAnsi="Times New Roman" w:cs="Times New Roman"/>
                      <w:b/>
                      <w:bCs/>
                      <w:sz w:val="21"/>
                      <w:szCs w:val="21"/>
                      <w:u w:val="none"/>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9" w:hRule="atLeast"/>
                <w:jc w:val="center"/>
              </w:trPr>
              <w:tc>
                <w:tcPr>
                  <w:tcW w:w="505" w:type="dxa"/>
                  <w:noWrap w:val="0"/>
                  <w:vAlign w:val="center"/>
                </w:tcPr>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1</w:t>
                  </w:r>
                </w:p>
              </w:tc>
              <w:tc>
                <w:tcPr>
                  <w:tcW w:w="1414"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rPr>
                    <w:t>生活垃圾</w:t>
                  </w:r>
                </w:p>
              </w:tc>
              <w:tc>
                <w:tcPr>
                  <w:tcW w:w="930" w:type="dxa"/>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职工</w:t>
                  </w:r>
                </w:p>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rPr>
                    <w:t>生活</w:t>
                  </w:r>
                </w:p>
              </w:tc>
              <w:tc>
                <w:tcPr>
                  <w:tcW w:w="672" w:type="dxa"/>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固态</w:t>
                  </w:r>
                </w:p>
              </w:tc>
              <w:tc>
                <w:tcPr>
                  <w:tcW w:w="988" w:type="dxa"/>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生活</w:t>
                  </w:r>
                </w:p>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rPr>
                    <w:t>垃圾</w:t>
                  </w:r>
                </w:p>
              </w:tc>
              <w:tc>
                <w:tcPr>
                  <w:tcW w:w="701" w:type="dxa"/>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生活垃圾</w:t>
                  </w:r>
                </w:p>
              </w:tc>
              <w:tc>
                <w:tcPr>
                  <w:tcW w:w="814"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0.6</w:t>
                  </w:r>
                </w:p>
              </w:tc>
              <w:tc>
                <w:tcPr>
                  <w:tcW w:w="573" w:type="dxa"/>
                  <w:noWrap w:val="0"/>
                  <w:vAlign w:val="center"/>
                </w:tcPr>
                <w:p>
                  <w:pPr>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t/a</w:t>
                  </w:r>
                </w:p>
              </w:tc>
              <w:tc>
                <w:tcPr>
                  <w:tcW w:w="1924" w:type="dxa"/>
                  <w:noWrap w:val="0"/>
                  <w:vAlign w:val="center"/>
                </w:tcPr>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交环卫部门统一清运处置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9" w:hRule="atLeast"/>
                <w:jc w:val="center"/>
              </w:trPr>
              <w:tc>
                <w:tcPr>
                  <w:tcW w:w="505" w:type="dxa"/>
                  <w:noWrap w:val="0"/>
                  <w:vAlign w:val="center"/>
                </w:tcPr>
                <w:p>
                  <w:pPr>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2</w:t>
                  </w:r>
                </w:p>
              </w:tc>
              <w:tc>
                <w:tcPr>
                  <w:tcW w:w="1414"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废</w:t>
                  </w:r>
                  <w:r>
                    <w:rPr>
                      <w:rFonts w:hint="eastAsia" w:ascii="Times New Roman" w:hAnsi="Times New Roman" w:cs="Times New Roman"/>
                      <w:sz w:val="21"/>
                      <w:szCs w:val="21"/>
                      <w:u w:val="none"/>
                      <w:lang w:eastAsia="zh-CN"/>
                    </w:rPr>
                    <w:t>边角</w:t>
                  </w:r>
                  <w:r>
                    <w:rPr>
                      <w:rFonts w:ascii="Times New Roman" w:hAnsi="Times New Roman" w:cs="Times New Roman"/>
                      <w:sz w:val="21"/>
                      <w:szCs w:val="21"/>
                      <w:u w:val="none"/>
                      <w:lang w:eastAsia="zh-CN"/>
                    </w:rPr>
                    <w:t>料</w:t>
                  </w:r>
                </w:p>
              </w:tc>
              <w:tc>
                <w:tcPr>
                  <w:tcW w:w="930"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分切</w:t>
                  </w:r>
                </w:p>
              </w:tc>
              <w:tc>
                <w:tcPr>
                  <w:tcW w:w="672" w:type="dxa"/>
                  <w:noWrap w:val="0"/>
                  <w:vAlign w:val="center"/>
                </w:tcPr>
                <w:p>
                  <w:pPr>
                    <w:adjustRightInd w:val="0"/>
                    <w:snapToGrid w:val="0"/>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固态</w:t>
                  </w:r>
                </w:p>
              </w:tc>
              <w:tc>
                <w:tcPr>
                  <w:tcW w:w="988"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color w:val="auto"/>
                      <w:sz w:val="21"/>
                      <w:szCs w:val="21"/>
                      <w:lang w:val="en-US" w:eastAsia="zh-CN"/>
                    </w:rPr>
                    <w:t>PE膜、艾绒布</w:t>
                  </w:r>
                </w:p>
              </w:tc>
              <w:tc>
                <w:tcPr>
                  <w:tcW w:w="701" w:type="dxa"/>
                  <w:vMerge w:val="restart"/>
                  <w:noWrap w:val="0"/>
                  <w:vAlign w:val="center"/>
                </w:tcPr>
                <w:p>
                  <w:pPr>
                    <w:adjustRightInd w:val="0"/>
                    <w:snapToGrid w:val="0"/>
                    <w:spacing w:line="240" w:lineRule="auto"/>
                    <w:jc w:val="center"/>
                    <w:rPr>
                      <w:rFonts w:ascii="Times New Roman" w:hAnsi="Times New Roman" w:cs="Times New Roman"/>
                      <w:sz w:val="21"/>
                      <w:szCs w:val="21"/>
                      <w:u w:val="none"/>
                    </w:rPr>
                  </w:pPr>
                  <w:r>
                    <w:rPr>
                      <w:rFonts w:hint="eastAsia" w:ascii="Times New Roman" w:hAnsi="Times New Roman" w:cs="Times New Roman"/>
                      <w:sz w:val="21"/>
                      <w:szCs w:val="21"/>
                      <w:u w:val="none"/>
                      <w:lang w:eastAsia="zh-CN"/>
                    </w:rPr>
                    <w:t>一般固废</w:t>
                  </w:r>
                </w:p>
              </w:tc>
              <w:tc>
                <w:tcPr>
                  <w:tcW w:w="814" w:type="dxa"/>
                  <w:noWrap w:val="0"/>
                  <w:vAlign w:val="center"/>
                </w:tcPr>
                <w:p>
                  <w:pPr>
                    <w:adjustRightInd w:val="0"/>
                    <w:snapToGrid w:val="0"/>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0.45</w:t>
                  </w:r>
                </w:p>
              </w:tc>
              <w:tc>
                <w:tcPr>
                  <w:tcW w:w="573" w:type="dxa"/>
                  <w:noWrap w:val="0"/>
                  <w:vAlign w:val="center"/>
                </w:tcPr>
                <w:p>
                  <w:pPr>
                    <w:adjustRightInd w:val="0"/>
                    <w:snapToGrid w:val="0"/>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t/a</w:t>
                  </w:r>
                </w:p>
              </w:tc>
              <w:tc>
                <w:tcPr>
                  <w:tcW w:w="1924" w:type="dxa"/>
                  <w:vMerge w:val="restart"/>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暂存于固废暂存间，</w:t>
                  </w:r>
                  <w:r>
                    <w:rPr>
                      <w:rFonts w:hint="eastAsia" w:ascii="Times New Roman" w:hAnsi="Times New Roman"/>
                      <w:b w:val="0"/>
                      <w:bCs w:val="0"/>
                      <w:sz w:val="21"/>
                      <w:szCs w:val="21"/>
                      <w:u w:val="none"/>
                      <w:lang w:val="en-US" w:eastAsia="zh-CN"/>
                    </w:rPr>
                    <w:t>收集后外售给废品收购站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9" w:hRule="atLeast"/>
                <w:jc w:val="center"/>
              </w:trPr>
              <w:tc>
                <w:tcPr>
                  <w:tcW w:w="505"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ascii="Times New Roman" w:hAnsi="Times New Roman" w:cs="Times New Roman"/>
                      <w:sz w:val="21"/>
                      <w:szCs w:val="21"/>
                      <w:u w:val="none"/>
                      <w:lang w:val="en-US" w:eastAsia="zh-CN"/>
                    </w:rPr>
                    <w:t>3</w:t>
                  </w:r>
                </w:p>
              </w:tc>
              <w:tc>
                <w:tcPr>
                  <w:tcW w:w="1414"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废包装材料</w:t>
                  </w:r>
                </w:p>
              </w:tc>
              <w:tc>
                <w:tcPr>
                  <w:tcW w:w="930"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cs="Times New Roman"/>
                      <w:sz w:val="21"/>
                      <w:szCs w:val="21"/>
                      <w:u w:val="none"/>
                      <w:lang w:val="en-US" w:eastAsia="zh-CN"/>
                    </w:rPr>
                    <w:t>原料、成品</w:t>
                  </w:r>
                </w:p>
              </w:tc>
              <w:tc>
                <w:tcPr>
                  <w:tcW w:w="672" w:type="dxa"/>
                  <w:noWrap w:val="0"/>
                  <w:vAlign w:val="center"/>
                </w:tcPr>
                <w:p>
                  <w:pPr>
                    <w:adjustRightInd w:val="0"/>
                    <w:snapToGrid w:val="0"/>
                    <w:spacing w:line="240" w:lineRule="auto"/>
                    <w:jc w:val="center"/>
                    <w:rPr>
                      <w:rFonts w:ascii="Times New Roman" w:hAnsi="Times New Roman" w:cs="Times New Roman"/>
                      <w:sz w:val="21"/>
                      <w:szCs w:val="21"/>
                      <w:u w:val="none"/>
                    </w:rPr>
                  </w:pPr>
                  <w:r>
                    <w:rPr>
                      <w:rFonts w:hint="eastAsia" w:ascii="Times New Roman" w:hAnsi="Times New Roman" w:cs="Times New Roman"/>
                      <w:sz w:val="21"/>
                      <w:szCs w:val="21"/>
                      <w:u w:val="none"/>
                      <w:lang w:eastAsia="zh-CN"/>
                    </w:rPr>
                    <w:t>固态</w:t>
                  </w:r>
                </w:p>
              </w:tc>
              <w:tc>
                <w:tcPr>
                  <w:tcW w:w="988"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包装</w:t>
                  </w:r>
                  <w:r>
                    <w:rPr>
                      <w:rFonts w:hint="eastAsia" w:cs="Times New Roman"/>
                      <w:sz w:val="21"/>
                      <w:szCs w:val="21"/>
                      <w:u w:val="none"/>
                      <w:lang w:val="en-US" w:eastAsia="zh-CN"/>
                    </w:rPr>
                    <w:t>袋</w:t>
                  </w:r>
                </w:p>
              </w:tc>
              <w:tc>
                <w:tcPr>
                  <w:tcW w:w="701" w:type="dxa"/>
                  <w:vMerge w:val="continue"/>
                  <w:noWrap w:val="0"/>
                  <w:vAlign w:val="center"/>
                </w:tcPr>
                <w:p>
                  <w:pPr>
                    <w:adjustRightInd w:val="0"/>
                    <w:snapToGrid w:val="0"/>
                    <w:spacing w:line="240" w:lineRule="auto"/>
                    <w:jc w:val="center"/>
                    <w:rPr>
                      <w:rFonts w:ascii="Times New Roman" w:hAnsi="Times New Roman" w:cs="Times New Roman"/>
                      <w:sz w:val="21"/>
                      <w:szCs w:val="21"/>
                      <w:u w:val="none"/>
                      <w:lang w:eastAsia="zh-CN"/>
                    </w:rPr>
                  </w:pPr>
                </w:p>
              </w:tc>
              <w:tc>
                <w:tcPr>
                  <w:tcW w:w="814" w:type="dxa"/>
                  <w:noWrap w:val="0"/>
                  <w:vAlign w:val="center"/>
                </w:tcPr>
                <w:p>
                  <w:pPr>
                    <w:adjustRightInd w:val="0"/>
                    <w:snapToGrid w:val="0"/>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0.32</w:t>
                  </w:r>
                </w:p>
              </w:tc>
              <w:tc>
                <w:tcPr>
                  <w:tcW w:w="573" w:type="dxa"/>
                  <w:noWrap w:val="0"/>
                  <w:vAlign w:val="center"/>
                </w:tcPr>
                <w:p>
                  <w:pPr>
                    <w:adjustRightInd w:val="0"/>
                    <w:snapToGrid w:val="0"/>
                    <w:spacing w:line="240" w:lineRule="auto"/>
                    <w:jc w:val="center"/>
                    <w:rPr>
                      <w:rFonts w:ascii="Times New Roman" w:hAnsi="Times New Roman" w:cs="Times New Roman"/>
                      <w:sz w:val="21"/>
                      <w:szCs w:val="21"/>
                      <w:u w:val="none"/>
                    </w:rPr>
                  </w:pPr>
                  <w:r>
                    <w:rPr>
                      <w:rFonts w:ascii="Times New Roman" w:hAnsi="Times New Roman" w:cs="Times New Roman"/>
                      <w:sz w:val="21"/>
                      <w:szCs w:val="21"/>
                      <w:u w:val="none"/>
                    </w:rPr>
                    <w:t>t/a</w:t>
                  </w:r>
                </w:p>
              </w:tc>
              <w:tc>
                <w:tcPr>
                  <w:tcW w:w="1924" w:type="dxa"/>
                  <w:vMerge w:val="continue"/>
                  <w:noWrap w:val="0"/>
                  <w:vAlign w:val="center"/>
                </w:tcPr>
                <w:p>
                  <w:pPr>
                    <w:adjustRightInd w:val="0"/>
                    <w:snapToGrid w:val="0"/>
                    <w:spacing w:line="240" w:lineRule="auto"/>
                    <w:jc w:val="center"/>
                    <w:rPr>
                      <w:rFonts w:ascii="Times New Roman" w:hAnsi="Times New Roman" w:cs="Times New Roman"/>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505"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4</w:t>
                  </w:r>
                </w:p>
              </w:tc>
              <w:tc>
                <w:tcPr>
                  <w:tcW w:w="1414"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化粪池污泥</w:t>
                  </w:r>
                </w:p>
              </w:tc>
              <w:tc>
                <w:tcPr>
                  <w:tcW w:w="930"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化粪池</w:t>
                  </w:r>
                </w:p>
              </w:tc>
              <w:tc>
                <w:tcPr>
                  <w:tcW w:w="672"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半固态</w:t>
                  </w:r>
                </w:p>
              </w:tc>
              <w:tc>
                <w:tcPr>
                  <w:tcW w:w="988"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污泥</w:t>
                  </w:r>
                </w:p>
              </w:tc>
              <w:tc>
                <w:tcPr>
                  <w:tcW w:w="701" w:type="dxa"/>
                  <w:vMerge w:val="continue"/>
                  <w:noWrap w:val="0"/>
                  <w:vAlign w:val="center"/>
                </w:tcPr>
                <w:p>
                  <w:pPr>
                    <w:adjustRightInd w:val="0"/>
                    <w:snapToGrid w:val="0"/>
                    <w:spacing w:line="240" w:lineRule="auto"/>
                    <w:jc w:val="center"/>
                    <w:rPr>
                      <w:rFonts w:ascii="Times New Roman" w:hAnsi="Times New Roman" w:cs="Times New Roman"/>
                      <w:sz w:val="21"/>
                      <w:szCs w:val="21"/>
                      <w:u w:val="none"/>
                    </w:rPr>
                  </w:pPr>
                </w:p>
              </w:tc>
              <w:tc>
                <w:tcPr>
                  <w:tcW w:w="814" w:type="dxa"/>
                  <w:noWrap w:val="0"/>
                  <w:vAlign w:val="center"/>
                </w:tcPr>
                <w:p>
                  <w:pPr>
                    <w:adjustRightInd w:val="0"/>
                    <w:snapToGrid w:val="0"/>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0.36</w:t>
                  </w:r>
                </w:p>
              </w:tc>
              <w:tc>
                <w:tcPr>
                  <w:tcW w:w="573" w:type="dxa"/>
                  <w:noWrap w:val="0"/>
                  <w:vAlign w:val="center"/>
                </w:tcPr>
                <w:p>
                  <w:pPr>
                    <w:adjustRightInd w:val="0"/>
                    <w:snapToGrid w:val="0"/>
                    <w:spacing w:line="240" w:lineRule="auto"/>
                    <w:jc w:val="center"/>
                    <w:rPr>
                      <w:rFonts w:hint="default" w:ascii="Times New Roman" w:hAnsi="Times New Roman" w:eastAsia="宋体" w:cs="Times New Roman"/>
                      <w:sz w:val="21"/>
                      <w:szCs w:val="21"/>
                      <w:u w:val="none"/>
                      <w:lang w:val="en-US" w:eastAsia="zh-CN"/>
                    </w:rPr>
                  </w:pPr>
                  <w:r>
                    <w:rPr>
                      <w:rFonts w:ascii="Times New Roman" w:hAnsi="Times New Roman" w:cs="Times New Roman"/>
                      <w:sz w:val="21"/>
                      <w:szCs w:val="21"/>
                      <w:u w:val="none"/>
                    </w:rPr>
                    <w:t>t/a</w:t>
                  </w:r>
                </w:p>
              </w:tc>
              <w:tc>
                <w:tcPr>
                  <w:tcW w:w="1924"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ascii="Times New Roman" w:hAnsi="Times New Roman" w:cs="Times New Roman"/>
                      <w:sz w:val="21"/>
                      <w:szCs w:val="21"/>
                      <w:u w:val="none"/>
                      <w:lang w:eastAsia="zh-CN"/>
                    </w:rPr>
                    <w:t>交环卫部门统一清运处置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505" w:type="dxa"/>
                  <w:noWrap w:val="0"/>
                  <w:vAlign w:val="center"/>
                </w:tcPr>
                <w:p>
                  <w:pPr>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5</w:t>
                  </w:r>
                </w:p>
              </w:tc>
              <w:tc>
                <w:tcPr>
                  <w:tcW w:w="1414"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废活性炭</w:t>
                  </w:r>
                  <w:r>
                    <w:rPr>
                      <w:rFonts w:hint="eastAsia" w:cs="Times New Roman"/>
                      <w:sz w:val="21"/>
                      <w:szCs w:val="21"/>
                      <w:u w:val="none"/>
                      <w:lang w:eastAsia="zh-CN"/>
                    </w:rPr>
                    <w:t>（</w:t>
                  </w:r>
                  <w:r>
                    <w:rPr>
                      <w:rFonts w:hint="eastAsia" w:cs="Times New Roman"/>
                      <w:sz w:val="21"/>
                      <w:szCs w:val="21"/>
                      <w:u w:val="none"/>
                      <w:lang w:val="en-US" w:eastAsia="zh-CN"/>
                    </w:rPr>
                    <w:t>HW49</w:t>
                  </w:r>
                  <w:r>
                    <w:rPr>
                      <w:rFonts w:hint="eastAsia" w:cs="Times New Roman"/>
                      <w:sz w:val="21"/>
                      <w:szCs w:val="21"/>
                      <w:u w:val="none"/>
                      <w:lang w:eastAsia="zh-CN"/>
                    </w:rPr>
                    <w:t>）</w:t>
                  </w:r>
                </w:p>
              </w:tc>
              <w:tc>
                <w:tcPr>
                  <w:tcW w:w="930"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二级活性炭吸附装置</w:t>
                  </w:r>
                </w:p>
              </w:tc>
              <w:tc>
                <w:tcPr>
                  <w:tcW w:w="672"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固态</w:t>
                  </w:r>
                </w:p>
              </w:tc>
              <w:tc>
                <w:tcPr>
                  <w:tcW w:w="988"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非甲烷总烃</w:t>
                  </w:r>
                </w:p>
              </w:tc>
              <w:tc>
                <w:tcPr>
                  <w:tcW w:w="701" w:type="dxa"/>
                  <w:noWrap w:val="0"/>
                  <w:vAlign w:val="center"/>
                </w:tcPr>
                <w:p>
                  <w:pPr>
                    <w:adjustRightInd w:val="0"/>
                    <w:snapToGrid w:val="0"/>
                    <w:spacing w:line="240" w:lineRule="auto"/>
                    <w:jc w:val="center"/>
                    <w:rPr>
                      <w:rFonts w:hint="eastAsia"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危险固体废物</w:t>
                  </w:r>
                </w:p>
              </w:tc>
              <w:tc>
                <w:tcPr>
                  <w:tcW w:w="814" w:type="dxa"/>
                  <w:noWrap w:val="0"/>
                  <w:vAlign w:val="center"/>
                </w:tcPr>
                <w:p>
                  <w:pPr>
                    <w:adjustRightInd w:val="0"/>
                    <w:snapToGrid w:val="0"/>
                    <w:spacing w:line="240" w:lineRule="auto"/>
                    <w:jc w:val="center"/>
                    <w:rPr>
                      <w:rFonts w:hint="default" w:ascii="Times New Roman" w:hAnsi="Times New Roman" w:cs="Times New Roman"/>
                      <w:sz w:val="21"/>
                      <w:szCs w:val="21"/>
                      <w:u w:val="none"/>
                      <w:lang w:val="en-US" w:eastAsia="zh-CN"/>
                    </w:rPr>
                  </w:pPr>
                  <w:r>
                    <w:rPr>
                      <w:rFonts w:hint="eastAsia" w:cs="Times New Roman"/>
                      <w:sz w:val="21"/>
                      <w:szCs w:val="21"/>
                      <w:u w:val="none"/>
                      <w:lang w:val="en-US" w:eastAsia="zh-CN"/>
                    </w:rPr>
                    <w:t>0.748</w:t>
                  </w:r>
                </w:p>
              </w:tc>
              <w:tc>
                <w:tcPr>
                  <w:tcW w:w="573" w:type="dxa"/>
                  <w:noWrap w:val="0"/>
                  <w:vAlign w:val="center"/>
                </w:tcPr>
                <w:p>
                  <w:pPr>
                    <w:adjustRightInd w:val="0"/>
                    <w:snapToGrid w:val="0"/>
                    <w:spacing w:line="240" w:lineRule="auto"/>
                    <w:jc w:val="center"/>
                    <w:rPr>
                      <w:rFonts w:ascii="Times New Roman" w:hAnsi="Times New Roman" w:cs="Times New Roman"/>
                      <w:sz w:val="21"/>
                      <w:szCs w:val="21"/>
                      <w:u w:val="none"/>
                    </w:rPr>
                  </w:pPr>
                  <w:r>
                    <w:rPr>
                      <w:rFonts w:hint="eastAsia" w:cs="Times New Roman"/>
                      <w:sz w:val="21"/>
                      <w:szCs w:val="21"/>
                      <w:u w:val="none"/>
                      <w:lang w:val="en-US" w:eastAsia="zh-CN"/>
                    </w:rPr>
                    <w:t>t</w:t>
                  </w:r>
                  <w:r>
                    <w:rPr>
                      <w:rFonts w:hint="eastAsia" w:ascii="Times New Roman" w:hAnsi="Times New Roman" w:cs="Times New Roman"/>
                      <w:sz w:val="21"/>
                      <w:szCs w:val="21"/>
                      <w:u w:val="none"/>
                      <w:lang w:val="en-US" w:eastAsia="zh-CN"/>
                    </w:rPr>
                    <w:t>/a</w:t>
                  </w:r>
                </w:p>
              </w:tc>
              <w:tc>
                <w:tcPr>
                  <w:tcW w:w="1924" w:type="dxa"/>
                  <w:noWrap w:val="0"/>
                  <w:vAlign w:val="center"/>
                </w:tcPr>
                <w:p>
                  <w:pPr>
                    <w:adjustRightInd w:val="0"/>
                    <w:snapToGrid w:val="0"/>
                    <w:spacing w:line="240" w:lineRule="auto"/>
                    <w:jc w:val="center"/>
                    <w:rPr>
                      <w:rFonts w:ascii="Times New Roman" w:hAnsi="Times New Roman" w:cs="Times New Roman"/>
                      <w:sz w:val="21"/>
                      <w:szCs w:val="21"/>
                      <w:u w:val="none"/>
                      <w:lang w:eastAsia="zh-CN"/>
                    </w:rPr>
                  </w:pPr>
                  <w:r>
                    <w:rPr>
                      <w:rFonts w:hint="eastAsia" w:ascii="Times New Roman" w:hAnsi="Times New Roman" w:cs="Times New Roman"/>
                      <w:sz w:val="21"/>
                      <w:szCs w:val="21"/>
                      <w:u w:val="none"/>
                      <w:lang w:eastAsia="zh-CN"/>
                    </w:rPr>
                    <w:t>暂存于危废暂存间，后交由有资质部门统一处理</w:t>
                  </w:r>
                </w:p>
              </w:tc>
            </w:tr>
          </w:tbl>
          <w:p>
            <w:pPr>
              <w:keepNext w:val="0"/>
              <w:keepLines w:val="0"/>
              <w:pageBreakBefore w:val="0"/>
              <w:widowControl w:val="0"/>
              <w:kinsoku/>
              <w:wordWrap/>
              <w:overflowPunct/>
              <w:topLinePunct w:val="0"/>
              <w:autoSpaceDE/>
              <w:autoSpaceDN/>
              <w:bidi w:val="0"/>
              <w:spacing w:line="520" w:lineRule="exact"/>
              <w:jc w:val="left"/>
              <w:textAlignment w:val="auto"/>
              <w:rPr>
                <w:rFonts w:hint="eastAsia" w:ascii="Times New Roman" w:hAnsi="宋体" w:eastAsia="宋体" w:cs="Times New Roman"/>
                <w:b/>
                <w:bCs w:val="0"/>
                <w:sz w:val="24"/>
                <w:lang w:val="en-US" w:eastAsia="zh-CN"/>
              </w:rPr>
            </w:pPr>
            <w:r>
              <w:rPr>
                <w:rFonts w:hint="eastAsia" w:ascii="Times New Roman" w:hAnsi="宋体" w:eastAsia="宋体" w:cs="Times New Roman"/>
                <w:b/>
                <w:bCs w:val="0"/>
                <w:sz w:val="24"/>
                <w:lang w:val="en-US" w:eastAsia="zh-CN"/>
              </w:rPr>
              <w:t>4.2、一般固废处理措施及环境管理要求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cs="Times New Roman"/>
                <w:sz w:val="24"/>
                <w:szCs w:val="24"/>
                <w:lang w:eastAsia="zh-CN"/>
              </w:rPr>
            </w:pPr>
            <w:r>
              <w:rPr>
                <w:rFonts w:hint="eastAsia" w:ascii="Times New Roman" w:hAnsi="Times New Roman" w:cs="Times New Roman"/>
                <w:b w:val="0"/>
                <w:bCs w:val="0"/>
                <w:sz w:val="24"/>
                <w:szCs w:val="24"/>
                <w:u w:val="none"/>
              </w:rPr>
              <w:t>一般工业固废处理要按照《一般工业固体废物贮存和填埋污染控制标准》（GB18599-2020）的要求设置暂存场所</w:t>
            </w:r>
            <w:r>
              <w:rPr>
                <w:rFonts w:hint="eastAsia" w:ascii="Times New Roman" w:hAnsi="Times New Roman" w:cs="Times New Roman"/>
                <w:b w:val="0"/>
                <w:bCs w:val="0"/>
                <w:sz w:val="24"/>
                <w:szCs w:val="24"/>
                <w:u w:val="none"/>
                <w:lang w:eastAsia="zh-CN"/>
              </w:rPr>
              <w:t>，本项目设置一般固废暂存间</w:t>
            </w:r>
            <w:r>
              <w:rPr>
                <w:rFonts w:hint="eastAsia" w:ascii="Times New Roman" w:hAnsi="Times New Roman" w:cs="Times New Roman"/>
                <w:b w:val="0"/>
                <w:bCs w:val="0"/>
                <w:sz w:val="24"/>
                <w:szCs w:val="24"/>
                <w:u w:val="none"/>
                <w:lang w:val="en-US" w:eastAsia="zh-CN"/>
              </w:rPr>
              <w:t>1</w:t>
            </w:r>
            <w:r>
              <w:rPr>
                <w:rFonts w:hint="eastAsia" w:cs="Times New Roman"/>
                <w:b w:val="0"/>
                <w:bCs w:val="0"/>
                <w:sz w:val="24"/>
                <w:szCs w:val="24"/>
                <w:u w:val="none"/>
                <w:lang w:val="en-US" w:eastAsia="zh-CN"/>
              </w:rPr>
              <w:t>0</w:t>
            </w:r>
            <w:r>
              <w:rPr>
                <w:rFonts w:hint="eastAsia" w:ascii="Times New Roman" w:hAnsi="Times New Roman" w:cs="Times New Roman"/>
                <w:b w:val="0"/>
                <w:bCs w:val="0"/>
                <w:sz w:val="24"/>
                <w:szCs w:val="24"/>
                <w:u w:val="none"/>
                <w:lang w:val="en-US" w:eastAsia="zh-CN"/>
              </w:rPr>
              <w:t>㎡，位于</w:t>
            </w:r>
            <w:r>
              <w:rPr>
                <w:rFonts w:hint="eastAsia" w:cs="Times New Roman"/>
                <w:b w:val="0"/>
                <w:bCs w:val="0"/>
                <w:sz w:val="24"/>
                <w:szCs w:val="24"/>
                <w:u w:val="none"/>
                <w:lang w:val="en-US" w:eastAsia="zh-CN"/>
              </w:rPr>
              <w:t>成品区</w:t>
            </w:r>
            <w:r>
              <w:rPr>
                <w:rFonts w:hint="eastAsia" w:ascii="Times New Roman" w:hAnsi="Times New Roman" w:cs="Times New Roman"/>
                <w:b w:val="0"/>
                <w:bCs w:val="0"/>
                <w:sz w:val="24"/>
                <w:szCs w:val="24"/>
                <w:u w:val="none"/>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cs="Times New Roman"/>
                <w:sz w:val="24"/>
                <w:szCs w:val="24"/>
                <w:lang w:eastAsia="zh-CN"/>
              </w:rPr>
            </w:pPr>
            <w:r>
              <w:rPr>
                <w:rFonts w:hint="eastAsia" w:ascii="Times New Roman" w:hAnsi="Times New Roman" w:cs="Times New Roman"/>
                <w:b w:val="0"/>
                <w:bCs w:val="0"/>
                <w:sz w:val="24"/>
                <w:szCs w:val="24"/>
                <w:u w:val="none"/>
              </w:rPr>
              <w:t>不得露天堆放，防止雨水进入产生二次污染。一般工业固体废物临时贮存仓库按照《一般工业固体废物贮存和填埋污染控制标准》（GB18599-2020）Ⅱ类场标准相关要求建设，地面基础及内墙采取防渗措施，使用防水混凝土。一般固体废物按照不同的类别和性质，分区堆放。通过规范设置固体废物暂存场，同时建立完善厂内固体废物防范措施和管理制度，可使固体废物在收集、存放过程中对环境的影响至最低限度</w:t>
            </w:r>
            <w:r>
              <w:rPr>
                <w:rFonts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rPr>
                <w:rFonts w:ascii="Times New Roman" w:hAnsi="Times New Roman" w:cs="Times New Roman"/>
                <w:sz w:val="24"/>
                <w:szCs w:val="24"/>
                <w:lang w:eastAsia="zh-CN"/>
              </w:rPr>
            </w:pPr>
            <w:r>
              <w:rPr>
                <w:rFonts w:ascii="Times New Roman" w:hAnsi="Times New Roman" w:cs="Times New Roman"/>
                <w:sz w:val="24"/>
                <w:szCs w:val="24"/>
                <w:lang w:eastAsia="zh-CN"/>
              </w:rPr>
              <w:t>通过以上措施，</w:t>
            </w:r>
            <w:r>
              <w:rPr>
                <w:rFonts w:ascii="Times New Roman" w:hAnsi="Times New Roman" w:cs="Times New Roman"/>
                <w:b w:val="0"/>
                <w:bCs w:val="0"/>
                <w:sz w:val="24"/>
                <w:szCs w:val="24"/>
                <w:u w:val="none"/>
              </w:rPr>
              <w:t>项目产生的固体废物通过以上措施处理后，可以得到及时、妥善的处理和处置，不会产生二次污染，对周围环境无明显影响</w:t>
            </w:r>
            <w:r>
              <w:rPr>
                <w:rFonts w:ascii="Times New Roman" w:hAnsi="Times New Roman" w:cs="Times New Roman"/>
                <w:sz w:val="24"/>
                <w:szCs w:val="24"/>
                <w:lang w:eastAsia="zh-CN"/>
              </w:rPr>
              <w:t>。</w:t>
            </w:r>
          </w:p>
          <w:p>
            <w:pPr>
              <w:pStyle w:val="2"/>
              <w:keepNext/>
              <w:keepLines w:val="0"/>
              <w:pageBreakBefore w:val="0"/>
              <w:widowControl w:val="0"/>
              <w:kinsoku/>
              <w:wordWrap/>
              <w:overflowPunct w:val="0"/>
              <w:topLinePunct w:val="0"/>
              <w:autoSpaceDE/>
              <w:autoSpaceDN/>
              <w:bidi w:val="0"/>
              <w:adjustRightInd/>
              <w:snapToGrid w:val="0"/>
              <w:spacing w:line="520" w:lineRule="exact"/>
              <w:ind w:left="0" w:firstLine="0"/>
              <w:textAlignment w:val="auto"/>
              <w:rPr>
                <w:rFonts w:hint="eastAsia" w:ascii="Times New Roman" w:hAnsi="宋体" w:eastAsia="宋体" w:cs="Times New Roman"/>
                <w:bCs/>
                <w:sz w:val="24"/>
                <w:lang w:val="en-US" w:eastAsia="zh-CN"/>
              </w:rPr>
            </w:pPr>
            <w:r>
              <w:rPr>
                <w:rFonts w:hint="default" w:ascii="Times New Roman" w:hAnsi="Times New Roman" w:eastAsia="宋体" w:cs="Times New Roman"/>
                <w:sz w:val="24"/>
                <w:szCs w:val="24"/>
                <w:lang w:val="en-US" w:eastAsia="zh-CN"/>
              </w:rPr>
              <w:t>4.3、危险废物暂存</w:t>
            </w:r>
            <w:r>
              <w:rPr>
                <w:rFonts w:hint="eastAsia" w:ascii="Times New Roman" w:hAnsi="宋体" w:eastAsia="宋体" w:cs="Times New Roman"/>
                <w:b/>
                <w:bCs w:val="0"/>
                <w:sz w:val="24"/>
                <w:lang w:val="en-US" w:eastAsia="zh-CN"/>
              </w:rPr>
              <w:t>措施及环境管理要求</w:t>
            </w:r>
          </w:p>
          <w:p>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eastAsia" w:ascii="Times New Roman" w:hAnsi="宋体" w:eastAsia="宋体" w:cs="Times New Roman"/>
                <w:bCs/>
                <w:sz w:val="24"/>
                <w:lang w:eastAsia="zh-CN"/>
              </w:rPr>
            </w:pPr>
            <w:r>
              <w:rPr>
                <w:rFonts w:hint="eastAsia" w:ascii="Times New Roman" w:hAnsi="宋体" w:eastAsia="宋体" w:cs="Times New Roman"/>
                <w:bCs/>
                <w:sz w:val="24"/>
                <w:lang w:eastAsia="zh-CN"/>
              </w:rPr>
              <w:t>评价建议项目设危废暂存间一座</w:t>
            </w:r>
            <w:r>
              <w:rPr>
                <w:rFonts w:hint="eastAsia" w:ascii="Times New Roman" w:hAnsi="宋体" w:eastAsia="宋体" w:cs="Times New Roman"/>
                <w:bCs/>
                <w:sz w:val="24"/>
                <w:lang w:val="en-US" w:eastAsia="zh-CN"/>
              </w:rPr>
              <w:t>10m</w:t>
            </w:r>
            <w:r>
              <w:rPr>
                <w:rFonts w:hint="eastAsia" w:ascii="Times New Roman" w:hAnsi="宋体" w:eastAsia="宋体" w:cs="Times New Roman"/>
                <w:bCs/>
                <w:sz w:val="24"/>
                <w:vertAlign w:val="superscript"/>
                <w:lang w:val="en-US" w:eastAsia="zh-CN"/>
              </w:rPr>
              <w:t>2</w:t>
            </w:r>
            <w:r>
              <w:rPr>
                <w:rFonts w:hint="eastAsia" w:ascii="Times New Roman" w:hAnsi="宋体" w:eastAsia="宋体" w:cs="Times New Roman"/>
                <w:bCs/>
                <w:sz w:val="24"/>
                <w:lang w:val="en-US" w:eastAsia="zh-CN"/>
              </w:rPr>
              <w:t>，</w:t>
            </w:r>
            <w:r>
              <w:rPr>
                <w:rFonts w:hint="eastAsia" w:ascii="Times New Roman" w:hAnsi="Times New Roman" w:cs="Times New Roman"/>
                <w:color w:val="auto"/>
                <w:sz w:val="24"/>
                <w:szCs w:val="24"/>
                <w:u w:val="none"/>
                <w:lang w:val="en-US" w:eastAsia="zh-CN"/>
              </w:rPr>
              <w:t>危废暂存间严格按照《危险废物贮存污染控制标准》（GB 18597-2023）的规定进行建设，作好四防“防渗漏、防雨、防风、防晒 ”措施，实行双人上锁管理，并张贴危废标识牌。危险废物需采用不同的收集桶收集（带盖且密封良好），分区暂存，并粘贴各自危废标签，设置警示标志，加强管理做好危废管理台账</w:t>
            </w:r>
            <w:r>
              <w:rPr>
                <w:rFonts w:hint="eastAsia" w:ascii="Times New Roman" w:hAnsi="宋体" w:eastAsia="宋体" w:cs="Times New Roman"/>
                <w:bCs/>
                <w:sz w:val="24"/>
                <w:lang w:eastAsia="zh-CN"/>
              </w:rPr>
              <w:t>。</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①危废暂存间选址</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项目危废暂存间须满足《危险废物贮存污染控制标准》（GB 18597-2023）中关于危险废物集中贮存设施的选址的要求。</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②危险废物的收集</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项目危险废物收集须严格按照《危险废物收集贮存运输技术规范》（HJ2025-2012）的要求：A、根据危险废物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B、制定危险废物收集操作规程，内容包括适用范围、操作程序和方法、专用设备和工具、转移和交接、安全保障和应急防护等。C、危险废物收集和转运作业人员根据工作需要配备必要的个人防护装备，如手套、防护镜、防护服、防毒面具或口罩等。D、危险废物收集时应根据危险废物的种类、数量、危险特性、物理形态、运输要求等因素选择加盖密封的容器进行收集。</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③危险废物的暂存要求</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I危险废物在危废暂存间内暂存期间应严格按照《危险废物贮存污染控制标准》（GB 18597-2023）要求贮存，必须将危险废物装入容器内进行密封装运，禁止将不相容（相互反应）的危险废物在同一容器内混装；盛装危险废物的容器应当符合标准，材质要满足相应的强度要求且必须完好无损，容器材质和衬里要与危险废物相容（不相互反应）；危险废物贮存前应进行检验，确保同预定接收的危险废物一致，并登记注册，不得接收未粘贴符合规定的标签或标签没按规定填写的危险废物；必须定期对所贮存的危险废物包装容器及贮存设施进行检查，发现破损，应及时采取措施清理更换。II根据《危险废物贮存污染控制标准》（GB 18597-2023）和《危险废物收集贮存运输技术规范》（HJ2025-2012）的相关要求，危险废物储存间采取如下措施：A、危废暂存间地面基础应采取防渗措施，暂存场所要达到防渗漏、防流失、防扬散、防雨淋的要求；B、危废暂存间地面与裙脚应用坚固、防渗的材料建造，建筑材料必须与危险废物相容。III企业须健全危险废物相关管理制度，并严格落实。A、企业须配备专业技术人员和管理人员专门负责企业危险废物统计、收集、暂存、转运和管理工作，并对有关危废产生部门员工进行定期教育和培训，强化危险废物管理；B、企业须建立危险废物收集操作规程、危险废物转运操作规程、危险废物暂存管理规程 等相关制度，并认真落实；C、企业须对危险废物储运场所张贴警示标示，危险废物包装物张贴警示标签；D、规范危险废物统计、建立危险废物收集及储运有关档案，认真填写《危险废物项目区内转运记录表》，作好危险废物情况的记录，记录上须注明危险废物的名称、来源、数量、特性和包装容器的类别、入库日期、存放库位、废物出库日期及接收单位名称等，并即时存档以备查阅。</w:t>
            </w:r>
          </w:p>
          <w:p>
            <w:pPr>
              <w:adjustRightInd w:val="0"/>
              <w:snapToGrid w:val="0"/>
              <w:spacing w:line="360" w:lineRule="auto"/>
              <w:ind w:firstLine="480" w:firstLineChars="200"/>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④危险废物的转运要求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sz w:val="24"/>
                <w:szCs w:val="24"/>
              </w:rPr>
            </w:pPr>
            <w:r>
              <w:rPr>
                <w:rFonts w:hint="eastAsia" w:ascii="Times New Roman" w:hAnsi="Times New Roman" w:cs="Times New Roman"/>
                <w:color w:val="auto"/>
                <w:sz w:val="24"/>
                <w:szCs w:val="24"/>
                <w:u w:val="none"/>
                <w:lang w:val="en-US" w:eastAsia="zh-CN"/>
              </w:rPr>
              <w:t>项目危险废物转运过程中采取篷布遮盖、防滴漏等措施，减少危险废物运输过程给环境带来污染。危险废物的转运还按照《危险废物收集贮存运输技术规范》（HJ2025-2012）的要求进行，具体如下：I危险废物的运输由持有危险废物经营许可证的单位组织实施，并按照相关危险货物运输管理规定执行；II项目危险废物运输采用公路运输方式，应按照《道路危险货物运输管理规定》（交通运输部令2013年第2号）执行。运输单位承运危险废物时，应在危险废物包装上按照GB18597附录A设置标志，运输车辆应按GB13392设立车辆标志。危废运输车辆应配备符合有关国家标准以及与所载运的危险货物相适应的应急处理器材和安全防护设备。III危险废物运输时的装卸应遵照如下技术要求：装卸区的工作人员应熟悉危险废物的危险特性，并配备适当的个人防护装备，如橡胶手套、防护服和口罩。装卸区域应配备必要的消防设备和设施，并设置明显的指示标志。装卸区域应设置隔离设施。IV危险废物转移过程严格落实《危险废物转移管理办法》 的相关规定，规范危险废物转移；A对承运人或者接受人的主体资格和技术能力进行核实，依法签订书面合同，并在合同中约定运输、贮存、利用、处置危险废物的污染防治要求及相关责任；B制定危险废物管理计划，明确拟转移危险废物的种类、重量（数量）和流向等信息；C建立危险废物管理台账，对转移的危险废物进行计量称重，如实记录、妥善保管转移危险废物的种类、重量（数量）和接受人等相关信息；D填写、运行危险废物转移联单，在危险废物转移联单中如实填写移出人、承运人、接受人信息，转移危险废物的种类、重量（数量）、危险特性等信息，以及突发环境事件的防范措施等；E及时核实接受人贮存、利用  或者处置相关危险废物情况。V废物处置单位的运输人员必须掌握危险废物运输的安全知识，了解所运载的危险废物的性质、危害特性、包装容器的使用特性和发生意外时的应急措施，运输车辆必须具有车辆危险货物运输许可证</w:t>
            </w:r>
            <w:r>
              <w:rPr>
                <w:rFonts w:ascii="Times New Roman" w:hAnsi="Times New Roman"/>
                <w:color w:val="auto"/>
                <w:sz w:val="24"/>
                <w:szCs w:val="24"/>
              </w:rPr>
              <w:t>。</w:t>
            </w:r>
          </w:p>
          <w:p>
            <w:pPr>
              <w:pStyle w:val="53"/>
              <w:keepNext w:val="0"/>
              <w:keepLines w:val="0"/>
              <w:pageBreakBefore w:val="0"/>
              <w:widowControl w:val="0"/>
              <w:numPr>
                <w:ilvl w:val="0"/>
                <w:numId w:val="0"/>
              </w:numPr>
              <w:kinsoku/>
              <w:wordWrap/>
              <w:overflowPunct/>
              <w:topLinePunct w:val="0"/>
              <w:autoSpaceDE/>
              <w:autoSpaceDN/>
              <w:bidi w:val="0"/>
              <w:spacing w:line="520" w:lineRule="exact"/>
              <w:ind w:left="0" w:leftChars="0" w:firstLine="0" w:firstLineChars="0"/>
              <w:textAlignment w:val="auto"/>
              <w:rPr>
                <w:rFonts w:ascii="Times New Roman" w:hAnsi="Times New Roman" w:cs="Times New Roman"/>
                <w:b/>
                <w:bCs/>
                <w:sz w:val="24"/>
                <w:szCs w:val="24"/>
                <w:lang w:eastAsia="zh-CN"/>
              </w:rPr>
            </w:pPr>
            <w:r>
              <w:rPr>
                <w:rFonts w:ascii="Times New Roman" w:hAnsi="Times New Roman" w:eastAsia="宋体" w:cs="Times New Roman"/>
                <w:b/>
                <w:bCs/>
                <w:kern w:val="2"/>
                <w:sz w:val="24"/>
                <w:szCs w:val="24"/>
                <w:lang w:val="en-US" w:eastAsia="zh-CN" w:bidi="ar-SA"/>
              </w:rPr>
              <w:t>5、</w:t>
            </w:r>
            <w:r>
              <w:rPr>
                <w:rFonts w:ascii="Times New Roman" w:hAnsi="Times New Roman" w:cs="Times New Roman"/>
                <w:b/>
                <w:bCs/>
                <w:sz w:val="24"/>
                <w:szCs w:val="24"/>
                <w:lang w:eastAsia="zh-CN"/>
              </w:rPr>
              <w:t>运营期地下水、土壤环境影响分析</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lang w:eastAsia="zh-CN"/>
              </w:rPr>
            </w:pPr>
            <w:r>
              <w:rPr>
                <w:rFonts w:hint="default" w:ascii="Times New Roman" w:hAnsi="Times New Roman" w:cs="Times New Roman"/>
                <w:b w:val="0"/>
                <w:bCs w:val="0"/>
                <w:sz w:val="24"/>
                <w:szCs w:val="24"/>
              </w:rPr>
              <w:t>对于本项目污染防治措施，按照“源头控制、分区防治、污染监控、应急响应”相结合的原则，从污染物的产生、入渗、扩散、应急响应进行控制，具体措施如下</w:t>
            </w:r>
            <w:r>
              <w:rPr>
                <w:rFonts w:hint="eastAsia" w:cs="Times New Roman"/>
                <w:b w:val="0"/>
                <w:bCs w:val="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（1）源头控制</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加强</w:t>
            </w:r>
            <w:r>
              <w:rPr>
                <w:rFonts w:hint="eastAsia" w:ascii="Times New Roman" w:hAnsi="Times New Roman" w:cs="Times New Roman"/>
                <w:b w:val="0"/>
                <w:bCs w:val="0"/>
                <w:sz w:val="24"/>
                <w:szCs w:val="24"/>
                <w:lang w:eastAsia="zh-CN"/>
              </w:rPr>
              <w:t>废活性炭</w:t>
            </w:r>
            <w:r>
              <w:rPr>
                <w:rFonts w:hint="default" w:ascii="Times New Roman" w:hAnsi="Times New Roman" w:cs="Times New Roman"/>
                <w:b w:val="0"/>
                <w:bCs w:val="0"/>
                <w:sz w:val="24"/>
                <w:szCs w:val="24"/>
              </w:rPr>
              <w:t>的管理妥善存放，防止</w:t>
            </w:r>
            <w:r>
              <w:rPr>
                <w:rFonts w:hint="eastAsia" w:ascii="Times New Roman" w:hAnsi="Times New Roman" w:cs="Times New Roman"/>
                <w:b w:val="0"/>
                <w:bCs w:val="0"/>
                <w:sz w:val="24"/>
                <w:szCs w:val="24"/>
                <w:lang w:eastAsia="zh-CN"/>
              </w:rPr>
              <w:t>存放</w:t>
            </w:r>
            <w:r>
              <w:rPr>
                <w:rFonts w:hint="default" w:ascii="Times New Roman" w:hAnsi="Times New Roman" w:cs="Times New Roman"/>
                <w:b w:val="0"/>
                <w:bCs w:val="0"/>
                <w:sz w:val="24"/>
                <w:szCs w:val="24"/>
              </w:rPr>
              <w:t>容器破裂或倾倒，造成泄漏，地面须作硬化防渗处理。</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（2）分区防治措施</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根据本项目的特点，本项目厂区应实行分区防渗，按不同影响程度将厂区划分为重点防渗区和一般防渗区。</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2"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bCs/>
                <w:sz w:val="24"/>
                <w:szCs w:val="24"/>
              </w:rPr>
              <w:t>一般防渗区：</w:t>
            </w:r>
            <w:r>
              <w:rPr>
                <w:rFonts w:hint="default" w:ascii="Times New Roman" w:hAnsi="Times New Roman" w:cs="Times New Roman"/>
                <w:b w:val="0"/>
                <w:bCs w:val="0"/>
                <w:sz w:val="24"/>
                <w:szCs w:val="24"/>
                <w:u w:val="none"/>
              </w:rPr>
              <w:t>主要为生产车间</w:t>
            </w:r>
            <w:r>
              <w:rPr>
                <w:rFonts w:hint="eastAsia" w:ascii="Times New Roman" w:hAnsi="Times New Roman" w:cs="Times New Roman"/>
                <w:b w:val="0"/>
                <w:bCs w:val="0"/>
                <w:sz w:val="24"/>
                <w:szCs w:val="24"/>
                <w:u w:val="none"/>
                <w:lang w:eastAsia="zh-CN"/>
              </w:rPr>
              <w:t>（除重点防渗区外）</w:t>
            </w:r>
            <w:r>
              <w:rPr>
                <w:rFonts w:hint="default" w:ascii="Times New Roman" w:hAnsi="Times New Roman" w:cs="Times New Roman"/>
                <w:b w:val="0"/>
                <w:bCs w:val="0"/>
                <w:sz w:val="24"/>
                <w:szCs w:val="24"/>
                <w:u w:val="none"/>
              </w:rPr>
              <w:t>、</w:t>
            </w:r>
            <w:r>
              <w:rPr>
                <w:rFonts w:hint="eastAsia" w:ascii="Times New Roman" w:hAnsi="Times New Roman" w:cs="Times New Roman"/>
                <w:b w:val="0"/>
                <w:bCs w:val="0"/>
                <w:sz w:val="24"/>
                <w:szCs w:val="24"/>
                <w:u w:val="none"/>
                <w:lang w:eastAsia="zh-CN"/>
              </w:rPr>
              <w:t>化粪池和</w:t>
            </w:r>
            <w:r>
              <w:rPr>
                <w:rFonts w:hint="default" w:ascii="Times New Roman" w:hAnsi="Times New Roman" w:cs="Times New Roman"/>
                <w:b w:val="0"/>
                <w:bCs w:val="0"/>
                <w:sz w:val="24"/>
                <w:szCs w:val="24"/>
                <w:u w:val="none"/>
              </w:rPr>
              <w:t>一般固废暂存间</w:t>
            </w:r>
            <w:r>
              <w:rPr>
                <w:rFonts w:hint="default" w:ascii="Times New Roman" w:hAnsi="Times New Roman" w:cs="Times New Roman"/>
                <w:b w:val="0"/>
                <w:bCs w:val="0"/>
                <w:sz w:val="24"/>
                <w:szCs w:val="24"/>
              </w:rPr>
              <w:t>。一般防渗区参照《一般工业固废贮存、处置场污染控制标准》（GB18599-2020）的相关要求进行防渗设计，防渗层采用抗渗混凝土，防渗性能应相当于渗透系数 1.0×10</w:t>
            </w:r>
            <w:r>
              <w:rPr>
                <w:rFonts w:hint="default" w:ascii="Times New Roman" w:hAnsi="Times New Roman" w:cs="Times New Roman"/>
                <w:b w:val="0"/>
                <w:bCs w:val="0"/>
                <w:sz w:val="24"/>
                <w:szCs w:val="24"/>
                <w:vertAlign w:val="superscript"/>
              </w:rPr>
              <w:t>-7</w:t>
            </w:r>
            <w:r>
              <w:rPr>
                <w:rFonts w:hint="default" w:ascii="Times New Roman" w:hAnsi="Times New Roman" w:cs="Times New Roman"/>
                <w:b w:val="0"/>
                <w:bCs w:val="0"/>
                <w:sz w:val="24"/>
                <w:szCs w:val="24"/>
              </w:rPr>
              <w:t>cm/s 和厚度1.5m的黏土层的防渗性能。</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2"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bCs/>
                <w:sz w:val="24"/>
                <w:szCs w:val="24"/>
              </w:rPr>
              <w:t>重点防渗区：</w:t>
            </w:r>
            <w:r>
              <w:rPr>
                <w:rFonts w:hint="default" w:ascii="Times New Roman" w:hAnsi="Times New Roman" w:cs="Times New Roman"/>
                <w:b w:val="0"/>
                <w:bCs w:val="0"/>
                <w:sz w:val="24"/>
                <w:szCs w:val="24"/>
              </w:rPr>
              <w:t>主要为危险废物暂存间，严格按照《危险废物贮存污染控制标准》（GB18597-2023）的要求规范建设，防渗措施可满足防渗要求，渗透系数≤10</w:t>
            </w:r>
            <w:r>
              <w:rPr>
                <w:rFonts w:hint="default" w:ascii="Times New Roman" w:hAnsi="Times New Roman" w:cs="Times New Roman"/>
                <w:b w:val="0"/>
                <w:bCs w:val="0"/>
                <w:sz w:val="24"/>
                <w:szCs w:val="24"/>
                <w:vertAlign w:val="superscript"/>
              </w:rPr>
              <w:t>-10</w:t>
            </w:r>
            <w:r>
              <w:rPr>
                <w:rFonts w:hint="default" w:ascii="Times New Roman" w:hAnsi="Times New Roman" w:cs="Times New Roman"/>
                <w:b w:val="0"/>
                <w:bCs w:val="0"/>
                <w:sz w:val="24"/>
                <w:szCs w:val="24"/>
              </w:rPr>
              <w:t>cm/s，危险废物贮存设施的地面与裙脚用坚固、防渗的材料建造，建筑材料与危险废物相容（即不相互反应）。</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另外，本项目厂区地面</w:t>
            </w:r>
            <w:r>
              <w:rPr>
                <w:rFonts w:hint="eastAsia" w:ascii="Times New Roman" w:hAnsi="Times New Roman" w:cs="Times New Roman"/>
                <w:b w:val="0"/>
                <w:bCs w:val="0"/>
                <w:sz w:val="24"/>
                <w:szCs w:val="24"/>
                <w:lang w:eastAsia="zh-CN"/>
              </w:rPr>
              <w:t>需</w:t>
            </w:r>
            <w:r>
              <w:rPr>
                <w:rFonts w:hint="default" w:ascii="Times New Roman" w:hAnsi="Times New Roman" w:cs="Times New Roman"/>
                <w:b w:val="0"/>
                <w:bCs w:val="0"/>
                <w:sz w:val="24"/>
                <w:szCs w:val="24"/>
              </w:rPr>
              <w:t>采用硬化等工程防渗措施，能够有效防护上部污染物向含水层中的迁移。</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2" w:firstLineChars="200"/>
              <w:jc w:val="both"/>
              <w:textAlignment w:val="auto"/>
              <w:rPr>
                <w:rFonts w:hint="eastAsia" w:ascii="Times New Roman" w:hAnsi="Times New Roman" w:eastAsia="宋体" w:cs="Times New Roman"/>
                <w:b/>
                <w:bCs/>
                <w:sz w:val="24"/>
                <w:szCs w:val="24"/>
                <w:u w:val="none"/>
                <w:lang w:eastAsia="zh-CN"/>
              </w:rPr>
            </w:pPr>
            <w:r>
              <w:rPr>
                <w:rFonts w:hint="eastAsia" w:ascii="Times New Roman" w:hAnsi="Times New Roman" w:eastAsia="宋体" w:cs="Times New Roman"/>
                <w:b/>
                <w:bCs/>
                <w:sz w:val="24"/>
                <w:szCs w:val="24"/>
                <w:u w:val="none"/>
                <w:lang w:eastAsia="zh-CN"/>
              </w:rPr>
              <w:t>土壤大气沉降污染防治措施</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eastAsia="宋体" w:cs="Times New Roman"/>
                <w:b w:val="0"/>
                <w:bCs w:val="0"/>
                <w:sz w:val="24"/>
                <w:szCs w:val="24"/>
                <w:u w:val="none"/>
                <w:lang w:eastAsia="zh-CN"/>
              </w:rPr>
              <w:t>（1）源头控制措施</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eastAsia="宋体" w:cs="Times New Roman"/>
                <w:b w:val="0"/>
                <w:bCs w:val="0"/>
                <w:sz w:val="24"/>
                <w:szCs w:val="24"/>
                <w:u w:val="none"/>
                <w:lang w:eastAsia="zh-CN"/>
              </w:rPr>
              <w:t xml:space="preserve">1、本项目选择先进、成熟、可靠的工艺技术和较清洁的原辅材料，并对产生的废物进行合理的回用和治理，以尽可能从源头上减少污染物排放。 </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cs="Times New Roman"/>
                <w:b w:val="0"/>
                <w:bCs w:val="0"/>
                <w:sz w:val="24"/>
                <w:szCs w:val="24"/>
                <w:u w:val="none"/>
                <w:lang w:val="en-US" w:eastAsia="zh-CN"/>
              </w:rPr>
              <w:t>2</w:t>
            </w:r>
            <w:r>
              <w:rPr>
                <w:rFonts w:hint="eastAsia" w:ascii="Times New Roman" w:hAnsi="Times New Roman" w:eastAsia="宋体" w:cs="Times New Roman"/>
                <w:b w:val="0"/>
                <w:bCs w:val="0"/>
                <w:sz w:val="24"/>
                <w:szCs w:val="24"/>
                <w:u w:val="none"/>
                <w:lang w:eastAsia="zh-CN"/>
              </w:rPr>
              <w:t>、严格按照国家相关规范要求，</w:t>
            </w:r>
            <w:r>
              <w:rPr>
                <w:rFonts w:hint="eastAsia" w:ascii="Times New Roman" w:hAnsi="Times New Roman" w:cs="Times New Roman"/>
                <w:b w:val="0"/>
                <w:bCs w:val="0"/>
                <w:sz w:val="24"/>
                <w:szCs w:val="24"/>
                <w:u w:val="none"/>
                <w:lang w:eastAsia="zh-CN"/>
              </w:rPr>
              <w:t>废活性炭</w:t>
            </w:r>
            <w:r>
              <w:rPr>
                <w:rFonts w:hint="eastAsia" w:ascii="Times New Roman" w:hAnsi="Times New Roman" w:eastAsia="宋体" w:cs="Times New Roman"/>
                <w:b w:val="0"/>
                <w:bCs w:val="0"/>
                <w:sz w:val="24"/>
                <w:szCs w:val="24"/>
                <w:u w:val="none"/>
                <w:lang w:eastAsia="zh-CN"/>
              </w:rPr>
              <w:t>密闭储存</w:t>
            </w:r>
            <w:r>
              <w:rPr>
                <w:rFonts w:hint="eastAsia" w:ascii="Times New Roman" w:hAnsi="Times New Roman" w:cs="Times New Roman"/>
                <w:b w:val="0"/>
                <w:bCs w:val="0"/>
                <w:sz w:val="24"/>
                <w:szCs w:val="24"/>
                <w:u w:val="none"/>
                <w:lang w:eastAsia="zh-CN"/>
              </w:rPr>
              <w:t>在危废暂存间</w:t>
            </w:r>
            <w:r>
              <w:rPr>
                <w:rFonts w:hint="eastAsia" w:ascii="Times New Roman" w:hAnsi="Times New Roman" w:eastAsia="宋体" w:cs="Times New Roman"/>
                <w:b w:val="0"/>
                <w:bCs w:val="0"/>
                <w:sz w:val="24"/>
                <w:szCs w:val="24"/>
                <w:u w:val="none"/>
                <w:lang w:eastAsia="zh-CN"/>
              </w:rPr>
              <w:t xml:space="preserve">；对工艺设备定期检查、检修，从源头上控制和杜绝污染物的跑、冒、滴、漏。 </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cs="Times New Roman"/>
                <w:b w:val="0"/>
                <w:bCs w:val="0"/>
                <w:sz w:val="24"/>
                <w:szCs w:val="24"/>
                <w:u w:val="none"/>
                <w:lang w:val="en-US" w:eastAsia="zh-CN"/>
              </w:rPr>
              <w:t>3</w:t>
            </w:r>
            <w:r>
              <w:rPr>
                <w:rFonts w:hint="eastAsia" w:ascii="Times New Roman" w:hAnsi="Times New Roman" w:eastAsia="宋体" w:cs="Times New Roman"/>
                <w:b w:val="0"/>
                <w:bCs w:val="0"/>
                <w:sz w:val="24"/>
                <w:szCs w:val="24"/>
                <w:u w:val="none"/>
                <w:lang w:eastAsia="zh-CN"/>
              </w:rPr>
              <w:t xml:space="preserve">、切实贯彻执行“预防为主、防治结合”的方针，生产区全部进行硬化并进行防渗处理，严禁下渗污染。 </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eastAsia="宋体" w:cs="Times New Roman"/>
                <w:b w:val="0"/>
                <w:bCs w:val="0"/>
                <w:sz w:val="24"/>
                <w:szCs w:val="24"/>
                <w:u w:val="none"/>
                <w:lang w:eastAsia="zh-CN"/>
              </w:rPr>
              <w:t xml:space="preserve">（2）过程防控措施 </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eastAsia="宋体" w:cs="Times New Roman"/>
                <w:b w:val="0"/>
                <w:bCs w:val="0"/>
                <w:sz w:val="24"/>
                <w:szCs w:val="24"/>
                <w:u w:val="none"/>
                <w:lang w:eastAsia="zh-CN"/>
              </w:rPr>
              <w:t xml:space="preserve">1、占地范围内采取绿化措施，种植具有较强吸附能力的植物为主，对大气沉降污染物进行吸附去除； </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eastAsia="宋体" w:cs="Times New Roman"/>
                <w:b w:val="0"/>
                <w:bCs w:val="0"/>
                <w:sz w:val="24"/>
                <w:szCs w:val="24"/>
                <w:u w:val="none"/>
                <w:lang w:eastAsia="zh-CN"/>
              </w:rPr>
            </w:pPr>
            <w:r>
              <w:rPr>
                <w:rFonts w:hint="eastAsia" w:ascii="Times New Roman" w:hAnsi="Times New Roman" w:eastAsia="宋体" w:cs="Times New Roman"/>
                <w:b w:val="0"/>
                <w:bCs w:val="0"/>
                <w:sz w:val="24"/>
                <w:szCs w:val="24"/>
                <w:u w:val="none"/>
                <w:lang w:eastAsia="zh-CN"/>
              </w:rPr>
              <w:t>2、</w:t>
            </w:r>
            <w:r>
              <w:rPr>
                <w:rFonts w:hint="eastAsia" w:ascii="Times New Roman" w:hAnsi="Times New Roman" w:cs="Times New Roman"/>
                <w:b w:val="0"/>
                <w:bCs w:val="0"/>
                <w:sz w:val="24"/>
                <w:szCs w:val="24"/>
                <w:u w:val="none"/>
                <w:lang w:eastAsia="zh-CN"/>
              </w:rPr>
              <w:t>生产车间</w:t>
            </w:r>
            <w:r>
              <w:rPr>
                <w:rFonts w:hint="eastAsia" w:ascii="Times New Roman" w:hAnsi="Times New Roman" w:eastAsia="宋体" w:cs="Times New Roman"/>
                <w:b w:val="0"/>
                <w:bCs w:val="0"/>
                <w:sz w:val="24"/>
                <w:szCs w:val="24"/>
                <w:u w:val="none"/>
                <w:lang w:eastAsia="zh-CN"/>
              </w:rPr>
              <w:t>地面</w:t>
            </w:r>
            <w:r>
              <w:rPr>
                <w:rFonts w:hint="eastAsia" w:cs="Times New Roman"/>
                <w:b w:val="0"/>
                <w:bCs w:val="0"/>
                <w:sz w:val="24"/>
                <w:szCs w:val="24"/>
                <w:u w:val="none"/>
                <w:lang w:val="en-US" w:eastAsia="zh-CN"/>
              </w:rPr>
              <w:t>硬化</w:t>
            </w:r>
            <w:r>
              <w:rPr>
                <w:rFonts w:hint="eastAsia" w:ascii="Times New Roman" w:hAnsi="Times New Roman" w:cs="Times New Roman"/>
                <w:b w:val="0"/>
                <w:bCs w:val="0"/>
                <w:sz w:val="24"/>
                <w:szCs w:val="24"/>
                <w:u w:val="none"/>
                <w:lang w:eastAsia="zh-CN"/>
              </w:rPr>
              <w:t>，</w:t>
            </w:r>
            <w:r>
              <w:rPr>
                <w:rFonts w:hint="default" w:ascii="Times New Roman" w:hAnsi="Times New Roman" w:eastAsia="宋体" w:cs="Times New Roman"/>
                <w:b w:val="0"/>
                <w:bCs w:val="0"/>
                <w:sz w:val="24"/>
                <w:szCs w:val="24"/>
                <w:u w:val="none"/>
              </w:rPr>
              <w:t>危险废物贮存设施应满足“</w:t>
            </w:r>
            <w:r>
              <w:rPr>
                <w:rFonts w:hint="default" w:ascii="Times New Roman" w:hAnsi="Times New Roman" w:eastAsia="宋体" w:cs="Times New Roman"/>
                <w:b w:val="0"/>
                <w:bCs w:val="0"/>
                <w:sz w:val="24"/>
                <w:szCs w:val="24"/>
                <w:u w:val="none"/>
                <w:lang w:eastAsia="zh-CN"/>
              </w:rPr>
              <w:t>六</w:t>
            </w:r>
            <w:r>
              <w:rPr>
                <w:rFonts w:hint="default" w:ascii="Times New Roman" w:hAnsi="Times New Roman" w:eastAsia="宋体" w:cs="Times New Roman"/>
                <w:b w:val="0"/>
                <w:bCs w:val="0"/>
                <w:sz w:val="24"/>
                <w:szCs w:val="24"/>
                <w:u w:val="none"/>
              </w:rPr>
              <w:t>防”要求；贮存设施地面须作硬化处理，场所应有雨棚、围堰或围墙</w:t>
            </w:r>
            <w:r>
              <w:rPr>
                <w:rFonts w:hint="eastAsia" w:ascii="Times New Roman" w:hAnsi="Times New Roman" w:eastAsia="宋体" w:cs="Times New Roman"/>
                <w:b w:val="0"/>
                <w:bCs w:val="0"/>
                <w:sz w:val="24"/>
                <w:szCs w:val="24"/>
                <w:u w:val="none"/>
                <w:lang w:eastAsia="zh-CN"/>
              </w:rPr>
              <w:t>，以防止泄漏污染物漫流造成土壤环境污染</w:t>
            </w:r>
            <w:r>
              <w:rPr>
                <w:rFonts w:hint="eastAsia" w:ascii="Times New Roman" w:hAnsi="Times New Roman" w:cs="Times New Roman"/>
                <w:b w:val="0"/>
                <w:bCs w:val="0"/>
                <w:sz w:val="24"/>
                <w:szCs w:val="24"/>
                <w:u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jc w:val="both"/>
              <w:textAlignment w:val="auto"/>
              <w:rPr>
                <w:rFonts w:hint="eastAsia" w:ascii="Times New Roman" w:hAnsi="Times New Roman" w:cs="Times New Roman"/>
                <w:b/>
                <w:bCs/>
                <w:sz w:val="24"/>
                <w:szCs w:val="24"/>
                <w:lang w:val="en-US" w:eastAsia="zh-CN"/>
              </w:rPr>
            </w:pPr>
            <w:r>
              <w:rPr>
                <w:rFonts w:hint="default" w:ascii="Times New Roman" w:hAnsi="Times New Roman" w:cs="Times New Roman"/>
                <w:b w:val="0"/>
                <w:bCs w:val="0"/>
                <w:sz w:val="24"/>
                <w:szCs w:val="24"/>
                <w:u w:val="none"/>
              </w:rPr>
              <w:t>综上所述，本项目厂区范围内</w:t>
            </w:r>
            <w:r>
              <w:rPr>
                <w:rFonts w:hint="eastAsia" w:ascii="Times New Roman" w:hAnsi="Times New Roman" w:cs="Times New Roman"/>
                <w:b w:val="0"/>
                <w:bCs w:val="0"/>
                <w:sz w:val="24"/>
                <w:szCs w:val="24"/>
                <w:u w:val="none"/>
                <w:lang w:eastAsia="zh-CN"/>
              </w:rPr>
              <w:t>均</w:t>
            </w:r>
            <w:r>
              <w:rPr>
                <w:rFonts w:hint="default" w:ascii="Times New Roman" w:hAnsi="Times New Roman" w:cs="Times New Roman"/>
                <w:b w:val="0"/>
                <w:bCs w:val="0"/>
                <w:sz w:val="24"/>
                <w:szCs w:val="24"/>
                <w:u w:val="none"/>
              </w:rPr>
              <w:t>采取硬化措施，采取有效的防渗、防漏措施，则本项目无地下水及土壤污染途径，故不开展土壤及地下水环境影响评价。</w:t>
            </w:r>
          </w:p>
          <w:p>
            <w:pPr>
              <w:pStyle w:val="53"/>
              <w:keepNext w:val="0"/>
              <w:keepLines w:val="0"/>
              <w:pageBreakBefore w:val="0"/>
              <w:widowControl w:val="0"/>
              <w:kinsoku/>
              <w:wordWrap/>
              <w:overflowPunct/>
              <w:topLinePunct w:val="0"/>
              <w:autoSpaceDE/>
              <w:autoSpaceDN/>
              <w:bidi w:val="0"/>
              <w:spacing w:line="520" w:lineRule="exact"/>
              <w:ind w:left="0" w:leftChars="0" w:firstLine="0" w:firstLineChars="0"/>
              <w:textAlignment w:val="auto"/>
              <w:rPr>
                <w:rFonts w:hint="default" w:ascii="Times New Roman" w:hAnsi="Times New Roman" w:cs="Times New Roman"/>
                <w:b/>
                <w:bCs/>
                <w:u w:val="none"/>
                <w:lang w:val="en-US" w:eastAsia="zh-CN"/>
              </w:rPr>
            </w:pPr>
            <w:r>
              <w:rPr>
                <w:rFonts w:hint="eastAsia" w:ascii="Times New Roman" w:hAnsi="Times New Roman" w:cs="Times New Roman"/>
                <w:b/>
                <w:bCs/>
                <w:u w:val="none"/>
                <w:lang w:val="en-US" w:eastAsia="zh-CN"/>
              </w:rPr>
              <w:t>6、</w:t>
            </w:r>
            <w:r>
              <w:rPr>
                <w:rFonts w:ascii="Times New Roman" w:hAnsi="Times New Roman" w:eastAsia="宋体" w:cs="Times New Roman"/>
                <w:b/>
                <w:sz w:val="24"/>
                <w:szCs w:val="24"/>
                <w:lang w:eastAsia="zh-CN"/>
              </w:rPr>
              <w:t>环境风险防范及应急措施</w:t>
            </w:r>
          </w:p>
          <w:p>
            <w:pPr>
              <w:pStyle w:val="53"/>
              <w:keepNext w:val="0"/>
              <w:keepLines w:val="0"/>
              <w:pageBreakBefore w:val="0"/>
              <w:widowControl w:val="0"/>
              <w:kinsoku/>
              <w:wordWrap/>
              <w:overflowPunct/>
              <w:topLinePunct w:val="0"/>
              <w:autoSpaceDE/>
              <w:autoSpaceDN/>
              <w:bidi w:val="0"/>
              <w:spacing w:line="520" w:lineRule="exact"/>
              <w:ind w:firstLine="482"/>
              <w:textAlignment w:val="auto"/>
              <w:rPr>
                <w:rFonts w:hint="eastAsia" w:ascii="Times New Roman" w:hAnsi="Times New Roman" w:cs="Times New Roman"/>
                <w:b w:val="0"/>
                <w:bCs w:val="0"/>
                <w:u w:val="none"/>
                <w:lang w:val="en-US" w:eastAsia="zh-CN"/>
              </w:rPr>
            </w:pPr>
            <w:r>
              <w:rPr>
                <w:rFonts w:hint="eastAsia" w:ascii="Times New Roman" w:hAnsi="Times New Roman" w:cs="Times New Roman"/>
                <w:b w:val="0"/>
                <w:bCs w:val="0"/>
                <w:u w:val="none"/>
                <w:lang w:val="en-US" w:eastAsia="zh-CN"/>
              </w:rPr>
              <w:t>根据《建设项目环境风险评价技术导则》（HJ/T169-2018）要求，对于涉及有毒有害和易燃易爆物质的生产、使用、贮运等新建、改建、扩建和技术改造项目进行环境风险评价。环境风险评价的目的在于分析、识别项目生产装置运行过程中及物料储存运输中的风险因素及可能诱发的环境问题，并针对潜在的环境风险，提出相应的预防措施，力求将潜在的风险危害程度降至最低。</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jc w:val="left"/>
              <w:textAlignment w:val="auto"/>
              <w:rPr>
                <w:rFonts w:hint="eastAsia" w:ascii="Times New Roman" w:hAnsi="Times New Roman" w:cs="Times New Roman"/>
                <w:b/>
                <w:bCs/>
                <w:u w:val="none"/>
                <w:lang w:val="en-US" w:eastAsia="zh-CN"/>
              </w:rPr>
            </w:pPr>
            <w:r>
              <w:rPr>
                <w:rFonts w:hint="eastAsia" w:ascii="Times New Roman" w:hAnsi="Times New Roman" w:cs="Times New Roman"/>
                <w:b/>
                <w:bCs/>
                <w:u w:val="none"/>
                <w:lang w:val="en-US" w:eastAsia="zh-CN"/>
              </w:rPr>
              <w:t>6.1、风险识别</w:t>
            </w:r>
          </w:p>
          <w:p>
            <w:pPr>
              <w:pStyle w:val="53"/>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eastAsia" w:ascii="Times New Roman" w:hAnsi="Times New Roman" w:cs="Times New Roman"/>
                <w:b w:val="0"/>
                <w:bCs w:val="0"/>
                <w:u w:val="none"/>
                <w:lang w:val="en-US" w:eastAsia="zh-CN"/>
              </w:rPr>
            </w:pPr>
            <w:r>
              <w:rPr>
                <w:rFonts w:hint="eastAsia" w:ascii="Times New Roman" w:hAnsi="Times New Roman" w:cs="Times New Roman"/>
                <w:b w:val="0"/>
                <w:bCs w:val="0"/>
                <w:u w:val="none"/>
                <w:lang w:val="en-US" w:eastAsia="zh-CN"/>
              </w:rPr>
              <w:t>（1）物质危险性识别</w:t>
            </w:r>
          </w:p>
          <w:p>
            <w:pPr>
              <w:pStyle w:val="53"/>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eastAsia" w:ascii="Times New Roman" w:hAnsi="Times New Roman" w:cs="Times New Roman"/>
                <w:b w:val="0"/>
                <w:bCs w:val="0"/>
                <w:u w:val="none"/>
                <w:lang w:val="en-US" w:eastAsia="zh-CN"/>
              </w:rPr>
            </w:pPr>
            <w:r>
              <w:rPr>
                <w:rFonts w:hint="eastAsia" w:ascii="Times New Roman" w:hAnsi="Times New Roman" w:cs="Times New Roman"/>
                <w:b w:val="0"/>
                <w:bCs w:val="0"/>
                <w:u w:val="none"/>
                <w:lang w:val="en-US" w:eastAsia="zh-CN"/>
              </w:rPr>
              <w:t>依据《企业突发环境事件风险评估指南（试行）》对风险物质进行风险辨识别和风险分析，对照《建设项目环境风险评价技术导则》（HJ/T169-2018）附录B，本项目不存在突发环境事件风险物质。</w:t>
            </w:r>
          </w:p>
          <w:p>
            <w:pPr>
              <w:pStyle w:val="53"/>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eastAsia" w:ascii="Times New Roman" w:hAnsi="Times New Roman" w:cs="Times New Roman"/>
                <w:b w:val="0"/>
                <w:bCs w:val="0"/>
                <w:u w:val="none"/>
                <w:lang w:val="en-US" w:eastAsia="zh-CN"/>
              </w:rPr>
            </w:pPr>
            <w:r>
              <w:rPr>
                <w:rFonts w:hint="eastAsia" w:ascii="Times New Roman" w:hAnsi="Times New Roman" w:cs="Times New Roman"/>
                <w:b w:val="0"/>
                <w:bCs w:val="0"/>
                <w:u w:val="none"/>
                <w:lang w:val="en-US" w:eastAsia="zh-CN"/>
              </w:rPr>
              <w:t>（2）评价等级判定</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 w:val="0"/>
                <w:bCs w:val="0"/>
                <w:sz w:val="24"/>
                <w:szCs w:val="24"/>
                <w:u w:val="none"/>
                <w:lang w:val="en-US" w:eastAsia="zh-CN"/>
              </w:rPr>
            </w:pPr>
            <w:r>
              <w:rPr>
                <w:rFonts w:hint="eastAsia" w:ascii="Times New Roman" w:hAnsi="Times New Roman" w:cs="Times New Roman"/>
                <w:b w:val="0"/>
                <w:bCs w:val="0"/>
                <w:sz w:val="24"/>
                <w:szCs w:val="24"/>
                <w:u w:val="none"/>
                <w:lang w:val="en-US" w:eastAsia="zh-CN"/>
              </w:rPr>
              <w:t>对照《建设项目环境风险评价技术导则》（HJ/T169-2018）附录B，本项目不存在突发环境事件风险物质，因此本项目</w:t>
            </w:r>
            <w:r>
              <w:rPr>
                <w:rFonts w:hint="default" w:ascii="Times New Roman" w:hAnsi="Times New Roman" w:cs="Times New Roman"/>
                <w:b w:val="0"/>
                <w:bCs w:val="0"/>
                <w:sz w:val="24"/>
                <w:szCs w:val="24"/>
                <w:u w:val="none"/>
                <w:lang w:val="en-US" w:eastAsia="zh-CN"/>
              </w:rPr>
              <w:t>Q</w:t>
            </w:r>
            <w:r>
              <w:rPr>
                <w:rFonts w:hint="eastAsia" w:ascii="Times New Roman" w:hAnsi="Times New Roman" w:cs="Times New Roman"/>
                <w:b w:val="0"/>
                <w:bCs w:val="0"/>
                <w:sz w:val="24"/>
                <w:szCs w:val="24"/>
                <w:u w:val="none"/>
                <w:lang w:val="en-US" w:eastAsia="zh-CN"/>
              </w:rPr>
              <w:t>=0＜1，</w:t>
            </w:r>
            <w:r>
              <w:rPr>
                <w:rFonts w:hint="default" w:ascii="Times New Roman" w:hAnsi="Times New Roman" w:cs="Times New Roman"/>
                <w:b w:val="0"/>
                <w:bCs w:val="0"/>
                <w:sz w:val="24"/>
                <w:szCs w:val="24"/>
                <w:u w:val="none"/>
                <w:lang w:val="en-US" w:eastAsia="zh-CN"/>
              </w:rPr>
              <w:t>该项目环境风险潜势为Ⅰ，只需简单分析。</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eastAsia" w:ascii="Times New Roman" w:hAnsi="Times New Roman" w:eastAsia="宋体" w:cs="Times New Roman"/>
                <w:b/>
                <w:bCs/>
                <w:sz w:val="24"/>
                <w:szCs w:val="24"/>
                <w:u w:val="none"/>
                <w:lang w:val="en-US" w:eastAsia="zh-CN"/>
              </w:rPr>
            </w:pPr>
            <w:r>
              <w:rPr>
                <w:rFonts w:hint="eastAsia" w:ascii="Times New Roman" w:hAnsi="Times New Roman" w:eastAsia="宋体" w:cs="Times New Roman"/>
                <w:b/>
                <w:bCs/>
                <w:sz w:val="24"/>
                <w:szCs w:val="24"/>
                <w:u w:val="none"/>
                <w:lang w:val="en-US" w:eastAsia="zh-CN"/>
              </w:rPr>
              <w:t>6.</w:t>
            </w:r>
            <w:r>
              <w:rPr>
                <w:rFonts w:hint="eastAsia" w:ascii="Times New Roman" w:hAnsi="Times New Roman" w:cs="Times New Roman"/>
                <w:b/>
                <w:bCs/>
                <w:sz w:val="24"/>
                <w:szCs w:val="24"/>
                <w:u w:val="none"/>
                <w:lang w:val="en-US" w:eastAsia="zh-CN"/>
              </w:rPr>
              <w:t>2</w:t>
            </w:r>
            <w:r>
              <w:rPr>
                <w:rFonts w:hint="eastAsia" w:ascii="Times New Roman" w:hAnsi="Times New Roman" w:eastAsia="宋体" w:cs="Times New Roman"/>
                <w:b/>
                <w:bCs/>
                <w:sz w:val="24"/>
                <w:szCs w:val="24"/>
                <w:u w:val="none"/>
                <w:lang w:val="en-US" w:eastAsia="zh-CN"/>
              </w:rPr>
              <w:t>、环境风险分析</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Times New Roman" w:hAnsi="Times New Roman" w:cs="Times New Roman"/>
                <w:b w:val="0"/>
                <w:bCs w:val="0"/>
                <w:u w:val="none"/>
                <w:lang w:val="en-US" w:eastAsia="zh-CN"/>
              </w:rPr>
            </w:pPr>
            <w:r>
              <w:rPr>
                <w:rFonts w:hint="eastAsia" w:ascii="Times New Roman" w:hAnsi="Times New Roman" w:cs="Times New Roman"/>
                <w:b w:val="0"/>
                <w:bCs w:val="0"/>
                <w:u w:val="none"/>
                <w:lang w:val="en-US" w:eastAsia="zh-CN"/>
              </w:rPr>
              <w:t>（1）泄露风险环境</w:t>
            </w:r>
          </w:p>
          <w:p>
            <w:pPr>
              <w:keepNext w:val="0"/>
              <w:keepLines w:val="0"/>
              <w:pageBreakBefore w:val="0"/>
              <w:widowControl w:val="0"/>
              <w:kinsoku/>
              <w:wordWrap/>
              <w:overflowPunct/>
              <w:topLinePunct w:val="0"/>
              <w:autoSpaceDE/>
              <w:autoSpaceDN/>
              <w:bidi w:val="0"/>
              <w:adjustRightInd/>
              <w:snapToGrid/>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本项目废活性炭一旦发生泄露，将对周边区域的水体、大气及生态环境等造成一定程度的污染。</w:t>
            </w:r>
          </w:p>
          <w:p>
            <w:pPr>
              <w:keepNext w:val="0"/>
              <w:keepLines w:val="0"/>
              <w:pageBreakBefore w:val="0"/>
              <w:widowControl w:val="0"/>
              <w:kinsoku/>
              <w:wordWrap/>
              <w:overflowPunct/>
              <w:topLinePunct w:val="0"/>
              <w:autoSpaceDE/>
              <w:autoSpaceDN/>
              <w:bidi w:val="0"/>
              <w:adjustRightInd/>
              <w:snapToGrid/>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本项目废气处理设施故障或设备运行过程密闭系统失效，有机废气未经收集或处理直接排放对周围大气造成短时影响。</w:t>
            </w:r>
          </w:p>
          <w:p>
            <w:pPr>
              <w:keepNext w:val="0"/>
              <w:keepLines w:val="0"/>
              <w:pageBreakBefore w:val="0"/>
              <w:widowControl w:val="0"/>
              <w:kinsoku/>
              <w:wordWrap/>
              <w:overflowPunct/>
              <w:topLinePunct w:val="0"/>
              <w:autoSpaceDE/>
              <w:autoSpaceDN/>
              <w:bidi w:val="0"/>
              <w:adjustRightInd/>
              <w:snapToGrid/>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2</w:t>
            </w:r>
            <w:r>
              <w:rPr>
                <w:rFonts w:hint="eastAsia"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火灾事故风险事故</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当发生火灾事故时，在火灾的灭火过程中，消防喷水、泡沫喷淋等均会产生废水，以上消防废液含有大量的石油类，若直接经过园区配套的化粪池</w:t>
            </w: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再</w:t>
            </w:r>
            <w:r>
              <w:rPr>
                <w:rFonts w:hint="default" w:ascii="Times New Roman" w:hAnsi="Times New Roman" w:cs="Times New Roman"/>
                <w:b w:val="0"/>
                <w:bCs w:val="0"/>
                <w:sz w:val="24"/>
                <w:szCs w:val="24"/>
              </w:rPr>
              <w:t>进入</w:t>
            </w:r>
            <w:r>
              <w:rPr>
                <w:rFonts w:hint="eastAsia" w:ascii="Times New Roman" w:hAnsi="Times New Roman" w:cs="Times New Roman"/>
                <w:b w:val="0"/>
                <w:bCs w:val="0"/>
                <w:sz w:val="24"/>
                <w:szCs w:val="24"/>
                <w:lang w:eastAsia="zh-CN"/>
              </w:rPr>
              <w:t>艾草产业园污水处理设备</w:t>
            </w:r>
            <w:r>
              <w:rPr>
                <w:rFonts w:hint="default" w:ascii="Times New Roman" w:hAnsi="Times New Roman" w:cs="Times New Roman"/>
                <w:b w:val="0"/>
                <w:bCs w:val="0"/>
                <w:sz w:val="24"/>
                <w:szCs w:val="24"/>
              </w:rPr>
              <w:t>，含高浓度的消防排水势必对地面水体造成极为不利的影响。本项目发生火灾事故时，项目内的燃烧废气会飞扬，气体排放随风向向外扩散，在不利风向时，周围的企业及员工及村庄等均会受到不同程度的影响。</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default" w:ascii="Times New Roman" w:hAnsi="Times New Roman" w:eastAsia="宋体" w:cs="Times New Roman"/>
                <w:b/>
                <w:bCs/>
                <w:sz w:val="24"/>
                <w:szCs w:val="24"/>
                <w:u w:val="none"/>
                <w:lang w:val="en-US" w:eastAsia="zh-CN"/>
              </w:rPr>
            </w:pPr>
            <w:r>
              <w:rPr>
                <w:rFonts w:hint="eastAsia" w:ascii="Times New Roman" w:hAnsi="Times New Roman" w:eastAsia="宋体" w:cs="Times New Roman"/>
                <w:b/>
                <w:bCs/>
                <w:sz w:val="24"/>
                <w:szCs w:val="24"/>
                <w:u w:val="none"/>
                <w:lang w:val="en-US" w:eastAsia="zh-CN"/>
              </w:rPr>
              <w:t>6.</w:t>
            </w:r>
            <w:r>
              <w:rPr>
                <w:rFonts w:hint="eastAsia" w:ascii="Times New Roman" w:hAnsi="Times New Roman" w:cs="Times New Roman"/>
                <w:b/>
                <w:bCs/>
                <w:sz w:val="24"/>
                <w:szCs w:val="24"/>
                <w:u w:val="none"/>
                <w:lang w:val="en-US" w:eastAsia="zh-CN"/>
              </w:rPr>
              <w:t>3</w:t>
            </w:r>
            <w:r>
              <w:rPr>
                <w:rFonts w:hint="eastAsia" w:ascii="Times New Roman" w:hAnsi="Times New Roman" w:eastAsia="宋体" w:cs="Times New Roman"/>
                <w:b/>
                <w:bCs/>
                <w:sz w:val="24"/>
                <w:szCs w:val="24"/>
                <w:u w:val="none"/>
                <w:lang w:val="en-US" w:eastAsia="zh-CN"/>
              </w:rPr>
              <w:t>、风险防范措施及应急要求</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1</w:t>
            </w:r>
            <w:r>
              <w:rPr>
                <w:rFonts w:hint="eastAsia"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水环境风险防范措施及应急要求</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①</w:t>
            </w:r>
            <w:r>
              <w:rPr>
                <w:rFonts w:hint="default" w:ascii="Times New Roman" w:hAnsi="Times New Roman" w:cs="Times New Roman"/>
                <w:b w:val="0"/>
                <w:bCs w:val="0"/>
                <w:sz w:val="24"/>
                <w:szCs w:val="24"/>
                <w:u w:val="none"/>
              </w:rPr>
              <w:t>生产车间</w:t>
            </w:r>
            <w:r>
              <w:rPr>
                <w:rFonts w:hint="eastAsia" w:ascii="Times New Roman" w:hAnsi="Times New Roman" w:cs="Times New Roman"/>
                <w:b w:val="0"/>
                <w:bCs w:val="0"/>
                <w:sz w:val="24"/>
                <w:szCs w:val="24"/>
                <w:u w:val="none"/>
                <w:lang w:eastAsia="zh-CN"/>
              </w:rPr>
              <w:t>（除重点防渗区外）</w:t>
            </w:r>
            <w:r>
              <w:rPr>
                <w:rFonts w:hint="default" w:ascii="Times New Roman" w:hAnsi="Times New Roman" w:cs="Times New Roman"/>
                <w:b w:val="0"/>
                <w:bCs w:val="0"/>
                <w:sz w:val="24"/>
                <w:szCs w:val="24"/>
                <w:u w:val="none"/>
              </w:rPr>
              <w:t>、</w:t>
            </w:r>
            <w:r>
              <w:rPr>
                <w:rFonts w:hint="eastAsia" w:ascii="Times New Roman" w:hAnsi="Times New Roman" w:cs="Times New Roman"/>
                <w:b w:val="0"/>
                <w:bCs w:val="0"/>
                <w:sz w:val="24"/>
                <w:szCs w:val="24"/>
                <w:u w:val="none"/>
                <w:lang w:eastAsia="zh-CN"/>
              </w:rPr>
              <w:t>化粪池和</w:t>
            </w:r>
            <w:r>
              <w:rPr>
                <w:rFonts w:hint="default" w:ascii="Times New Roman" w:hAnsi="Times New Roman" w:cs="Times New Roman"/>
                <w:b w:val="0"/>
                <w:bCs w:val="0"/>
                <w:sz w:val="24"/>
                <w:szCs w:val="24"/>
                <w:u w:val="none"/>
              </w:rPr>
              <w:t>一般固废暂存间</w:t>
            </w:r>
            <w:r>
              <w:rPr>
                <w:rFonts w:hint="default" w:ascii="Times New Roman" w:hAnsi="Times New Roman" w:cs="Times New Roman"/>
                <w:b w:val="0"/>
                <w:bCs w:val="0"/>
                <w:sz w:val="24"/>
                <w:szCs w:val="24"/>
              </w:rPr>
              <w:t>地面必须作水泥硬底化防渗处理，发生散落时，材料不会通过地面渗入地下而污染地下水、地表水</w:t>
            </w: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u w:val="none"/>
                <w:lang w:eastAsia="zh-CN"/>
              </w:rPr>
              <w:t>对于危废暂存间易发生泄露的区域，地面设置防渗地面</w:t>
            </w:r>
            <w:r>
              <w:rPr>
                <w:rFonts w:hint="default" w:ascii="Times New Roman" w:hAnsi="Times New Roman" w:cs="Times New Roman"/>
                <w:b w:val="0"/>
                <w:bCs w:val="0"/>
                <w:sz w:val="24"/>
                <w:szCs w:val="24"/>
                <w:u w:val="none"/>
              </w:rPr>
              <w:t>。</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②建议建设单位在雨水管网的厂区出口处设置一个闸门，发生火灾事故时及时关闭闸门，防止消防废水流出厂区，将其可能产生的环境影响控制在厂区之内。</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③发生火灾事故时，在事故发生位置四周用装满沙土的袋子围成围堰拦截消防废液，并在厂内采取导流方式将消防废液、泡沫等统一收集，集中处理，消除隐患后交由有资质单位处理。</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④危险废物暂存间做好</w:t>
            </w:r>
            <w:r>
              <w:rPr>
                <w:rFonts w:hint="eastAsia" w:ascii="Times New Roman" w:hAnsi="Times New Roman" w:cs="Times New Roman"/>
                <w:b w:val="0"/>
                <w:bCs w:val="0"/>
                <w:sz w:val="24"/>
                <w:szCs w:val="24"/>
                <w:lang w:eastAsia="zh-CN"/>
              </w:rPr>
              <w:t>“六防”</w:t>
            </w:r>
            <w:r>
              <w:rPr>
                <w:rFonts w:hint="default" w:ascii="Times New Roman" w:hAnsi="Times New Roman" w:cs="Times New Roman"/>
                <w:b w:val="0"/>
                <w:bCs w:val="0"/>
                <w:sz w:val="24"/>
                <w:szCs w:val="24"/>
              </w:rPr>
              <w:t>措施，发生泄漏时不会通过地面渗入地下而污染地下水、地表水。</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2</w:t>
            </w:r>
            <w:r>
              <w:rPr>
                <w:rFonts w:hint="eastAsia"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大气环境风险防范措施及应急要求</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①发生火灾事故时，应及时采取相应的灭火措施并疏散厂内员工，必要时启动突发事故应急预案，及时疏散周围的居民。</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②火灾事故或物料泄露发生时会伴随恶臭污染物产生，救援人员或厂内员工必须佩戴过滤式防毒面具，同时穿好工作服，迅速判明事故当时的风向，可利用风标、旗帜等辨明风向，向上风向撤离，尽可能向侧、逆风向转移。</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③火灾事故发生后，相关部门要制定污染监测计划，对可能污染进行监测，根据现场监测结果，确定被转移、疏散群众返回时间，直止无异常方可停止监测工作。</w:t>
            </w:r>
          </w:p>
          <w:p>
            <w:pPr>
              <w:keepNext w:val="0"/>
              <w:keepLines w:val="0"/>
              <w:pageBreakBefore w:val="0"/>
              <w:kinsoku/>
              <w:wordWrap/>
              <w:overflowPunct/>
              <w:topLinePunct w:val="0"/>
              <w:autoSpaceDE/>
              <w:autoSpaceDN/>
              <w:bidi w:val="0"/>
              <w:spacing w:before="0" w:after="0" w:line="520" w:lineRule="exact"/>
              <w:ind w:left="0" w:leftChars="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④建设单位应在废气治理设施故障时停止生产，待故障排除后方可恢复生产，平时应加强对设备的维护保养，避免非正常排放的产生。</w:t>
            </w:r>
          </w:p>
          <w:p>
            <w:pPr>
              <w:keepNext w:val="0"/>
              <w:keepLines w:val="0"/>
              <w:pageBreakBefore w:val="0"/>
              <w:kinsoku/>
              <w:wordWrap/>
              <w:overflowPunct/>
              <w:topLinePunct w:val="0"/>
              <w:autoSpaceDE/>
              <w:autoSpaceDN/>
              <w:bidi w:val="0"/>
              <w:adjustRightInd w:val="0"/>
              <w:snapToGrid w:val="0"/>
              <w:spacing w:line="520" w:lineRule="exact"/>
              <w:ind w:left="0" w:leftChars="0" w:firstLine="480" w:firstLineChars="200"/>
              <w:textAlignment w:val="auto"/>
              <w:rPr>
                <w:rFonts w:hint="default" w:ascii="Times New Roman" w:hAnsi="Times New Roman" w:eastAsia="宋体" w:cs="Times New Roman"/>
                <w:b w:val="0"/>
                <w:bCs w:val="0"/>
                <w:color w:val="auto"/>
                <w:sz w:val="24"/>
                <w:u w:val="none"/>
                <w:lang w:val="en-US" w:eastAsia="zh-CN"/>
              </w:rPr>
            </w:pPr>
            <w:r>
              <w:rPr>
                <w:rFonts w:hint="eastAsia" w:ascii="Times New Roman" w:hAnsi="Times New Roman" w:eastAsia="宋体" w:cs="Times New Roman"/>
                <w:b w:val="0"/>
                <w:bCs w:val="0"/>
                <w:color w:val="auto"/>
                <w:sz w:val="24"/>
                <w:u w:val="none"/>
                <w:lang w:val="en-US" w:eastAsia="zh-CN"/>
              </w:rPr>
              <w:t>（3）</w:t>
            </w:r>
            <w:r>
              <w:rPr>
                <w:rFonts w:hint="default" w:ascii="Times New Roman" w:hAnsi="Times New Roman" w:eastAsia="宋体" w:cs="Times New Roman"/>
                <w:b w:val="0"/>
                <w:bCs w:val="0"/>
                <w:color w:val="auto"/>
                <w:sz w:val="24"/>
                <w:u w:val="none"/>
                <w:lang w:val="en-US" w:eastAsia="zh-CN"/>
              </w:rPr>
              <w:t>火灾风险防范措施</w:t>
            </w:r>
          </w:p>
          <w:p>
            <w:pPr>
              <w:keepNext w:val="0"/>
              <w:keepLines w:val="0"/>
              <w:pageBreakBefore w:val="0"/>
              <w:kinsoku/>
              <w:wordWrap/>
              <w:overflowPunct/>
              <w:topLinePunct w:val="0"/>
              <w:autoSpaceDE/>
              <w:autoSpaceDN/>
              <w:bidi w:val="0"/>
              <w:adjustRightInd w:val="0"/>
              <w:snapToGrid w:val="0"/>
              <w:spacing w:line="520" w:lineRule="exact"/>
              <w:ind w:left="0" w:leftChars="0" w:firstLine="480" w:firstLineChars="200"/>
              <w:textAlignment w:val="auto"/>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lang w:eastAsia="zh-CN"/>
              </w:rPr>
              <w:t>①</w:t>
            </w:r>
            <w:r>
              <w:rPr>
                <w:rFonts w:hint="default" w:ascii="Times New Roman" w:hAnsi="Times New Roman" w:eastAsia="宋体" w:cs="Times New Roman"/>
                <w:color w:val="auto"/>
                <w:sz w:val="24"/>
                <w:u w:val="none"/>
                <w:lang w:val="en-US" w:eastAsia="zh-CN"/>
              </w:rPr>
              <w:t>项目厂区平面</w:t>
            </w:r>
            <w:r>
              <w:rPr>
                <w:rFonts w:hint="default" w:ascii="Times New Roman" w:hAnsi="Times New Roman" w:eastAsia="宋体" w:cs="Times New Roman"/>
                <w:color w:val="auto"/>
                <w:sz w:val="24"/>
                <w:u w:val="none"/>
              </w:rPr>
              <w:t>应严格按照国家有关规范和标准进行布置、建筑设计。生产区与办公室之间根据消防部门意见保持足够的安全距离。原料</w:t>
            </w:r>
            <w:r>
              <w:rPr>
                <w:rFonts w:hint="eastAsia" w:ascii="Times New Roman" w:hAnsi="Times New Roman" w:eastAsia="宋体" w:cs="Times New Roman"/>
                <w:color w:val="auto"/>
                <w:sz w:val="24"/>
                <w:u w:val="none"/>
                <w:lang w:eastAsia="zh-CN"/>
              </w:rPr>
              <w:t>区</w:t>
            </w:r>
            <w:r>
              <w:rPr>
                <w:rFonts w:hint="default" w:ascii="Times New Roman" w:hAnsi="Times New Roman" w:eastAsia="宋体" w:cs="Times New Roman"/>
                <w:color w:val="auto"/>
                <w:sz w:val="24"/>
                <w:u w:val="none"/>
              </w:rPr>
              <w:t>及</w:t>
            </w:r>
            <w:r>
              <w:rPr>
                <w:rFonts w:hint="default" w:ascii="Times New Roman" w:hAnsi="Times New Roman" w:eastAsia="宋体" w:cs="Times New Roman"/>
                <w:color w:val="auto"/>
                <w:sz w:val="24"/>
                <w:u w:val="none"/>
                <w:lang w:val="en-US" w:eastAsia="zh-CN"/>
              </w:rPr>
              <w:t>成品</w:t>
            </w:r>
            <w:r>
              <w:rPr>
                <w:rFonts w:hint="eastAsia" w:ascii="Times New Roman" w:hAnsi="Times New Roman" w:eastAsia="宋体" w:cs="Times New Roman"/>
                <w:color w:val="auto"/>
                <w:sz w:val="24"/>
                <w:u w:val="none"/>
                <w:lang w:eastAsia="zh-CN"/>
              </w:rPr>
              <w:t>区</w:t>
            </w:r>
            <w:r>
              <w:rPr>
                <w:rFonts w:hint="default" w:ascii="Times New Roman" w:hAnsi="Times New Roman" w:eastAsia="宋体" w:cs="Times New Roman"/>
                <w:color w:val="auto"/>
                <w:sz w:val="24"/>
                <w:u w:val="none"/>
              </w:rPr>
              <w:t>按规范要求进行设计；平面布置上建筑物间的距离必须符合有关防火设计规范，各区可利用道路进行功能分区，必须满足交通和消防两方面要求。</w:t>
            </w:r>
          </w:p>
          <w:p>
            <w:pPr>
              <w:keepNext w:val="0"/>
              <w:keepLines w:val="0"/>
              <w:pageBreakBefore w:val="0"/>
              <w:widowControl/>
              <w:kinsoku/>
              <w:wordWrap/>
              <w:overflowPunct/>
              <w:topLinePunct w:val="0"/>
              <w:autoSpaceDE/>
              <w:autoSpaceDN/>
              <w:bidi w:val="0"/>
              <w:snapToGrid w:val="0"/>
              <w:spacing w:line="520" w:lineRule="exact"/>
              <w:ind w:left="0" w:leftChars="0" w:firstLine="480" w:firstLineChars="200"/>
              <w:textAlignment w:val="auto"/>
              <w:rPr>
                <w:rFonts w:hint="default" w:ascii="Times New Roman" w:hAnsi="Times New Roman" w:eastAsia="宋体" w:cs="Times New Roman"/>
                <w:color w:val="auto"/>
                <w:sz w:val="24"/>
                <w:u w:val="none"/>
              </w:rPr>
            </w:pPr>
            <w:r>
              <w:rPr>
                <w:rFonts w:hint="default" w:ascii="Times New Roman" w:hAnsi="Times New Roman" w:cs="Times New Roman"/>
                <w:b w:val="0"/>
                <w:bCs w:val="0"/>
                <w:sz w:val="24"/>
                <w:szCs w:val="24"/>
              </w:rPr>
              <w:t>②</w:t>
            </w:r>
            <w:r>
              <w:rPr>
                <w:rFonts w:hint="default" w:ascii="Times New Roman" w:hAnsi="Times New Roman" w:eastAsia="宋体" w:cs="Times New Roman"/>
                <w:color w:val="auto"/>
                <w:sz w:val="24"/>
                <w:u w:val="none"/>
              </w:rPr>
              <w:t>加强防火巡查检查</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u w:val="none"/>
              </w:rPr>
              <w:t>落实逐级消防安全责任制和岗位消防安全责任制，落实巡查检查制度，若发现本单位存在火灾隐患，应及时整改；</w:t>
            </w:r>
          </w:p>
          <w:p>
            <w:pPr>
              <w:pStyle w:val="53"/>
              <w:keepNext w:val="0"/>
              <w:keepLines w:val="0"/>
              <w:pageBreakBefore w:val="0"/>
              <w:widowControl w:val="0"/>
              <w:kinsoku/>
              <w:wordWrap/>
              <w:overflowPunct/>
              <w:topLinePunct w:val="0"/>
              <w:autoSpaceDE/>
              <w:autoSpaceDN/>
              <w:bidi w:val="0"/>
              <w:spacing w:line="520" w:lineRule="exact"/>
              <w:ind w:left="0" w:leftChars="0" w:firstLine="480" w:firstLineChars="200"/>
              <w:textAlignment w:val="auto"/>
              <w:rPr>
                <w:rFonts w:hint="default" w:ascii="Times New Roman" w:hAnsi="Times New Roman" w:eastAsia="宋体" w:cs="Times New Roman"/>
                <w:color w:val="auto"/>
                <w:sz w:val="24"/>
                <w:u w:val="none"/>
              </w:rPr>
            </w:pPr>
            <w:r>
              <w:rPr>
                <w:rFonts w:hint="default" w:ascii="Times New Roman" w:hAnsi="Times New Roman" w:cs="Times New Roman"/>
                <w:b w:val="0"/>
                <w:bCs w:val="0"/>
                <w:sz w:val="24"/>
                <w:szCs w:val="24"/>
              </w:rPr>
              <w:t>③</w:t>
            </w:r>
            <w:r>
              <w:rPr>
                <w:rFonts w:hint="default" w:ascii="Times New Roman" w:hAnsi="Times New Roman" w:eastAsia="宋体" w:cs="Times New Roman"/>
                <w:color w:val="auto"/>
                <w:sz w:val="24"/>
                <w:u w:val="none"/>
              </w:rPr>
              <w:t>如突发火灾，应立即采取急救措施，并及时向当地环保局等有关部门报告。一旦发生火灾事故，迅速按灭火作战预案紧急处理。</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default" w:ascii="Times New Roman" w:hAnsi="Times New Roman" w:eastAsia="宋体" w:cs="Times New Roman"/>
                <w:b/>
                <w:bCs/>
                <w:sz w:val="24"/>
                <w:szCs w:val="24"/>
                <w:u w:val="none"/>
                <w:lang w:val="en-US" w:eastAsia="zh-CN"/>
              </w:rPr>
            </w:pPr>
            <w:r>
              <w:rPr>
                <w:rFonts w:hint="eastAsia" w:ascii="Times New Roman" w:hAnsi="Times New Roman" w:eastAsia="宋体" w:cs="Times New Roman"/>
                <w:b/>
                <w:bCs/>
                <w:sz w:val="24"/>
                <w:szCs w:val="24"/>
                <w:u w:val="none"/>
                <w:lang w:val="en-US" w:eastAsia="zh-CN"/>
              </w:rPr>
              <w:t>6.</w:t>
            </w:r>
            <w:r>
              <w:rPr>
                <w:rFonts w:hint="eastAsia" w:ascii="Times New Roman" w:hAnsi="Times New Roman" w:cs="Times New Roman"/>
                <w:b/>
                <w:bCs/>
                <w:sz w:val="24"/>
                <w:szCs w:val="24"/>
                <w:u w:val="none"/>
                <w:lang w:val="en-US" w:eastAsia="zh-CN"/>
              </w:rPr>
              <w:t>4</w:t>
            </w:r>
            <w:r>
              <w:rPr>
                <w:rFonts w:hint="eastAsia" w:ascii="Times New Roman" w:hAnsi="Times New Roman" w:eastAsia="宋体" w:cs="Times New Roman"/>
                <w:b/>
                <w:bCs/>
                <w:sz w:val="24"/>
                <w:szCs w:val="24"/>
                <w:u w:val="none"/>
                <w:lang w:val="en-US" w:eastAsia="zh-CN"/>
              </w:rPr>
              <w:t>、风险应急预案</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Times New Roman" w:hAnsi="Times New Roman" w:eastAsia="宋体" w:cs="Times New Roman"/>
                <w:color w:val="auto"/>
                <w:sz w:val="24"/>
                <w:u w:val="none"/>
                <w:lang w:val="en-US" w:eastAsia="zh-CN"/>
              </w:rPr>
            </w:pPr>
            <w:r>
              <w:rPr>
                <w:rFonts w:hint="eastAsia"/>
                <w:color w:val="auto"/>
                <w:sz w:val="24"/>
                <w:u w:val="none"/>
              </w:rPr>
              <w:t>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pPr>
              <w:pStyle w:val="25"/>
              <w:spacing w:after="0"/>
              <w:ind w:left="0" w:leftChars="0" w:firstLine="0" w:firstLineChars="0"/>
              <w:jc w:val="center"/>
              <w:rPr>
                <w:rFonts w:hint="eastAsia" w:ascii="Times New Roman" w:hAnsi="Times New Roman" w:eastAsia="宋体"/>
                <w:b/>
                <w:bCs/>
                <w:color w:val="auto"/>
                <w:sz w:val="24"/>
                <w:szCs w:val="20"/>
                <w:u w:val="none"/>
                <w:lang w:val="en-US" w:eastAsia="zh-CN"/>
              </w:rPr>
            </w:pPr>
            <w:r>
              <w:rPr>
                <w:rFonts w:hint="eastAsia" w:ascii="Times New Roman" w:hAnsi="Times New Roman"/>
                <w:b/>
                <w:bCs/>
                <w:color w:val="auto"/>
                <w:sz w:val="24"/>
                <w:szCs w:val="20"/>
                <w:u w:val="none"/>
              </w:rPr>
              <w:t>表4-</w:t>
            </w:r>
            <w:r>
              <w:rPr>
                <w:rFonts w:hint="eastAsia"/>
                <w:b/>
                <w:bCs/>
                <w:color w:val="auto"/>
                <w:sz w:val="24"/>
                <w:szCs w:val="20"/>
                <w:u w:val="none"/>
                <w:lang w:val="en-US" w:eastAsia="zh-CN"/>
              </w:rPr>
              <w:t>12</w:t>
            </w:r>
            <w:r>
              <w:rPr>
                <w:rFonts w:hint="eastAsia" w:ascii="Times New Roman" w:hAnsi="Times New Roman"/>
                <w:b/>
                <w:bCs/>
                <w:color w:val="auto"/>
                <w:sz w:val="24"/>
                <w:szCs w:val="20"/>
                <w:u w:val="none"/>
              </w:rPr>
              <w:t xml:space="preserve">    应急预案内容</w:t>
            </w:r>
            <w:r>
              <w:rPr>
                <w:rFonts w:hint="eastAsia"/>
                <w:b/>
                <w:bCs/>
                <w:color w:val="auto"/>
                <w:sz w:val="24"/>
                <w:szCs w:val="20"/>
                <w:u w:val="none"/>
                <w:lang w:val="en-US" w:eastAsia="zh-CN"/>
              </w:rPr>
              <w:t>表</w:t>
            </w:r>
          </w:p>
          <w:tbl>
            <w:tblPr>
              <w:tblStyle w:val="26"/>
              <w:tblW w:w="843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2257"/>
              <w:gridCol w:w="5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bottom"/>
                </w:tcPr>
                <w:p>
                  <w:pPr>
                    <w:spacing w:line="240" w:lineRule="auto"/>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序号</w:t>
                  </w:r>
                </w:p>
              </w:tc>
              <w:tc>
                <w:tcPr>
                  <w:tcW w:w="2257" w:type="dxa"/>
                  <w:noWrap w:val="0"/>
                  <w:vAlign w:val="bottom"/>
                </w:tcPr>
                <w:p>
                  <w:pPr>
                    <w:spacing w:line="240" w:lineRule="auto"/>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项目</w:t>
                  </w:r>
                </w:p>
              </w:tc>
              <w:tc>
                <w:tcPr>
                  <w:tcW w:w="5443" w:type="dxa"/>
                  <w:noWrap w:val="0"/>
                  <w:vAlign w:val="bottom"/>
                </w:tcPr>
                <w:p>
                  <w:pPr>
                    <w:spacing w:line="240" w:lineRule="auto"/>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bottom"/>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w:t>
                  </w:r>
                </w:p>
              </w:tc>
              <w:tc>
                <w:tcPr>
                  <w:tcW w:w="2257" w:type="dxa"/>
                  <w:noWrap w:val="0"/>
                  <w:vAlign w:val="bottom"/>
                </w:tcPr>
                <w:p>
                  <w:pPr>
                    <w:snapToGrid w:val="0"/>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应急计划区</w:t>
                  </w:r>
                </w:p>
              </w:tc>
              <w:tc>
                <w:tcPr>
                  <w:tcW w:w="5443" w:type="dxa"/>
                  <w:noWrap w:val="0"/>
                  <w:vAlign w:val="bottom"/>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危险目标：</w:t>
                  </w:r>
                  <w:r>
                    <w:rPr>
                      <w:rFonts w:hint="default" w:ascii="Times New Roman" w:hAnsi="Times New Roman" w:eastAsia="宋体" w:cs="Times New Roman"/>
                      <w:color w:val="auto"/>
                      <w:sz w:val="21"/>
                      <w:szCs w:val="21"/>
                      <w:u w:val="none"/>
                      <w:lang w:eastAsia="zh-CN"/>
                    </w:rPr>
                    <w:t>原料区</w:t>
                  </w: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sz w:val="21"/>
                      <w:szCs w:val="21"/>
                      <w:u w:val="none"/>
                      <w:lang w:val="en-US" w:eastAsia="zh-CN"/>
                    </w:rPr>
                    <w:t>成品区</w:t>
                  </w: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sz w:val="21"/>
                      <w:szCs w:val="21"/>
                      <w:u w:val="none"/>
                      <w:lang w:val="en-US" w:eastAsia="zh-CN"/>
                    </w:rPr>
                    <w:t>危废暂存间、</w:t>
                  </w:r>
                  <w:r>
                    <w:rPr>
                      <w:rFonts w:hint="default" w:ascii="Times New Roman" w:hAnsi="Times New Roman" w:eastAsia="宋体" w:cs="Times New Roman"/>
                      <w:color w:val="auto"/>
                      <w:sz w:val="21"/>
                      <w:szCs w:val="21"/>
                      <w:u w:val="none"/>
                    </w:rPr>
                    <w:t>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应急组织机构、人员</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工厂、地区应急组织机构、人员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预案分级响应条件</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规定预案的级别及分级响应程序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4</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应急救援保障</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应急设施、设备与器材等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5</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报警、通讯联络方式</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规定应急状态下的报警通讯方式，通知方式和交通保障、管制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6</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应急环境监测、抢险、救援及控制措施</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由专业队伍负责对事故现场进行侦查监测，对事故性质、参数与后果进行评估，为指挥部门提供决策依据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7</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应急检测、防护措施、清除措施和器材</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事故现场、邻近区域、控制防火区域、控制和清除污染措施及相应设备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8</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人员紧急撤离、疏散，应急剂量控制、撤离组织计划</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事故现场、工厂邻近区、受事故影响的区域人员及公众对毒物应急剂量控制规定，撤离组织计划及救护，医疗救护与公众健康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9</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事故应急救援关闭程序与恢复措施</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规定应急状态终止程序；事故现场善后处理，恢复措施；邻近区域解除事故警戒及善后恢复措施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10</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应急培训计划</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738"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11</w:t>
                  </w:r>
                </w:p>
              </w:tc>
              <w:tc>
                <w:tcPr>
                  <w:tcW w:w="2257"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公众教育和信息</w:t>
                  </w:r>
                </w:p>
              </w:tc>
              <w:tc>
                <w:tcPr>
                  <w:tcW w:w="5443" w:type="dxa"/>
                  <w:noWrap w:val="0"/>
                  <w:vAlign w:val="center"/>
                </w:tcPr>
                <w:p>
                  <w:pPr>
                    <w:spacing w:line="240" w:lineRule="auto"/>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对工厂邻近地区开展公众教育、培训和发布有关信息</w:t>
                  </w:r>
                </w:p>
              </w:tc>
            </w:tr>
          </w:tbl>
          <w:p>
            <w:pPr>
              <w:keepNext w:val="0"/>
              <w:keepLines w:val="0"/>
              <w:pageBreakBefore w:val="0"/>
              <w:widowControl w:val="0"/>
              <w:numPr>
                <w:ilvl w:val="0"/>
                <w:numId w:val="0"/>
              </w:numPr>
              <w:kinsoku/>
              <w:wordWrap/>
              <w:overflowPunct/>
              <w:topLinePunct w:val="0"/>
              <w:autoSpaceDE/>
              <w:autoSpaceDN/>
              <w:bidi w:val="0"/>
              <w:spacing w:line="520" w:lineRule="exact"/>
              <w:ind w:left="0" w:leftChars="0" w:firstLine="482" w:firstLineChars="200"/>
              <w:textAlignment w:val="auto"/>
              <w:rPr>
                <w:rFonts w:hint="default"/>
                <w:b/>
                <w:bCs/>
                <w:color w:val="auto"/>
                <w:kern w:val="2"/>
                <w:sz w:val="24"/>
                <w:szCs w:val="24"/>
                <w:lang w:val="en-US" w:eastAsia="zh-CN" w:bidi="ar-SA"/>
              </w:rPr>
            </w:pPr>
            <w:r>
              <w:rPr>
                <w:rFonts w:hint="eastAsia"/>
                <w:b/>
                <w:bCs/>
                <w:color w:val="auto"/>
                <w:kern w:val="2"/>
                <w:sz w:val="24"/>
                <w:szCs w:val="24"/>
                <w:lang w:val="en-US" w:eastAsia="zh-CN" w:bidi="ar-SA"/>
              </w:rPr>
              <w:t>6.5、分析结论</w:t>
            </w:r>
          </w:p>
          <w:p>
            <w:pPr>
              <w:pStyle w:val="53"/>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Times New Roman" w:hAnsi="Times New Roman" w:cs="Times New Roman"/>
                <w:b w:val="0"/>
                <w:bCs w:val="0"/>
                <w:u w:val="none"/>
                <w:lang w:val="en-US" w:eastAsia="zh-CN"/>
              </w:rPr>
            </w:pPr>
            <w:r>
              <w:rPr>
                <w:rFonts w:hint="default" w:ascii="Times New Roman" w:hAnsi="Times New Roman" w:cs="Times New Roman"/>
                <w:b w:val="0"/>
                <w:bCs w:val="0"/>
                <w:sz w:val="24"/>
                <w:szCs w:val="24"/>
              </w:rPr>
              <w:t>综上所述，建设单位要从多方面积极采取防护措施，加强风险管理，通过相应的技术手段降低风险发生概率，并在风险事故发生后，及时采取风险防范措施，可以使风险事故对环境的危害得到有效控制，将事故风险控制在可以接受的范围内。</w:t>
            </w:r>
          </w:p>
          <w:p>
            <w:pPr>
              <w:keepNext w:val="0"/>
              <w:keepLines w:val="0"/>
              <w:pageBreakBefore w:val="0"/>
              <w:widowControl w:val="0"/>
              <w:kinsoku/>
              <w:wordWrap/>
              <w:overflowPunct/>
              <w:topLinePunct w:val="0"/>
              <w:autoSpaceDE/>
              <w:autoSpaceDN/>
              <w:bidi w:val="0"/>
              <w:spacing w:line="520" w:lineRule="exact"/>
              <w:textAlignment w:val="auto"/>
              <w:rPr>
                <w:rFonts w:hint="eastAsia"/>
                <w:b/>
                <w:bCs/>
                <w:color w:val="auto"/>
                <w:sz w:val="24"/>
                <w:szCs w:val="24"/>
                <w:lang w:val="en-US" w:eastAsia="zh-CN"/>
              </w:rPr>
            </w:pPr>
            <w:r>
              <w:rPr>
                <w:rFonts w:hint="eastAsia"/>
                <w:b/>
                <w:bCs/>
                <w:color w:val="auto"/>
                <w:kern w:val="2"/>
                <w:sz w:val="24"/>
                <w:szCs w:val="24"/>
                <w:lang w:val="en-US" w:eastAsia="zh-CN" w:bidi="ar-SA"/>
              </w:rPr>
              <w:t>7、</w:t>
            </w:r>
            <w:r>
              <w:rPr>
                <w:rFonts w:hint="eastAsia"/>
                <w:b/>
                <w:bCs/>
                <w:color w:val="auto"/>
                <w:sz w:val="24"/>
                <w:szCs w:val="24"/>
                <w:lang w:val="en-US" w:eastAsia="zh-CN"/>
              </w:rPr>
              <w:t>环境管理与监测计划</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（1）环境监测的目的</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环境监测是为环境管理提供科学依据的必不可少的基础性工作，是企业环境管理的一个重要组成部分，是执行环保法规、评价环境质量、判断环保治理设施运行效果的重要手段，通过对该企业主要污染物的排放情况进行定期监测掌握装置排放污染物含量、污染排放规律，评价净化设施性能，制定控制和治理污染的方案，并建立监测档案，为贯彻国家和地方有关环保政策、法律、规定、标准等情况提供依据。通过一系列监测数据和资料，对企业环境质量进行综合分析和评价，为控制污染和环保管理提供依据。</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（2）环境管理</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环境保护是现代企业管理的一个重要组成部分，为做好环境保护和“三废”治理工作，充分发挥各项环保设施的作用。评价建议建设单位设置环境管理机构，并配备专业的管理人员，建立各项管理制度。环境管理机构的职责如下：</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①认真贯彻执行国家、省、州及行业部门制定的环保法规和各项规章制度及具体要求。</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②负责制定企业近期、远期、环境保护规划，按计划实施、落实环保规划。</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③各职能部门编制环保管理方案，协调、协助有关部门实施环境管理方案。</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④协调内、外部环保工作的交流和沟通，并对相关方的意见或投诉做出回应或处理。</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⑤协调和监督各部门工作运行情况，包括督促、检查各有关部门的环保设施管理工作，设备运行记录情况，环保法规、以及上级领导所下达的工作及任务的执行情况。</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⑥积极研究、开发污染治理及综合利用技术，推广应用环保先进技术和经验。</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⑦负责公司环保的统计工作，按时、准确地填写，上报各种环保报表，及时整理和归档各类环保资料。</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⑧按照规定定期向有关环保执法部门及相关部门办理排污申报、登记和缴纳各种费用等事宜。</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⑨参与工程项目的设计、审查和验收，监督检查环保设施的“三同时”等规定的贯彻执行情况。按有关规定向相关部门进行申报和办理各种审批手续。</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⑩通过各种形式，对职工进行环境保护的宣传教育活动。</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（3）环境监控机构的职责</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①根据国家颁布的环境质量标准和污染物排放标准及环境保护监测工作规定，制定项目监测计划和工作方案。</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②定期对各项污染防治设施进行监测，随时掌握运行状况，监测结果出现异常时，应及时查明原因，并及时上报企业主管环保的领导。</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③做好废气、噪声的污染源及监测数据记录、统计分析及存档工作，分析污染物排放规律，整理监测数据，并建立企业环保档案。</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④建立质量保证体系，监测站的规范化建设，不断提高监测质量和监测水平。</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⑤加强监测仪器设备的日常保养和校验工作，确保监测站的正常运行。</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⑥接受地方环保主管部门的指导和监督管理</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鉴于本项目规模较小，企业没有能力成立监测中心，建议企业委托有资质的环境监测部门承担运营期的环境监测工作，安全环保科组织并协助配合。</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（4）环境监控计划</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定期检查废气、噪声污染防治设施的运行情况，发现问题，马上安排检修，做好记录。根据《排污单位自行监测技术指南总则》（HJ819-2017），并结合本项目废气、废水、噪声等污染物的产、排污情况，评价建议本项目运营期环境监测的内容及频次详见下表：</w:t>
            </w:r>
          </w:p>
          <w:p>
            <w:pPr>
              <w:spacing w:line="520" w:lineRule="exact"/>
              <w:ind w:firstLine="482" w:firstLineChars="200"/>
              <w:jc w:val="center"/>
              <w:rPr>
                <w:rFonts w:hint="default" w:ascii="Times New Roman" w:hAnsi="Times New Roman" w:eastAsia="黑体" w:cs="Times New Roman"/>
                <w:b w:val="0"/>
                <w:bCs/>
                <w:color w:val="auto"/>
                <w:sz w:val="24"/>
                <w:highlight w:val="none"/>
                <w:u w:val="none" w:color="auto"/>
              </w:rPr>
            </w:pPr>
            <w:r>
              <w:rPr>
                <w:rFonts w:hint="default" w:ascii="Times New Roman" w:hAnsi="Times New Roman" w:eastAsia="宋体" w:cs="Times New Roman"/>
                <w:b/>
                <w:bCs w:val="0"/>
                <w:color w:val="auto"/>
                <w:sz w:val="24"/>
                <w:highlight w:val="none"/>
                <w:u w:val="none" w:color="auto"/>
              </w:rPr>
              <w:t>表</w:t>
            </w:r>
            <w:r>
              <w:rPr>
                <w:rFonts w:hint="eastAsia" w:ascii="Times New Roman" w:hAnsi="Times New Roman" w:eastAsia="宋体" w:cs="Times New Roman"/>
                <w:b/>
                <w:bCs w:val="0"/>
                <w:color w:val="auto"/>
                <w:sz w:val="24"/>
                <w:highlight w:val="none"/>
                <w:u w:val="none" w:color="auto"/>
                <w:lang w:val="en-US" w:eastAsia="zh-CN"/>
              </w:rPr>
              <w:t>4-1</w:t>
            </w:r>
            <w:r>
              <w:rPr>
                <w:rFonts w:hint="eastAsia" w:cs="Times New Roman"/>
                <w:b/>
                <w:bCs w:val="0"/>
                <w:color w:val="auto"/>
                <w:sz w:val="24"/>
                <w:highlight w:val="none"/>
                <w:u w:val="none" w:color="auto"/>
                <w:lang w:val="en-US" w:eastAsia="zh-CN"/>
              </w:rPr>
              <w:t>3</w:t>
            </w:r>
            <w:r>
              <w:rPr>
                <w:rFonts w:hint="default" w:ascii="Times New Roman" w:hAnsi="Times New Roman" w:eastAsia="宋体" w:cs="Times New Roman"/>
                <w:b/>
                <w:bCs w:val="0"/>
                <w:color w:val="auto"/>
                <w:sz w:val="24"/>
                <w:highlight w:val="none"/>
                <w:u w:val="none" w:color="auto"/>
                <w:lang w:val="en-US" w:eastAsia="zh-CN"/>
              </w:rPr>
              <w:t xml:space="preserve">  </w:t>
            </w:r>
            <w:r>
              <w:rPr>
                <w:rFonts w:hint="default" w:ascii="Times New Roman" w:hAnsi="Times New Roman" w:eastAsia="宋体" w:cs="Times New Roman"/>
                <w:b/>
                <w:bCs w:val="0"/>
                <w:color w:val="auto"/>
                <w:sz w:val="24"/>
                <w:highlight w:val="none"/>
                <w:u w:val="none" w:color="auto"/>
              </w:rPr>
              <w:t>营运期环境监测内容及监测频率</w:t>
            </w:r>
          </w:p>
          <w:tbl>
            <w:tblPr>
              <w:tblStyle w:val="26"/>
              <w:tblW w:w="84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2115"/>
              <w:gridCol w:w="1596"/>
              <w:gridCol w:w="1392"/>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6" w:type="dxa"/>
                  <w:tcBorders>
                    <w:tl2br w:val="nil"/>
                    <w:tr2bl w:val="nil"/>
                  </w:tcBorders>
                  <w:noWrap w:val="0"/>
                  <w:vAlign w:val="bottom"/>
                </w:tcPr>
                <w:p>
                  <w:pPr>
                    <w:pStyle w:val="63"/>
                    <w:spacing w:line="240" w:lineRule="auto"/>
                    <w:jc w:val="center"/>
                    <w:rPr>
                      <w:rFonts w:hint="default" w:ascii="Times New Roman" w:hAnsi="Times New Roman" w:eastAsia="宋体" w:cs="Times New Roman"/>
                      <w:b/>
                      <w:bCs w:val="0"/>
                      <w:color w:val="auto"/>
                      <w:sz w:val="21"/>
                      <w:szCs w:val="21"/>
                      <w:highlight w:val="none"/>
                      <w:u w:val="none" w:color="auto"/>
                    </w:rPr>
                  </w:pPr>
                  <w:r>
                    <w:rPr>
                      <w:rFonts w:hint="default" w:ascii="Times New Roman" w:hAnsi="Times New Roman" w:eastAsia="宋体" w:cs="Times New Roman"/>
                      <w:b/>
                      <w:bCs w:val="0"/>
                      <w:color w:val="auto"/>
                      <w:sz w:val="21"/>
                      <w:szCs w:val="21"/>
                      <w:highlight w:val="none"/>
                      <w:u w:val="none" w:color="auto"/>
                    </w:rPr>
                    <w:t>监测内容</w:t>
                  </w:r>
                </w:p>
              </w:tc>
              <w:tc>
                <w:tcPr>
                  <w:tcW w:w="2115" w:type="dxa"/>
                  <w:tcBorders>
                    <w:tl2br w:val="nil"/>
                    <w:tr2bl w:val="nil"/>
                  </w:tcBorders>
                  <w:noWrap w:val="0"/>
                  <w:vAlign w:val="bottom"/>
                </w:tcPr>
                <w:p>
                  <w:pPr>
                    <w:pStyle w:val="63"/>
                    <w:spacing w:line="240" w:lineRule="auto"/>
                    <w:jc w:val="center"/>
                    <w:rPr>
                      <w:rFonts w:hint="default" w:ascii="Times New Roman" w:hAnsi="Times New Roman" w:eastAsia="宋体" w:cs="Times New Roman"/>
                      <w:b/>
                      <w:bCs w:val="0"/>
                      <w:color w:val="auto"/>
                      <w:sz w:val="21"/>
                      <w:szCs w:val="21"/>
                      <w:highlight w:val="none"/>
                      <w:u w:val="none" w:color="auto"/>
                    </w:rPr>
                  </w:pPr>
                  <w:r>
                    <w:rPr>
                      <w:rFonts w:hint="default" w:ascii="Times New Roman" w:hAnsi="Times New Roman" w:eastAsia="宋体" w:cs="Times New Roman"/>
                      <w:b/>
                      <w:bCs w:val="0"/>
                      <w:color w:val="auto"/>
                      <w:sz w:val="21"/>
                      <w:szCs w:val="21"/>
                      <w:highlight w:val="none"/>
                      <w:u w:val="none" w:color="auto"/>
                    </w:rPr>
                    <w:t>监测位置</w:t>
                  </w:r>
                </w:p>
              </w:tc>
              <w:tc>
                <w:tcPr>
                  <w:tcW w:w="1596" w:type="dxa"/>
                  <w:tcBorders>
                    <w:tl2br w:val="nil"/>
                    <w:tr2bl w:val="nil"/>
                  </w:tcBorders>
                  <w:noWrap w:val="0"/>
                  <w:vAlign w:val="bottom"/>
                </w:tcPr>
                <w:p>
                  <w:pPr>
                    <w:pStyle w:val="63"/>
                    <w:spacing w:line="240" w:lineRule="auto"/>
                    <w:jc w:val="center"/>
                    <w:rPr>
                      <w:rFonts w:hint="default" w:ascii="Times New Roman" w:hAnsi="Times New Roman" w:eastAsia="宋体" w:cs="Times New Roman"/>
                      <w:b/>
                      <w:bCs w:val="0"/>
                      <w:color w:val="auto"/>
                      <w:sz w:val="21"/>
                      <w:szCs w:val="21"/>
                      <w:highlight w:val="none"/>
                      <w:u w:val="none" w:color="auto"/>
                    </w:rPr>
                  </w:pPr>
                  <w:r>
                    <w:rPr>
                      <w:rFonts w:hint="default" w:ascii="Times New Roman" w:hAnsi="Times New Roman" w:eastAsia="宋体" w:cs="Times New Roman"/>
                      <w:b/>
                      <w:bCs w:val="0"/>
                      <w:color w:val="auto"/>
                      <w:sz w:val="21"/>
                      <w:szCs w:val="21"/>
                      <w:highlight w:val="none"/>
                      <w:u w:val="none" w:color="auto"/>
                    </w:rPr>
                    <w:t>监测项目</w:t>
                  </w:r>
                </w:p>
              </w:tc>
              <w:tc>
                <w:tcPr>
                  <w:tcW w:w="1392" w:type="dxa"/>
                  <w:tcBorders>
                    <w:tl2br w:val="nil"/>
                    <w:tr2bl w:val="nil"/>
                  </w:tcBorders>
                  <w:noWrap w:val="0"/>
                  <w:vAlign w:val="bottom"/>
                </w:tcPr>
                <w:p>
                  <w:pPr>
                    <w:pStyle w:val="63"/>
                    <w:spacing w:line="240" w:lineRule="auto"/>
                    <w:jc w:val="center"/>
                    <w:rPr>
                      <w:rFonts w:hint="default" w:ascii="Times New Roman" w:hAnsi="Times New Roman" w:eastAsia="宋体" w:cs="Times New Roman"/>
                      <w:b/>
                      <w:bCs w:val="0"/>
                      <w:color w:val="auto"/>
                      <w:sz w:val="21"/>
                      <w:szCs w:val="21"/>
                      <w:highlight w:val="none"/>
                      <w:u w:val="none" w:color="auto"/>
                    </w:rPr>
                  </w:pPr>
                  <w:r>
                    <w:rPr>
                      <w:rFonts w:hint="default" w:ascii="Times New Roman" w:hAnsi="Times New Roman" w:eastAsia="宋体" w:cs="Times New Roman"/>
                      <w:b/>
                      <w:bCs w:val="0"/>
                      <w:color w:val="auto"/>
                      <w:sz w:val="21"/>
                      <w:szCs w:val="21"/>
                      <w:highlight w:val="none"/>
                      <w:u w:val="none" w:color="auto"/>
                    </w:rPr>
                    <w:t>监测频率</w:t>
                  </w:r>
                </w:p>
              </w:tc>
              <w:tc>
                <w:tcPr>
                  <w:tcW w:w="1701" w:type="dxa"/>
                  <w:tcBorders>
                    <w:tl2br w:val="nil"/>
                    <w:tr2bl w:val="nil"/>
                  </w:tcBorders>
                  <w:noWrap w:val="0"/>
                  <w:vAlign w:val="bottom"/>
                </w:tcPr>
                <w:p>
                  <w:pPr>
                    <w:pStyle w:val="63"/>
                    <w:spacing w:line="240" w:lineRule="auto"/>
                    <w:jc w:val="center"/>
                    <w:rPr>
                      <w:rFonts w:hint="default" w:ascii="Times New Roman" w:hAnsi="Times New Roman" w:eastAsia="宋体" w:cs="Times New Roman"/>
                      <w:b/>
                      <w:bCs w:val="0"/>
                      <w:color w:val="auto"/>
                      <w:sz w:val="21"/>
                      <w:szCs w:val="21"/>
                      <w:highlight w:val="none"/>
                      <w:u w:val="none" w:color="auto"/>
                    </w:rPr>
                  </w:pPr>
                  <w:r>
                    <w:rPr>
                      <w:rFonts w:hint="default" w:ascii="Times New Roman" w:hAnsi="Times New Roman" w:eastAsia="宋体" w:cs="Times New Roman"/>
                      <w:b/>
                      <w:bCs w:val="0"/>
                      <w:color w:val="auto"/>
                      <w:sz w:val="21"/>
                      <w:szCs w:val="21"/>
                      <w:highlight w:val="none"/>
                      <w:u w:val="none" w:color="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6" w:type="dxa"/>
                  <w:vMerge w:val="restart"/>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无组织废气</w:t>
                  </w:r>
                </w:p>
              </w:tc>
              <w:tc>
                <w:tcPr>
                  <w:tcW w:w="2115" w:type="dxa"/>
                  <w:vMerge w:val="restart"/>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上风向1个参照点，下风向3个</w:t>
                  </w:r>
                  <w:r>
                    <w:rPr>
                      <w:rFonts w:hint="eastAsia" w:ascii="Times New Roman" w:hAnsi="Times New Roman" w:eastAsia="宋体" w:cs="Times New Roman"/>
                      <w:b w:val="0"/>
                      <w:bCs/>
                      <w:color w:val="auto"/>
                      <w:sz w:val="21"/>
                      <w:szCs w:val="21"/>
                      <w:highlight w:val="none"/>
                      <w:u w:val="none" w:color="auto"/>
                      <w:lang w:eastAsia="zh-CN"/>
                    </w:rPr>
                    <w:t>监</w:t>
                  </w:r>
                  <w:r>
                    <w:rPr>
                      <w:rFonts w:hint="default" w:ascii="Times New Roman" w:hAnsi="Times New Roman" w:eastAsia="宋体" w:cs="Times New Roman"/>
                      <w:b w:val="0"/>
                      <w:bCs/>
                      <w:color w:val="auto"/>
                      <w:sz w:val="21"/>
                      <w:szCs w:val="21"/>
                      <w:highlight w:val="none"/>
                      <w:u w:val="none" w:color="auto"/>
                    </w:rPr>
                    <w:t>测点</w:t>
                  </w:r>
                </w:p>
              </w:tc>
              <w:tc>
                <w:tcPr>
                  <w:tcW w:w="1596"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非甲烷总烃</w:t>
                  </w:r>
                </w:p>
              </w:tc>
              <w:tc>
                <w:tcPr>
                  <w:tcW w:w="1392"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val="0"/>
                      <w:color w:val="auto"/>
                      <w:sz w:val="21"/>
                      <w:szCs w:val="21"/>
                      <w:highlight w:val="none"/>
                      <w:u w:val="none" w:color="auto"/>
                    </w:rPr>
                  </w:pPr>
                  <w:r>
                    <w:rPr>
                      <w:rFonts w:hint="eastAsia"/>
                      <w:b w:val="0"/>
                      <w:bCs w:val="0"/>
                      <w:sz w:val="21"/>
                      <w:szCs w:val="21"/>
                      <w:u w:val="none" w:color="auto"/>
                      <w:lang w:val="en-US" w:eastAsia="zh-CN"/>
                    </w:rPr>
                    <w:t>1</w:t>
                  </w:r>
                  <w:r>
                    <w:rPr>
                      <w:rFonts w:hint="default"/>
                      <w:b w:val="0"/>
                      <w:bCs w:val="0"/>
                      <w:sz w:val="21"/>
                      <w:szCs w:val="21"/>
                      <w:u w:val="none" w:color="auto"/>
                    </w:rPr>
                    <w:t>次/年</w:t>
                  </w:r>
                </w:p>
              </w:tc>
              <w:tc>
                <w:tcPr>
                  <w:tcW w:w="1701" w:type="dxa"/>
                  <w:vMerge w:val="restart"/>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委托有监测资质的单位实施监测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6" w:type="dxa"/>
                  <w:vMerge w:val="continue"/>
                  <w:tcBorders>
                    <w:tl2br w:val="nil"/>
                    <w:tr2bl w:val="nil"/>
                  </w:tcBorders>
                  <w:noWrap w:val="0"/>
                  <w:vAlign w:val="center"/>
                </w:tcPr>
                <w:p>
                  <w:pPr>
                    <w:pStyle w:val="63"/>
                    <w:spacing w:line="240" w:lineRule="auto"/>
                    <w:jc w:val="center"/>
                  </w:pPr>
                </w:p>
              </w:tc>
              <w:tc>
                <w:tcPr>
                  <w:tcW w:w="2115" w:type="dxa"/>
                  <w:vMerge w:val="continue"/>
                  <w:tcBorders>
                    <w:tl2br w:val="nil"/>
                    <w:tr2bl w:val="nil"/>
                  </w:tcBorders>
                  <w:noWrap w:val="0"/>
                  <w:vAlign w:val="center"/>
                </w:tcPr>
                <w:p>
                  <w:pPr>
                    <w:pStyle w:val="63"/>
                    <w:spacing w:line="240" w:lineRule="auto"/>
                    <w:jc w:val="center"/>
                  </w:pPr>
                </w:p>
              </w:tc>
              <w:tc>
                <w:tcPr>
                  <w:tcW w:w="1596" w:type="dxa"/>
                  <w:tcBorders>
                    <w:tl2br w:val="nil"/>
                    <w:tr2bl w:val="nil"/>
                  </w:tcBorders>
                  <w:noWrap w:val="0"/>
                  <w:vAlign w:val="center"/>
                </w:tcPr>
                <w:p>
                  <w:pPr>
                    <w:pStyle w:val="63"/>
                    <w:spacing w:line="240" w:lineRule="auto"/>
                    <w:jc w:val="center"/>
                    <w:rPr>
                      <w:rFonts w:hint="eastAsia"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颗粒物</w:t>
                  </w:r>
                </w:p>
              </w:tc>
              <w:tc>
                <w:tcPr>
                  <w:tcW w:w="1392" w:type="dxa"/>
                  <w:tcBorders>
                    <w:tl2br w:val="nil"/>
                    <w:tr2bl w:val="nil"/>
                  </w:tcBorders>
                  <w:noWrap w:val="0"/>
                  <w:vAlign w:val="center"/>
                </w:tcPr>
                <w:p>
                  <w:pPr>
                    <w:pStyle w:val="63"/>
                    <w:spacing w:line="240" w:lineRule="auto"/>
                    <w:jc w:val="center"/>
                    <w:rPr>
                      <w:rFonts w:hint="eastAsia" w:ascii="Times New Roman" w:hAnsi="Times New Roman" w:eastAsia="宋体" w:cs="Times New Roman"/>
                      <w:b w:val="0"/>
                      <w:bCs/>
                      <w:color w:val="auto"/>
                      <w:sz w:val="21"/>
                      <w:szCs w:val="21"/>
                      <w:highlight w:val="none"/>
                      <w:u w:val="none" w:color="auto"/>
                      <w:lang w:val="en-US" w:eastAsia="zh-CN"/>
                    </w:rPr>
                  </w:pPr>
                  <w:r>
                    <w:rPr>
                      <w:rFonts w:hint="eastAsia"/>
                      <w:b w:val="0"/>
                      <w:bCs w:val="0"/>
                      <w:sz w:val="21"/>
                      <w:szCs w:val="21"/>
                      <w:u w:val="none" w:color="auto"/>
                      <w:lang w:val="en-US" w:eastAsia="zh-CN"/>
                    </w:rPr>
                    <w:t>1</w:t>
                  </w:r>
                  <w:r>
                    <w:rPr>
                      <w:rFonts w:hint="default"/>
                      <w:b w:val="0"/>
                      <w:bCs w:val="0"/>
                      <w:sz w:val="21"/>
                      <w:szCs w:val="21"/>
                      <w:u w:val="none" w:color="auto"/>
                    </w:rPr>
                    <w:t>次/年</w:t>
                  </w:r>
                </w:p>
              </w:tc>
              <w:tc>
                <w:tcPr>
                  <w:tcW w:w="1701" w:type="dxa"/>
                  <w:vMerge w:val="continue"/>
                  <w:tcBorders>
                    <w:tl2br w:val="nil"/>
                    <w:tr2bl w:val="nil"/>
                  </w:tcBorders>
                  <w:noWrap w:val="0"/>
                  <w:vAlign w:val="center"/>
                </w:tcPr>
                <w:p>
                  <w:pPr>
                    <w:pStyle w:val="63"/>
                    <w:spacing w:line="240" w:lineRule="auto"/>
                    <w:jc w:val="center"/>
                    <w:rPr>
                      <w:rFonts w:hint="eastAsia" w:ascii="Times New Roman" w:hAnsi="Times New Roman" w:eastAsia="宋体" w:cs="Times New Roman"/>
                      <w:b w:val="0"/>
                      <w:bCs/>
                      <w:color w:val="auto"/>
                      <w:sz w:val="21"/>
                      <w:szCs w:val="21"/>
                      <w:highlight w:val="none"/>
                      <w:u w:val="none" w:color="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6"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有组织废气</w:t>
                  </w:r>
                </w:p>
              </w:tc>
              <w:tc>
                <w:tcPr>
                  <w:tcW w:w="2115"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cs="Times New Roman"/>
                      <w:b w:val="0"/>
                      <w:bCs/>
                      <w:color w:val="auto"/>
                      <w:sz w:val="21"/>
                      <w:szCs w:val="21"/>
                      <w:highlight w:val="none"/>
                      <w:u w:val="none" w:color="auto"/>
                      <w:lang w:val="en-US" w:eastAsia="zh-CN"/>
                    </w:rPr>
                    <w:t>有机废气排气筒</w:t>
                  </w:r>
                </w:p>
              </w:tc>
              <w:tc>
                <w:tcPr>
                  <w:tcW w:w="1596" w:type="dxa"/>
                  <w:tcBorders>
                    <w:tl2br w:val="nil"/>
                    <w:tr2bl w:val="nil"/>
                  </w:tcBorders>
                  <w:noWrap w:val="0"/>
                  <w:vAlign w:val="center"/>
                </w:tcPr>
                <w:p>
                  <w:pPr>
                    <w:pStyle w:val="63"/>
                    <w:spacing w:line="240" w:lineRule="auto"/>
                    <w:jc w:val="center"/>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非甲烷总烃</w:t>
                  </w:r>
                </w:p>
              </w:tc>
              <w:tc>
                <w:tcPr>
                  <w:tcW w:w="1392"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val="0"/>
                      <w:color w:val="auto"/>
                      <w:sz w:val="21"/>
                      <w:szCs w:val="21"/>
                      <w:highlight w:val="none"/>
                      <w:u w:val="none" w:color="auto"/>
                    </w:rPr>
                  </w:pPr>
                  <w:r>
                    <w:rPr>
                      <w:rFonts w:hint="eastAsia"/>
                      <w:b w:val="0"/>
                      <w:bCs w:val="0"/>
                      <w:sz w:val="21"/>
                      <w:szCs w:val="21"/>
                      <w:u w:val="none" w:color="auto"/>
                      <w:lang w:val="en-US" w:eastAsia="zh-CN"/>
                    </w:rPr>
                    <w:t>1</w:t>
                  </w:r>
                  <w:r>
                    <w:rPr>
                      <w:rFonts w:hint="default"/>
                      <w:b w:val="0"/>
                      <w:bCs w:val="0"/>
                      <w:sz w:val="21"/>
                      <w:szCs w:val="21"/>
                      <w:u w:val="none" w:color="auto"/>
                    </w:rPr>
                    <w:t>次/年</w:t>
                  </w:r>
                </w:p>
              </w:tc>
              <w:tc>
                <w:tcPr>
                  <w:tcW w:w="1701" w:type="dxa"/>
                  <w:vMerge w:val="continue"/>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6"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噪声</w:t>
                  </w:r>
                </w:p>
              </w:tc>
              <w:tc>
                <w:tcPr>
                  <w:tcW w:w="2115"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厂界外1m</w:t>
                  </w:r>
                </w:p>
              </w:tc>
              <w:tc>
                <w:tcPr>
                  <w:tcW w:w="1596"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昼间Leq（A）</w:t>
                  </w:r>
                </w:p>
              </w:tc>
              <w:tc>
                <w:tcPr>
                  <w:tcW w:w="1392" w:type="dxa"/>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每</w:t>
                  </w:r>
                  <w:r>
                    <w:rPr>
                      <w:rFonts w:hint="eastAsia" w:ascii="Times New Roman" w:hAnsi="Times New Roman" w:eastAsia="宋体" w:cs="Times New Roman"/>
                      <w:b w:val="0"/>
                      <w:bCs/>
                      <w:color w:val="auto"/>
                      <w:sz w:val="21"/>
                      <w:szCs w:val="21"/>
                      <w:highlight w:val="none"/>
                      <w:u w:val="none" w:color="auto"/>
                      <w:lang w:val="en-US" w:eastAsia="zh-CN"/>
                    </w:rPr>
                    <w:t>季度</w:t>
                  </w:r>
                  <w:r>
                    <w:rPr>
                      <w:rFonts w:hint="default" w:ascii="Times New Roman" w:hAnsi="Times New Roman" w:eastAsia="宋体" w:cs="Times New Roman"/>
                      <w:b w:val="0"/>
                      <w:bCs/>
                      <w:color w:val="auto"/>
                      <w:sz w:val="21"/>
                      <w:szCs w:val="21"/>
                      <w:highlight w:val="none"/>
                      <w:u w:val="none" w:color="auto"/>
                    </w:rPr>
                    <w:t>1次，昼</w:t>
                  </w:r>
                  <w:r>
                    <w:rPr>
                      <w:rFonts w:hint="eastAsia" w:ascii="Times New Roman" w:hAnsi="Times New Roman" w:eastAsia="宋体" w:cs="Times New Roman"/>
                      <w:b w:val="0"/>
                      <w:bCs/>
                      <w:color w:val="auto"/>
                      <w:sz w:val="21"/>
                      <w:szCs w:val="21"/>
                      <w:highlight w:val="none"/>
                      <w:u w:val="none" w:color="auto"/>
                      <w:lang w:eastAsia="zh-CN"/>
                    </w:rPr>
                    <w:t>间</w:t>
                  </w:r>
                  <w:r>
                    <w:rPr>
                      <w:rFonts w:hint="default" w:ascii="Times New Roman" w:hAnsi="Times New Roman" w:eastAsia="宋体" w:cs="Times New Roman"/>
                      <w:b w:val="0"/>
                      <w:bCs/>
                      <w:color w:val="auto"/>
                      <w:sz w:val="21"/>
                      <w:szCs w:val="21"/>
                      <w:highlight w:val="none"/>
                      <w:u w:val="none" w:color="auto"/>
                    </w:rPr>
                    <w:t>各一次</w:t>
                  </w:r>
                </w:p>
              </w:tc>
              <w:tc>
                <w:tcPr>
                  <w:tcW w:w="1701" w:type="dxa"/>
                  <w:vMerge w:val="continue"/>
                  <w:tcBorders>
                    <w:tl2br w:val="nil"/>
                    <w:tr2bl w:val="nil"/>
                  </w:tcBorders>
                  <w:noWrap w:val="0"/>
                  <w:vAlign w:val="center"/>
                </w:tcPr>
                <w:p>
                  <w:pPr>
                    <w:pStyle w:val="63"/>
                    <w:spacing w:line="240" w:lineRule="auto"/>
                    <w:jc w:val="center"/>
                    <w:rPr>
                      <w:rFonts w:hint="default" w:ascii="Times New Roman" w:hAnsi="Times New Roman" w:eastAsia="宋体" w:cs="Times New Roman"/>
                      <w:b w:val="0"/>
                      <w:bCs/>
                      <w:color w:val="auto"/>
                      <w:sz w:val="21"/>
                      <w:szCs w:val="21"/>
                      <w:highlight w:val="none"/>
                      <w:u w:val="none" w:color="auto"/>
                    </w:rPr>
                  </w:pPr>
                </w:p>
              </w:tc>
            </w:tr>
          </w:tbl>
          <w:p>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color w:val="auto"/>
                <w:sz w:val="24"/>
                <w:szCs w:val="24"/>
                <w:lang w:val="en-US" w:eastAsia="zh-CN"/>
              </w:rPr>
            </w:pPr>
            <w:r>
              <w:rPr>
                <w:rFonts w:hint="eastAsia"/>
                <w:color w:val="auto"/>
                <w:sz w:val="24"/>
                <w:szCs w:val="24"/>
                <w:lang w:val="en-US" w:eastAsia="zh-CN"/>
              </w:rPr>
              <w:t>在监测单位出具环境监测报告之后，企业应当将监测数据归类、归档，妥善保存。对于监测结果所反映的环保问题应及时采取措施，及时纠正，确保污染物排放达标。对于项目涉及的废气污染物监测数据及噪声监测数据应向社会公开。</w:t>
            </w:r>
          </w:p>
          <w:p>
            <w:pPr>
              <w:pStyle w:val="11"/>
              <w:keepNext w:val="0"/>
              <w:keepLines w:val="0"/>
              <w:pageBreakBefore w:val="0"/>
              <w:widowControl w:val="0"/>
              <w:kinsoku/>
              <w:wordWrap/>
              <w:overflowPunct/>
              <w:topLinePunct w:val="0"/>
              <w:autoSpaceDE w:val="0"/>
              <w:autoSpaceDN w:val="0"/>
              <w:bidi w:val="0"/>
              <w:adjustRightInd w:val="0"/>
              <w:snapToGrid/>
              <w:spacing w:before="0" w:line="520" w:lineRule="exact"/>
              <w:ind w:left="0" w:leftChars="0" w:right="0" w:firstLine="480" w:firstLineChars="200"/>
              <w:textAlignment w:val="auto"/>
              <w:rPr>
                <w:rFonts w:hint="default" w:ascii="Times New Roman" w:hAnsi="Times New Roman" w:cs="Times New Roman"/>
                <w:b w:val="0"/>
                <w:bCs w:val="0"/>
                <w:color w:val="000000"/>
                <w:sz w:val="24"/>
                <w:u w:val="none"/>
              </w:rPr>
            </w:pPr>
            <w:r>
              <w:rPr>
                <w:rFonts w:hint="default" w:ascii="Times New Roman" w:hAnsi="Times New Roman" w:cs="Times New Roman"/>
                <w:b w:val="0"/>
                <w:bCs w:val="0"/>
                <w:color w:val="000000"/>
                <w:sz w:val="24"/>
                <w:u w:val="none"/>
              </w:rPr>
              <w:t>（</w:t>
            </w:r>
            <w:r>
              <w:rPr>
                <w:rFonts w:hint="eastAsia" w:ascii="Times New Roman" w:hAnsi="Times New Roman" w:cs="Times New Roman"/>
                <w:b w:val="0"/>
                <w:bCs w:val="0"/>
                <w:color w:val="000000"/>
                <w:sz w:val="24"/>
                <w:u w:val="none"/>
                <w:lang w:val="en-US" w:eastAsia="zh-CN"/>
              </w:rPr>
              <w:t>5</w:t>
            </w:r>
            <w:r>
              <w:rPr>
                <w:rFonts w:hint="default" w:ascii="Times New Roman" w:hAnsi="Times New Roman" w:cs="Times New Roman"/>
                <w:b w:val="0"/>
                <w:bCs w:val="0"/>
                <w:color w:val="000000"/>
                <w:sz w:val="24"/>
                <w:u w:val="none"/>
              </w:rPr>
              <w:t>）排污口规范化设置</w:t>
            </w:r>
          </w:p>
          <w:p>
            <w:pPr>
              <w:pStyle w:val="11"/>
              <w:keepNext w:val="0"/>
              <w:keepLines w:val="0"/>
              <w:pageBreakBefore w:val="0"/>
              <w:widowControl w:val="0"/>
              <w:kinsoku/>
              <w:wordWrap/>
              <w:overflowPunct/>
              <w:topLinePunct w:val="0"/>
              <w:autoSpaceDE w:val="0"/>
              <w:autoSpaceDN w:val="0"/>
              <w:bidi w:val="0"/>
              <w:adjustRightInd w:val="0"/>
              <w:snapToGrid/>
              <w:spacing w:before="0" w:line="520" w:lineRule="exact"/>
              <w:ind w:left="0" w:leftChars="0" w:right="0" w:firstLine="480" w:firstLineChars="200"/>
              <w:textAlignment w:val="auto"/>
              <w:rPr>
                <w:rFonts w:hint="default" w:ascii="Times New Roman" w:hAnsi="Times New Roman" w:cs="Times New Roman"/>
                <w:b w:val="0"/>
                <w:bCs w:val="0"/>
                <w:color w:val="000000"/>
                <w:sz w:val="24"/>
                <w:u w:val="none"/>
              </w:rPr>
            </w:pPr>
            <w:r>
              <w:rPr>
                <w:rFonts w:hint="default" w:ascii="Times New Roman" w:hAnsi="Times New Roman" w:cs="Times New Roman"/>
                <w:b w:val="0"/>
                <w:bCs w:val="0"/>
                <w:color w:val="000000"/>
                <w:sz w:val="24"/>
                <w:u w:val="none"/>
              </w:rPr>
              <w:t>根据《关于开展排污口规范化整治工作的通知》（环发[1999]24号）规定，排污口应进行规范化设计，具备采样、监测条件，排放口附近树立环保图形标志牌。环保标志明显，排污口明显，排污口设置合理，排污口去向合理，便于采集样品，便于监测计量，便于公众监督管理。按照国家环境保护部制定的《〈环境保护图形标志〉实施细则（试行）》（环监【1996】463号）的规定，在各排污口设立相应的环境保护图形标志牌。具体要求见下表。</w:t>
            </w:r>
          </w:p>
          <w:p>
            <w:pPr>
              <w:pStyle w:val="11"/>
              <w:keepNext w:val="0"/>
              <w:keepLines w:val="0"/>
              <w:pageBreakBefore w:val="0"/>
              <w:widowControl w:val="0"/>
              <w:kinsoku/>
              <w:wordWrap/>
              <w:overflowPunct/>
              <w:topLinePunct w:val="0"/>
              <w:autoSpaceDE w:val="0"/>
              <w:autoSpaceDN w:val="0"/>
              <w:bidi w:val="0"/>
              <w:adjustRightInd w:val="0"/>
              <w:snapToGrid/>
              <w:spacing w:before="0" w:line="360" w:lineRule="auto"/>
              <w:ind w:left="0" w:leftChars="0" w:right="0" w:firstLine="0" w:firstLineChars="0"/>
              <w:jc w:val="center"/>
              <w:textAlignment w:val="auto"/>
              <w:rPr>
                <w:rFonts w:hint="default" w:ascii="Times New Roman" w:hAnsi="Times New Roman" w:cs="Times New Roman"/>
                <w:b/>
                <w:bCs/>
                <w:color w:val="000000"/>
                <w:sz w:val="24"/>
                <w:u w:val="none"/>
              </w:rPr>
            </w:pPr>
            <w:r>
              <w:rPr>
                <w:rFonts w:hint="default" w:ascii="Times New Roman" w:hAnsi="Times New Roman" w:cs="Times New Roman"/>
                <w:b/>
                <w:bCs/>
                <w:color w:val="000000"/>
                <w:sz w:val="24"/>
                <w:u w:val="none"/>
              </w:rPr>
              <w:t>表</w:t>
            </w:r>
            <w:r>
              <w:rPr>
                <w:rFonts w:hint="eastAsia" w:ascii="Times New Roman" w:hAnsi="Times New Roman" w:cs="Times New Roman"/>
                <w:b/>
                <w:bCs/>
                <w:color w:val="000000"/>
                <w:sz w:val="24"/>
                <w:u w:val="none"/>
                <w:lang w:val="en-US" w:eastAsia="zh-CN"/>
              </w:rPr>
              <w:t>4-1</w:t>
            </w:r>
            <w:r>
              <w:rPr>
                <w:rFonts w:hint="eastAsia" w:cs="Times New Roman"/>
                <w:b/>
                <w:bCs/>
                <w:color w:val="000000"/>
                <w:sz w:val="24"/>
                <w:u w:val="none"/>
                <w:lang w:val="en-US" w:eastAsia="zh-CN"/>
              </w:rPr>
              <w:t>4</w:t>
            </w:r>
            <w:r>
              <w:rPr>
                <w:rFonts w:hint="eastAsia" w:ascii="Times New Roman" w:hAnsi="Times New Roman" w:cs="Times New Roman"/>
                <w:b/>
                <w:bCs/>
                <w:color w:val="000000"/>
                <w:sz w:val="24"/>
                <w:u w:val="none"/>
                <w:lang w:val="en-US" w:eastAsia="zh-CN"/>
              </w:rPr>
              <w:t xml:space="preserve">  </w:t>
            </w:r>
            <w:r>
              <w:rPr>
                <w:rFonts w:hint="default" w:ascii="Times New Roman" w:hAnsi="Times New Roman" w:cs="Times New Roman"/>
                <w:b/>
                <w:bCs/>
                <w:color w:val="000000"/>
                <w:sz w:val="24"/>
                <w:u w:val="none"/>
              </w:rPr>
              <w:t>本项目各排污口环境保护图形标志</w:t>
            </w:r>
          </w:p>
          <w:tbl>
            <w:tblPr>
              <w:tblStyle w:val="27"/>
              <w:tblW w:w="839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651"/>
              <w:gridCol w:w="1686"/>
              <w:gridCol w:w="1630"/>
              <w:gridCol w:w="2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jc w:val="center"/>
              </w:trPr>
              <w:tc>
                <w:tcPr>
                  <w:tcW w:w="763" w:type="dxa"/>
                  <w:noWrap w:val="0"/>
                  <w:vAlign w:val="center"/>
                </w:tcPr>
                <w:p>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1651" w:type="dxa"/>
                  <w:noWrap w:val="0"/>
                  <w:vAlign w:val="center"/>
                </w:tcPr>
                <w:p>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提示图形符号</w:t>
                  </w:r>
                </w:p>
              </w:tc>
              <w:tc>
                <w:tcPr>
                  <w:tcW w:w="1686" w:type="dxa"/>
                  <w:noWrap w:val="0"/>
                  <w:vAlign w:val="center"/>
                </w:tcPr>
                <w:p>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警告图形符号</w:t>
                  </w:r>
                </w:p>
              </w:tc>
              <w:tc>
                <w:tcPr>
                  <w:tcW w:w="1630" w:type="dxa"/>
                  <w:noWrap w:val="0"/>
                  <w:vAlign w:val="center"/>
                </w:tcPr>
                <w:p>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名称</w:t>
                  </w:r>
                </w:p>
              </w:tc>
              <w:tc>
                <w:tcPr>
                  <w:tcW w:w="2664" w:type="dxa"/>
                  <w:noWrap w:val="0"/>
                  <w:vAlign w:val="center"/>
                </w:tcPr>
                <w:p>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noWrap w:val="0"/>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1</w:t>
                  </w:r>
                </w:p>
              </w:tc>
              <w:tc>
                <w:tcPr>
                  <w:tcW w:w="1651"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762000" cy="762000"/>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9"/>
                                <a:stretch>
                                  <a:fillRect/>
                                </a:stretch>
                              </pic:blipFill>
                              <pic:spPr>
                                <a:xfrm>
                                  <a:off x="0" y="0"/>
                                  <a:ext cx="762000" cy="762000"/>
                                </a:xfrm>
                                <a:prstGeom prst="rect">
                                  <a:avLst/>
                                </a:prstGeom>
                                <a:noFill/>
                                <a:ln>
                                  <a:noFill/>
                                </a:ln>
                              </pic:spPr>
                            </pic:pic>
                          </a:graphicData>
                        </a:graphic>
                      </wp:inline>
                    </w:drawing>
                  </w:r>
                </w:p>
              </w:tc>
              <w:tc>
                <w:tcPr>
                  <w:tcW w:w="1686"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894715" cy="826770"/>
                        <wp:effectExtent l="0" t="0" r="635" b="1143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30"/>
                                <a:stretch>
                                  <a:fillRect/>
                                </a:stretch>
                              </pic:blipFill>
                              <pic:spPr>
                                <a:xfrm>
                                  <a:off x="0" y="0"/>
                                  <a:ext cx="894715" cy="826770"/>
                                </a:xfrm>
                                <a:prstGeom prst="rect">
                                  <a:avLst/>
                                </a:prstGeom>
                                <a:noFill/>
                                <a:ln>
                                  <a:noFill/>
                                </a:ln>
                              </pic:spPr>
                            </pic:pic>
                          </a:graphicData>
                        </a:graphic>
                      </wp:inline>
                    </w:drawing>
                  </w:r>
                </w:p>
              </w:tc>
              <w:tc>
                <w:tcPr>
                  <w:tcW w:w="1630"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废气排放口</w:t>
                  </w:r>
                </w:p>
              </w:tc>
              <w:tc>
                <w:tcPr>
                  <w:tcW w:w="2664"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表示废气向大气环境排放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noWrap w:val="0"/>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2</w:t>
                  </w:r>
                </w:p>
              </w:tc>
              <w:tc>
                <w:tcPr>
                  <w:tcW w:w="1651"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752475" cy="781050"/>
                        <wp:effectExtent l="0" t="0" r="9525"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31"/>
                                <a:stretch>
                                  <a:fillRect/>
                                </a:stretch>
                              </pic:blipFill>
                              <pic:spPr>
                                <a:xfrm>
                                  <a:off x="0" y="0"/>
                                  <a:ext cx="752475" cy="781050"/>
                                </a:xfrm>
                                <a:prstGeom prst="rect">
                                  <a:avLst/>
                                </a:prstGeom>
                                <a:noFill/>
                                <a:ln>
                                  <a:noFill/>
                                </a:ln>
                              </pic:spPr>
                            </pic:pic>
                          </a:graphicData>
                        </a:graphic>
                      </wp:inline>
                    </w:drawing>
                  </w:r>
                </w:p>
              </w:tc>
              <w:tc>
                <w:tcPr>
                  <w:tcW w:w="1686"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838200" cy="762000"/>
                        <wp:effectExtent l="0" t="0" r="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32"/>
                                <a:stretch>
                                  <a:fillRect/>
                                </a:stretch>
                              </pic:blipFill>
                              <pic:spPr>
                                <a:xfrm>
                                  <a:off x="0" y="0"/>
                                  <a:ext cx="838200" cy="762000"/>
                                </a:xfrm>
                                <a:prstGeom prst="rect">
                                  <a:avLst/>
                                </a:prstGeom>
                                <a:noFill/>
                                <a:ln>
                                  <a:noFill/>
                                </a:ln>
                              </pic:spPr>
                            </pic:pic>
                          </a:graphicData>
                        </a:graphic>
                      </wp:inline>
                    </w:drawing>
                  </w:r>
                </w:p>
              </w:tc>
              <w:tc>
                <w:tcPr>
                  <w:tcW w:w="1630"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噪声排放源</w:t>
                  </w:r>
                </w:p>
              </w:tc>
              <w:tc>
                <w:tcPr>
                  <w:tcW w:w="2664"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7" w:hRule="atLeast"/>
                <w:jc w:val="center"/>
              </w:trPr>
              <w:tc>
                <w:tcPr>
                  <w:tcW w:w="763" w:type="dxa"/>
                  <w:noWrap w:val="0"/>
                  <w:vAlign w:val="center"/>
                </w:tcPr>
                <w:p>
                  <w:pPr>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651" w:type="dxa"/>
                  <w:noWrap w:val="0"/>
                  <w:vAlign w:val="center"/>
                </w:tcPr>
                <w:p>
                  <w:pPr>
                    <w:spacing w:line="240" w:lineRule="auto"/>
                    <w:jc w:val="center"/>
                    <w:rPr>
                      <w:rFonts w:hint="default" w:ascii="Times New Roman" w:hAnsi="Times New Roman" w:cs="Times New Roman"/>
                      <w:sz w:val="21"/>
                      <w:szCs w:val="21"/>
                    </w:rPr>
                  </w:pPr>
                  <w:r>
                    <w:drawing>
                      <wp:inline distT="0" distB="0" distL="114300" distR="114300">
                        <wp:extent cx="755015" cy="802640"/>
                        <wp:effectExtent l="0" t="0" r="6985" b="16510"/>
                        <wp:docPr id="6"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20"/>
                                <pic:cNvPicPr>
                                  <a:picLocks noChangeAspect="1"/>
                                </pic:cNvPicPr>
                              </pic:nvPicPr>
                              <pic:blipFill>
                                <a:blip r:embed="rId33"/>
                                <a:srcRect r="-337" b="13896"/>
                                <a:stretch>
                                  <a:fillRect/>
                                </a:stretch>
                              </pic:blipFill>
                              <pic:spPr>
                                <a:xfrm>
                                  <a:off x="0" y="0"/>
                                  <a:ext cx="755015" cy="802640"/>
                                </a:xfrm>
                                <a:prstGeom prst="rect">
                                  <a:avLst/>
                                </a:prstGeom>
                                <a:noFill/>
                                <a:ln>
                                  <a:noFill/>
                                </a:ln>
                              </pic:spPr>
                            </pic:pic>
                          </a:graphicData>
                        </a:graphic>
                      </wp:inline>
                    </w:drawing>
                  </w:r>
                </w:p>
              </w:tc>
              <w:tc>
                <w:tcPr>
                  <w:tcW w:w="1686" w:type="dxa"/>
                  <w:noWrap w:val="0"/>
                  <w:vAlign w:val="center"/>
                </w:tcPr>
                <w:p>
                  <w:pPr>
                    <w:spacing w:line="240" w:lineRule="auto"/>
                    <w:jc w:val="both"/>
                    <w:rPr>
                      <w:rFonts w:hint="default" w:ascii="Times New Roman" w:hAnsi="Times New Roman" w:cs="Times New Roman"/>
                      <w:sz w:val="21"/>
                      <w:szCs w:val="21"/>
                    </w:rPr>
                  </w:pPr>
                  <w:r>
                    <w:drawing>
                      <wp:inline distT="0" distB="0" distL="114300" distR="114300">
                        <wp:extent cx="923290" cy="853440"/>
                        <wp:effectExtent l="0" t="0" r="10160" b="3810"/>
                        <wp:docPr id="5"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19"/>
                                <pic:cNvPicPr>
                                  <a:picLocks noChangeAspect="1"/>
                                </pic:cNvPicPr>
                              </pic:nvPicPr>
                              <pic:blipFill>
                                <a:blip r:embed="rId34"/>
                                <a:stretch>
                                  <a:fillRect/>
                                </a:stretch>
                              </pic:blipFill>
                              <pic:spPr>
                                <a:xfrm>
                                  <a:off x="0" y="0"/>
                                  <a:ext cx="923290" cy="853440"/>
                                </a:xfrm>
                                <a:prstGeom prst="rect">
                                  <a:avLst/>
                                </a:prstGeom>
                                <a:noFill/>
                                <a:ln>
                                  <a:noFill/>
                                </a:ln>
                              </pic:spPr>
                            </pic:pic>
                          </a:graphicData>
                        </a:graphic>
                      </wp:inline>
                    </w:drawing>
                  </w:r>
                </w:p>
              </w:tc>
              <w:tc>
                <w:tcPr>
                  <w:tcW w:w="1630" w:type="dxa"/>
                  <w:noWrap w:val="0"/>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废水排放口</w:t>
                  </w:r>
                </w:p>
              </w:tc>
              <w:tc>
                <w:tcPr>
                  <w:tcW w:w="2664" w:type="dxa"/>
                  <w:noWrap w:val="0"/>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表示废水排放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noWrap w:val="0"/>
                  <w:vAlign w:val="center"/>
                </w:tcPr>
                <w:p>
                  <w:pPr>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c>
                <w:tcPr>
                  <w:tcW w:w="1651"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762000" cy="762000"/>
                        <wp:effectExtent l="0" t="0" r="0" b="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35"/>
                                <a:stretch>
                                  <a:fillRect/>
                                </a:stretch>
                              </pic:blipFill>
                              <pic:spPr>
                                <a:xfrm>
                                  <a:off x="0" y="0"/>
                                  <a:ext cx="762000" cy="762000"/>
                                </a:xfrm>
                                <a:prstGeom prst="rect">
                                  <a:avLst/>
                                </a:prstGeom>
                                <a:noFill/>
                                <a:ln>
                                  <a:noFill/>
                                </a:ln>
                              </pic:spPr>
                            </pic:pic>
                          </a:graphicData>
                        </a:graphic>
                      </wp:inline>
                    </w:drawing>
                  </w:r>
                </w:p>
              </w:tc>
              <w:tc>
                <w:tcPr>
                  <w:tcW w:w="1686"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drawing>
                      <wp:inline distT="0" distB="0" distL="114300" distR="114300">
                        <wp:extent cx="832485" cy="715645"/>
                        <wp:effectExtent l="0" t="0" r="5715" b="825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6"/>
                                <a:stretch>
                                  <a:fillRect/>
                                </a:stretch>
                              </pic:blipFill>
                              <pic:spPr>
                                <a:xfrm>
                                  <a:off x="0" y="0"/>
                                  <a:ext cx="832485" cy="715645"/>
                                </a:xfrm>
                                <a:prstGeom prst="rect">
                                  <a:avLst/>
                                </a:prstGeom>
                                <a:noFill/>
                                <a:ln>
                                  <a:noFill/>
                                </a:ln>
                              </pic:spPr>
                            </pic:pic>
                          </a:graphicData>
                        </a:graphic>
                      </wp:inline>
                    </w:drawing>
                  </w:r>
                </w:p>
              </w:tc>
              <w:tc>
                <w:tcPr>
                  <w:tcW w:w="1630"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一般固体废物</w:t>
                  </w:r>
                </w:p>
              </w:tc>
              <w:tc>
                <w:tcPr>
                  <w:tcW w:w="2664" w:type="dxa"/>
                  <w:noWrap w:val="0"/>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表示一般固体废物贮存、处置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noWrap w:val="0"/>
                  <w:vAlign w:val="center"/>
                </w:tcPr>
                <w:p>
                  <w:pPr>
                    <w:spacing w:line="240" w:lineRule="auto"/>
                    <w:jc w:val="center"/>
                    <w:rPr>
                      <w:rFonts w:hint="default" w:ascii="Times New Roman" w:hAnsi="Times New Roman" w:eastAsia="宋体" w:cs="Times New Roman"/>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5</w:t>
                  </w:r>
                </w:p>
              </w:tc>
              <w:tc>
                <w:tcPr>
                  <w:tcW w:w="1651" w:type="dxa"/>
                  <w:noWrap w:val="0"/>
                  <w:vAlign w:val="center"/>
                </w:tcPr>
                <w:p>
                  <w:pPr>
                    <w:spacing w:line="240" w:lineRule="auto"/>
                    <w:jc w:val="center"/>
                    <w:rPr>
                      <w:rFonts w:hint="default" w:ascii="Times New Roman" w:hAnsi="Times New Roman" w:cs="Times New Roman"/>
                      <w:b w:val="0"/>
                      <w:bCs w:val="0"/>
                      <w:sz w:val="21"/>
                      <w:szCs w:val="21"/>
                      <w:u w:val="none"/>
                    </w:rPr>
                  </w:pPr>
                  <w:r>
                    <w:rPr>
                      <w:rFonts w:hint="eastAsia" w:ascii="Times New Roman" w:hAnsi="Times New Roman" w:cs="Times New Roman"/>
                      <w:b w:val="0"/>
                      <w:bCs w:val="0"/>
                      <w:sz w:val="21"/>
                      <w:szCs w:val="21"/>
                      <w:u w:val="none"/>
                      <w:lang w:val="en-US" w:eastAsia="zh-CN"/>
                    </w:rPr>
                    <w:t>/</w:t>
                  </w:r>
                </w:p>
              </w:tc>
              <w:tc>
                <w:tcPr>
                  <w:tcW w:w="1686" w:type="dxa"/>
                  <w:noWrap w:val="0"/>
                  <w:vAlign w:val="center"/>
                </w:tcPr>
                <w:p>
                  <w:pPr>
                    <w:spacing w:line="240" w:lineRule="auto"/>
                    <w:jc w:val="center"/>
                    <w:rPr>
                      <w:rFonts w:hint="default" w:ascii="Times New Roman" w:hAnsi="Times New Roman" w:cs="Times New Roman"/>
                      <w:b w:val="0"/>
                      <w:bCs w:val="0"/>
                      <w:sz w:val="21"/>
                      <w:szCs w:val="21"/>
                      <w:u w:val="none"/>
                    </w:rPr>
                  </w:pPr>
                  <w:r>
                    <w:rPr>
                      <w:rFonts w:ascii="Times New Roman" w:hAnsi="Times New Roman" w:cs="Times New Roman"/>
                      <w:b w:val="0"/>
                      <w:bCs w:val="0"/>
                      <w:u w:val="none"/>
                    </w:rPr>
                    <w:drawing>
                      <wp:inline distT="0" distB="0" distL="114300" distR="114300">
                        <wp:extent cx="803910" cy="697865"/>
                        <wp:effectExtent l="0" t="0" r="15240" b="698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37"/>
                                <a:stretch>
                                  <a:fillRect/>
                                </a:stretch>
                              </pic:blipFill>
                              <pic:spPr>
                                <a:xfrm>
                                  <a:off x="0" y="0"/>
                                  <a:ext cx="803910" cy="697865"/>
                                </a:xfrm>
                                <a:prstGeom prst="rect">
                                  <a:avLst/>
                                </a:prstGeom>
                                <a:noFill/>
                                <a:ln>
                                  <a:noFill/>
                                </a:ln>
                              </pic:spPr>
                            </pic:pic>
                          </a:graphicData>
                        </a:graphic>
                      </wp:inline>
                    </w:drawing>
                  </w:r>
                </w:p>
              </w:tc>
              <w:tc>
                <w:tcPr>
                  <w:tcW w:w="1630" w:type="dxa"/>
                  <w:noWrap w:val="0"/>
                  <w:vAlign w:val="center"/>
                </w:tcPr>
                <w:p>
                  <w:pPr>
                    <w:spacing w:line="240" w:lineRule="auto"/>
                    <w:jc w:val="center"/>
                    <w:rPr>
                      <w:rFonts w:hint="default" w:ascii="Times New Roman" w:hAnsi="Times New Roman" w:cs="Times New Roman"/>
                      <w:b w:val="0"/>
                      <w:bCs w:val="0"/>
                      <w:sz w:val="21"/>
                      <w:szCs w:val="21"/>
                      <w:u w:val="none"/>
                    </w:rPr>
                  </w:pPr>
                  <w:r>
                    <w:rPr>
                      <w:rFonts w:hint="eastAsia" w:ascii="Times New Roman" w:hAnsi="Times New Roman" w:cs="Times New Roman"/>
                      <w:b w:val="0"/>
                      <w:bCs w:val="0"/>
                      <w:sz w:val="21"/>
                      <w:szCs w:val="21"/>
                      <w:u w:val="none"/>
                      <w:lang w:eastAsia="zh-CN"/>
                    </w:rPr>
                    <w:t>危险废物</w:t>
                  </w:r>
                </w:p>
              </w:tc>
              <w:tc>
                <w:tcPr>
                  <w:tcW w:w="2664" w:type="dxa"/>
                  <w:noWrap w:val="0"/>
                  <w:vAlign w:val="center"/>
                </w:tcPr>
                <w:p>
                  <w:pPr>
                    <w:spacing w:line="240" w:lineRule="auto"/>
                    <w:jc w:val="center"/>
                    <w:rPr>
                      <w:rFonts w:hint="default" w:ascii="Times New Roman" w:hAnsi="Times New Roman" w:cs="Times New Roman"/>
                      <w:b w:val="0"/>
                      <w:bCs w:val="0"/>
                      <w:sz w:val="21"/>
                      <w:szCs w:val="21"/>
                      <w:u w:val="none"/>
                    </w:rPr>
                  </w:pPr>
                  <w:r>
                    <w:rPr>
                      <w:rFonts w:hint="eastAsia" w:ascii="Times New Roman" w:hAnsi="Times New Roman" w:cs="Times New Roman"/>
                      <w:b w:val="0"/>
                      <w:bCs w:val="0"/>
                      <w:sz w:val="21"/>
                      <w:szCs w:val="21"/>
                      <w:u w:val="none"/>
                      <w:lang w:eastAsia="zh-CN"/>
                    </w:rPr>
                    <w:t>危险废物</w:t>
                  </w:r>
                  <w:r>
                    <w:rPr>
                      <w:rFonts w:hint="default" w:ascii="Times New Roman" w:hAnsi="Times New Roman" w:cs="Times New Roman"/>
                      <w:b w:val="0"/>
                      <w:bCs w:val="0"/>
                      <w:sz w:val="21"/>
                      <w:szCs w:val="21"/>
                      <w:u w:val="none"/>
                    </w:rPr>
                    <w:t>贮存、处置</w:t>
                  </w:r>
                </w:p>
              </w:tc>
            </w:tr>
          </w:tbl>
          <w:p>
            <w:pPr>
              <w:spacing w:line="520" w:lineRule="exact"/>
              <w:rPr>
                <w:rFonts w:hint="eastAsia"/>
                <w:b/>
                <w:bCs/>
                <w:color w:val="auto"/>
                <w:sz w:val="24"/>
                <w:szCs w:val="24"/>
                <w:lang w:val="en-US" w:eastAsia="zh-CN"/>
              </w:rPr>
            </w:pPr>
          </w:p>
          <w:p>
            <w:pPr>
              <w:spacing w:line="520" w:lineRule="exact"/>
              <w:rPr>
                <w:rFonts w:hint="eastAsia"/>
                <w:b/>
                <w:bCs/>
                <w:color w:val="auto"/>
                <w:sz w:val="24"/>
                <w:szCs w:val="24"/>
                <w:lang w:val="en-US" w:eastAsia="zh-CN"/>
              </w:rPr>
            </w:pPr>
            <w:r>
              <w:rPr>
                <w:rFonts w:hint="eastAsia"/>
                <w:b/>
                <w:bCs/>
                <w:color w:val="auto"/>
                <w:sz w:val="24"/>
                <w:szCs w:val="24"/>
                <w:lang w:val="en-US" w:eastAsia="zh-CN"/>
              </w:rPr>
              <w:t>8</w:t>
            </w:r>
            <w:r>
              <w:rPr>
                <w:rFonts w:hint="default"/>
                <w:b/>
                <w:bCs/>
                <w:color w:val="auto"/>
                <w:sz w:val="24"/>
                <w:szCs w:val="24"/>
                <w:lang w:val="en-US" w:eastAsia="zh-CN"/>
              </w:rPr>
              <w:t>、环保投资估算</w:t>
            </w:r>
            <w:r>
              <w:rPr>
                <w:rFonts w:hint="eastAsia"/>
                <w:b/>
                <w:bCs/>
                <w:color w:val="auto"/>
                <w:sz w:val="24"/>
                <w:szCs w:val="24"/>
                <w:lang w:val="en-US" w:eastAsia="zh-CN"/>
              </w:rPr>
              <w:t>及“三同时”验收</w:t>
            </w:r>
          </w:p>
          <w:p>
            <w:pPr>
              <w:spacing w:line="360" w:lineRule="auto"/>
              <w:ind w:firstLine="480" w:firstLineChars="200"/>
              <w:jc w:val="left"/>
              <w:rPr>
                <w:rFonts w:hint="eastAsia"/>
                <w:kern w:val="52"/>
                <w:sz w:val="24"/>
                <w:lang w:eastAsia="zh-CN"/>
              </w:rPr>
            </w:pPr>
            <w:r>
              <w:rPr>
                <w:kern w:val="52"/>
                <w:sz w:val="24"/>
                <w:lang w:eastAsia="zh-CN"/>
              </w:rPr>
              <w:t>本工程总投资为</w:t>
            </w:r>
            <w:r>
              <w:rPr>
                <w:rFonts w:hint="eastAsia"/>
                <w:kern w:val="52"/>
                <w:sz w:val="24"/>
                <w:lang w:val="en-US" w:eastAsia="zh-CN"/>
              </w:rPr>
              <w:t>2000</w:t>
            </w:r>
            <w:r>
              <w:rPr>
                <w:kern w:val="52"/>
                <w:sz w:val="24"/>
                <w:lang w:eastAsia="zh-CN"/>
              </w:rPr>
              <w:t>万元</w:t>
            </w:r>
            <w:r>
              <w:rPr>
                <w:color w:val="auto"/>
                <w:kern w:val="52"/>
                <w:sz w:val="24"/>
                <w:lang w:eastAsia="zh-CN"/>
              </w:rPr>
              <w:t>，环保投资</w:t>
            </w:r>
            <w:r>
              <w:rPr>
                <w:rFonts w:hint="eastAsia"/>
                <w:color w:val="auto"/>
                <w:kern w:val="52"/>
                <w:sz w:val="24"/>
                <w:lang w:val="en-US" w:eastAsia="zh-CN"/>
              </w:rPr>
              <w:t>20万元，</w:t>
            </w:r>
            <w:r>
              <w:rPr>
                <w:color w:val="auto"/>
                <w:kern w:val="52"/>
                <w:sz w:val="24"/>
                <w:lang w:eastAsia="zh-CN"/>
              </w:rPr>
              <w:t>占总投资的比例约为</w:t>
            </w:r>
            <w:r>
              <w:rPr>
                <w:rFonts w:hint="eastAsia"/>
                <w:color w:val="auto"/>
                <w:kern w:val="52"/>
                <w:sz w:val="24"/>
                <w:lang w:val="en-US" w:eastAsia="zh-CN"/>
              </w:rPr>
              <w:t>1</w:t>
            </w:r>
            <w:r>
              <w:rPr>
                <w:rFonts w:hint="eastAsia"/>
                <w:color w:val="auto"/>
                <w:kern w:val="52"/>
                <w:sz w:val="24"/>
                <w:lang w:eastAsia="zh-CN"/>
              </w:rPr>
              <w:t>%，</w:t>
            </w:r>
            <w:r>
              <w:rPr>
                <w:kern w:val="52"/>
                <w:sz w:val="24"/>
                <w:lang w:eastAsia="zh-CN"/>
              </w:rPr>
              <w:t>见</w:t>
            </w:r>
            <w:r>
              <w:rPr>
                <w:rFonts w:hint="eastAsia"/>
                <w:kern w:val="52"/>
                <w:sz w:val="24"/>
                <w:lang w:eastAsia="zh-CN"/>
              </w:rPr>
              <w:t>下表</w:t>
            </w:r>
            <w:r>
              <w:rPr>
                <w:kern w:val="52"/>
                <w:sz w:val="24"/>
                <w:lang w:eastAsia="zh-CN"/>
              </w:rPr>
              <w:t>。</w:t>
            </w:r>
          </w:p>
          <w:p>
            <w:pPr>
              <w:spacing w:line="360" w:lineRule="auto"/>
              <w:jc w:val="center"/>
              <w:rPr>
                <w:rFonts w:hint="eastAsia" w:ascii="Times New Roman" w:hAnsi="Times New Roman" w:eastAsia="宋体" w:cs="Times New Roman"/>
                <w:b/>
                <w:bCs w:val="0"/>
                <w:sz w:val="24"/>
                <w:szCs w:val="24"/>
                <w:lang w:eastAsia="zh-CN"/>
              </w:rPr>
            </w:pPr>
            <w:r>
              <w:rPr>
                <w:rFonts w:hint="eastAsia" w:ascii="Times New Roman" w:hAnsi="Times New Roman" w:eastAsia="宋体" w:cs="Times New Roman"/>
                <w:b/>
                <w:bCs w:val="0"/>
                <w:sz w:val="24"/>
                <w:szCs w:val="24"/>
                <w:lang w:eastAsia="zh-CN"/>
              </w:rPr>
              <w:t>表</w:t>
            </w:r>
            <w:r>
              <w:rPr>
                <w:rFonts w:hint="eastAsia" w:ascii="Times New Roman" w:hAnsi="Times New Roman" w:eastAsia="宋体" w:cs="Times New Roman"/>
                <w:b/>
                <w:bCs w:val="0"/>
                <w:sz w:val="24"/>
                <w:szCs w:val="24"/>
                <w:lang w:val="en-US" w:eastAsia="zh-CN"/>
              </w:rPr>
              <w:t>4-1</w:t>
            </w:r>
            <w:r>
              <w:rPr>
                <w:rFonts w:hint="eastAsia" w:cs="Times New Roman"/>
                <w:b/>
                <w:bCs w:val="0"/>
                <w:sz w:val="24"/>
                <w:szCs w:val="24"/>
                <w:lang w:val="en-US" w:eastAsia="zh-CN"/>
              </w:rPr>
              <w:t>5</w:t>
            </w:r>
            <w:r>
              <w:rPr>
                <w:rFonts w:hint="eastAsia" w:ascii="Times New Roman" w:hAnsi="Times New Roman" w:eastAsia="宋体" w:cs="Times New Roman"/>
                <w:b/>
                <w:bCs w:val="0"/>
                <w:sz w:val="24"/>
                <w:szCs w:val="24"/>
                <w:lang w:eastAsia="zh-CN"/>
              </w:rPr>
              <w:t xml:space="preserve">  环保投资估算一览表</w:t>
            </w:r>
          </w:p>
          <w:tbl>
            <w:tblPr>
              <w:tblStyle w:val="26"/>
              <w:tblW w:w="826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663"/>
              <w:gridCol w:w="4667"/>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tcBorders>
                    <w:tl2br w:val="nil"/>
                    <w:tr2bl w:val="nil"/>
                  </w:tcBorders>
                  <w:noWrap w:val="0"/>
                  <w:vAlign w:val="center"/>
                </w:tcPr>
                <w:p>
                  <w:pPr>
                    <w:jc w:val="center"/>
                    <w:rPr>
                      <w:rFonts w:hint="default"/>
                      <w:b/>
                      <w:bCs/>
                      <w:lang w:eastAsia="zh-CN"/>
                    </w:rPr>
                  </w:pPr>
                  <w:r>
                    <w:rPr>
                      <w:rFonts w:hint="default"/>
                      <w:b/>
                      <w:bCs/>
                      <w:lang w:eastAsia="zh-CN"/>
                    </w:rPr>
                    <w:t>污染因素</w:t>
                  </w:r>
                </w:p>
              </w:tc>
              <w:tc>
                <w:tcPr>
                  <w:tcW w:w="1663" w:type="dxa"/>
                  <w:tcBorders>
                    <w:tl2br w:val="nil"/>
                    <w:tr2bl w:val="nil"/>
                  </w:tcBorders>
                  <w:noWrap w:val="0"/>
                  <w:vAlign w:val="center"/>
                </w:tcPr>
                <w:p>
                  <w:pPr>
                    <w:jc w:val="center"/>
                    <w:rPr>
                      <w:rFonts w:hint="default"/>
                      <w:b/>
                      <w:bCs/>
                      <w:lang w:eastAsia="zh-CN"/>
                    </w:rPr>
                  </w:pPr>
                  <w:r>
                    <w:rPr>
                      <w:rFonts w:hint="default"/>
                      <w:b/>
                      <w:bCs/>
                      <w:lang w:eastAsia="zh-CN"/>
                    </w:rPr>
                    <w:t>污染源</w:t>
                  </w:r>
                </w:p>
              </w:tc>
              <w:tc>
                <w:tcPr>
                  <w:tcW w:w="4667" w:type="dxa"/>
                  <w:tcBorders>
                    <w:tl2br w:val="nil"/>
                    <w:tr2bl w:val="nil"/>
                  </w:tcBorders>
                  <w:noWrap w:val="0"/>
                  <w:vAlign w:val="center"/>
                </w:tcPr>
                <w:p>
                  <w:pPr>
                    <w:jc w:val="center"/>
                    <w:rPr>
                      <w:rFonts w:hint="default"/>
                      <w:b/>
                      <w:bCs/>
                      <w:lang w:eastAsia="zh-CN"/>
                    </w:rPr>
                  </w:pPr>
                  <w:r>
                    <w:rPr>
                      <w:rFonts w:hint="default"/>
                      <w:b/>
                      <w:bCs/>
                      <w:lang w:eastAsia="zh-CN"/>
                    </w:rPr>
                    <w:t>治理措施</w:t>
                  </w:r>
                </w:p>
              </w:tc>
              <w:tc>
                <w:tcPr>
                  <w:tcW w:w="1150" w:type="dxa"/>
                  <w:tcBorders>
                    <w:tl2br w:val="nil"/>
                    <w:tr2bl w:val="nil"/>
                  </w:tcBorders>
                  <w:noWrap w:val="0"/>
                  <w:vAlign w:val="center"/>
                </w:tcPr>
                <w:p>
                  <w:pPr>
                    <w:jc w:val="center"/>
                    <w:rPr>
                      <w:rFonts w:hint="default"/>
                      <w:b/>
                      <w:bCs/>
                      <w:lang w:eastAsia="zh-CN"/>
                    </w:rPr>
                  </w:pPr>
                  <w:r>
                    <w:rPr>
                      <w:rFonts w:hint="default"/>
                      <w:b/>
                      <w:bCs/>
                      <w:lang w:eastAsia="zh-CN"/>
                    </w:rPr>
                    <w:t>投资</w:t>
                  </w:r>
                </w:p>
                <w:p>
                  <w:pPr>
                    <w:jc w:val="center"/>
                    <w:rPr>
                      <w:rFonts w:hint="default"/>
                      <w:b/>
                      <w:bCs/>
                      <w:lang w:eastAsia="zh-CN"/>
                    </w:rPr>
                  </w:pPr>
                  <w:r>
                    <w:rPr>
                      <w:rFonts w:hint="default"/>
                      <w:b/>
                      <w:bCs/>
                      <w:lang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vMerge w:val="restart"/>
                  <w:tcBorders>
                    <w:tl2br w:val="nil"/>
                    <w:tr2bl w:val="nil"/>
                  </w:tcBorders>
                  <w:noWrap w:val="0"/>
                  <w:vAlign w:val="center"/>
                </w:tcPr>
                <w:p>
                  <w:pPr>
                    <w:jc w:val="center"/>
                    <w:rPr>
                      <w:rFonts w:hint="default"/>
                      <w:lang w:eastAsia="zh-CN"/>
                    </w:rPr>
                  </w:pPr>
                  <w:r>
                    <w:rPr>
                      <w:rFonts w:hint="eastAsia"/>
                      <w:lang w:eastAsia="zh-CN"/>
                    </w:rPr>
                    <w:t>废气</w:t>
                  </w:r>
                </w:p>
              </w:tc>
              <w:tc>
                <w:tcPr>
                  <w:tcW w:w="1663" w:type="dxa"/>
                  <w:tcBorders>
                    <w:tl2br w:val="nil"/>
                    <w:tr2bl w:val="nil"/>
                  </w:tcBorders>
                  <w:noWrap w:val="0"/>
                  <w:vAlign w:val="center"/>
                </w:tcPr>
                <w:p>
                  <w:pPr>
                    <w:jc w:val="center"/>
                    <w:rPr>
                      <w:rFonts w:hint="eastAsia"/>
                      <w:lang w:val="en-US" w:eastAsia="zh-CN"/>
                    </w:rPr>
                  </w:pPr>
                  <w:r>
                    <w:rPr>
                      <w:rFonts w:hint="default"/>
                      <w:lang w:eastAsia="zh-CN"/>
                    </w:rPr>
                    <w:t>涂布、干复、烘干过程产生的有机废气</w:t>
                  </w:r>
                </w:p>
              </w:tc>
              <w:tc>
                <w:tcPr>
                  <w:tcW w:w="4667" w:type="dxa"/>
                  <w:tcBorders>
                    <w:tl2br w:val="nil"/>
                    <w:tr2bl w:val="nil"/>
                  </w:tcBorders>
                  <w:noWrap w:val="0"/>
                  <w:vAlign w:val="center"/>
                </w:tcPr>
                <w:p>
                  <w:pPr>
                    <w:jc w:val="center"/>
                    <w:rPr>
                      <w:rFonts w:hint="default"/>
                      <w:lang w:val="en-US" w:eastAsia="zh-CN"/>
                    </w:rPr>
                  </w:pPr>
                  <w:r>
                    <w:rPr>
                      <w:rFonts w:hint="default"/>
                      <w:lang w:val="en-US" w:eastAsia="zh-CN"/>
                    </w:rPr>
                    <w:t>项目</w:t>
                  </w:r>
                  <w:r>
                    <w:rPr>
                      <w:rFonts w:hint="eastAsia"/>
                      <w:lang w:val="en-US" w:eastAsia="zh-CN"/>
                    </w:rPr>
                    <w:t>在</w:t>
                  </w:r>
                  <w:r>
                    <w:rPr>
                      <w:rFonts w:hint="default"/>
                      <w:lang w:val="en-US" w:eastAsia="zh-CN"/>
                    </w:rPr>
                    <w:t>涂布机、干复机工作台以上进行二次密闭，</w:t>
                  </w:r>
                  <w:r>
                    <w:rPr>
                      <w:rFonts w:hint="eastAsia"/>
                      <w:lang w:val="en-US" w:eastAsia="zh-CN"/>
                    </w:rPr>
                    <w:t>烘干机</w:t>
                  </w:r>
                  <w:r>
                    <w:rPr>
                      <w:rFonts w:hint="default"/>
                      <w:lang w:val="en-US" w:eastAsia="zh-CN"/>
                    </w:rPr>
                    <w:t>密闭，均采取负压集气，产生的有机废气经配套管道收集后经管道引至一套“二级活性炭吸附”装置处理后通过1根</w:t>
                  </w:r>
                  <w:r>
                    <w:rPr>
                      <w:rFonts w:hint="eastAsia"/>
                      <w:lang w:val="en-US" w:eastAsia="zh-CN"/>
                    </w:rPr>
                    <w:t>23</w:t>
                  </w:r>
                  <w:r>
                    <w:rPr>
                      <w:rFonts w:hint="default"/>
                      <w:lang w:val="en-US" w:eastAsia="zh-CN"/>
                    </w:rPr>
                    <w:t>m排气筒排放</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vMerge w:val="continue"/>
                  <w:tcBorders>
                    <w:tl2br w:val="nil"/>
                    <w:tr2bl w:val="nil"/>
                  </w:tcBorders>
                  <w:noWrap w:val="0"/>
                  <w:vAlign w:val="center"/>
                </w:tcPr>
                <w:p>
                  <w:pPr>
                    <w:jc w:val="center"/>
                    <w:rPr>
                      <w:rFonts w:hint="default"/>
                      <w:lang w:eastAsia="zh-CN"/>
                    </w:rPr>
                  </w:pPr>
                </w:p>
              </w:tc>
              <w:tc>
                <w:tcPr>
                  <w:tcW w:w="1663" w:type="dxa"/>
                  <w:tcBorders>
                    <w:tl2br w:val="nil"/>
                    <w:tr2bl w:val="nil"/>
                  </w:tcBorders>
                  <w:noWrap w:val="0"/>
                  <w:vAlign w:val="center"/>
                </w:tcPr>
                <w:p>
                  <w:pPr>
                    <w:jc w:val="center"/>
                    <w:rPr>
                      <w:rFonts w:hint="eastAsia"/>
                      <w:lang w:val="en-US" w:eastAsia="zh-CN"/>
                    </w:rPr>
                  </w:pPr>
                  <w:r>
                    <w:rPr>
                      <w:rFonts w:hint="eastAsia"/>
                      <w:lang w:val="en-US" w:eastAsia="zh-CN"/>
                    </w:rPr>
                    <w:t>配料过程中产生的粉尘</w:t>
                  </w:r>
                </w:p>
              </w:tc>
              <w:tc>
                <w:tcPr>
                  <w:tcW w:w="4667" w:type="dxa"/>
                  <w:tcBorders>
                    <w:tl2br w:val="nil"/>
                    <w:tr2bl w:val="nil"/>
                  </w:tcBorders>
                  <w:noWrap w:val="0"/>
                  <w:vAlign w:val="center"/>
                </w:tcPr>
                <w:p>
                  <w:pPr>
                    <w:jc w:val="center"/>
                    <w:rPr>
                      <w:rFonts w:hint="default"/>
                      <w:lang w:val="en-US" w:eastAsia="zh-CN"/>
                    </w:rPr>
                  </w:pPr>
                  <w:r>
                    <w:rPr>
                      <w:rFonts w:hint="eastAsia" w:ascii="Times New Roman" w:hAnsi="Times New Roman" w:eastAsia="宋体" w:cs="Times New Roman"/>
                      <w:b w:val="0"/>
                      <w:bCs/>
                      <w:i w:val="0"/>
                      <w:iCs w:val="0"/>
                      <w:color w:val="auto"/>
                      <w:kern w:val="2"/>
                      <w:sz w:val="21"/>
                      <w:szCs w:val="21"/>
                      <w:u w:val="none"/>
                      <w:lang w:val="en-US" w:eastAsia="zh-CN" w:bidi="ar-SA"/>
                    </w:rPr>
                    <w:t>项目设置单独密闭配料间，配料过程均在单独密闭配料间内完成，配料过程产生的少量粉尘经配料间沉降后再经车间无组织排放；同时配料间地面及时清理，确保地面无明显积尘</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tcBorders>
                    <w:tl2br w:val="nil"/>
                    <w:tr2bl w:val="nil"/>
                  </w:tcBorders>
                  <w:noWrap w:val="0"/>
                  <w:vAlign w:val="center"/>
                </w:tcPr>
                <w:p>
                  <w:pPr>
                    <w:jc w:val="center"/>
                    <w:rPr>
                      <w:rFonts w:hint="default"/>
                      <w:lang w:eastAsia="zh-CN"/>
                    </w:rPr>
                  </w:pPr>
                  <w:r>
                    <w:rPr>
                      <w:rFonts w:hint="default"/>
                      <w:lang w:eastAsia="zh-CN"/>
                    </w:rPr>
                    <w:t>废水</w:t>
                  </w:r>
                </w:p>
              </w:tc>
              <w:tc>
                <w:tcPr>
                  <w:tcW w:w="1663" w:type="dxa"/>
                  <w:tcBorders>
                    <w:tl2br w:val="nil"/>
                    <w:tr2bl w:val="nil"/>
                  </w:tcBorders>
                  <w:noWrap w:val="0"/>
                  <w:vAlign w:val="center"/>
                </w:tcPr>
                <w:p>
                  <w:pPr>
                    <w:jc w:val="center"/>
                    <w:rPr>
                      <w:rFonts w:hint="eastAsia"/>
                      <w:lang w:eastAsia="zh-CN"/>
                    </w:rPr>
                  </w:pPr>
                  <w:r>
                    <w:rPr>
                      <w:rFonts w:hint="eastAsia"/>
                      <w:lang w:eastAsia="zh-CN"/>
                    </w:rPr>
                    <w:t>生活废水</w:t>
                  </w:r>
                </w:p>
              </w:tc>
              <w:tc>
                <w:tcPr>
                  <w:tcW w:w="4667" w:type="dxa"/>
                  <w:tcBorders>
                    <w:tl2br w:val="nil"/>
                    <w:tr2bl w:val="nil"/>
                  </w:tcBorders>
                  <w:noWrap w:val="0"/>
                  <w:vAlign w:val="center"/>
                </w:tcPr>
                <w:p>
                  <w:pPr>
                    <w:jc w:val="center"/>
                    <w:rPr>
                      <w:rFonts w:hint="eastAsia"/>
                      <w:lang w:eastAsia="zh-CN"/>
                    </w:rPr>
                  </w:pPr>
                  <w:r>
                    <w:rPr>
                      <w:rFonts w:hint="eastAsia"/>
                      <w:lang w:eastAsia="zh-CN"/>
                    </w:rPr>
                    <w:t>生活污水由园区配套的化粪池（10m³）处理后，进入艾草产业园污水处理设备，达标后经城镇污水管网排入泗水河</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tcBorders>
                    <w:tl2br w:val="nil"/>
                    <w:tr2bl w:val="nil"/>
                  </w:tcBorders>
                  <w:noWrap w:val="0"/>
                  <w:vAlign w:val="center"/>
                </w:tcPr>
                <w:p>
                  <w:pPr>
                    <w:jc w:val="center"/>
                    <w:rPr>
                      <w:rFonts w:hint="default"/>
                    </w:rPr>
                  </w:pPr>
                  <w:r>
                    <w:rPr>
                      <w:rFonts w:hint="default"/>
                    </w:rPr>
                    <w:t>噪声</w:t>
                  </w:r>
                </w:p>
              </w:tc>
              <w:tc>
                <w:tcPr>
                  <w:tcW w:w="1663" w:type="dxa"/>
                  <w:tcBorders>
                    <w:tl2br w:val="nil"/>
                    <w:tr2bl w:val="nil"/>
                  </w:tcBorders>
                  <w:noWrap w:val="0"/>
                  <w:vAlign w:val="center"/>
                </w:tcPr>
                <w:p>
                  <w:pPr>
                    <w:jc w:val="center"/>
                    <w:rPr>
                      <w:rFonts w:hint="default"/>
                    </w:rPr>
                  </w:pPr>
                  <w:r>
                    <w:rPr>
                      <w:rFonts w:hint="default"/>
                    </w:rPr>
                    <w:t>生产设备</w:t>
                  </w:r>
                </w:p>
              </w:tc>
              <w:tc>
                <w:tcPr>
                  <w:tcW w:w="4667" w:type="dxa"/>
                  <w:tcBorders>
                    <w:tl2br w:val="nil"/>
                    <w:tr2bl w:val="nil"/>
                  </w:tcBorders>
                  <w:noWrap w:val="0"/>
                  <w:vAlign w:val="center"/>
                </w:tcPr>
                <w:p>
                  <w:pPr>
                    <w:jc w:val="center"/>
                    <w:rPr>
                      <w:rFonts w:hint="eastAsia"/>
                      <w:lang w:eastAsia="zh-CN"/>
                    </w:rPr>
                  </w:pPr>
                  <w:r>
                    <w:rPr>
                      <w:rFonts w:hint="default"/>
                    </w:rPr>
                    <w:t>基选用低噪设备、车间隔声、设备减振，加强设备维护保养</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vMerge w:val="restart"/>
                  <w:tcBorders>
                    <w:tl2br w:val="nil"/>
                    <w:tr2bl w:val="nil"/>
                  </w:tcBorders>
                  <w:noWrap w:val="0"/>
                  <w:vAlign w:val="center"/>
                </w:tcPr>
                <w:p>
                  <w:pPr>
                    <w:jc w:val="center"/>
                    <w:rPr>
                      <w:rFonts w:hint="default"/>
                      <w:lang w:eastAsia="zh-CN"/>
                    </w:rPr>
                  </w:pPr>
                  <w:r>
                    <w:rPr>
                      <w:rFonts w:hint="eastAsia"/>
                      <w:lang w:eastAsia="zh-CN"/>
                    </w:rPr>
                    <w:t>固废</w:t>
                  </w:r>
                </w:p>
              </w:tc>
              <w:tc>
                <w:tcPr>
                  <w:tcW w:w="1663" w:type="dxa"/>
                  <w:tcBorders>
                    <w:tl2br w:val="nil"/>
                    <w:tr2bl w:val="nil"/>
                  </w:tcBorders>
                  <w:noWrap w:val="0"/>
                  <w:vAlign w:val="center"/>
                </w:tcPr>
                <w:p>
                  <w:pPr>
                    <w:jc w:val="center"/>
                    <w:rPr>
                      <w:rFonts w:hint="eastAsia"/>
                      <w:lang w:eastAsia="zh-CN"/>
                    </w:rPr>
                  </w:pPr>
                  <w:r>
                    <w:rPr>
                      <w:rFonts w:hint="eastAsia"/>
                      <w:lang w:eastAsia="zh-CN"/>
                    </w:rPr>
                    <w:t>一般固废</w:t>
                  </w:r>
                </w:p>
              </w:tc>
              <w:tc>
                <w:tcPr>
                  <w:tcW w:w="4667" w:type="dxa"/>
                  <w:tcBorders>
                    <w:tl2br w:val="nil"/>
                    <w:tr2bl w:val="nil"/>
                  </w:tcBorders>
                  <w:noWrap w:val="0"/>
                  <w:vAlign w:val="center"/>
                </w:tcPr>
                <w:p>
                  <w:pPr>
                    <w:jc w:val="center"/>
                    <w:rPr>
                      <w:rFonts w:hint="default"/>
                      <w:lang w:val="en-US" w:eastAsia="zh-CN"/>
                    </w:rPr>
                  </w:pPr>
                  <w:r>
                    <w:rPr>
                      <w:rFonts w:hint="eastAsia"/>
                      <w:lang w:val="en-US" w:eastAsia="zh-CN"/>
                    </w:rPr>
                    <w:t>固废暂存间（20㎡）</w:t>
                  </w:r>
                </w:p>
              </w:tc>
              <w:tc>
                <w:tcPr>
                  <w:tcW w:w="1150" w:type="dxa"/>
                  <w:vMerge w:val="restart"/>
                  <w:tcBorders>
                    <w:tl2br w:val="nil"/>
                    <w:tr2bl w:val="nil"/>
                  </w:tcBorders>
                  <w:noWrap w:val="0"/>
                  <w:vAlign w:val="center"/>
                </w:tcPr>
                <w:p>
                  <w:pPr>
                    <w:jc w:val="center"/>
                    <w:rPr>
                      <w:rFonts w:hint="default"/>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vMerge w:val="continue"/>
                  <w:tcBorders>
                    <w:tl2br w:val="nil"/>
                    <w:tr2bl w:val="nil"/>
                  </w:tcBorders>
                  <w:noWrap w:val="0"/>
                  <w:vAlign w:val="center"/>
                </w:tcPr>
                <w:p>
                  <w:pPr>
                    <w:jc w:val="center"/>
                    <w:rPr>
                      <w:rFonts w:hint="default"/>
                      <w:lang w:eastAsia="zh-CN"/>
                    </w:rPr>
                  </w:pPr>
                </w:p>
              </w:tc>
              <w:tc>
                <w:tcPr>
                  <w:tcW w:w="1663" w:type="dxa"/>
                  <w:tcBorders>
                    <w:tl2br w:val="nil"/>
                    <w:tr2bl w:val="nil"/>
                  </w:tcBorders>
                  <w:noWrap w:val="0"/>
                  <w:vAlign w:val="center"/>
                </w:tcPr>
                <w:p>
                  <w:pPr>
                    <w:jc w:val="center"/>
                    <w:rPr>
                      <w:rFonts w:hint="default"/>
                      <w:lang w:eastAsia="zh-CN"/>
                    </w:rPr>
                  </w:pPr>
                  <w:r>
                    <w:rPr>
                      <w:rFonts w:hint="eastAsia"/>
                      <w:lang w:eastAsia="zh-CN"/>
                    </w:rPr>
                    <w:t>生活垃圾</w:t>
                  </w:r>
                </w:p>
              </w:tc>
              <w:tc>
                <w:tcPr>
                  <w:tcW w:w="4667" w:type="dxa"/>
                  <w:tcBorders>
                    <w:tl2br w:val="nil"/>
                    <w:tr2bl w:val="nil"/>
                  </w:tcBorders>
                  <w:noWrap w:val="0"/>
                  <w:vAlign w:val="center"/>
                </w:tcPr>
                <w:p>
                  <w:pPr>
                    <w:jc w:val="center"/>
                    <w:rPr>
                      <w:rFonts w:hint="default"/>
                      <w:lang w:eastAsia="zh-CN"/>
                    </w:rPr>
                  </w:pPr>
                  <w:r>
                    <w:rPr>
                      <w:rFonts w:hint="eastAsia"/>
                      <w:lang w:eastAsia="zh-CN"/>
                    </w:rPr>
                    <w:t>垃圾桶若干</w:t>
                  </w:r>
                </w:p>
              </w:tc>
              <w:tc>
                <w:tcPr>
                  <w:tcW w:w="1150" w:type="dxa"/>
                  <w:vMerge w:val="continue"/>
                  <w:tcBorders>
                    <w:tl2br w:val="nil"/>
                    <w:tr2bl w:val="nil"/>
                  </w:tcBorders>
                  <w:noWrap w:val="0"/>
                  <w:vAlign w:val="center"/>
                </w:tcPr>
                <w:p>
                  <w:pPr>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1" w:type="dxa"/>
                  <w:vMerge w:val="continue"/>
                  <w:tcBorders>
                    <w:tl2br w:val="nil"/>
                    <w:tr2bl w:val="nil"/>
                  </w:tcBorders>
                  <w:noWrap w:val="0"/>
                  <w:vAlign w:val="center"/>
                </w:tcPr>
                <w:p>
                  <w:pPr>
                    <w:jc w:val="center"/>
                    <w:rPr>
                      <w:rFonts w:hint="default"/>
                      <w:lang w:eastAsia="zh-CN"/>
                    </w:rPr>
                  </w:pPr>
                </w:p>
              </w:tc>
              <w:tc>
                <w:tcPr>
                  <w:tcW w:w="1663" w:type="dxa"/>
                  <w:tcBorders>
                    <w:tl2br w:val="nil"/>
                    <w:tr2bl w:val="nil"/>
                  </w:tcBorders>
                  <w:noWrap w:val="0"/>
                  <w:vAlign w:val="center"/>
                </w:tcPr>
                <w:p>
                  <w:pPr>
                    <w:jc w:val="center"/>
                    <w:rPr>
                      <w:rFonts w:hint="eastAsia"/>
                      <w:lang w:eastAsia="zh-CN"/>
                    </w:rPr>
                  </w:pPr>
                  <w:r>
                    <w:rPr>
                      <w:rFonts w:hint="eastAsia"/>
                      <w:lang w:eastAsia="zh-CN"/>
                    </w:rPr>
                    <w:t>危险废物</w:t>
                  </w:r>
                </w:p>
              </w:tc>
              <w:tc>
                <w:tcPr>
                  <w:tcW w:w="4667" w:type="dxa"/>
                  <w:tcBorders>
                    <w:tl2br w:val="nil"/>
                    <w:tr2bl w:val="nil"/>
                  </w:tcBorders>
                  <w:noWrap w:val="0"/>
                  <w:vAlign w:val="center"/>
                </w:tcPr>
                <w:p>
                  <w:pPr>
                    <w:jc w:val="center"/>
                    <w:rPr>
                      <w:rFonts w:hint="default"/>
                      <w:lang w:val="en-US" w:eastAsia="zh-CN"/>
                    </w:rPr>
                  </w:pPr>
                  <w:r>
                    <w:rPr>
                      <w:rFonts w:hint="eastAsia"/>
                      <w:lang w:eastAsia="zh-CN"/>
                    </w:rPr>
                    <w:t>危废暂存间</w:t>
                  </w:r>
                  <w:r>
                    <w:rPr>
                      <w:rFonts w:hint="eastAsia"/>
                      <w:lang w:val="en-US" w:eastAsia="zh-CN"/>
                    </w:rPr>
                    <w:t>（10㎡）</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444" w:type="dxa"/>
                  <w:gridSpan w:val="2"/>
                  <w:tcBorders>
                    <w:tl2br w:val="nil"/>
                    <w:tr2bl w:val="nil"/>
                  </w:tcBorders>
                  <w:noWrap w:val="0"/>
                  <w:vAlign w:val="center"/>
                </w:tcPr>
                <w:p>
                  <w:pPr>
                    <w:jc w:val="center"/>
                    <w:rPr>
                      <w:rFonts w:hint="default"/>
                    </w:rPr>
                  </w:pPr>
                  <w:r>
                    <w:rPr>
                      <w:rFonts w:hint="default"/>
                    </w:rPr>
                    <w:t>合计</w:t>
                  </w:r>
                </w:p>
              </w:tc>
              <w:tc>
                <w:tcPr>
                  <w:tcW w:w="4667" w:type="dxa"/>
                  <w:tcBorders>
                    <w:tl2br w:val="nil"/>
                    <w:tr2bl w:val="nil"/>
                  </w:tcBorders>
                  <w:noWrap w:val="0"/>
                  <w:vAlign w:val="center"/>
                </w:tcPr>
                <w:p>
                  <w:pPr>
                    <w:jc w:val="center"/>
                    <w:rPr>
                      <w:rFonts w:hint="default"/>
                    </w:rPr>
                  </w:pPr>
                  <w:r>
                    <w:rPr>
                      <w:rFonts w:hint="default"/>
                    </w:rPr>
                    <w:t>-</w:t>
                  </w:r>
                </w:p>
              </w:tc>
              <w:tc>
                <w:tcPr>
                  <w:tcW w:w="1150" w:type="dxa"/>
                  <w:tcBorders>
                    <w:tl2br w:val="nil"/>
                    <w:tr2bl w:val="nil"/>
                  </w:tcBorders>
                  <w:noWrap w:val="0"/>
                  <w:vAlign w:val="center"/>
                </w:tcPr>
                <w:p>
                  <w:pPr>
                    <w:jc w:val="center"/>
                    <w:rPr>
                      <w:rFonts w:hint="default"/>
                      <w:lang w:val="en-US" w:eastAsia="zh-CN"/>
                    </w:rPr>
                  </w:pPr>
                  <w:r>
                    <w:rPr>
                      <w:rFonts w:hint="eastAsia"/>
                      <w:lang w:val="en-US" w:eastAsia="zh-CN"/>
                    </w:rPr>
                    <w:t>20</w:t>
                  </w:r>
                </w:p>
              </w:tc>
            </w:tr>
          </w:tbl>
          <w:p>
            <w:pPr>
              <w:rPr>
                <w:rFonts w:hint="eastAsia"/>
                <w:vertAlign w:val="baseline"/>
              </w:rPr>
            </w:pPr>
          </w:p>
        </w:tc>
      </w:tr>
    </w:tbl>
    <w:p>
      <w:pPr>
        <w:rPr>
          <w:rFonts w:hint="eastAsia"/>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1"/>
        <w:jc w:val="center"/>
        <w:outlineLvl w:val="0"/>
        <w:rPr>
          <w:rFonts w:hint="eastAsia" w:ascii="黑体" w:hAnsi="黑体" w:eastAsia="黑体" w:cs="Times New Roman"/>
          <w:b/>
          <w:bCs/>
          <w:snapToGrid w:val="0"/>
          <w:color w:val="auto"/>
          <w:sz w:val="30"/>
          <w:szCs w:val="30"/>
        </w:rPr>
      </w:pPr>
      <w:r>
        <w:rPr>
          <w:rFonts w:hint="eastAsia" w:ascii="黑体" w:hAnsi="黑体" w:eastAsia="黑体" w:cs="Times New Roman"/>
          <w:b/>
          <w:bCs/>
          <w:snapToGrid w:val="0"/>
          <w:color w:val="auto"/>
          <w:sz w:val="30"/>
          <w:szCs w:val="30"/>
        </w:rPr>
        <w:t>五、</w:t>
      </w:r>
      <w:bookmarkStart w:id="1" w:name="_Hlk54167917"/>
      <w:r>
        <w:rPr>
          <w:rFonts w:hint="eastAsia" w:ascii="黑体" w:hAnsi="黑体" w:eastAsia="黑体" w:cs="Times New Roman"/>
          <w:b/>
          <w:bCs/>
          <w:snapToGrid w:val="0"/>
          <w:color w:val="auto"/>
          <w:sz w:val="30"/>
          <w:szCs w:val="30"/>
        </w:rPr>
        <w:t>环境保护措施监督检查清单</w:t>
      </w:r>
      <w:bookmarkEnd w:id="1"/>
    </w:p>
    <w:tbl>
      <w:tblPr>
        <w:tblStyle w:val="26"/>
        <w:tblW w:w="9892"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1540"/>
        <w:gridCol w:w="1078"/>
        <w:gridCol w:w="3138"/>
        <w:gridCol w:w="27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tcBorders>
              <w:tl2br w:val="single" w:color="auto" w:sz="4" w:space="0"/>
            </w:tcBorders>
            <w:noWrap w:val="0"/>
            <w:vAlign w:val="center"/>
          </w:tcPr>
          <w:p>
            <w:pPr>
              <w:adjustRightInd w:val="0"/>
              <w:snapToGrid w:val="0"/>
              <w:spacing w:line="240" w:lineRule="auto"/>
              <w:ind w:firstLine="630" w:firstLineChars="300"/>
              <w:jc w:val="center"/>
              <w:rPr>
                <w:rFonts w:hint="eastAsia" w:ascii="宋体" w:hAnsi="宋体" w:cs="宋体"/>
                <w:color w:val="auto"/>
                <w:szCs w:val="21"/>
              </w:rPr>
            </w:pPr>
            <w:r>
              <w:rPr>
                <w:rFonts w:hint="eastAsia" w:ascii="宋体" w:hAnsi="宋体" w:cs="宋体"/>
                <w:color w:val="auto"/>
                <w:szCs w:val="21"/>
              </w:rPr>
              <w:t>内容</w:t>
            </w:r>
          </w:p>
          <w:p>
            <w:pPr>
              <w:adjustRightInd w:val="0"/>
              <w:snapToGrid w:val="0"/>
              <w:spacing w:line="240" w:lineRule="auto"/>
              <w:jc w:val="both"/>
              <w:rPr>
                <w:rFonts w:hint="eastAsia" w:ascii="宋体" w:hAnsi="宋体" w:cs="宋体"/>
                <w:color w:val="auto"/>
                <w:szCs w:val="21"/>
              </w:rPr>
            </w:pPr>
            <w:r>
              <w:rPr>
                <w:rFonts w:hint="eastAsia" w:ascii="宋体" w:hAnsi="宋体" w:cs="宋体"/>
                <w:color w:val="auto"/>
                <w:szCs w:val="21"/>
              </w:rPr>
              <w:t>要素</w:t>
            </w:r>
          </w:p>
        </w:tc>
        <w:tc>
          <w:tcPr>
            <w:tcW w:w="1540" w:type="dxa"/>
            <w:noWrap w:val="0"/>
            <w:vAlign w:val="center"/>
          </w:tcPr>
          <w:p>
            <w:pPr>
              <w:adjustRightInd w:val="0"/>
              <w:snapToGrid w:val="0"/>
              <w:spacing w:line="240" w:lineRule="auto"/>
              <w:jc w:val="center"/>
              <w:rPr>
                <w:rFonts w:hint="eastAsia" w:ascii="宋体" w:hAnsi="宋体" w:cs="宋体"/>
                <w:color w:val="auto"/>
                <w:szCs w:val="21"/>
              </w:rPr>
            </w:pPr>
            <w:r>
              <w:rPr>
                <w:rFonts w:hint="eastAsia" w:ascii="宋体" w:hAnsi="宋体" w:cs="宋体"/>
                <w:color w:val="auto"/>
                <w:szCs w:val="21"/>
              </w:rPr>
              <w:t>排放口(编号、名称)/污染源</w:t>
            </w:r>
          </w:p>
        </w:tc>
        <w:tc>
          <w:tcPr>
            <w:tcW w:w="1078" w:type="dxa"/>
            <w:noWrap w:val="0"/>
            <w:vAlign w:val="center"/>
          </w:tcPr>
          <w:p>
            <w:pPr>
              <w:adjustRightInd w:val="0"/>
              <w:snapToGrid w:val="0"/>
              <w:spacing w:line="240" w:lineRule="auto"/>
              <w:jc w:val="center"/>
              <w:rPr>
                <w:rFonts w:hint="eastAsia" w:ascii="宋体" w:hAnsi="宋体" w:cs="宋体"/>
                <w:color w:val="auto"/>
                <w:szCs w:val="21"/>
              </w:rPr>
            </w:pPr>
            <w:r>
              <w:rPr>
                <w:rFonts w:hint="eastAsia" w:ascii="宋体" w:hAnsi="宋体" w:cs="宋体"/>
                <w:color w:val="auto"/>
                <w:szCs w:val="21"/>
              </w:rPr>
              <w:t>污染物项目</w:t>
            </w:r>
          </w:p>
        </w:tc>
        <w:tc>
          <w:tcPr>
            <w:tcW w:w="3138" w:type="dxa"/>
            <w:noWrap w:val="0"/>
            <w:vAlign w:val="center"/>
          </w:tcPr>
          <w:p>
            <w:pPr>
              <w:adjustRightInd w:val="0"/>
              <w:snapToGrid w:val="0"/>
              <w:spacing w:line="240" w:lineRule="auto"/>
              <w:jc w:val="center"/>
              <w:rPr>
                <w:rFonts w:hint="eastAsia" w:ascii="宋体" w:hAnsi="宋体" w:cs="宋体"/>
                <w:color w:val="auto"/>
                <w:szCs w:val="21"/>
              </w:rPr>
            </w:pPr>
            <w:r>
              <w:rPr>
                <w:rFonts w:hint="eastAsia" w:ascii="宋体" w:hAnsi="宋体" w:cs="宋体"/>
                <w:color w:val="auto"/>
                <w:szCs w:val="21"/>
              </w:rPr>
              <w:t>环境保护措施</w:t>
            </w:r>
          </w:p>
        </w:tc>
        <w:tc>
          <w:tcPr>
            <w:tcW w:w="2758" w:type="dxa"/>
            <w:noWrap w:val="0"/>
            <w:vAlign w:val="center"/>
          </w:tcPr>
          <w:p>
            <w:pPr>
              <w:adjustRightInd w:val="0"/>
              <w:snapToGrid w:val="0"/>
              <w:spacing w:line="240" w:lineRule="auto"/>
              <w:jc w:val="center"/>
              <w:rPr>
                <w:rFonts w:hint="eastAsia" w:ascii="宋体" w:hAnsi="宋体" w:cs="宋体"/>
                <w:color w:val="auto"/>
                <w:szCs w:val="21"/>
              </w:rPr>
            </w:pPr>
            <w:r>
              <w:rPr>
                <w:rFonts w:hint="eastAsia" w:ascii="宋体" w:hAnsi="宋体" w:cs="宋体"/>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restart"/>
            <w:noWrap w:val="0"/>
            <w:vAlign w:val="center"/>
          </w:tcPr>
          <w:p>
            <w:pPr>
              <w:adjustRightInd w:val="0"/>
              <w:snapToGrid w:val="0"/>
              <w:spacing w:line="240" w:lineRule="auto"/>
              <w:jc w:val="center"/>
              <w:rPr>
                <w:rFonts w:hint="eastAsia" w:ascii="宋体" w:hAnsi="宋体" w:cs="宋体"/>
                <w:color w:val="auto"/>
                <w:szCs w:val="21"/>
              </w:rPr>
            </w:pPr>
            <w:r>
              <w:rPr>
                <w:rFonts w:hint="eastAsia" w:ascii="宋体" w:hAnsi="宋体" w:cs="宋体"/>
                <w:color w:val="auto"/>
                <w:szCs w:val="21"/>
              </w:rPr>
              <w:t>大气环境</w:t>
            </w:r>
          </w:p>
        </w:tc>
        <w:tc>
          <w:tcPr>
            <w:tcW w:w="1540" w:type="dxa"/>
            <w:noWrap w:val="0"/>
            <w:vAlign w:val="center"/>
          </w:tcPr>
          <w:p>
            <w:pPr>
              <w:spacing w:line="240" w:lineRule="auto"/>
              <w:jc w:val="center"/>
              <w:rPr>
                <w:rFonts w:hint="eastAsia"/>
                <w:color w:val="auto"/>
                <w:lang w:eastAsia="zh-CN"/>
              </w:rPr>
            </w:pPr>
            <w:r>
              <w:rPr>
                <w:rFonts w:hint="default" w:ascii="Times New Roman" w:hAnsi="Times New Roman" w:eastAsia="宋体" w:cs="Times New Roman"/>
                <w:b w:val="0"/>
                <w:bCs/>
                <w:i w:val="0"/>
                <w:iCs w:val="0"/>
                <w:color w:val="auto"/>
                <w:sz w:val="21"/>
                <w:szCs w:val="21"/>
                <w:u w:val="none"/>
                <w:lang w:eastAsia="zh-CN"/>
              </w:rPr>
              <w:t>涂布、干复、烘干过程产生的有机废气</w:t>
            </w:r>
          </w:p>
        </w:tc>
        <w:tc>
          <w:tcPr>
            <w:tcW w:w="1078" w:type="dxa"/>
            <w:noWrap w:val="0"/>
            <w:vAlign w:val="center"/>
          </w:tcPr>
          <w:p>
            <w:pPr>
              <w:spacing w:line="240" w:lineRule="auto"/>
              <w:jc w:val="center"/>
              <w:rPr>
                <w:rFonts w:hint="eastAsia"/>
                <w:color w:val="auto"/>
                <w:lang w:eastAsia="zh-CN"/>
              </w:rPr>
            </w:pPr>
            <w:r>
              <w:rPr>
                <w:rFonts w:hint="eastAsia"/>
                <w:color w:val="auto"/>
                <w:lang w:eastAsia="zh-CN"/>
              </w:rPr>
              <w:t>非甲烷总烃</w:t>
            </w:r>
          </w:p>
        </w:tc>
        <w:tc>
          <w:tcPr>
            <w:tcW w:w="3138" w:type="dxa"/>
            <w:noWrap w:val="0"/>
            <w:vAlign w:val="center"/>
          </w:tcPr>
          <w:p>
            <w:pPr>
              <w:spacing w:line="240" w:lineRule="auto"/>
              <w:jc w:val="center"/>
              <w:rPr>
                <w:rFonts w:hint="eastAsia" w:ascii="Times New Roman" w:hAnsi="Times New Roman" w:eastAsia="宋体" w:cs="Times New Roman"/>
                <w:sz w:val="21"/>
                <w:szCs w:val="21"/>
                <w:u w:val="none"/>
              </w:rPr>
            </w:pPr>
            <w:r>
              <w:rPr>
                <w:rFonts w:hint="default" w:ascii="Times New Roman" w:hAnsi="Times New Roman" w:eastAsia="宋体" w:cs="Times New Roman"/>
                <w:sz w:val="21"/>
                <w:szCs w:val="21"/>
                <w:u w:val="none"/>
                <w:lang w:val="en-US" w:eastAsia="zh-CN"/>
              </w:rPr>
              <w:t>项目</w:t>
            </w:r>
            <w:r>
              <w:rPr>
                <w:rFonts w:hint="eastAsia" w:ascii="Times New Roman" w:hAnsi="Times New Roman" w:eastAsia="宋体" w:cs="Times New Roman"/>
                <w:sz w:val="21"/>
                <w:szCs w:val="21"/>
                <w:u w:val="none"/>
                <w:lang w:val="en-US" w:eastAsia="zh-CN"/>
              </w:rPr>
              <w:t>在</w:t>
            </w:r>
            <w:r>
              <w:rPr>
                <w:rFonts w:hint="default" w:ascii="Times New Roman" w:hAnsi="Times New Roman" w:eastAsia="宋体" w:cs="Times New Roman"/>
                <w:sz w:val="21"/>
                <w:szCs w:val="21"/>
                <w:u w:val="none"/>
                <w:lang w:val="en-US" w:eastAsia="zh-CN"/>
              </w:rPr>
              <w:t>涂布机、干复机工作台以上进行二次密闭，</w:t>
            </w:r>
            <w:r>
              <w:rPr>
                <w:rFonts w:hint="eastAsia" w:cs="Times New Roman"/>
                <w:sz w:val="21"/>
                <w:szCs w:val="21"/>
                <w:u w:val="none"/>
                <w:lang w:val="en-US" w:eastAsia="zh-CN"/>
              </w:rPr>
              <w:t>烘干机</w:t>
            </w:r>
            <w:r>
              <w:rPr>
                <w:rFonts w:hint="default" w:ascii="Times New Roman" w:hAnsi="Times New Roman" w:eastAsia="宋体" w:cs="Times New Roman"/>
                <w:sz w:val="21"/>
                <w:szCs w:val="21"/>
                <w:u w:val="none"/>
                <w:lang w:val="en-US" w:eastAsia="zh-CN"/>
              </w:rPr>
              <w:t>密闭，均采取负压集气，产生的有机废气经配套管道收集后经管道引至一套“二级活性炭吸附”装置处理后通过1根</w:t>
            </w:r>
            <w:r>
              <w:rPr>
                <w:rFonts w:hint="eastAsia" w:cs="Times New Roman"/>
                <w:sz w:val="21"/>
                <w:szCs w:val="21"/>
                <w:u w:val="none"/>
                <w:lang w:val="en-US" w:eastAsia="zh-CN"/>
              </w:rPr>
              <w:t>23</w:t>
            </w:r>
            <w:r>
              <w:rPr>
                <w:rFonts w:hint="default" w:ascii="Times New Roman" w:hAnsi="Times New Roman" w:eastAsia="宋体" w:cs="Times New Roman"/>
                <w:sz w:val="21"/>
                <w:szCs w:val="21"/>
                <w:u w:val="none"/>
                <w:lang w:val="en-US" w:eastAsia="zh-CN"/>
              </w:rPr>
              <w:t>m排气筒排放</w:t>
            </w:r>
          </w:p>
        </w:tc>
        <w:tc>
          <w:tcPr>
            <w:tcW w:w="2758" w:type="dxa"/>
            <w:noWrap w:val="0"/>
            <w:vAlign w:val="center"/>
          </w:tcPr>
          <w:p>
            <w:pPr>
              <w:spacing w:line="240" w:lineRule="auto"/>
              <w:jc w:val="center"/>
              <w:rPr>
                <w:rFonts w:hint="eastAsia" w:ascii="Times New Roman" w:hAnsi="Times New Roman" w:eastAsia="宋体" w:cs="Times New Roman"/>
                <w:sz w:val="21"/>
                <w:szCs w:val="21"/>
                <w:u w:val="none"/>
              </w:rPr>
            </w:pPr>
            <w:r>
              <w:rPr>
                <w:rFonts w:hint="default" w:ascii="Times New Roman" w:hAnsi="Times New Roman" w:eastAsia="宋体" w:cs="Times New Roman"/>
                <w:b w:val="0"/>
                <w:bCs w:val="0"/>
                <w:color w:val="auto"/>
                <w:sz w:val="21"/>
                <w:szCs w:val="21"/>
                <w:lang w:eastAsia="zh-CN"/>
              </w:rPr>
              <w:t>《大气污染物综合排放标准》（GB16297-1996）表2中二级标准限值以及《关于全省开展工业企业挥发性有机物专项治理工作中排放建议值的通知》（豫环攻坚办〔2017〕162）其他行业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continue"/>
            <w:noWrap w:val="0"/>
            <w:vAlign w:val="center"/>
          </w:tcPr>
          <w:p>
            <w:pPr>
              <w:adjustRightInd w:val="0"/>
              <w:snapToGrid w:val="0"/>
              <w:spacing w:line="240" w:lineRule="auto"/>
              <w:jc w:val="center"/>
              <w:rPr>
                <w:rFonts w:hint="eastAsia" w:ascii="宋体" w:hAnsi="宋体" w:cs="宋体"/>
                <w:color w:val="0000FF"/>
                <w:szCs w:val="21"/>
              </w:rPr>
            </w:pPr>
          </w:p>
        </w:tc>
        <w:tc>
          <w:tcPr>
            <w:tcW w:w="1540" w:type="dxa"/>
            <w:noWrap w:val="0"/>
            <w:vAlign w:val="center"/>
          </w:tcPr>
          <w:p>
            <w:pPr>
              <w:snapToGrid w:val="0"/>
              <w:spacing w:line="240" w:lineRule="auto"/>
              <w:jc w:val="center"/>
              <w:rPr>
                <w:rFonts w:hint="eastAsia"/>
                <w:color w:val="auto"/>
                <w:lang w:val="en-US" w:eastAsia="zh-CN"/>
              </w:rPr>
            </w:pPr>
            <w:r>
              <w:rPr>
                <w:rFonts w:hint="default" w:ascii="Times New Roman" w:hAnsi="Times New Roman" w:eastAsia="宋体" w:cs="Times New Roman"/>
                <w:b w:val="0"/>
                <w:bCs/>
                <w:color w:val="auto"/>
                <w:sz w:val="21"/>
                <w:szCs w:val="21"/>
                <w:u w:val="none"/>
                <w:lang w:eastAsia="zh-CN"/>
              </w:rPr>
              <w:t>无组织废气</w:t>
            </w:r>
          </w:p>
        </w:tc>
        <w:tc>
          <w:tcPr>
            <w:tcW w:w="1078" w:type="dxa"/>
            <w:noWrap w:val="0"/>
            <w:vAlign w:val="center"/>
          </w:tcPr>
          <w:p>
            <w:pPr>
              <w:spacing w:line="240" w:lineRule="auto"/>
              <w:jc w:val="center"/>
              <w:rPr>
                <w:rFonts w:hint="eastAsia"/>
                <w:color w:val="auto"/>
                <w:lang w:eastAsia="zh-CN"/>
              </w:rPr>
            </w:pPr>
            <w:r>
              <w:rPr>
                <w:rFonts w:hint="eastAsia"/>
                <w:color w:val="auto"/>
                <w:lang w:val="en-US" w:eastAsia="zh-CN"/>
              </w:rPr>
              <w:t>颗粒物</w:t>
            </w:r>
          </w:p>
        </w:tc>
        <w:tc>
          <w:tcPr>
            <w:tcW w:w="3138" w:type="dxa"/>
            <w:noWrap w:val="0"/>
            <w:vAlign w:val="center"/>
          </w:tcPr>
          <w:p>
            <w:pPr>
              <w:spacing w:line="240" w:lineRule="auto"/>
              <w:jc w:val="center"/>
              <w:rPr>
                <w:rFonts w:hint="default"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val="en-US" w:eastAsia="zh-CN"/>
              </w:rPr>
              <w:t>项目设置单独密闭配料间，配料过程均在单独密闭配料间内完成，配料过程产生的少量粉尘经配料间沉降后再经车间无组织排放；同时配料间地面及时清理，确保地面无明显积尘</w:t>
            </w:r>
          </w:p>
        </w:tc>
        <w:tc>
          <w:tcPr>
            <w:tcW w:w="2758" w:type="dxa"/>
            <w:noWrap w:val="0"/>
            <w:vAlign w:val="center"/>
          </w:tcPr>
          <w:p>
            <w:pPr>
              <w:spacing w:line="240" w:lineRule="auto"/>
              <w:jc w:val="center"/>
              <w:rPr>
                <w:rFonts w:hint="eastAsia" w:ascii="Times New Roman" w:hAnsi="Times New Roman" w:eastAsia="宋体" w:cs="Times New Roman"/>
                <w:sz w:val="21"/>
                <w:szCs w:val="21"/>
                <w:u w:val="none"/>
                <w:lang w:val="en-US" w:eastAsia="zh-CN"/>
              </w:rPr>
            </w:pPr>
            <w:r>
              <w:rPr>
                <w:rFonts w:hint="eastAsia" w:ascii="Times New Roman" w:hAnsi="Times New Roman" w:eastAsia="宋体" w:cs="Times New Roman"/>
                <w:sz w:val="21"/>
                <w:szCs w:val="21"/>
                <w:u w:val="none"/>
                <w:lang w:eastAsia="zh-CN"/>
              </w:rPr>
              <w:t>《大气污染物综合排放标准》（GB16297-1996）表2标准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spacing w:line="240" w:lineRule="auto"/>
              <w:jc w:val="center"/>
              <w:rPr>
                <w:rFonts w:hint="eastAsia" w:ascii="宋体" w:hAnsi="宋体" w:cs="宋体"/>
                <w:szCs w:val="21"/>
                <w:lang w:eastAsia="zh-CN"/>
              </w:rPr>
            </w:pPr>
            <w:r>
              <w:rPr>
                <w:rFonts w:hint="eastAsia" w:ascii="宋体" w:hAnsi="宋体" w:cs="宋体"/>
                <w:szCs w:val="21"/>
                <w:lang w:eastAsia="zh-CN"/>
              </w:rPr>
              <w:t>地表水环境</w:t>
            </w:r>
          </w:p>
        </w:tc>
        <w:tc>
          <w:tcPr>
            <w:tcW w:w="1540" w:type="dxa"/>
            <w:noWrap w:val="0"/>
            <w:vAlign w:val="center"/>
          </w:tcPr>
          <w:p>
            <w:pPr>
              <w:adjustRightInd w:val="0"/>
              <w:snapToGrid w:val="0"/>
              <w:spacing w:line="240" w:lineRule="auto"/>
              <w:jc w:val="center"/>
              <w:rPr>
                <w:rFonts w:hint="eastAsia" w:ascii="宋体" w:hAnsi="宋体" w:cs="宋体"/>
                <w:szCs w:val="21"/>
                <w:lang w:eastAsia="zh-CN"/>
              </w:rPr>
            </w:pPr>
            <w:r>
              <w:rPr>
                <w:rFonts w:hint="eastAsia" w:hAnsi="宋体"/>
                <w:szCs w:val="21"/>
              </w:rPr>
              <w:t>职工生活污水</w:t>
            </w:r>
          </w:p>
        </w:tc>
        <w:tc>
          <w:tcPr>
            <w:tcW w:w="1078" w:type="dxa"/>
            <w:noWrap w:val="0"/>
            <w:vAlign w:val="center"/>
          </w:tcPr>
          <w:p>
            <w:pPr>
              <w:adjustRightInd w:val="0"/>
              <w:snapToGrid w:val="0"/>
              <w:spacing w:line="240" w:lineRule="auto"/>
              <w:jc w:val="center"/>
              <w:rPr>
                <w:rFonts w:hint="default" w:eastAsia="宋体"/>
                <w:color w:val="auto"/>
                <w:szCs w:val="21"/>
                <w:lang w:val="en-US" w:eastAsia="zh-CN"/>
              </w:rPr>
            </w:pPr>
            <w:r>
              <w:rPr>
                <w:color w:val="auto"/>
                <w:szCs w:val="21"/>
              </w:rPr>
              <w:t>COD</w:t>
            </w:r>
            <w:r>
              <w:rPr>
                <w:rFonts w:hAnsi="宋体"/>
                <w:color w:val="auto"/>
                <w:szCs w:val="21"/>
              </w:rPr>
              <w:t>、</w:t>
            </w:r>
          </w:p>
          <w:p>
            <w:pPr>
              <w:adjustRightInd w:val="0"/>
              <w:snapToGrid w:val="0"/>
              <w:spacing w:line="240" w:lineRule="auto"/>
              <w:jc w:val="center"/>
              <w:rPr>
                <w:rFonts w:hint="default" w:ascii="宋体" w:hAnsi="宋体" w:eastAsia="宋体" w:cs="宋体"/>
                <w:color w:val="auto"/>
                <w:szCs w:val="21"/>
                <w:lang w:val="en-US" w:eastAsia="zh-CN"/>
              </w:rPr>
            </w:pPr>
            <w:r>
              <w:rPr>
                <w:rFonts w:hint="eastAsia" w:hAnsi="宋体"/>
                <w:color w:val="auto"/>
                <w:szCs w:val="21"/>
              </w:rPr>
              <w:t>NH</w:t>
            </w:r>
            <w:r>
              <w:rPr>
                <w:rFonts w:hint="eastAsia" w:hAnsi="宋体"/>
                <w:color w:val="auto"/>
                <w:szCs w:val="21"/>
                <w:vertAlign w:val="subscript"/>
              </w:rPr>
              <w:t>3</w:t>
            </w:r>
            <w:r>
              <w:rPr>
                <w:rFonts w:hint="eastAsia" w:hAnsi="宋体"/>
                <w:color w:val="auto"/>
                <w:szCs w:val="21"/>
              </w:rPr>
              <w:t>-N</w:t>
            </w:r>
          </w:p>
        </w:tc>
        <w:tc>
          <w:tcPr>
            <w:tcW w:w="3138" w:type="dxa"/>
            <w:noWrap w:val="0"/>
            <w:vAlign w:val="center"/>
          </w:tcPr>
          <w:p>
            <w:pPr>
              <w:pStyle w:val="8"/>
              <w:spacing w:line="240" w:lineRule="auto"/>
              <w:ind w:right="113" w:rightChars="0"/>
              <w:jc w:val="center"/>
              <w:rPr>
                <w:rFonts w:hint="eastAsia"/>
                <w:color w:val="auto"/>
                <w:szCs w:val="21"/>
              </w:rPr>
            </w:pPr>
            <w:r>
              <w:rPr>
                <w:rFonts w:hint="eastAsia" w:ascii="Times New Roman" w:hAnsi="Times New Roman" w:eastAsia="宋体" w:cs="Times New Roman"/>
                <w:b w:val="0"/>
                <w:bCs/>
                <w:i w:val="0"/>
                <w:iCs w:val="0"/>
                <w:color w:val="auto"/>
                <w:sz w:val="21"/>
                <w:szCs w:val="21"/>
                <w:u w:val="none"/>
                <w:lang w:eastAsia="zh-CN"/>
              </w:rPr>
              <w:t>生活污水由园区配套的化粪池（10m³）处理后，进入</w:t>
            </w:r>
            <w:r>
              <w:rPr>
                <w:rFonts w:hint="eastAsia" w:cs="Times New Roman"/>
                <w:b w:val="0"/>
                <w:bCs/>
                <w:i w:val="0"/>
                <w:iCs w:val="0"/>
                <w:color w:val="auto"/>
                <w:sz w:val="21"/>
                <w:szCs w:val="21"/>
                <w:u w:val="none"/>
                <w:lang w:eastAsia="zh-CN"/>
              </w:rPr>
              <w:t>艾草产业园污水处理设备</w:t>
            </w:r>
            <w:r>
              <w:rPr>
                <w:rFonts w:hint="eastAsia" w:ascii="Times New Roman" w:hAnsi="Times New Roman" w:eastAsia="宋体" w:cs="Times New Roman"/>
                <w:b w:val="0"/>
                <w:bCs/>
                <w:i w:val="0"/>
                <w:iCs w:val="0"/>
                <w:color w:val="auto"/>
                <w:sz w:val="21"/>
                <w:szCs w:val="21"/>
                <w:u w:val="none"/>
                <w:lang w:eastAsia="zh-CN"/>
              </w:rPr>
              <w:t>，达标后</w:t>
            </w:r>
            <w:r>
              <w:rPr>
                <w:rFonts w:hint="eastAsia" w:cs="Times New Roman"/>
                <w:b w:val="0"/>
                <w:bCs/>
                <w:i w:val="0"/>
                <w:iCs w:val="0"/>
                <w:color w:val="auto"/>
                <w:sz w:val="21"/>
                <w:szCs w:val="21"/>
                <w:u w:val="none"/>
                <w:lang w:eastAsia="zh-CN"/>
              </w:rPr>
              <w:t>经城镇污水管网排入泗水河</w:t>
            </w:r>
          </w:p>
        </w:tc>
        <w:tc>
          <w:tcPr>
            <w:tcW w:w="2758" w:type="dxa"/>
            <w:noWrap w:val="0"/>
            <w:vAlign w:val="center"/>
          </w:tcPr>
          <w:p>
            <w:pPr>
              <w:spacing w:line="240" w:lineRule="auto"/>
              <w:jc w:val="center"/>
              <w:rPr>
                <w:rFonts w:hint="eastAsia" w:ascii="宋体" w:hAnsi="宋体" w:cs="宋体"/>
                <w:szCs w:val="21"/>
                <w:lang w:eastAsia="zh-CN"/>
              </w:rPr>
            </w:pPr>
            <w:r>
              <w:rPr>
                <w:rFonts w:hint="eastAsia" w:ascii="Times New Roman" w:hAnsi="Times New Roman" w:eastAsia="宋体" w:cs="Times New Roman"/>
                <w:b w:val="0"/>
                <w:bCs/>
                <w:color w:val="auto"/>
                <w:kern w:val="2"/>
                <w:sz w:val="24"/>
                <w:szCs w:val="24"/>
                <w:u w:val="none" w:color="auto"/>
                <w:lang w:val="en-US" w:eastAsia="zh-CN" w:bidi="ar-SA"/>
              </w:rPr>
              <w:t>《</w:t>
            </w:r>
            <w:r>
              <w:rPr>
                <w:rFonts w:hint="eastAsia"/>
                <w:color w:val="auto"/>
                <w:lang w:val="en-US" w:eastAsia="zh-CN"/>
              </w:rPr>
              <w:t>农村生活污水处理设施水污染物排放标准》（DB41/1820-2019）</w:t>
            </w:r>
            <w:r>
              <w:rPr>
                <w:rFonts w:hint="default"/>
                <w:color w:val="auto"/>
                <w:lang w:val="en-US" w:eastAsia="zh-CN"/>
              </w:rPr>
              <w:t>中的一级标准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spacing w:line="240" w:lineRule="auto"/>
              <w:jc w:val="center"/>
              <w:rPr>
                <w:rFonts w:hint="eastAsia" w:ascii="宋体" w:hAnsi="宋体" w:cs="宋体"/>
                <w:sz w:val="21"/>
                <w:szCs w:val="21"/>
                <w:lang w:eastAsia="zh-CN"/>
              </w:rPr>
            </w:pPr>
            <w:r>
              <w:rPr>
                <w:rFonts w:hint="eastAsia" w:ascii="宋体" w:hAnsi="宋体" w:cs="宋体"/>
                <w:sz w:val="21"/>
                <w:szCs w:val="21"/>
                <w:lang w:eastAsia="zh-CN"/>
              </w:rPr>
              <w:t>声环境</w:t>
            </w:r>
          </w:p>
        </w:tc>
        <w:tc>
          <w:tcPr>
            <w:tcW w:w="1540" w:type="dxa"/>
            <w:noWrap w:val="0"/>
            <w:vAlign w:val="center"/>
          </w:tcPr>
          <w:p>
            <w:pPr>
              <w:spacing w:line="240" w:lineRule="auto"/>
              <w:jc w:val="center"/>
              <w:rPr>
                <w:rFonts w:hint="eastAsia" w:ascii="宋体" w:hAnsi="宋体" w:eastAsia="宋体" w:cs="宋体"/>
                <w:sz w:val="21"/>
                <w:szCs w:val="21"/>
                <w:lang w:eastAsia="zh-CN"/>
              </w:rPr>
            </w:pPr>
            <w:r>
              <w:rPr>
                <w:rFonts w:hint="default" w:ascii="Times New Roman" w:hAnsi="Times New Roman" w:eastAsia="宋体" w:cs="Times New Roman"/>
                <w:sz w:val="21"/>
                <w:szCs w:val="21"/>
                <w:u w:val="none"/>
              </w:rPr>
              <w:t>生产车间</w:t>
            </w:r>
          </w:p>
        </w:tc>
        <w:tc>
          <w:tcPr>
            <w:tcW w:w="1078" w:type="dxa"/>
            <w:noWrap w:val="0"/>
            <w:vAlign w:val="center"/>
          </w:tcPr>
          <w:p>
            <w:pPr>
              <w:spacing w:line="240" w:lineRule="auto"/>
              <w:jc w:val="center"/>
              <w:rPr>
                <w:rFonts w:hint="eastAsia" w:ascii="宋体" w:hAnsi="宋体" w:eastAsia="宋体" w:cs="宋体"/>
                <w:sz w:val="21"/>
                <w:szCs w:val="21"/>
                <w:lang w:eastAsia="zh-CN"/>
              </w:rPr>
            </w:pPr>
            <w:r>
              <w:rPr>
                <w:rFonts w:hint="default" w:ascii="Times New Roman" w:hAnsi="Times New Roman" w:eastAsia="宋体" w:cs="Times New Roman"/>
                <w:sz w:val="21"/>
                <w:szCs w:val="21"/>
                <w:u w:val="none"/>
              </w:rPr>
              <w:t>噪声</w:t>
            </w:r>
          </w:p>
        </w:tc>
        <w:tc>
          <w:tcPr>
            <w:tcW w:w="3138" w:type="dxa"/>
            <w:noWrap w:val="0"/>
            <w:vAlign w:val="center"/>
          </w:tcPr>
          <w:p>
            <w:pPr>
              <w:spacing w:line="240" w:lineRule="auto"/>
              <w:jc w:val="center"/>
              <w:rPr>
                <w:rFonts w:hint="eastAsia" w:ascii="宋体" w:hAnsi="宋体" w:eastAsia="宋体" w:cs="宋体"/>
                <w:sz w:val="21"/>
                <w:szCs w:val="21"/>
                <w:lang w:eastAsia="zh-CN"/>
              </w:rPr>
            </w:pPr>
            <w:r>
              <w:rPr>
                <w:rFonts w:hint="default" w:ascii="Times New Roman" w:hAnsi="Times New Roman" w:eastAsia="宋体" w:cs="Times New Roman"/>
                <w:sz w:val="21"/>
                <w:szCs w:val="21"/>
                <w:u w:val="none"/>
              </w:rPr>
              <w:t>选用低噪设备、车间隔声、设备减振，加强设备维护保养</w:t>
            </w:r>
          </w:p>
        </w:tc>
        <w:tc>
          <w:tcPr>
            <w:tcW w:w="2758" w:type="dxa"/>
            <w:noWrap w:val="0"/>
            <w:vAlign w:val="center"/>
          </w:tcPr>
          <w:p>
            <w:pPr>
              <w:spacing w:line="240" w:lineRule="auto"/>
              <w:jc w:val="center"/>
              <w:rPr>
                <w:rFonts w:hint="eastAsia" w:ascii="宋体" w:hAnsi="宋体"/>
                <w:sz w:val="21"/>
                <w:szCs w:val="21"/>
              </w:rPr>
            </w:pPr>
            <w:r>
              <w:rPr>
                <w:rFonts w:hint="default" w:ascii="Times New Roman" w:hAnsi="Times New Roman" w:eastAsia="宋体" w:cs="Times New Roman"/>
                <w:sz w:val="21"/>
                <w:szCs w:val="21"/>
                <w:u w:val="none"/>
              </w:rPr>
              <w:t>《工业企业厂界环境噪声排放标准》（GB12348-2008）中2类标准要求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restart"/>
            <w:noWrap w:val="0"/>
            <w:vAlign w:val="center"/>
          </w:tcPr>
          <w:p>
            <w:pPr>
              <w:adjustRightInd w:val="0"/>
              <w:snapToGrid w:val="0"/>
              <w:spacing w:line="240" w:lineRule="auto"/>
              <w:jc w:val="center"/>
              <w:rPr>
                <w:rFonts w:hint="eastAsia" w:ascii="宋体" w:hAnsi="宋体" w:cs="宋体"/>
                <w:szCs w:val="21"/>
              </w:rPr>
            </w:pPr>
            <w:r>
              <w:rPr>
                <w:rFonts w:hint="eastAsia" w:ascii="宋体" w:hAnsi="宋体" w:cs="宋体"/>
                <w:szCs w:val="21"/>
              </w:rPr>
              <w:t>固体废物</w:t>
            </w:r>
          </w:p>
        </w:tc>
        <w:tc>
          <w:tcPr>
            <w:tcW w:w="1540" w:type="dxa"/>
            <w:noWrap w:val="0"/>
            <w:vAlign w:val="center"/>
          </w:tcPr>
          <w:p>
            <w:pPr>
              <w:spacing w:line="240" w:lineRule="auto"/>
              <w:jc w:val="center"/>
              <w:rPr>
                <w:rFonts w:hint="eastAsia" w:ascii="宋体" w:hAnsi="宋体" w:cs="宋体"/>
                <w:szCs w:val="21"/>
              </w:rPr>
            </w:pPr>
            <w:r>
              <w:rPr>
                <w:rFonts w:hint="eastAsia" w:hAnsi="宋体"/>
                <w:szCs w:val="21"/>
              </w:rPr>
              <w:t>在厂职工</w:t>
            </w:r>
          </w:p>
        </w:tc>
        <w:tc>
          <w:tcPr>
            <w:tcW w:w="1078" w:type="dxa"/>
            <w:noWrap w:val="0"/>
            <w:vAlign w:val="center"/>
          </w:tcPr>
          <w:p>
            <w:pPr>
              <w:spacing w:line="240" w:lineRule="auto"/>
              <w:jc w:val="center"/>
              <w:rPr>
                <w:rFonts w:hint="eastAsia" w:ascii="宋体" w:hAnsi="宋体" w:cs="宋体"/>
                <w:szCs w:val="21"/>
              </w:rPr>
            </w:pPr>
            <w:r>
              <w:rPr>
                <w:rFonts w:hint="eastAsia" w:hAnsi="宋体"/>
                <w:szCs w:val="21"/>
              </w:rPr>
              <w:t>生活垃圾</w:t>
            </w:r>
          </w:p>
        </w:tc>
        <w:tc>
          <w:tcPr>
            <w:tcW w:w="3138" w:type="dxa"/>
            <w:noWrap w:val="0"/>
            <w:vAlign w:val="center"/>
          </w:tcPr>
          <w:p>
            <w:pPr>
              <w:adjustRightInd w:val="0"/>
              <w:snapToGrid w:val="0"/>
              <w:spacing w:before="40" w:line="240" w:lineRule="auto"/>
              <w:jc w:val="center"/>
              <w:rPr>
                <w:rFonts w:hint="eastAsia" w:ascii="宋体" w:hAnsi="宋体" w:cs="宋体"/>
                <w:szCs w:val="21"/>
              </w:rPr>
            </w:pPr>
            <w:r>
              <w:rPr>
                <w:rFonts w:hint="eastAsia"/>
                <w:szCs w:val="21"/>
              </w:rPr>
              <w:t>集中收集后交由</w:t>
            </w:r>
            <w:r>
              <w:rPr>
                <w:szCs w:val="21"/>
              </w:rPr>
              <w:t>环卫部门清运至垃圾</w:t>
            </w:r>
            <w:r>
              <w:rPr>
                <w:rFonts w:hint="eastAsia"/>
                <w:szCs w:val="21"/>
                <w:lang w:eastAsia="zh-CN"/>
              </w:rPr>
              <w:t>中转站</w:t>
            </w:r>
            <w:r>
              <w:rPr>
                <w:szCs w:val="21"/>
              </w:rPr>
              <w:t>处理</w:t>
            </w:r>
          </w:p>
        </w:tc>
        <w:tc>
          <w:tcPr>
            <w:tcW w:w="2758" w:type="dxa"/>
            <w:vMerge w:val="restart"/>
            <w:noWrap w:val="0"/>
            <w:vAlign w:val="center"/>
          </w:tcPr>
          <w:p>
            <w:pPr>
              <w:spacing w:line="240" w:lineRule="auto"/>
              <w:jc w:val="center"/>
              <w:rPr>
                <w:rFonts w:hint="eastAsia" w:ascii="Times New Roman" w:hAnsi="Times New Roman" w:eastAsia="宋体" w:cs="Times New Roman"/>
                <w:b w:val="0"/>
                <w:bCs w:val="0"/>
                <w:sz w:val="21"/>
                <w:szCs w:val="21"/>
                <w:u w:val="none"/>
                <w:lang w:eastAsia="zh-CN"/>
              </w:rPr>
            </w:pPr>
            <w:r>
              <w:rPr>
                <w:rFonts w:hint="eastAsia" w:ascii="Times New Roman" w:hAnsi="Times New Roman" w:eastAsia="宋体" w:cs="Times New Roman"/>
                <w:b w:val="0"/>
                <w:bCs w:val="0"/>
                <w:sz w:val="21"/>
                <w:szCs w:val="21"/>
                <w:u w:val="none"/>
                <w:lang w:eastAsia="zh-CN"/>
              </w:rPr>
              <w:t>满足《一般工业固体废物贮存和填埋污染控制标准》（GB18599-2020）</w:t>
            </w:r>
            <w:r>
              <w:rPr>
                <w:rFonts w:hint="default" w:ascii="Times New Roman" w:hAnsi="Times New Roman" w:eastAsia="宋体" w:cs="Times New Roman"/>
                <w:b w:val="0"/>
                <w:bCs w:val="0"/>
                <w:sz w:val="21"/>
                <w:szCs w:val="21"/>
                <w:u w:val="none"/>
                <w:lang w:eastAsia="zh-CN"/>
              </w:rPr>
              <w:t>标准中的规定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continue"/>
            <w:noWrap w:val="0"/>
            <w:vAlign w:val="center"/>
          </w:tcPr>
          <w:p>
            <w:pPr>
              <w:adjustRightInd w:val="0"/>
              <w:snapToGrid w:val="0"/>
              <w:spacing w:line="240" w:lineRule="auto"/>
              <w:jc w:val="center"/>
              <w:rPr>
                <w:rFonts w:hint="eastAsia" w:ascii="宋体" w:hAnsi="宋体" w:cs="宋体"/>
                <w:szCs w:val="21"/>
              </w:rPr>
            </w:pPr>
          </w:p>
        </w:tc>
        <w:tc>
          <w:tcPr>
            <w:tcW w:w="1540" w:type="dxa"/>
            <w:noWrap w:val="0"/>
            <w:vAlign w:val="center"/>
          </w:tcPr>
          <w:p>
            <w:pPr>
              <w:spacing w:line="240" w:lineRule="auto"/>
              <w:jc w:val="center"/>
              <w:rPr>
                <w:bCs/>
                <w:color w:val="auto"/>
                <w:szCs w:val="21"/>
              </w:rPr>
            </w:pPr>
            <w:r>
              <w:rPr>
                <w:rFonts w:hint="eastAsia" w:ascii="Times New Roman" w:hAnsi="Times New Roman"/>
                <w:b w:val="0"/>
                <w:bCs w:val="0"/>
                <w:color w:val="auto"/>
                <w:sz w:val="21"/>
                <w:szCs w:val="21"/>
                <w:u w:val="none"/>
                <w:lang w:val="en-US" w:eastAsia="zh-CN"/>
              </w:rPr>
              <w:t>裁切、分切</w:t>
            </w:r>
          </w:p>
        </w:tc>
        <w:tc>
          <w:tcPr>
            <w:tcW w:w="1078" w:type="dxa"/>
            <w:noWrap w:val="0"/>
            <w:vAlign w:val="center"/>
          </w:tcPr>
          <w:p>
            <w:pPr>
              <w:spacing w:line="240" w:lineRule="auto"/>
              <w:jc w:val="center"/>
              <w:rPr>
                <w:bCs/>
                <w:color w:val="auto"/>
                <w:szCs w:val="21"/>
                <w:u w:val="none"/>
              </w:rPr>
            </w:pPr>
            <w:r>
              <w:rPr>
                <w:rFonts w:hint="eastAsia" w:ascii="Times New Roman" w:hAnsi="Times New Roman"/>
                <w:b w:val="0"/>
                <w:bCs w:val="0"/>
                <w:color w:val="auto"/>
                <w:sz w:val="21"/>
                <w:szCs w:val="21"/>
                <w:u w:val="none"/>
                <w:lang w:val="en-US" w:eastAsia="zh-CN"/>
              </w:rPr>
              <w:t>废边角料</w:t>
            </w:r>
          </w:p>
        </w:tc>
        <w:tc>
          <w:tcPr>
            <w:tcW w:w="3138" w:type="dxa"/>
            <w:vMerge w:val="restart"/>
            <w:noWrap w:val="0"/>
            <w:vAlign w:val="center"/>
          </w:tcPr>
          <w:p>
            <w:pPr>
              <w:spacing w:line="240" w:lineRule="auto"/>
              <w:jc w:val="center"/>
              <w:rPr>
                <w:bCs/>
                <w:color w:val="auto"/>
                <w:szCs w:val="21"/>
                <w:u w:val="none"/>
              </w:rPr>
            </w:pPr>
            <w:r>
              <w:rPr>
                <w:rFonts w:hint="eastAsia" w:ascii="Times New Roman" w:hAnsi="Times New Roman"/>
                <w:b w:val="0"/>
                <w:bCs w:val="0"/>
                <w:color w:val="auto"/>
                <w:sz w:val="21"/>
                <w:szCs w:val="21"/>
                <w:u w:val="none"/>
                <w:lang w:val="en-US" w:eastAsia="zh-CN"/>
              </w:rPr>
              <w:t>收集后外售给废品收购站</w:t>
            </w:r>
          </w:p>
        </w:tc>
        <w:tc>
          <w:tcPr>
            <w:tcW w:w="2758" w:type="dxa"/>
            <w:vMerge w:val="continue"/>
            <w:noWrap w:val="0"/>
            <w:vAlign w:val="center"/>
          </w:tcPr>
          <w:p>
            <w:pPr>
              <w:spacing w:line="240" w:lineRule="auto"/>
              <w:jc w:val="center"/>
              <w:rPr>
                <w:rFonts w:hint="eastAsia" w:ascii="Times New Roman" w:hAnsi="Times New Roman" w:eastAsia="宋体" w:cs="Times New Roman"/>
                <w:b w:val="0"/>
                <w:bCs w:val="0"/>
                <w:color w:val="auto"/>
                <w:sz w:val="21"/>
                <w:szCs w:val="21"/>
                <w:u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continue"/>
            <w:noWrap w:val="0"/>
            <w:vAlign w:val="center"/>
          </w:tcPr>
          <w:p>
            <w:pPr>
              <w:adjustRightInd w:val="0"/>
              <w:snapToGrid w:val="0"/>
              <w:spacing w:line="240" w:lineRule="auto"/>
              <w:jc w:val="center"/>
              <w:rPr>
                <w:rFonts w:hint="eastAsia" w:ascii="宋体" w:hAnsi="宋体" w:cs="宋体"/>
                <w:szCs w:val="21"/>
              </w:rPr>
            </w:pPr>
          </w:p>
        </w:tc>
        <w:tc>
          <w:tcPr>
            <w:tcW w:w="1540" w:type="dxa"/>
            <w:noWrap w:val="0"/>
            <w:vAlign w:val="center"/>
          </w:tcPr>
          <w:p>
            <w:pPr>
              <w:spacing w:line="240" w:lineRule="auto"/>
              <w:jc w:val="center"/>
              <w:rPr>
                <w:bCs/>
                <w:color w:val="auto"/>
                <w:szCs w:val="21"/>
              </w:rPr>
            </w:pPr>
            <w:r>
              <w:rPr>
                <w:rFonts w:hint="eastAsia" w:ascii="Times New Roman" w:hAnsi="Times New Roman"/>
                <w:b w:val="0"/>
                <w:bCs w:val="0"/>
                <w:color w:val="auto"/>
                <w:sz w:val="21"/>
                <w:szCs w:val="21"/>
                <w:u w:val="none"/>
                <w:lang w:val="en-US" w:eastAsia="zh-CN"/>
              </w:rPr>
              <w:t>包装、原料拆包</w:t>
            </w:r>
          </w:p>
        </w:tc>
        <w:tc>
          <w:tcPr>
            <w:tcW w:w="1078" w:type="dxa"/>
            <w:noWrap w:val="0"/>
            <w:vAlign w:val="center"/>
          </w:tcPr>
          <w:p>
            <w:pPr>
              <w:spacing w:line="240" w:lineRule="auto"/>
              <w:jc w:val="center"/>
              <w:rPr>
                <w:bCs/>
                <w:color w:val="auto"/>
                <w:szCs w:val="21"/>
              </w:rPr>
            </w:pPr>
            <w:r>
              <w:rPr>
                <w:rFonts w:hint="eastAsia" w:ascii="Times New Roman" w:hAnsi="Times New Roman"/>
                <w:b w:val="0"/>
                <w:bCs w:val="0"/>
                <w:color w:val="auto"/>
                <w:sz w:val="21"/>
                <w:szCs w:val="21"/>
                <w:u w:val="none"/>
                <w:lang w:val="en-US" w:eastAsia="zh-CN"/>
              </w:rPr>
              <w:t>废包装材料</w:t>
            </w:r>
          </w:p>
        </w:tc>
        <w:tc>
          <w:tcPr>
            <w:tcW w:w="3138" w:type="dxa"/>
            <w:vMerge w:val="continue"/>
            <w:noWrap w:val="0"/>
            <w:vAlign w:val="center"/>
          </w:tcPr>
          <w:p>
            <w:pPr>
              <w:spacing w:line="240" w:lineRule="auto"/>
              <w:jc w:val="center"/>
              <w:rPr>
                <w:bCs/>
                <w:color w:val="auto"/>
                <w:szCs w:val="21"/>
              </w:rPr>
            </w:pPr>
          </w:p>
        </w:tc>
        <w:tc>
          <w:tcPr>
            <w:tcW w:w="2758" w:type="dxa"/>
            <w:vMerge w:val="continue"/>
            <w:noWrap w:val="0"/>
            <w:vAlign w:val="center"/>
          </w:tcPr>
          <w:p>
            <w:pPr>
              <w:spacing w:line="240" w:lineRule="auto"/>
              <w:jc w:val="center"/>
              <w:rPr>
                <w:rFonts w:hint="eastAsia" w:ascii="Times New Roman" w:hAnsi="Times New Roman" w:eastAsia="宋体" w:cs="Times New Roman"/>
                <w:b w:val="0"/>
                <w:bCs w:val="0"/>
                <w:color w:val="auto"/>
                <w:sz w:val="21"/>
                <w:szCs w:val="21"/>
                <w:u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vMerge w:val="continue"/>
            <w:noWrap w:val="0"/>
            <w:vAlign w:val="center"/>
          </w:tcPr>
          <w:p>
            <w:pPr>
              <w:adjustRightInd w:val="0"/>
              <w:snapToGrid w:val="0"/>
              <w:spacing w:line="240" w:lineRule="auto"/>
              <w:jc w:val="center"/>
              <w:rPr>
                <w:rFonts w:hint="eastAsia" w:ascii="宋体" w:hAnsi="宋体" w:cs="宋体"/>
                <w:color w:val="auto"/>
                <w:szCs w:val="21"/>
                <w:lang w:eastAsia="zh-CN"/>
              </w:rPr>
            </w:pPr>
          </w:p>
        </w:tc>
        <w:tc>
          <w:tcPr>
            <w:tcW w:w="1540" w:type="dxa"/>
            <w:noWrap w:val="0"/>
            <w:vAlign w:val="center"/>
          </w:tcPr>
          <w:p>
            <w:pPr>
              <w:spacing w:line="240" w:lineRule="auto"/>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sz w:val="21"/>
                <w:szCs w:val="21"/>
                <w:u w:val="none"/>
                <w:lang w:val="en-US" w:eastAsia="zh-CN"/>
              </w:rPr>
              <w:t>化粪池污泥</w:t>
            </w:r>
          </w:p>
        </w:tc>
        <w:tc>
          <w:tcPr>
            <w:tcW w:w="1078" w:type="dxa"/>
            <w:noWrap w:val="0"/>
            <w:vAlign w:val="center"/>
          </w:tcPr>
          <w:p>
            <w:pPr>
              <w:spacing w:line="240" w:lineRule="auto"/>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sz w:val="21"/>
                <w:szCs w:val="21"/>
                <w:u w:val="none"/>
                <w:lang w:val="en-US" w:eastAsia="zh-CN"/>
              </w:rPr>
              <w:t>污泥</w:t>
            </w:r>
          </w:p>
        </w:tc>
        <w:tc>
          <w:tcPr>
            <w:tcW w:w="3138" w:type="dxa"/>
            <w:noWrap w:val="0"/>
            <w:vAlign w:val="center"/>
          </w:tcPr>
          <w:p>
            <w:pPr>
              <w:spacing w:line="240" w:lineRule="auto"/>
              <w:jc w:val="center"/>
              <w:rPr>
                <w:rFonts w:hint="eastAsia" w:ascii="Times New Roman" w:hAnsi="Times New Roman"/>
                <w:b w:val="0"/>
                <w:bCs w:val="0"/>
                <w:color w:val="auto"/>
                <w:sz w:val="21"/>
                <w:szCs w:val="21"/>
                <w:u w:val="none"/>
                <w:lang w:val="en-US" w:eastAsia="zh-CN"/>
              </w:rPr>
            </w:pPr>
            <w:r>
              <w:rPr>
                <w:rFonts w:ascii="Times New Roman" w:hAnsi="Times New Roman" w:cs="Times New Roman"/>
                <w:sz w:val="21"/>
                <w:szCs w:val="21"/>
                <w:lang w:eastAsia="zh-CN"/>
              </w:rPr>
              <w:t>交环卫部门统一清运处置</w:t>
            </w:r>
            <w:r>
              <w:rPr>
                <w:rFonts w:hint="eastAsia" w:ascii="Times New Roman" w:hAnsi="Times New Roman" w:cs="Times New Roman"/>
                <w:sz w:val="21"/>
                <w:szCs w:val="21"/>
                <w:lang w:eastAsia="zh-CN"/>
              </w:rPr>
              <w:t>，定期清掏</w:t>
            </w:r>
          </w:p>
        </w:tc>
        <w:tc>
          <w:tcPr>
            <w:tcW w:w="2758" w:type="dxa"/>
            <w:vMerge w:val="continue"/>
            <w:noWrap w:val="0"/>
            <w:vAlign w:val="center"/>
          </w:tcPr>
          <w:p>
            <w:pPr>
              <w:spacing w:line="240" w:lineRule="auto"/>
              <w:jc w:val="center"/>
              <w:rPr>
                <w:rFonts w:hint="eastAsia" w:ascii="Times New Roman" w:hAnsi="Times New Roman" w:eastAsia="宋体" w:cs="Times New Roman"/>
                <w:b w:val="0"/>
                <w:bCs w:val="0"/>
                <w:color w:val="auto"/>
                <w:sz w:val="21"/>
                <w:szCs w:val="21"/>
                <w:u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adjustRightInd w:val="0"/>
              <w:snapToGrid w:val="0"/>
              <w:spacing w:line="240" w:lineRule="auto"/>
              <w:jc w:val="center"/>
              <w:rPr>
                <w:rFonts w:hint="eastAsia" w:ascii="宋体" w:hAnsi="宋体" w:eastAsia="宋体" w:cs="宋体"/>
                <w:color w:val="0000FF"/>
                <w:szCs w:val="21"/>
                <w:lang w:eastAsia="zh-CN"/>
              </w:rPr>
            </w:pPr>
            <w:r>
              <w:rPr>
                <w:rFonts w:hint="eastAsia" w:ascii="宋体" w:hAnsi="宋体" w:cs="宋体"/>
                <w:color w:val="auto"/>
                <w:szCs w:val="21"/>
                <w:lang w:eastAsia="zh-CN"/>
              </w:rPr>
              <w:t>危险废物</w:t>
            </w:r>
          </w:p>
        </w:tc>
        <w:tc>
          <w:tcPr>
            <w:tcW w:w="1540" w:type="dxa"/>
            <w:noWrap w:val="0"/>
            <w:vAlign w:val="center"/>
          </w:tcPr>
          <w:p>
            <w:pPr>
              <w:spacing w:line="240" w:lineRule="auto"/>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环保设备</w:t>
            </w:r>
          </w:p>
        </w:tc>
        <w:tc>
          <w:tcPr>
            <w:tcW w:w="1078" w:type="dxa"/>
            <w:noWrap w:val="0"/>
            <w:vAlign w:val="center"/>
          </w:tcPr>
          <w:p>
            <w:pPr>
              <w:spacing w:line="240" w:lineRule="auto"/>
              <w:jc w:val="center"/>
              <w:rPr>
                <w:rFonts w:hint="default"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废活性炭</w:t>
            </w:r>
          </w:p>
        </w:tc>
        <w:tc>
          <w:tcPr>
            <w:tcW w:w="3138" w:type="dxa"/>
            <w:noWrap w:val="0"/>
            <w:vAlign w:val="center"/>
          </w:tcPr>
          <w:p>
            <w:pPr>
              <w:spacing w:line="240" w:lineRule="auto"/>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危废间收集后交由有危废处理资质的单位处理</w:t>
            </w:r>
          </w:p>
        </w:tc>
        <w:tc>
          <w:tcPr>
            <w:tcW w:w="2758" w:type="dxa"/>
            <w:noWrap w:val="0"/>
            <w:vAlign w:val="center"/>
          </w:tcPr>
          <w:p>
            <w:pPr>
              <w:spacing w:line="240" w:lineRule="auto"/>
              <w:jc w:val="center"/>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满足《危险废物贮存污染控制标准》（GB18597-20</w:t>
            </w:r>
            <w:r>
              <w:rPr>
                <w:rFonts w:hint="eastAsia" w:ascii="Times New Roman" w:hAnsi="Times New Roman" w:eastAsia="宋体" w:cs="Times New Roman"/>
                <w:b w:val="0"/>
                <w:bCs w:val="0"/>
                <w:color w:val="auto"/>
                <w:sz w:val="21"/>
                <w:szCs w:val="21"/>
                <w:u w:val="none"/>
                <w:lang w:val="en-US" w:eastAsia="zh-CN"/>
              </w:rPr>
              <w:t>23</w:t>
            </w:r>
            <w:r>
              <w:rPr>
                <w:rFonts w:hint="eastAsia" w:ascii="Times New Roman" w:hAnsi="Times New Roman" w:eastAsia="宋体" w:cs="Times New Roman"/>
                <w:b w:val="0"/>
                <w:bCs w:val="0"/>
                <w:color w:val="auto"/>
                <w:sz w:val="21"/>
                <w:szCs w:val="21"/>
                <w:u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adjustRightInd w:val="0"/>
              <w:snapToGrid w:val="0"/>
              <w:spacing w:line="240" w:lineRule="auto"/>
              <w:jc w:val="center"/>
              <w:rPr>
                <w:rFonts w:hint="eastAsia" w:ascii="宋体" w:hAnsi="宋体" w:cs="宋体"/>
                <w:color w:val="auto"/>
                <w:szCs w:val="21"/>
                <w:lang w:eastAsia="zh-CN"/>
              </w:rPr>
            </w:pPr>
            <w:r>
              <w:rPr>
                <w:rFonts w:hint="eastAsia" w:ascii="宋体" w:hAnsi="宋体" w:cs="宋体"/>
                <w:szCs w:val="21"/>
              </w:rPr>
              <w:t>电磁辐射</w:t>
            </w:r>
          </w:p>
        </w:tc>
        <w:tc>
          <w:tcPr>
            <w:tcW w:w="8514" w:type="dxa"/>
            <w:gridSpan w:val="4"/>
            <w:noWrap w:val="0"/>
            <w:vAlign w:val="center"/>
          </w:tcPr>
          <w:p>
            <w:pPr>
              <w:spacing w:line="240" w:lineRule="auto"/>
              <w:jc w:val="center"/>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本项目不涉及电磁辐射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adjustRightInd w:val="0"/>
              <w:snapToGrid w:val="0"/>
              <w:spacing w:line="240" w:lineRule="auto"/>
              <w:jc w:val="center"/>
              <w:rPr>
                <w:rFonts w:hint="eastAsia" w:ascii="宋体" w:hAnsi="宋体" w:cs="宋体"/>
                <w:szCs w:val="21"/>
              </w:rPr>
            </w:pPr>
            <w:r>
              <w:rPr>
                <w:rFonts w:hint="eastAsia" w:ascii="宋体" w:hAnsi="宋体" w:cs="宋体"/>
                <w:szCs w:val="21"/>
              </w:rPr>
              <w:t>土壤及地下水污染防治措施</w:t>
            </w:r>
          </w:p>
        </w:tc>
        <w:tc>
          <w:tcPr>
            <w:tcW w:w="8514" w:type="dxa"/>
            <w:gridSpan w:val="4"/>
            <w:noWrap w:val="0"/>
            <w:vAlign w:val="center"/>
          </w:tcPr>
          <w:p>
            <w:pPr>
              <w:spacing w:line="240" w:lineRule="auto"/>
              <w:jc w:val="center"/>
              <w:rPr>
                <w:rFonts w:hint="default"/>
                <w:lang w:val="en-US" w:eastAsia="zh-CN"/>
              </w:rPr>
            </w:pPr>
            <w:r>
              <w:rPr>
                <w:rFonts w:hint="eastAsia"/>
                <w:lang w:val="en-US" w:eastAsia="zh-CN"/>
              </w:rPr>
              <w:t>地下水污染进行分区防渗，危废暂存间进行重点防渗；其他</w:t>
            </w:r>
            <w:r>
              <w:rPr>
                <w:rFonts w:hint="eastAsia" w:ascii="Times New Roman" w:hAnsi="Times New Roman" w:eastAsia="宋体" w:cs="Times New Roman"/>
                <w:b w:val="0"/>
                <w:bCs w:val="0"/>
                <w:sz w:val="21"/>
                <w:szCs w:val="21"/>
                <w:u w:val="none"/>
                <w:lang w:val="en-US" w:eastAsia="zh-CN"/>
              </w:rPr>
              <w:t>进行一般防渗；办公区进行简单防渗。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spacing w:line="240" w:lineRule="auto"/>
              <w:jc w:val="center"/>
              <w:rPr>
                <w:rFonts w:hint="eastAsia" w:ascii="Times New Roman" w:hAnsi="Times New Roman"/>
                <w:b w:val="0"/>
                <w:bCs w:val="0"/>
                <w:sz w:val="21"/>
                <w:szCs w:val="21"/>
                <w:u w:val="none"/>
                <w:lang w:val="en-US" w:eastAsia="zh-CN"/>
              </w:rPr>
            </w:pPr>
            <w:r>
              <w:rPr>
                <w:rFonts w:hint="eastAsia" w:ascii="Times New Roman" w:hAnsi="Times New Roman"/>
                <w:b w:val="0"/>
                <w:bCs w:val="0"/>
                <w:sz w:val="21"/>
                <w:szCs w:val="21"/>
                <w:u w:val="none"/>
                <w:lang w:val="en-US" w:eastAsia="zh-CN"/>
              </w:rPr>
              <w:t>生态保护措施</w:t>
            </w:r>
          </w:p>
        </w:tc>
        <w:tc>
          <w:tcPr>
            <w:tcW w:w="8514" w:type="dxa"/>
            <w:gridSpan w:val="4"/>
            <w:noWrap w:val="0"/>
            <w:vAlign w:val="center"/>
          </w:tcPr>
          <w:p>
            <w:pPr>
              <w:spacing w:line="240" w:lineRule="auto"/>
              <w:jc w:val="center"/>
              <w:rPr>
                <w:rFonts w:hint="eastAsia" w:ascii="Times New Roman" w:hAnsi="Times New Roman"/>
                <w:b w:val="0"/>
                <w:bCs w:val="0"/>
                <w:sz w:val="21"/>
                <w:szCs w:val="21"/>
                <w:u w:val="none"/>
                <w:lang w:val="en-US" w:eastAsia="zh-CN"/>
              </w:rPr>
            </w:pPr>
            <w:r>
              <w:rPr>
                <w:rFonts w:hint="eastAsia" w:ascii="Times New Roman" w:hAnsi="Times New Roman"/>
                <w:b w:val="0"/>
                <w:bCs w:val="0"/>
                <w:sz w:val="21"/>
                <w:szCs w:val="21"/>
                <w:u w:val="none"/>
                <w:lang w:val="en-US" w:eastAsia="zh-CN"/>
              </w:rPr>
              <w:t>本项目四周天然植被较少，主要为居民房、基本农田、人工种植林地，林地种植的主要为当地常见的绿化树种，生态结构类型单一，无重点保护野生动植物。</w:t>
            </w:r>
          </w:p>
          <w:p>
            <w:pPr>
              <w:spacing w:line="240" w:lineRule="auto"/>
              <w:jc w:val="center"/>
              <w:rPr>
                <w:rFonts w:hint="eastAsia" w:ascii="Times New Roman" w:hAnsi="Times New Roman"/>
                <w:b w:val="0"/>
                <w:bCs w:val="0"/>
                <w:sz w:val="21"/>
                <w:szCs w:val="21"/>
                <w:u w:val="none"/>
                <w:lang w:val="en-US" w:eastAsia="zh-CN"/>
              </w:rPr>
            </w:pPr>
            <w:r>
              <w:rPr>
                <w:rFonts w:hint="eastAsia" w:ascii="Times New Roman" w:hAnsi="Times New Roman"/>
                <w:b w:val="0"/>
                <w:bCs w:val="0"/>
                <w:sz w:val="21"/>
                <w:szCs w:val="21"/>
                <w:u w:val="none"/>
                <w:lang w:val="en-US" w:eastAsia="zh-CN"/>
              </w:rPr>
              <w:t>本次工程营运期以排放工业污染物为主，控制排放口达标和厂界达标排放，预计对周围生态环境产生影响较小。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adjustRightInd w:val="0"/>
              <w:snapToGrid w:val="0"/>
              <w:spacing w:line="240" w:lineRule="auto"/>
              <w:jc w:val="center"/>
              <w:rPr>
                <w:rFonts w:ascii="宋体" w:hAnsi="宋体" w:cs="宋体"/>
                <w:spacing w:val="-8"/>
                <w:szCs w:val="21"/>
              </w:rPr>
            </w:pPr>
            <w:r>
              <w:rPr>
                <w:rFonts w:hint="eastAsia" w:ascii="宋体" w:hAnsi="宋体" w:cs="宋体"/>
                <w:spacing w:val="-8"/>
                <w:szCs w:val="21"/>
              </w:rPr>
              <w:t>环境风险</w:t>
            </w:r>
          </w:p>
          <w:p>
            <w:pPr>
              <w:adjustRightInd w:val="0"/>
              <w:snapToGrid w:val="0"/>
              <w:spacing w:line="240" w:lineRule="auto"/>
              <w:jc w:val="center"/>
              <w:rPr>
                <w:rFonts w:hint="eastAsia" w:ascii="宋体" w:hAnsi="宋体" w:cs="宋体"/>
                <w:spacing w:val="-8"/>
                <w:szCs w:val="21"/>
              </w:rPr>
            </w:pPr>
            <w:r>
              <w:rPr>
                <w:rFonts w:hint="eastAsia" w:ascii="宋体" w:hAnsi="宋体" w:cs="宋体"/>
                <w:spacing w:val="-8"/>
                <w:szCs w:val="21"/>
              </w:rPr>
              <w:t>防范措施</w:t>
            </w:r>
          </w:p>
        </w:tc>
        <w:tc>
          <w:tcPr>
            <w:tcW w:w="8514" w:type="dxa"/>
            <w:gridSpan w:val="4"/>
            <w:noWrap w:val="0"/>
            <w:vAlign w:val="center"/>
          </w:tcPr>
          <w:p>
            <w:pPr>
              <w:adjustRightInd w:val="0"/>
              <w:snapToGrid w:val="0"/>
              <w:spacing w:line="240" w:lineRule="auto"/>
              <w:jc w:val="center"/>
              <w:rPr>
                <w:rFonts w:hint="eastAsia" w:ascii="宋体" w:hAnsi="宋体" w:eastAsia="宋体" w:cs="宋体"/>
                <w:szCs w:val="21"/>
                <w:lang w:eastAsia="zh-CN"/>
              </w:rPr>
            </w:pPr>
            <w:r>
              <w:rPr>
                <w:rFonts w:hint="default" w:ascii="Times New Roman" w:hAnsi="Times New Roman" w:eastAsia="宋体" w:cs="Times New Roman"/>
                <w:sz w:val="21"/>
                <w:szCs w:val="21"/>
                <w:lang w:eastAsia="zh-CN"/>
              </w:rPr>
              <w:t>地面防渗、</w:t>
            </w:r>
            <w:r>
              <w:rPr>
                <w:rFonts w:hint="default" w:ascii="Times New Roman" w:hAnsi="Times New Roman" w:eastAsia="宋体" w:cs="Times New Roman"/>
                <w:sz w:val="21"/>
                <w:szCs w:val="21"/>
                <w:lang w:val="en-US" w:eastAsia="zh-CN"/>
              </w:rPr>
              <w:t>应急物资</w:t>
            </w:r>
            <w:r>
              <w:rPr>
                <w:rFonts w:hint="default" w:ascii="Times New Roman" w:hAnsi="Times New Roman" w:eastAsia="宋体" w:cs="Times New Roman"/>
                <w:sz w:val="21"/>
                <w:szCs w:val="21"/>
                <w:lang w:eastAsia="zh-CN"/>
              </w:rPr>
              <w:t>、灭火器材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378" w:type="dxa"/>
            <w:noWrap w:val="0"/>
            <w:vAlign w:val="center"/>
          </w:tcPr>
          <w:p>
            <w:pPr>
              <w:adjustRightInd w:val="0"/>
              <w:snapToGrid w:val="0"/>
              <w:spacing w:line="240" w:lineRule="auto"/>
              <w:jc w:val="center"/>
              <w:rPr>
                <w:rFonts w:ascii="宋体" w:hAnsi="宋体" w:cs="宋体"/>
                <w:spacing w:val="-8"/>
                <w:szCs w:val="21"/>
              </w:rPr>
            </w:pPr>
            <w:r>
              <w:rPr>
                <w:rFonts w:hint="eastAsia" w:ascii="宋体" w:hAnsi="宋体" w:cs="宋体"/>
                <w:spacing w:val="-8"/>
                <w:szCs w:val="21"/>
              </w:rPr>
              <w:t>其他环境</w:t>
            </w:r>
          </w:p>
          <w:p>
            <w:pPr>
              <w:adjustRightInd w:val="0"/>
              <w:snapToGrid w:val="0"/>
              <w:spacing w:line="240" w:lineRule="auto"/>
              <w:jc w:val="center"/>
              <w:rPr>
                <w:rFonts w:hint="eastAsia" w:ascii="宋体" w:hAnsi="宋体" w:cs="宋体"/>
                <w:spacing w:val="-8"/>
                <w:szCs w:val="21"/>
              </w:rPr>
            </w:pPr>
            <w:r>
              <w:rPr>
                <w:rFonts w:hint="eastAsia" w:ascii="宋体" w:hAnsi="宋体" w:cs="宋体"/>
                <w:spacing w:val="-8"/>
                <w:szCs w:val="21"/>
              </w:rPr>
              <w:t>管理要求</w:t>
            </w:r>
          </w:p>
        </w:tc>
        <w:tc>
          <w:tcPr>
            <w:tcW w:w="8514" w:type="dxa"/>
            <w:gridSpan w:val="4"/>
            <w:noWrap w:val="0"/>
            <w:vAlign w:val="center"/>
          </w:tcPr>
          <w:p>
            <w:pPr>
              <w:adjustRightInd w:val="0"/>
              <w:snapToGrid w:val="0"/>
              <w:spacing w:line="240" w:lineRule="auto"/>
              <w:jc w:val="center"/>
              <w:rPr>
                <w:rFonts w:hint="eastAsia" w:ascii="宋体" w:hAnsi="宋体" w:eastAsia="宋体" w:cs="宋体"/>
                <w:szCs w:val="21"/>
                <w:lang w:eastAsia="zh-CN"/>
              </w:rPr>
            </w:pPr>
            <w:r>
              <w:rPr>
                <w:rFonts w:hint="eastAsia" w:ascii="宋体" w:hAnsi="宋体" w:cs="宋体"/>
                <w:szCs w:val="21"/>
                <w:lang w:eastAsia="zh-CN"/>
              </w:rPr>
              <w:t>无</w:t>
            </w:r>
          </w:p>
        </w:tc>
      </w:tr>
    </w:tbl>
    <w:p>
      <w:pPr>
        <w:pStyle w:val="21"/>
        <w:jc w:val="center"/>
        <w:outlineLvl w:val="0"/>
        <w:rPr>
          <w:rFonts w:ascii="黑体" w:hAnsi="黑体" w:eastAsia="黑体"/>
          <w:snapToGrid w:val="0"/>
          <w:sz w:val="30"/>
          <w:szCs w:val="30"/>
        </w:rPr>
      </w:pPr>
      <w:r>
        <w:rPr>
          <w:snapToGrid w:val="0"/>
        </w:rPr>
        <w:br w:type="page"/>
      </w:r>
      <w:r>
        <w:rPr>
          <w:rFonts w:hint="eastAsia" w:ascii="黑体" w:hAnsi="黑体" w:eastAsia="黑体" w:cs="Times New Roman"/>
          <w:b/>
          <w:bCs/>
          <w:snapToGrid w:val="0"/>
          <w:sz w:val="30"/>
          <w:szCs w:val="30"/>
        </w:rPr>
        <w:t>六、结论</w:t>
      </w:r>
    </w:p>
    <w:tbl>
      <w:tblPr>
        <w:tblStyle w:val="26"/>
        <w:tblW w:w="886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8865" w:type="dxa"/>
            <w:noWrap w:val="0"/>
            <w:vAlign w:val="center"/>
          </w:tcPr>
          <w:p>
            <w:pPr>
              <w:spacing w:line="520" w:lineRule="exact"/>
              <w:ind w:firstLine="480" w:firstLineChars="200"/>
              <w:rPr>
                <w:rFonts w:ascii="宋体" w:cs="宋体"/>
                <w:sz w:val="24"/>
              </w:rPr>
            </w:pPr>
            <w:r>
              <w:rPr>
                <w:rFonts w:hint="eastAsia"/>
                <w:kern w:val="0"/>
                <w:sz w:val="24"/>
                <w:lang w:val="en-US" w:eastAsia="zh-CN"/>
              </w:rPr>
              <w:t>综上所述，烯旺科技（河南）有限公司石墨烯发热新材料项目符合蒲山镇总体规划。项目用地属于建设用地，符合土地利用总体规划。项目所在地环境质量总体较好，项目建成投入使用后，对周围环境的污染程度较轻，在采取相应的治理措施后，可满足相应的国家排放标准；项目实施后能满足区域环境质量与环境功能的要求。建设单位在施工期、运营期应当在执行“三同时”原则的基础上，严格执行国家的环保法律法规，切实落实本环评中提出的各项污染防治和生态保护措施，将对周围环境的影响降低到可接受的程度，从环保角度看，本项目的建设可行。</w:t>
            </w: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9"/>
        <w:rPr>
          <w:rFonts w:hint="eastAsia" w:ascii="黑体" w:hAnsi="黑体" w:eastAsia="黑体"/>
          <w:snapToGrid w:val="0"/>
          <w:sz w:val="32"/>
          <w:szCs w:val="32"/>
        </w:rPr>
      </w:pPr>
      <w:r>
        <w:rPr>
          <w:rFonts w:hint="eastAsia" w:ascii="黑体" w:hAnsi="黑体" w:eastAsia="黑体"/>
          <w:snapToGrid w:val="0"/>
          <w:sz w:val="32"/>
          <w:szCs w:val="32"/>
        </w:rPr>
        <w:t>附表</w:t>
      </w: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88" w:lineRule="auto"/>
        <w:jc w:val="center"/>
        <w:textAlignment w:val="auto"/>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p>
      <w:pPr>
        <w:pStyle w:val="49"/>
        <w:spacing w:before="192" w:beforeLines="80" w:after="24"/>
        <w:jc w:val="left"/>
        <w:rPr>
          <w:rFonts w:hint="eastAsia" w:ascii="黑体" w:hAnsi="黑体" w:eastAsia="黑体"/>
          <w:snapToGrid w:val="0"/>
          <w:sz w:val="32"/>
          <w:szCs w:val="32"/>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tbl>
      <w:tblPr>
        <w:tblStyle w:val="26"/>
        <w:tblW w:w="14318" w:type="dxa"/>
        <w:tblInd w:w="-304"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903"/>
        <w:gridCol w:w="1482"/>
        <w:gridCol w:w="1198"/>
        <w:gridCol w:w="1608"/>
        <w:gridCol w:w="1470"/>
        <w:gridCol w:w="1763"/>
        <w:gridCol w:w="1840"/>
        <w:gridCol w:w="16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356" w:type="dxa"/>
            <w:tcBorders>
              <w:tl2br w:val="single" w:color="auto" w:sz="4" w:space="0"/>
            </w:tcBorders>
            <w:noWrap w:val="0"/>
            <w:tcMar>
              <w:left w:w="28" w:type="dxa"/>
              <w:right w:w="28" w:type="dxa"/>
            </w:tcMar>
            <w:vAlign w:val="center"/>
          </w:tcPr>
          <w:p>
            <w:pPr>
              <w:pStyle w:val="49"/>
              <w:spacing w:beforeLines="0" w:afterLines="0" w:line="240" w:lineRule="auto"/>
              <w:jc w:val="right"/>
              <w:rPr>
                <w:rFonts w:hint="eastAsia" w:ascii="黑体" w:hAnsi="黑体" w:eastAsia="黑体" w:cs="宋体"/>
                <w:snapToGrid w:val="0"/>
                <w:color w:val="000000"/>
                <w:spacing w:val="-6"/>
                <w:kern w:val="21"/>
                <w:sz w:val="24"/>
                <w:szCs w:val="24"/>
              </w:rPr>
            </w:pPr>
            <w:r>
              <w:rPr>
                <w:rFonts w:hint="eastAsia" w:ascii="黑体" w:hAnsi="黑体" w:eastAsia="黑体" w:cs="宋体"/>
                <w:snapToGrid w:val="0"/>
                <w:color w:val="000000"/>
                <w:spacing w:val="-6"/>
                <w:kern w:val="21"/>
                <w:sz w:val="24"/>
                <w:szCs w:val="24"/>
              </w:rPr>
              <w:t>项目</w:t>
            </w:r>
          </w:p>
          <w:p>
            <w:pPr>
              <w:pStyle w:val="49"/>
              <w:spacing w:beforeLines="0" w:afterLines="0" w:line="240" w:lineRule="auto"/>
              <w:jc w:val="left"/>
              <w:rPr>
                <w:rFonts w:hint="eastAsia" w:ascii="黑体" w:hAnsi="黑体" w:eastAsia="黑体" w:cs="宋体"/>
                <w:snapToGrid w:val="0"/>
                <w:color w:val="000000"/>
                <w:spacing w:val="-6"/>
                <w:kern w:val="21"/>
                <w:sz w:val="24"/>
                <w:szCs w:val="24"/>
              </w:rPr>
            </w:pPr>
            <w:r>
              <w:rPr>
                <w:rFonts w:hint="eastAsia" w:ascii="黑体" w:hAnsi="黑体" w:eastAsia="黑体" w:cs="宋体"/>
                <w:snapToGrid w:val="0"/>
                <w:color w:val="000000"/>
                <w:spacing w:val="-6"/>
                <w:kern w:val="21"/>
                <w:sz w:val="24"/>
                <w:szCs w:val="24"/>
              </w:rPr>
              <w:t>分类</w:t>
            </w:r>
          </w:p>
        </w:tc>
        <w:tc>
          <w:tcPr>
            <w:tcW w:w="1903" w:type="dxa"/>
            <w:noWrap w:val="0"/>
            <w:tcMar>
              <w:left w:w="28" w:type="dxa"/>
              <w:right w:w="28" w:type="dxa"/>
            </w:tcMar>
            <w:vAlign w:val="center"/>
          </w:tcPr>
          <w:p>
            <w:pPr>
              <w:pStyle w:val="49"/>
              <w:spacing w:beforeLines="0" w:afterLines="0" w:line="240" w:lineRule="auto"/>
              <w:rPr>
                <w:rFonts w:hint="eastAsia" w:ascii="黑体" w:hAnsi="黑体" w:eastAsia="黑体" w:cs="宋体"/>
                <w:snapToGrid w:val="0"/>
                <w:color w:val="000000"/>
                <w:spacing w:val="-6"/>
                <w:kern w:val="21"/>
                <w:sz w:val="24"/>
                <w:szCs w:val="24"/>
              </w:rPr>
            </w:pPr>
            <w:r>
              <w:rPr>
                <w:rFonts w:hint="eastAsia" w:ascii="黑体" w:hAnsi="黑体" w:eastAsia="黑体" w:cs="宋体"/>
                <w:snapToGrid w:val="0"/>
                <w:color w:val="000000"/>
                <w:spacing w:val="-6"/>
                <w:kern w:val="21"/>
                <w:sz w:val="24"/>
                <w:szCs w:val="24"/>
              </w:rPr>
              <w:t>污染物名称</w:t>
            </w:r>
          </w:p>
        </w:tc>
        <w:tc>
          <w:tcPr>
            <w:tcW w:w="1482" w:type="dxa"/>
            <w:noWrap w:val="0"/>
            <w:tcMar>
              <w:left w:w="28" w:type="dxa"/>
              <w:right w:w="28" w:type="dxa"/>
            </w:tcMar>
            <w:vAlign w:val="center"/>
          </w:tcPr>
          <w:p>
            <w:pPr>
              <w:pStyle w:val="49"/>
              <w:spacing w:beforeLines="0" w:afterLines="0" w:line="240" w:lineRule="auto"/>
              <w:rPr>
                <w:rFonts w:hint="eastAsia"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现有工程</w:t>
            </w:r>
          </w:p>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排放量（固</w:t>
            </w:r>
            <w:r>
              <w:rPr>
                <w:rFonts w:hint="eastAsia" w:ascii="黑体" w:hAnsi="黑体" w:eastAsia="黑体"/>
                <w:snapToGrid w:val="0"/>
                <w:color w:val="000000"/>
                <w:spacing w:val="-6"/>
                <w:kern w:val="21"/>
                <w:sz w:val="24"/>
                <w:szCs w:val="24"/>
              </w:rPr>
              <w:t>体</w:t>
            </w:r>
            <w:r>
              <w:rPr>
                <w:rFonts w:ascii="黑体" w:hAnsi="黑体" w:eastAsia="黑体"/>
                <w:snapToGrid w:val="0"/>
                <w:color w:val="000000"/>
                <w:spacing w:val="-6"/>
                <w:kern w:val="21"/>
                <w:sz w:val="24"/>
                <w:szCs w:val="24"/>
              </w:rPr>
              <w:t>废</w:t>
            </w:r>
            <w:r>
              <w:rPr>
                <w:rFonts w:hint="eastAsia" w:ascii="黑体" w:hAnsi="黑体" w:eastAsia="黑体"/>
                <w:snapToGrid w:val="0"/>
                <w:color w:val="000000"/>
                <w:spacing w:val="-6"/>
                <w:kern w:val="21"/>
                <w:sz w:val="24"/>
                <w:szCs w:val="24"/>
              </w:rPr>
              <w:t>物</w:t>
            </w:r>
            <w:r>
              <w:rPr>
                <w:rFonts w:ascii="黑体" w:hAnsi="黑体" w:eastAsia="黑体"/>
                <w:snapToGrid w:val="0"/>
                <w:color w:val="000000"/>
                <w:spacing w:val="-6"/>
                <w:kern w:val="21"/>
                <w:sz w:val="24"/>
                <w:szCs w:val="24"/>
              </w:rPr>
              <w:t>产生量）</w:t>
            </w:r>
            <w:r>
              <w:rPr>
                <w:rFonts w:ascii="黑体" w:hAnsi="黑体" w:eastAsia="黑体"/>
                <w:snapToGrid w:val="0"/>
                <w:color w:val="000000"/>
                <w:spacing w:val="-6"/>
                <w:kern w:val="21"/>
                <w:sz w:val="24"/>
                <w:szCs w:val="24"/>
              </w:rPr>
              <w:fldChar w:fldCharType="begin"/>
            </w:r>
            <w:r>
              <w:rPr>
                <w:rFonts w:ascii="黑体" w:hAnsi="黑体" w:eastAsia="黑体"/>
                <w:snapToGrid w:val="0"/>
                <w:color w:val="000000"/>
                <w:spacing w:val="-6"/>
                <w:kern w:val="21"/>
                <w:sz w:val="24"/>
                <w:szCs w:val="24"/>
              </w:rPr>
              <w:instrText xml:space="preserve"> = 1 \* GB3 \* MERGEFORMAT </w:instrText>
            </w:r>
            <w:r>
              <w:rPr>
                <w:rFonts w:ascii="黑体" w:hAnsi="黑体" w:eastAsia="黑体"/>
                <w:snapToGrid w:val="0"/>
                <w:color w:val="000000"/>
                <w:spacing w:val="-6"/>
                <w:kern w:val="21"/>
                <w:sz w:val="24"/>
                <w:szCs w:val="24"/>
              </w:rPr>
              <w:fldChar w:fldCharType="separate"/>
            </w:r>
            <w:r>
              <w:rPr>
                <w:rFonts w:hint="eastAsia" w:ascii="黑体" w:hAnsi="黑体" w:eastAsia="黑体" w:cs="宋体"/>
                <w:kern w:val="2"/>
                <w:sz w:val="24"/>
                <w:szCs w:val="24"/>
              </w:rPr>
              <w:t>①</w:t>
            </w:r>
            <w:r>
              <w:rPr>
                <w:rFonts w:ascii="黑体" w:hAnsi="黑体" w:eastAsia="黑体"/>
                <w:snapToGrid w:val="0"/>
                <w:color w:val="000000"/>
                <w:spacing w:val="-6"/>
                <w:kern w:val="21"/>
                <w:sz w:val="24"/>
                <w:szCs w:val="24"/>
              </w:rPr>
              <w:fldChar w:fldCharType="end"/>
            </w:r>
          </w:p>
        </w:tc>
        <w:tc>
          <w:tcPr>
            <w:tcW w:w="1198" w:type="dxa"/>
            <w:noWrap w:val="0"/>
            <w:tcMar>
              <w:left w:w="28" w:type="dxa"/>
              <w:right w:w="28" w:type="dxa"/>
            </w:tcMar>
            <w:vAlign w:val="center"/>
          </w:tcPr>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现有工程</w:t>
            </w:r>
          </w:p>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许可排放量</w:t>
            </w:r>
          </w:p>
          <w:p>
            <w:pPr>
              <w:pStyle w:val="49"/>
              <w:spacing w:beforeLines="0" w:afterLines="0"/>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fldChar w:fldCharType="begin"/>
            </w:r>
            <w:r>
              <w:rPr>
                <w:rFonts w:ascii="黑体" w:hAnsi="黑体" w:eastAsia="黑体"/>
                <w:snapToGrid w:val="0"/>
                <w:color w:val="000000"/>
                <w:spacing w:val="-6"/>
                <w:kern w:val="21"/>
                <w:sz w:val="24"/>
                <w:szCs w:val="24"/>
              </w:rPr>
              <w:instrText xml:space="preserve"> = 2 \* GB3 \* MERGEFORMAT </w:instrText>
            </w:r>
            <w:r>
              <w:rPr>
                <w:rFonts w:ascii="黑体" w:hAnsi="黑体" w:eastAsia="黑体"/>
                <w:snapToGrid w:val="0"/>
                <w:color w:val="000000"/>
                <w:spacing w:val="-6"/>
                <w:kern w:val="21"/>
                <w:sz w:val="24"/>
                <w:szCs w:val="24"/>
              </w:rPr>
              <w:fldChar w:fldCharType="separate"/>
            </w:r>
            <w:r>
              <w:rPr>
                <w:rFonts w:hint="eastAsia" w:ascii="黑体" w:hAnsi="黑体" w:eastAsia="黑体" w:cs="宋体"/>
                <w:snapToGrid w:val="0"/>
                <w:color w:val="000000"/>
                <w:spacing w:val="-6"/>
                <w:kern w:val="21"/>
                <w:sz w:val="24"/>
                <w:szCs w:val="24"/>
              </w:rPr>
              <w:t>②</w:t>
            </w:r>
            <w:r>
              <w:rPr>
                <w:rFonts w:ascii="黑体" w:hAnsi="黑体" w:eastAsia="黑体"/>
                <w:snapToGrid w:val="0"/>
                <w:color w:val="000000"/>
                <w:spacing w:val="-6"/>
                <w:kern w:val="21"/>
                <w:sz w:val="24"/>
                <w:szCs w:val="24"/>
              </w:rPr>
              <w:fldChar w:fldCharType="end"/>
            </w:r>
          </w:p>
        </w:tc>
        <w:tc>
          <w:tcPr>
            <w:tcW w:w="1608" w:type="dxa"/>
            <w:noWrap w:val="0"/>
            <w:tcMar>
              <w:left w:w="28" w:type="dxa"/>
              <w:right w:w="28" w:type="dxa"/>
            </w:tcMar>
            <w:vAlign w:val="center"/>
          </w:tcPr>
          <w:p>
            <w:pPr>
              <w:pStyle w:val="49"/>
              <w:spacing w:beforeLines="0" w:afterLines="0" w:line="240" w:lineRule="auto"/>
              <w:rPr>
                <w:rFonts w:hint="eastAsia"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在建工程</w:t>
            </w:r>
          </w:p>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排放量（固</w:t>
            </w:r>
            <w:r>
              <w:rPr>
                <w:rFonts w:hint="eastAsia" w:ascii="黑体" w:hAnsi="黑体" w:eastAsia="黑体"/>
                <w:snapToGrid w:val="0"/>
                <w:color w:val="000000"/>
                <w:spacing w:val="-6"/>
                <w:kern w:val="21"/>
                <w:sz w:val="24"/>
                <w:szCs w:val="24"/>
              </w:rPr>
              <w:t>体</w:t>
            </w:r>
            <w:r>
              <w:rPr>
                <w:rFonts w:ascii="黑体" w:hAnsi="黑体" w:eastAsia="黑体"/>
                <w:snapToGrid w:val="0"/>
                <w:color w:val="000000"/>
                <w:spacing w:val="-6"/>
                <w:kern w:val="21"/>
                <w:sz w:val="24"/>
                <w:szCs w:val="24"/>
              </w:rPr>
              <w:t>废</w:t>
            </w:r>
            <w:r>
              <w:rPr>
                <w:rFonts w:hint="eastAsia" w:ascii="黑体" w:hAnsi="黑体" w:eastAsia="黑体"/>
                <w:snapToGrid w:val="0"/>
                <w:color w:val="000000"/>
                <w:spacing w:val="-6"/>
                <w:kern w:val="21"/>
                <w:sz w:val="24"/>
                <w:szCs w:val="24"/>
              </w:rPr>
              <w:t>物</w:t>
            </w:r>
            <w:r>
              <w:rPr>
                <w:rFonts w:ascii="黑体" w:hAnsi="黑体" w:eastAsia="黑体"/>
                <w:snapToGrid w:val="0"/>
                <w:color w:val="000000"/>
                <w:spacing w:val="-6"/>
                <w:kern w:val="21"/>
                <w:sz w:val="24"/>
                <w:szCs w:val="24"/>
              </w:rPr>
              <w:t>产生量）</w:t>
            </w:r>
            <w:r>
              <w:rPr>
                <w:rFonts w:ascii="黑体" w:hAnsi="黑体" w:eastAsia="黑体"/>
                <w:snapToGrid w:val="0"/>
                <w:color w:val="000000"/>
                <w:spacing w:val="-6"/>
                <w:kern w:val="21"/>
                <w:sz w:val="24"/>
                <w:szCs w:val="24"/>
              </w:rPr>
              <w:fldChar w:fldCharType="begin"/>
            </w:r>
            <w:r>
              <w:rPr>
                <w:rFonts w:ascii="黑体" w:hAnsi="黑体" w:eastAsia="黑体"/>
                <w:snapToGrid w:val="0"/>
                <w:color w:val="000000"/>
                <w:spacing w:val="-6"/>
                <w:kern w:val="21"/>
                <w:sz w:val="24"/>
                <w:szCs w:val="24"/>
              </w:rPr>
              <w:instrText xml:space="preserve"> = 3 \* GB3 \* MERGEFORMAT </w:instrText>
            </w:r>
            <w:r>
              <w:rPr>
                <w:rFonts w:ascii="黑体" w:hAnsi="黑体" w:eastAsia="黑体"/>
                <w:snapToGrid w:val="0"/>
                <w:color w:val="000000"/>
                <w:spacing w:val="-6"/>
                <w:kern w:val="21"/>
                <w:sz w:val="24"/>
                <w:szCs w:val="24"/>
              </w:rPr>
              <w:fldChar w:fldCharType="separate"/>
            </w:r>
            <w:r>
              <w:rPr>
                <w:rFonts w:hint="eastAsia" w:ascii="黑体" w:hAnsi="黑体" w:eastAsia="黑体" w:cs="宋体"/>
                <w:kern w:val="2"/>
                <w:sz w:val="24"/>
                <w:szCs w:val="24"/>
              </w:rPr>
              <w:t>③</w:t>
            </w:r>
            <w:r>
              <w:rPr>
                <w:rFonts w:ascii="黑体" w:hAnsi="黑体" w:eastAsia="黑体"/>
                <w:snapToGrid w:val="0"/>
                <w:color w:val="000000"/>
                <w:spacing w:val="-6"/>
                <w:kern w:val="21"/>
                <w:sz w:val="24"/>
                <w:szCs w:val="24"/>
              </w:rPr>
              <w:fldChar w:fldCharType="end"/>
            </w:r>
          </w:p>
        </w:tc>
        <w:tc>
          <w:tcPr>
            <w:tcW w:w="1470" w:type="dxa"/>
            <w:noWrap w:val="0"/>
            <w:tcMar>
              <w:left w:w="28" w:type="dxa"/>
              <w:right w:w="28" w:type="dxa"/>
            </w:tcMar>
            <w:vAlign w:val="center"/>
          </w:tcPr>
          <w:p>
            <w:pPr>
              <w:pStyle w:val="49"/>
              <w:spacing w:beforeLines="0" w:afterLines="0" w:line="240" w:lineRule="auto"/>
              <w:rPr>
                <w:rFonts w:hint="eastAsia"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本项目</w:t>
            </w:r>
          </w:p>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排放量（固</w:t>
            </w:r>
            <w:r>
              <w:rPr>
                <w:rFonts w:hint="eastAsia" w:ascii="黑体" w:hAnsi="黑体" w:eastAsia="黑体"/>
                <w:snapToGrid w:val="0"/>
                <w:color w:val="000000"/>
                <w:spacing w:val="-6"/>
                <w:kern w:val="21"/>
                <w:sz w:val="24"/>
                <w:szCs w:val="24"/>
              </w:rPr>
              <w:t>体</w:t>
            </w:r>
            <w:r>
              <w:rPr>
                <w:rFonts w:ascii="黑体" w:hAnsi="黑体" w:eastAsia="黑体"/>
                <w:snapToGrid w:val="0"/>
                <w:color w:val="000000"/>
                <w:spacing w:val="-6"/>
                <w:kern w:val="21"/>
                <w:sz w:val="24"/>
                <w:szCs w:val="24"/>
              </w:rPr>
              <w:t>废</w:t>
            </w:r>
            <w:r>
              <w:rPr>
                <w:rFonts w:hint="eastAsia" w:ascii="黑体" w:hAnsi="黑体" w:eastAsia="黑体"/>
                <w:snapToGrid w:val="0"/>
                <w:color w:val="000000"/>
                <w:spacing w:val="-6"/>
                <w:kern w:val="21"/>
                <w:sz w:val="24"/>
                <w:szCs w:val="24"/>
              </w:rPr>
              <w:t>物</w:t>
            </w:r>
            <w:r>
              <w:rPr>
                <w:rFonts w:ascii="黑体" w:hAnsi="黑体" w:eastAsia="黑体"/>
                <w:snapToGrid w:val="0"/>
                <w:color w:val="000000"/>
                <w:spacing w:val="-6"/>
                <w:kern w:val="21"/>
                <w:sz w:val="24"/>
                <w:szCs w:val="24"/>
              </w:rPr>
              <w:t>产生量）</w:t>
            </w:r>
            <w:r>
              <w:rPr>
                <w:rFonts w:ascii="黑体" w:hAnsi="黑体" w:eastAsia="黑体"/>
                <w:snapToGrid w:val="0"/>
                <w:color w:val="000000"/>
                <w:spacing w:val="-6"/>
                <w:kern w:val="21"/>
                <w:sz w:val="24"/>
                <w:szCs w:val="24"/>
              </w:rPr>
              <w:fldChar w:fldCharType="begin"/>
            </w:r>
            <w:r>
              <w:rPr>
                <w:rFonts w:ascii="黑体" w:hAnsi="黑体" w:eastAsia="黑体"/>
                <w:snapToGrid w:val="0"/>
                <w:color w:val="000000"/>
                <w:spacing w:val="-6"/>
                <w:kern w:val="21"/>
                <w:sz w:val="24"/>
                <w:szCs w:val="24"/>
              </w:rPr>
              <w:instrText xml:space="preserve"> = 4 \* GB3 \* MERGEFORMAT </w:instrText>
            </w:r>
            <w:r>
              <w:rPr>
                <w:rFonts w:ascii="黑体" w:hAnsi="黑体" w:eastAsia="黑体"/>
                <w:snapToGrid w:val="0"/>
                <w:color w:val="000000"/>
                <w:spacing w:val="-6"/>
                <w:kern w:val="21"/>
                <w:sz w:val="24"/>
                <w:szCs w:val="24"/>
              </w:rPr>
              <w:fldChar w:fldCharType="separate"/>
            </w:r>
            <w:r>
              <w:rPr>
                <w:rFonts w:hint="eastAsia" w:ascii="黑体" w:hAnsi="黑体" w:eastAsia="黑体" w:cs="宋体"/>
                <w:kern w:val="2"/>
                <w:sz w:val="24"/>
                <w:szCs w:val="24"/>
              </w:rPr>
              <w:t>④</w:t>
            </w:r>
            <w:r>
              <w:rPr>
                <w:rFonts w:ascii="黑体" w:hAnsi="黑体" w:eastAsia="黑体"/>
                <w:snapToGrid w:val="0"/>
                <w:color w:val="000000"/>
                <w:spacing w:val="-6"/>
                <w:kern w:val="21"/>
                <w:sz w:val="24"/>
                <w:szCs w:val="24"/>
              </w:rPr>
              <w:fldChar w:fldCharType="end"/>
            </w:r>
          </w:p>
        </w:tc>
        <w:tc>
          <w:tcPr>
            <w:tcW w:w="1763" w:type="dxa"/>
            <w:noWrap w:val="0"/>
            <w:tcMar>
              <w:left w:w="28" w:type="dxa"/>
              <w:right w:w="28" w:type="dxa"/>
            </w:tcMar>
            <w:vAlign w:val="center"/>
          </w:tcPr>
          <w:p>
            <w:pPr>
              <w:pStyle w:val="49"/>
              <w:spacing w:beforeLines="0" w:afterLines="0" w:line="240" w:lineRule="auto"/>
              <w:rPr>
                <w:rFonts w:hint="eastAsia" w:ascii="黑体" w:hAnsi="黑体" w:eastAsia="黑体"/>
                <w:snapToGrid w:val="0"/>
                <w:color w:val="000000"/>
                <w:spacing w:val="-16"/>
                <w:kern w:val="21"/>
                <w:sz w:val="24"/>
                <w:szCs w:val="24"/>
              </w:rPr>
            </w:pPr>
            <w:r>
              <w:rPr>
                <w:rFonts w:ascii="黑体" w:hAnsi="黑体" w:eastAsia="黑体"/>
                <w:snapToGrid w:val="0"/>
                <w:color w:val="000000"/>
                <w:spacing w:val="-16"/>
                <w:kern w:val="21"/>
                <w:sz w:val="24"/>
                <w:szCs w:val="24"/>
              </w:rPr>
              <w:t>以新带老削减量</w:t>
            </w:r>
          </w:p>
          <w:p>
            <w:pPr>
              <w:pStyle w:val="49"/>
              <w:spacing w:beforeLines="0" w:afterLines="0" w:line="240" w:lineRule="auto"/>
              <w:rPr>
                <w:rFonts w:ascii="黑体" w:hAnsi="黑体" w:eastAsia="黑体"/>
                <w:snapToGrid w:val="0"/>
                <w:color w:val="000000"/>
                <w:spacing w:val="-16"/>
                <w:kern w:val="21"/>
                <w:sz w:val="24"/>
                <w:szCs w:val="24"/>
              </w:rPr>
            </w:pPr>
            <w:r>
              <w:rPr>
                <w:rFonts w:ascii="黑体" w:hAnsi="黑体" w:eastAsia="黑体"/>
                <w:snapToGrid w:val="0"/>
                <w:color w:val="000000"/>
                <w:spacing w:val="-16"/>
                <w:kern w:val="21"/>
                <w:sz w:val="24"/>
                <w:szCs w:val="24"/>
              </w:rPr>
              <w:t>（新建项目不填）</w:t>
            </w:r>
            <w:r>
              <w:rPr>
                <w:rFonts w:ascii="黑体" w:hAnsi="黑体" w:eastAsia="黑体"/>
                <w:snapToGrid w:val="0"/>
                <w:color w:val="000000"/>
                <w:spacing w:val="-16"/>
                <w:kern w:val="21"/>
                <w:sz w:val="24"/>
                <w:szCs w:val="24"/>
              </w:rPr>
              <w:fldChar w:fldCharType="begin"/>
            </w:r>
            <w:r>
              <w:rPr>
                <w:rFonts w:ascii="黑体" w:hAnsi="黑体" w:eastAsia="黑体"/>
                <w:snapToGrid w:val="0"/>
                <w:color w:val="000000"/>
                <w:spacing w:val="-16"/>
                <w:kern w:val="21"/>
                <w:sz w:val="24"/>
                <w:szCs w:val="24"/>
              </w:rPr>
              <w:instrText xml:space="preserve"> = 5 \* GB3 \* MERGEFORMAT </w:instrText>
            </w:r>
            <w:r>
              <w:rPr>
                <w:rFonts w:ascii="黑体" w:hAnsi="黑体" w:eastAsia="黑体"/>
                <w:snapToGrid w:val="0"/>
                <w:color w:val="000000"/>
                <w:spacing w:val="-16"/>
                <w:kern w:val="21"/>
                <w:sz w:val="24"/>
                <w:szCs w:val="24"/>
              </w:rPr>
              <w:fldChar w:fldCharType="separate"/>
            </w:r>
            <w:r>
              <w:rPr>
                <w:rFonts w:hint="eastAsia" w:ascii="黑体" w:hAnsi="黑体" w:eastAsia="黑体" w:cs="宋体"/>
                <w:kern w:val="2"/>
                <w:sz w:val="24"/>
                <w:szCs w:val="24"/>
              </w:rPr>
              <w:t>⑤</w:t>
            </w:r>
            <w:r>
              <w:rPr>
                <w:rFonts w:ascii="黑体" w:hAnsi="黑体" w:eastAsia="黑体"/>
                <w:snapToGrid w:val="0"/>
                <w:color w:val="000000"/>
                <w:spacing w:val="-16"/>
                <w:kern w:val="21"/>
                <w:sz w:val="24"/>
                <w:szCs w:val="24"/>
              </w:rPr>
              <w:fldChar w:fldCharType="end"/>
            </w:r>
          </w:p>
        </w:tc>
        <w:tc>
          <w:tcPr>
            <w:tcW w:w="1840" w:type="dxa"/>
            <w:noWrap w:val="0"/>
            <w:tcMar>
              <w:left w:w="28" w:type="dxa"/>
              <w:right w:w="28" w:type="dxa"/>
            </w:tcMar>
            <w:vAlign w:val="center"/>
          </w:tcPr>
          <w:p>
            <w:pPr>
              <w:pStyle w:val="49"/>
              <w:spacing w:beforeLines="0" w:afterLines="0" w:line="240" w:lineRule="auto"/>
              <w:rPr>
                <w:rFonts w:hint="eastAsia" w:ascii="黑体" w:hAnsi="黑体" w:eastAsia="黑体"/>
                <w:snapToGrid w:val="0"/>
                <w:color w:val="000000"/>
                <w:spacing w:val="-16"/>
                <w:kern w:val="21"/>
                <w:sz w:val="24"/>
                <w:szCs w:val="24"/>
              </w:rPr>
            </w:pPr>
            <w:r>
              <w:rPr>
                <w:rFonts w:ascii="黑体" w:hAnsi="黑体" w:eastAsia="黑体"/>
                <w:snapToGrid w:val="0"/>
                <w:color w:val="000000"/>
                <w:spacing w:val="-16"/>
                <w:kern w:val="21"/>
                <w:sz w:val="24"/>
                <w:szCs w:val="24"/>
              </w:rPr>
              <w:t>本项目建成后</w:t>
            </w:r>
          </w:p>
          <w:p>
            <w:pPr>
              <w:pStyle w:val="49"/>
              <w:spacing w:beforeLines="0" w:afterLines="0" w:line="240" w:lineRule="auto"/>
              <w:rPr>
                <w:rFonts w:ascii="黑体" w:hAnsi="黑体" w:eastAsia="黑体"/>
                <w:snapToGrid w:val="0"/>
                <w:color w:val="000000"/>
                <w:spacing w:val="-16"/>
                <w:kern w:val="21"/>
                <w:sz w:val="24"/>
                <w:szCs w:val="24"/>
              </w:rPr>
            </w:pPr>
            <w:r>
              <w:rPr>
                <w:rFonts w:hint="eastAsia" w:ascii="黑体" w:hAnsi="黑体" w:eastAsia="黑体"/>
                <w:snapToGrid w:val="0"/>
                <w:color w:val="000000"/>
                <w:spacing w:val="-16"/>
                <w:kern w:val="21"/>
                <w:sz w:val="24"/>
                <w:szCs w:val="24"/>
              </w:rPr>
              <w:t>全厂</w:t>
            </w:r>
            <w:r>
              <w:rPr>
                <w:rFonts w:ascii="黑体" w:hAnsi="黑体" w:eastAsia="黑体"/>
                <w:snapToGrid w:val="0"/>
                <w:color w:val="000000"/>
                <w:spacing w:val="-16"/>
                <w:kern w:val="21"/>
                <w:sz w:val="24"/>
                <w:szCs w:val="24"/>
              </w:rPr>
              <w:t>排放量（固</w:t>
            </w:r>
            <w:r>
              <w:rPr>
                <w:rFonts w:hint="eastAsia" w:ascii="黑体" w:hAnsi="黑体" w:eastAsia="黑体"/>
                <w:snapToGrid w:val="0"/>
                <w:color w:val="000000"/>
                <w:spacing w:val="-16"/>
                <w:kern w:val="21"/>
                <w:sz w:val="24"/>
                <w:szCs w:val="24"/>
              </w:rPr>
              <w:t>体</w:t>
            </w:r>
            <w:r>
              <w:rPr>
                <w:rFonts w:ascii="黑体" w:hAnsi="黑体" w:eastAsia="黑体"/>
                <w:snapToGrid w:val="0"/>
                <w:color w:val="000000"/>
                <w:spacing w:val="-16"/>
                <w:kern w:val="21"/>
                <w:sz w:val="24"/>
                <w:szCs w:val="24"/>
              </w:rPr>
              <w:t>废</w:t>
            </w:r>
            <w:r>
              <w:rPr>
                <w:rFonts w:hint="eastAsia" w:ascii="黑体" w:hAnsi="黑体" w:eastAsia="黑体"/>
                <w:snapToGrid w:val="0"/>
                <w:color w:val="000000"/>
                <w:spacing w:val="-16"/>
                <w:kern w:val="21"/>
                <w:sz w:val="24"/>
                <w:szCs w:val="24"/>
              </w:rPr>
              <w:t>物</w:t>
            </w:r>
            <w:r>
              <w:rPr>
                <w:rFonts w:ascii="黑体" w:hAnsi="黑体" w:eastAsia="黑体"/>
                <w:snapToGrid w:val="0"/>
                <w:color w:val="000000"/>
                <w:spacing w:val="-16"/>
                <w:kern w:val="21"/>
                <w:sz w:val="24"/>
                <w:szCs w:val="24"/>
              </w:rPr>
              <w:t>产生量）</w:t>
            </w:r>
            <w:r>
              <w:rPr>
                <w:rFonts w:ascii="黑体" w:hAnsi="黑体" w:eastAsia="黑体"/>
                <w:snapToGrid w:val="0"/>
                <w:color w:val="000000"/>
                <w:spacing w:val="-16"/>
                <w:kern w:val="21"/>
                <w:sz w:val="24"/>
                <w:szCs w:val="24"/>
              </w:rPr>
              <w:fldChar w:fldCharType="begin"/>
            </w:r>
            <w:r>
              <w:rPr>
                <w:rFonts w:ascii="黑体" w:hAnsi="黑体" w:eastAsia="黑体"/>
                <w:snapToGrid w:val="0"/>
                <w:color w:val="000000"/>
                <w:spacing w:val="-16"/>
                <w:kern w:val="21"/>
                <w:sz w:val="24"/>
                <w:szCs w:val="24"/>
              </w:rPr>
              <w:instrText xml:space="preserve"> = 6 \* GB3 \* MERGEFORMAT </w:instrText>
            </w:r>
            <w:r>
              <w:rPr>
                <w:rFonts w:ascii="黑体" w:hAnsi="黑体" w:eastAsia="黑体"/>
                <w:snapToGrid w:val="0"/>
                <w:color w:val="000000"/>
                <w:spacing w:val="-16"/>
                <w:kern w:val="21"/>
                <w:sz w:val="24"/>
                <w:szCs w:val="24"/>
              </w:rPr>
              <w:fldChar w:fldCharType="separate"/>
            </w:r>
            <w:r>
              <w:rPr>
                <w:rFonts w:hint="eastAsia" w:ascii="黑体" w:hAnsi="黑体" w:eastAsia="黑体" w:cs="宋体"/>
                <w:kern w:val="2"/>
                <w:sz w:val="24"/>
                <w:szCs w:val="24"/>
              </w:rPr>
              <w:t>⑥</w:t>
            </w:r>
            <w:r>
              <w:rPr>
                <w:rFonts w:ascii="黑体" w:hAnsi="黑体" w:eastAsia="黑体"/>
                <w:snapToGrid w:val="0"/>
                <w:color w:val="000000"/>
                <w:spacing w:val="-16"/>
                <w:kern w:val="21"/>
                <w:sz w:val="24"/>
                <w:szCs w:val="24"/>
              </w:rPr>
              <w:fldChar w:fldCharType="end"/>
            </w:r>
          </w:p>
        </w:tc>
        <w:tc>
          <w:tcPr>
            <w:tcW w:w="1698" w:type="dxa"/>
            <w:noWrap w:val="0"/>
            <w:tcMar>
              <w:left w:w="28" w:type="dxa"/>
              <w:right w:w="28" w:type="dxa"/>
            </w:tcMar>
            <w:vAlign w:val="center"/>
          </w:tcPr>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t>变化量</w:t>
            </w:r>
          </w:p>
          <w:p>
            <w:pPr>
              <w:pStyle w:val="49"/>
              <w:spacing w:beforeLines="0" w:afterLines="0" w:line="240" w:lineRule="auto"/>
              <w:rPr>
                <w:rFonts w:ascii="黑体" w:hAnsi="黑体" w:eastAsia="黑体"/>
                <w:snapToGrid w:val="0"/>
                <w:color w:val="000000"/>
                <w:spacing w:val="-6"/>
                <w:kern w:val="21"/>
                <w:sz w:val="24"/>
                <w:szCs w:val="24"/>
              </w:rPr>
            </w:pPr>
            <w:r>
              <w:rPr>
                <w:rFonts w:ascii="黑体" w:hAnsi="黑体" w:eastAsia="黑体"/>
                <w:snapToGrid w:val="0"/>
                <w:color w:val="000000"/>
                <w:spacing w:val="-6"/>
                <w:kern w:val="21"/>
                <w:sz w:val="24"/>
                <w:szCs w:val="24"/>
              </w:rPr>
              <w:fldChar w:fldCharType="begin"/>
            </w:r>
            <w:r>
              <w:rPr>
                <w:rFonts w:ascii="黑体" w:hAnsi="黑体" w:eastAsia="黑体"/>
                <w:snapToGrid w:val="0"/>
                <w:color w:val="000000"/>
                <w:spacing w:val="-6"/>
                <w:kern w:val="21"/>
                <w:sz w:val="24"/>
                <w:szCs w:val="24"/>
              </w:rPr>
              <w:instrText xml:space="preserve"> = 7 \* GB3 \* MERGEFORMAT </w:instrText>
            </w:r>
            <w:r>
              <w:rPr>
                <w:rFonts w:ascii="黑体" w:hAnsi="黑体" w:eastAsia="黑体"/>
                <w:snapToGrid w:val="0"/>
                <w:color w:val="000000"/>
                <w:spacing w:val="-6"/>
                <w:kern w:val="21"/>
                <w:sz w:val="24"/>
                <w:szCs w:val="24"/>
              </w:rPr>
              <w:fldChar w:fldCharType="separate"/>
            </w:r>
            <w:r>
              <w:rPr>
                <w:rFonts w:hint="eastAsia" w:ascii="黑体" w:hAnsi="黑体" w:eastAsia="黑体" w:cs="宋体"/>
                <w:kern w:val="2"/>
                <w:sz w:val="24"/>
                <w:szCs w:val="24"/>
              </w:rPr>
              <w:t>⑦</w:t>
            </w:r>
            <w:r>
              <w:rPr>
                <w:rFonts w:ascii="黑体" w:hAnsi="黑体" w:eastAsia="黑体"/>
                <w:snapToGrid w:val="0"/>
                <w:color w:val="000000"/>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noWrap w:val="0"/>
            <w:vAlign w:val="center"/>
          </w:tcPr>
          <w:p>
            <w:pPr>
              <w:pStyle w:val="49"/>
              <w:spacing w:beforeLines="0" w:afterLines="0" w:line="240" w:lineRule="auto"/>
              <w:rPr>
                <w:rFonts w:hint="eastAsia" w:hAnsi="宋体" w:cs="宋体"/>
                <w:snapToGrid w:val="0"/>
                <w:color w:val="000000"/>
                <w:kern w:val="21"/>
                <w:sz w:val="24"/>
                <w:szCs w:val="24"/>
              </w:rPr>
            </w:pPr>
            <w:r>
              <w:rPr>
                <w:rFonts w:hint="eastAsia" w:hAnsi="宋体" w:cs="宋体"/>
                <w:snapToGrid w:val="0"/>
                <w:color w:val="000000"/>
                <w:kern w:val="21"/>
                <w:sz w:val="24"/>
                <w:szCs w:val="24"/>
              </w:rPr>
              <w:t>废气</w:t>
            </w:r>
          </w:p>
        </w:tc>
        <w:tc>
          <w:tcPr>
            <w:tcW w:w="1903" w:type="dxa"/>
            <w:noWrap w:val="0"/>
            <w:vAlign w:val="center"/>
          </w:tcPr>
          <w:p>
            <w:pPr>
              <w:pStyle w:val="49"/>
              <w:spacing w:beforeLines="0" w:afterLines="0" w:line="240" w:lineRule="auto"/>
              <w:rPr>
                <w:rFonts w:hint="eastAsia" w:hAnsi="宋体" w:eastAsia="宋体" w:cs="宋体"/>
                <w:snapToGrid w:val="0"/>
                <w:color w:val="000000"/>
                <w:kern w:val="21"/>
                <w:sz w:val="24"/>
                <w:szCs w:val="24"/>
                <w:lang w:eastAsia="zh-CN"/>
              </w:rPr>
            </w:pPr>
            <w:r>
              <w:rPr>
                <w:rFonts w:hint="eastAsia" w:hAnsi="宋体" w:cs="宋体"/>
                <w:snapToGrid w:val="0"/>
                <w:color w:val="000000"/>
                <w:kern w:val="21"/>
                <w:sz w:val="24"/>
                <w:szCs w:val="24"/>
                <w:lang w:val="en-US" w:eastAsia="zh-CN"/>
              </w:rPr>
              <w:t>非甲烷总烃</w:t>
            </w:r>
          </w:p>
        </w:tc>
        <w:tc>
          <w:tcPr>
            <w:tcW w:w="1482"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0.0737t/a</w:t>
            </w:r>
          </w:p>
        </w:tc>
        <w:tc>
          <w:tcPr>
            <w:tcW w:w="1763"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0.0737t/a</w:t>
            </w:r>
          </w:p>
        </w:tc>
        <w:tc>
          <w:tcPr>
            <w:tcW w:w="16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+0.0737t/a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restart"/>
            <w:noWrap w:val="0"/>
            <w:vAlign w:val="center"/>
          </w:tcPr>
          <w:p>
            <w:pPr>
              <w:pStyle w:val="49"/>
              <w:spacing w:beforeLines="0" w:afterLines="0" w:line="240" w:lineRule="auto"/>
              <w:rPr>
                <w:rFonts w:hint="eastAsia" w:hAnsi="宋体" w:eastAsia="宋体" w:cs="宋体"/>
                <w:snapToGrid w:val="0"/>
                <w:color w:val="000000"/>
                <w:kern w:val="21"/>
                <w:sz w:val="24"/>
                <w:szCs w:val="24"/>
                <w:lang w:eastAsia="zh-CN"/>
              </w:rPr>
            </w:pPr>
            <w:r>
              <w:rPr>
                <w:rFonts w:hint="eastAsia" w:hAnsi="宋体" w:cs="宋体"/>
                <w:snapToGrid w:val="0"/>
                <w:color w:val="000000"/>
                <w:kern w:val="21"/>
                <w:sz w:val="24"/>
                <w:szCs w:val="24"/>
                <w:lang w:eastAsia="zh-CN"/>
              </w:rPr>
              <w:t>废水</w:t>
            </w:r>
          </w:p>
        </w:tc>
        <w:tc>
          <w:tcPr>
            <w:tcW w:w="190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COD</w:t>
            </w:r>
          </w:p>
        </w:tc>
        <w:tc>
          <w:tcPr>
            <w:tcW w:w="1482"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default"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0.0029t/a</w:t>
            </w:r>
          </w:p>
        </w:tc>
        <w:tc>
          <w:tcPr>
            <w:tcW w:w="176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eastAsia"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0.0029t/a</w:t>
            </w:r>
          </w:p>
        </w:tc>
        <w:tc>
          <w:tcPr>
            <w:tcW w:w="1698" w:type="dxa"/>
            <w:noWrap w:val="0"/>
            <w:vAlign w:val="center"/>
          </w:tcPr>
          <w:p>
            <w:pPr>
              <w:pStyle w:val="49"/>
              <w:spacing w:beforeLines="0" w:afterLines="0" w:line="240" w:lineRule="auto"/>
              <w:rPr>
                <w:rFonts w:hint="eastAsia"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+0.0029t/a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continue"/>
            <w:noWrap w:val="0"/>
            <w:vAlign w:val="center"/>
          </w:tcPr>
          <w:p>
            <w:pPr>
              <w:pStyle w:val="49"/>
              <w:spacing w:beforeLines="0" w:afterLines="0" w:line="240" w:lineRule="auto"/>
              <w:rPr>
                <w:rFonts w:hint="eastAsia" w:hAnsi="宋体" w:cs="宋体"/>
                <w:snapToGrid w:val="0"/>
                <w:color w:val="000000"/>
                <w:kern w:val="21"/>
                <w:sz w:val="24"/>
                <w:szCs w:val="24"/>
              </w:rPr>
            </w:pPr>
          </w:p>
        </w:tc>
        <w:tc>
          <w:tcPr>
            <w:tcW w:w="190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NH</w:t>
            </w:r>
            <w:r>
              <w:rPr>
                <w:rFonts w:hint="eastAsia" w:ascii="Times New Roman" w:cs="Times New Roman"/>
                <w:snapToGrid w:val="0"/>
                <w:color w:val="000000"/>
                <w:kern w:val="21"/>
                <w:sz w:val="24"/>
                <w:szCs w:val="24"/>
                <w:vertAlign w:val="subscript"/>
                <w:lang w:val="en-US" w:eastAsia="zh-CN"/>
              </w:rPr>
              <w:t>3</w:t>
            </w:r>
            <w:r>
              <w:rPr>
                <w:rFonts w:hint="eastAsia" w:ascii="Times New Roman" w:cs="Times New Roman"/>
                <w:snapToGrid w:val="0"/>
                <w:color w:val="000000"/>
                <w:kern w:val="21"/>
                <w:sz w:val="24"/>
                <w:szCs w:val="24"/>
                <w:lang w:val="en-US" w:eastAsia="zh-CN"/>
              </w:rPr>
              <w:t>-N</w:t>
            </w:r>
          </w:p>
        </w:tc>
        <w:tc>
          <w:tcPr>
            <w:tcW w:w="1482"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default"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0.00038t/a</w:t>
            </w:r>
          </w:p>
        </w:tc>
        <w:tc>
          <w:tcPr>
            <w:tcW w:w="176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eastAsia"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0.00038t/a</w:t>
            </w:r>
          </w:p>
        </w:tc>
        <w:tc>
          <w:tcPr>
            <w:tcW w:w="1698" w:type="dxa"/>
            <w:noWrap w:val="0"/>
            <w:vAlign w:val="center"/>
          </w:tcPr>
          <w:p>
            <w:pPr>
              <w:pStyle w:val="49"/>
              <w:spacing w:beforeLines="0" w:afterLines="0" w:line="240" w:lineRule="auto"/>
              <w:rPr>
                <w:rFonts w:hint="eastAsia" w:ascii="Times New Roman" w:hAnsi="Times New Roman" w:eastAsia="宋体" w:cs="Times New Roman"/>
                <w:snapToGrid w:val="0"/>
                <w:color w:val="000000"/>
                <w:kern w:val="21"/>
                <w:sz w:val="24"/>
                <w:szCs w:val="24"/>
                <w:lang w:val="en-US" w:eastAsia="zh-CN" w:bidi="ar-SA"/>
              </w:rPr>
            </w:pPr>
            <w:r>
              <w:rPr>
                <w:rFonts w:hint="eastAsia" w:ascii="Times New Roman" w:cs="Times New Roman"/>
                <w:snapToGrid w:val="0"/>
                <w:color w:val="000000"/>
                <w:kern w:val="21"/>
                <w:sz w:val="24"/>
                <w:szCs w:val="24"/>
                <w:lang w:val="en-US" w:eastAsia="zh-CN"/>
              </w:rPr>
              <w:t>+0.00038t/a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restart"/>
            <w:noWrap w:val="0"/>
            <w:vAlign w:val="center"/>
          </w:tcPr>
          <w:p>
            <w:pPr>
              <w:pStyle w:val="49"/>
              <w:spacing w:beforeLines="0" w:afterLines="0" w:line="240" w:lineRule="auto"/>
              <w:rPr>
                <w:rFonts w:hint="eastAsia" w:hAnsi="宋体" w:eastAsia="宋体" w:cs="宋体"/>
                <w:snapToGrid w:val="0"/>
                <w:color w:val="000000"/>
                <w:kern w:val="21"/>
                <w:sz w:val="24"/>
                <w:szCs w:val="24"/>
                <w:lang w:eastAsia="zh-CN"/>
              </w:rPr>
            </w:pPr>
            <w:r>
              <w:rPr>
                <w:rFonts w:hint="eastAsia" w:hAnsi="宋体" w:cs="宋体"/>
                <w:snapToGrid w:val="0"/>
                <w:color w:val="000000"/>
                <w:kern w:val="21"/>
                <w:sz w:val="24"/>
                <w:szCs w:val="24"/>
              </w:rPr>
              <w:t>一般</w:t>
            </w:r>
          </w:p>
          <w:p>
            <w:pPr>
              <w:pStyle w:val="49"/>
              <w:spacing w:beforeLines="0" w:afterLines="0" w:line="240" w:lineRule="auto"/>
              <w:rPr>
                <w:rFonts w:hint="eastAsia" w:hAnsi="宋体" w:cs="宋体"/>
                <w:snapToGrid w:val="0"/>
                <w:color w:val="000000"/>
                <w:kern w:val="21"/>
                <w:sz w:val="24"/>
                <w:szCs w:val="24"/>
              </w:rPr>
            </w:pPr>
            <w:r>
              <w:rPr>
                <w:rFonts w:hint="eastAsia" w:hAnsi="宋体" w:cs="宋体"/>
                <w:snapToGrid w:val="0"/>
                <w:color w:val="000000"/>
                <w:kern w:val="21"/>
                <w:sz w:val="24"/>
                <w:szCs w:val="24"/>
              </w:rPr>
              <w:t>固体废物</w:t>
            </w:r>
          </w:p>
        </w:tc>
        <w:tc>
          <w:tcPr>
            <w:tcW w:w="1903" w:type="dxa"/>
            <w:noWrap w:val="0"/>
            <w:vAlign w:val="center"/>
          </w:tcPr>
          <w:p>
            <w:pPr>
              <w:pStyle w:val="49"/>
              <w:spacing w:beforeLines="0" w:afterLines="0" w:line="240" w:lineRule="auto"/>
              <w:rPr>
                <w:rFonts w:hint="eastAsia" w:hAnsi="宋体" w:eastAsia="宋体" w:cs="宋体"/>
                <w:snapToGrid w:val="0"/>
                <w:color w:val="000000"/>
                <w:kern w:val="21"/>
                <w:sz w:val="24"/>
                <w:szCs w:val="24"/>
                <w:lang w:eastAsia="zh-CN"/>
              </w:rPr>
            </w:pPr>
            <w:r>
              <w:rPr>
                <w:rFonts w:hint="eastAsia" w:ascii="Times New Roman" w:hAnsi="Times New Roman" w:cs="Times New Roman"/>
                <w:snapToGrid w:val="0"/>
                <w:color w:val="000000"/>
                <w:kern w:val="21"/>
                <w:sz w:val="24"/>
                <w:szCs w:val="24"/>
                <w:lang w:val="en-US" w:eastAsia="zh-CN"/>
              </w:rPr>
              <w:t>废边角料</w:t>
            </w:r>
          </w:p>
        </w:tc>
        <w:tc>
          <w:tcPr>
            <w:tcW w:w="1482" w:type="dxa"/>
            <w:noWrap w:val="0"/>
            <w:vAlign w:val="center"/>
          </w:tcPr>
          <w:p>
            <w:pPr>
              <w:pStyle w:val="49"/>
              <w:spacing w:beforeLines="0" w:afterLines="0" w:line="240" w:lineRule="auto"/>
              <w:rPr>
                <w:rFonts w:hAnsi="宋体" w:cs="宋体"/>
                <w:snapToGrid w:val="0"/>
                <w:color w:val="000000"/>
                <w:kern w:val="21"/>
                <w:sz w:val="24"/>
                <w:szCs w:val="24"/>
              </w:rPr>
            </w:pPr>
            <w:r>
              <w:rPr>
                <w:rFonts w:hint="default"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Ansi="宋体" w:cs="宋体"/>
                <w:snapToGrid w:val="0"/>
                <w:color w:val="000000"/>
                <w:kern w:val="21"/>
                <w:sz w:val="24"/>
                <w:szCs w:val="24"/>
              </w:rPr>
            </w:pPr>
            <w:r>
              <w:rPr>
                <w:rFonts w:hint="default"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Ansi="宋体" w:cs="宋体"/>
                <w:snapToGrid w:val="0"/>
                <w:color w:val="000000"/>
                <w:kern w:val="21"/>
                <w:sz w:val="24"/>
                <w:szCs w:val="24"/>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0.45</w:t>
            </w:r>
            <w:r>
              <w:rPr>
                <w:rFonts w:hint="eastAsia" w:ascii="Times New Roman" w:hAnsi="Times New Roman" w:cs="Times New Roman"/>
                <w:snapToGrid w:val="0"/>
                <w:color w:val="000000"/>
                <w:kern w:val="21"/>
                <w:sz w:val="24"/>
                <w:szCs w:val="24"/>
                <w:lang w:val="en-US" w:eastAsia="zh-CN"/>
              </w:rPr>
              <w:t>t/a</w:t>
            </w:r>
          </w:p>
        </w:tc>
        <w:tc>
          <w:tcPr>
            <w:tcW w:w="176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0.45</w:t>
            </w:r>
            <w:r>
              <w:rPr>
                <w:rFonts w:hint="eastAsia" w:ascii="Times New Roman" w:hAnsi="Times New Roman" w:cs="Times New Roman"/>
                <w:snapToGrid w:val="0"/>
                <w:color w:val="000000"/>
                <w:kern w:val="21"/>
                <w:sz w:val="24"/>
                <w:szCs w:val="24"/>
                <w:lang w:val="en-US" w:eastAsia="zh-CN"/>
              </w:rPr>
              <w:t>t/a</w:t>
            </w:r>
          </w:p>
        </w:tc>
        <w:tc>
          <w:tcPr>
            <w:tcW w:w="16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r>
              <w:rPr>
                <w:rFonts w:hint="eastAsia" w:ascii="Times New Roman" w:cs="Times New Roman"/>
                <w:snapToGrid w:val="0"/>
                <w:color w:val="000000"/>
                <w:kern w:val="21"/>
                <w:sz w:val="24"/>
                <w:szCs w:val="24"/>
                <w:lang w:val="en-US" w:eastAsia="zh-CN"/>
              </w:rPr>
              <w:t>0.45</w:t>
            </w:r>
            <w:r>
              <w:rPr>
                <w:rFonts w:hint="eastAsia" w:ascii="Times New Roman" w:hAnsi="Times New Roman" w:cs="Times New Roman"/>
                <w:snapToGrid w:val="0"/>
                <w:color w:val="000000"/>
                <w:kern w:val="21"/>
                <w:sz w:val="24"/>
                <w:szCs w:val="24"/>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continue"/>
            <w:noWrap w:val="0"/>
            <w:vAlign w:val="center"/>
          </w:tcPr>
          <w:p>
            <w:pPr>
              <w:pStyle w:val="49"/>
              <w:spacing w:beforeLines="0" w:afterLines="0" w:line="240" w:lineRule="auto"/>
              <w:rPr>
                <w:rFonts w:hAnsi="宋体" w:cs="宋体"/>
                <w:snapToGrid w:val="0"/>
                <w:color w:val="000000"/>
                <w:kern w:val="21"/>
                <w:sz w:val="24"/>
                <w:szCs w:val="24"/>
              </w:rPr>
            </w:pPr>
          </w:p>
        </w:tc>
        <w:tc>
          <w:tcPr>
            <w:tcW w:w="1903" w:type="dxa"/>
            <w:noWrap w:val="0"/>
            <w:vAlign w:val="center"/>
          </w:tcPr>
          <w:p>
            <w:pPr>
              <w:pStyle w:val="49"/>
              <w:spacing w:beforeLines="0" w:afterLines="0" w:line="240" w:lineRule="auto"/>
              <w:rPr>
                <w:rFonts w:hAnsi="宋体" w:cs="宋体"/>
                <w:snapToGrid w:val="0"/>
                <w:color w:val="000000"/>
                <w:kern w:val="21"/>
                <w:sz w:val="24"/>
                <w:szCs w:val="24"/>
              </w:rPr>
            </w:pPr>
            <w:r>
              <w:rPr>
                <w:rFonts w:hint="eastAsia"/>
                <w:sz w:val="24"/>
                <w:szCs w:val="24"/>
                <w:lang w:eastAsia="zh-CN"/>
              </w:rPr>
              <w:t>废包装材料</w:t>
            </w:r>
          </w:p>
        </w:tc>
        <w:tc>
          <w:tcPr>
            <w:tcW w:w="1482" w:type="dxa"/>
            <w:noWrap w:val="0"/>
            <w:vAlign w:val="center"/>
          </w:tcPr>
          <w:p>
            <w:pPr>
              <w:pStyle w:val="49"/>
              <w:spacing w:beforeLines="0" w:afterLines="0" w:line="240" w:lineRule="auto"/>
              <w:rPr>
                <w:rFonts w:hAnsi="宋体" w:cs="宋体"/>
                <w:snapToGrid w:val="0"/>
                <w:color w:val="000000"/>
                <w:kern w:val="21"/>
                <w:sz w:val="24"/>
                <w:szCs w:val="24"/>
              </w:rPr>
            </w:pPr>
            <w:r>
              <w:rPr>
                <w:rFonts w:hint="default"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Ansi="宋体" w:cs="宋体"/>
                <w:snapToGrid w:val="0"/>
                <w:color w:val="000000"/>
                <w:kern w:val="21"/>
                <w:sz w:val="24"/>
                <w:szCs w:val="24"/>
              </w:rPr>
            </w:pPr>
            <w:r>
              <w:rPr>
                <w:rFonts w:hint="default"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Ansi="宋体" w:cs="宋体"/>
                <w:snapToGrid w:val="0"/>
                <w:color w:val="000000"/>
                <w:kern w:val="21"/>
                <w:sz w:val="24"/>
                <w:szCs w:val="24"/>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0.32t/a</w:t>
            </w:r>
          </w:p>
        </w:tc>
        <w:tc>
          <w:tcPr>
            <w:tcW w:w="1763"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0.32t/a</w:t>
            </w:r>
          </w:p>
        </w:tc>
        <w:tc>
          <w:tcPr>
            <w:tcW w:w="16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+0.32t/a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continue"/>
            <w:noWrap w:val="0"/>
            <w:vAlign w:val="center"/>
          </w:tcPr>
          <w:p>
            <w:pPr>
              <w:pStyle w:val="49"/>
              <w:spacing w:beforeLines="0" w:afterLines="0" w:line="240" w:lineRule="auto"/>
              <w:rPr>
                <w:rFonts w:hAnsi="宋体" w:cs="宋体"/>
                <w:snapToGrid w:val="0"/>
                <w:color w:val="000000"/>
                <w:kern w:val="21"/>
                <w:sz w:val="24"/>
                <w:szCs w:val="24"/>
              </w:rPr>
            </w:pPr>
          </w:p>
        </w:tc>
        <w:tc>
          <w:tcPr>
            <w:tcW w:w="1903" w:type="dxa"/>
            <w:noWrap w:val="0"/>
            <w:vAlign w:val="center"/>
          </w:tcPr>
          <w:p>
            <w:pPr>
              <w:pStyle w:val="49"/>
              <w:spacing w:beforeLines="0" w:afterLines="0" w:line="240" w:lineRule="auto"/>
              <w:rPr>
                <w:rFonts w:hint="default"/>
                <w:sz w:val="24"/>
                <w:szCs w:val="24"/>
                <w:lang w:eastAsia="zh-CN"/>
              </w:rPr>
            </w:pPr>
            <w:r>
              <w:rPr>
                <w:rFonts w:hint="eastAsia"/>
                <w:sz w:val="24"/>
                <w:szCs w:val="24"/>
                <w:lang w:eastAsia="zh-CN"/>
              </w:rPr>
              <w:t>化粪池污泥</w:t>
            </w:r>
          </w:p>
        </w:tc>
        <w:tc>
          <w:tcPr>
            <w:tcW w:w="1482"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0.36</w:t>
            </w:r>
            <w:r>
              <w:rPr>
                <w:rFonts w:hint="eastAsia" w:ascii="Times New Roman" w:hAnsi="Times New Roman" w:cs="Times New Roman"/>
                <w:snapToGrid w:val="0"/>
                <w:color w:val="000000"/>
                <w:kern w:val="21"/>
                <w:sz w:val="24"/>
                <w:szCs w:val="24"/>
                <w:lang w:val="en-US" w:eastAsia="zh-CN"/>
              </w:rPr>
              <w:t>t/a</w:t>
            </w:r>
          </w:p>
        </w:tc>
        <w:tc>
          <w:tcPr>
            <w:tcW w:w="1763"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0.36</w:t>
            </w:r>
            <w:r>
              <w:rPr>
                <w:rFonts w:hint="eastAsia" w:ascii="Times New Roman" w:hAnsi="Times New Roman" w:cs="Times New Roman"/>
                <w:snapToGrid w:val="0"/>
                <w:color w:val="000000"/>
                <w:kern w:val="21"/>
                <w:sz w:val="24"/>
                <w:szCs w:val="24"/>
                <w:lang w:val="en-US" w:eastAsia="zh-CN"/>
              </w:rPr>
              <w:t>t/a</w:t>
            </w:r>
          </w:p>
        </w:tc>
        <w:tc>
          <w:tcPr>
            <w:tcW w:w="1698"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r>
              <w:rPr>
                <w:rFonts w:hint="eastAsia" w:ascii="Times New Roman" w:cs="Times New Roman"/>
                <w:snapToGrid w:val="0"/>
                <w:color w:val="000000"/>
                <w:kern w:val="21"/>
                <w:sz w:val="24"/>
                <w:szCs w:val="24"/>
                <w:lang w:val="en-US" w:eastAsia="zh-CN"/>
              </w:rPr>
              <w:t>0.36</w:t>
            </w:r>
            <w:r>
              <w:rPr>
                <w:rFonts w:hint="eastAsia" w:ascii="Times New Roman" w:hAnsi="Times New Roman" w:cs="Times New Roman"/>
                <w:snapToGrid w:val="0"/>
                <w:color w:val="000000"/>
                <w:kern w:val="21"/>
                <w:sz w:val="24"/>
                <w:szCs w:val="24"/>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vMerge w:val="continue"/>
            <w:noWrap w:val="0"/>
            <w:vAlign w:val="center"/>
          </w:tcPr>
          <w:p>
            <w:pPr>
              <w:pStyle w:val="49"/>
              <w:spacing w:beforeLines="0" w:afterLines="0" w:line="240" w:lineRule="auto"/>
              <w:rPr>
                <w:rFonts w:hAnsi="宋体" w:cs="宋体"/>
                <w:snapToGrid w:val="0"/>
                <w:color w:val="000000"/>
                <w:kern w:val="21"/>
                <w:sz w:val="24"/>
                <w:szCs w:val="24"/>
              </w:rPr>
            </w:pPr>
          </w:p>
        </w:tc>
        <w:tc>
          <w:tcPr>
            <w:tcW w:w="1903" w:type="dxa"/>
            <w:noWrap w:val="0"/>
            <w:vAlign w:val="center"/>
          </w:tcPr>
          <w:p>
            <w:pPr>
              <w:pStyle w:val="49"/>
              <w:spacing w:beforeLines="0" w:afterLines="0" w:line="240" w:lineRule="auto"/>
              <w:rPr>
                <w:rFonts w:hint="default" w:ascii="Times New Roman" w:hAnsi="Times New Roman" w:cs="Times New Roman"/>
                <w:snapToGrid w:val="0"/>
                <w:color w:val="0000FF"/>
                <w:kern w:val="21"/>
                <w:sz w:val="24"/>
                <w:szCs w:val="24"/>
                <w:lang w:val="en-US" w:eastAsia="zh-CN"/>
              </w:rPr>
            </w:pPr>
            <w:r>
              <w:rPr>
                <w:rFonts w:hint="default"/>
                <w:sz w:val="24"/>
                <w:szCs w:val="24"/>
                <w:lang w:eastAsia="zh-CN"/>
              </w:rPr>
              <w:t>生活垃圾</w:t>
            </w:r>
          </w:p>
        </w:tc>
        <w:tc>
          <w:tcPr>
            <w:tcW w:w="1482" w:type="dxa"/>
            <w:noWrap w:val="0"/>
            <w:vAlign w:val="center"/>
          </w:tcPr>
          <w:p>
            <w:pPr>
              <w:pStyle w:val="49"/>
              <w:spacing w:beforeLines="0" w:afterLines="0" w:line="240" w:lineRule="auto"/>
              <w:rPr>
                <w:rFonts w:hint="default" w:ascii="Times New Roman" w:hAnsi="Times New Roman" w:cs="Times New Roman"/>
                <w:snapToGrid w:val="0"/>
                <w:color w:val="0000FF"/>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0.6</w:t>
            </w:r>
            <w:r>
              <w:rPr>
                <w:rFonts w:hint="eastAsia" w:ascii="Times New Roman" w:hAnsi="Times New Roman" w:cs="Times New Roman"/>
                <w:snapToGrid w:val="0"/>
                <w:color w:val="000000"/>
                <w:kern w:val="21"/>
                <w:sz w:val="24"/>
                <w:szCs w:val="24"/>
                <w:lang w:val="en-US" w:eastAsia="zh-CN"/>
              </w:rPr>
              <w:t>t/a</w:t>
            </w:r>
          </w:p>
        </w:tc>
        <w:tc>
          <w:tcPr>
            <w:tcW w:w="176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0.6</w:t>
            </w:r>
            <w:r>
              <w:rPr>
                <w:rFonts w:hint="eastAsia" w:ascii="Times New Roman" w:hAnsi="Times New Roman" w:cs="Times New Roman"/>
                <w:snapToGrid w:val="0"/>
                <w:color w:val="000000"/>
                <w:kern w:val="21"/>
                <w:sz w:val="24"/>
                <w:szCs w:val="24"/>
                <w:lang w:val="en-US" w:eastAsia="zh-CN"/>
              </w:rPr>
              <w:t>t/a</w:t>
            </w:r>
          </w:p>
        </w:tc>
        <w:tc>
          <w:tcPr>
            <w:tcW w:w="16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r>
              <w:rPr>
                <w:rFonts w:hint="eastAsia" w:ascii="Times New Roman" w:cs="Times New Roman"/>
                <w:snapToGrid w:val="0"/>
                <w:color w:val="000000"/>
                <w:kern w:val="21"/>
                <w:sz w:val="24"/>
                <w:szCs w:val="24"/>
                <w:lang w:val="en-US" w:eastAsia="zh-CN"/>
              </w:rPr>
              <w:t>0.6</w:t>
            </w:r>
            <w:r>
              <w:rPr>
                <w:rFonts w:hint="eastAsia" w:ascii="Times New Roman" w:hAnsi="Times New Roman" w:cs="Times New Roman"/>
                <w:snapToGrid w:val="0"/>
                <w:color w:val="000000"/>
                <w:kern w:val="21"/>
                <w:sz w:val="24"/>
                <w:szCs w:val="24"/>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6" w:type="dxa"/>
            <w:noWrap w:val="0"/>
            <w:vAlign w:val="center"/>
          </w:tcPr>
          <w:p>
            <w:pPr>
              <w:pStyle w:val="49"/>
              <w:spacing w:beforeLines="0" w:afterLines="0" w:line="240" w:lineRule="auto"/>
              <w:rPr>
                <w:rFonts w:hint="eastAsia" w:hAnsi="宋体" w:eastAsia="宋体" w:cs="宋体"/>
                <w:snapToGrid w:val="0"/>
                <w:color w:val="000000"/>
                <w:kern w:val="21"/>
                <w:sz w:val="24"/>
                <w:szCs w:val="24"/>
                <w:lang w:eastAsia="zh-CN"/>
              </w:rPr>
            </w:pPr>
            <w:r>
              <w:rPr>
                <w:rFonts w:hint="eastAsia" w:hAnsi="宋体" w:cs="宋体"/>
                <w:snapToGrid w:val="0"/>
                <w:color w:val="000000"/>
                <w:kern w:val="21"/>
                <w:sz w:val="24"/>
                <w:szCs w:val="24"/>
                <w:lang w:eastAsia="zh-CN"/>
              </w:rPr>
              <w:t>危险废物</w:t>
            </w:r>
          </w:p>
        </w:tc>
        <w:tc>
          <w:tcPr>
            <w:tcW w:w="1903" w:type="dxa"/>
            <w:noWrap w:val="0"/>
            <w:vAlign w:val="center"/>
          </w:tcPr>
          <w:p>
            <w:pPr>
              <w:pStyle w:val="49"/>
              <w:spacing w:beforeLines="0" w:afterLines="0" w:line="240" w:lineRule="auto"/>
              <w:rPr>
                <w:rFonts w:hint="default"/>
                <w:sz w:val="24"/>
                <w:szCs w:val="24"/>
                <w:lang w:eastAsia="zh-CN"/>
              </w:rPr>
            </w:pPr>
            <w:r>
              <w:rPr>
                <w:rFonts w:hint="eastAsia"/>
                <w:sz w:val="24"/>
                <w:szCs w:val="24"/>
                <w:lang w:eastAsia="zh-CN"/>
              </w:rPr>
              <w:t>废活性炭</w:t>
            </w:r>
          </w:p>
        </w:tc>
        <w:tc>
          <w:tcPr>
            <w:tcW w:w="1482"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19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default" w:ascii="Times New Roman" w:hAnsi="Times New Roman" w:cs="Times New Roman"/>
                <w:snapToGrid w:val="0"/>
                <w:color w:val="000000"/>
                <w:kern w:val="21"/>
                <w:sz w:val="24"/>
                <w:szCs w:val="24"/>
                <w:lang w:val="en-US" w:eastAsia="zh-CN"/>
              </w:rPr>
              <w:t>/</w:t>
            </w:r>
          </w:p>
        </w:tc>
        <w:tc>
          <w:tcPr>
            <w:tcW w:w="1608"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470"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0.748t</w:t>
            </w:r>
            <w:r>
              <w:rPr>
                <w:rFonts w:hint="eastAsia" w:ascii="Times New Roman" w:hAnsi="Times New Roman" w:cs="Times New Roman"/>
                <w:snapToGrid w:val="0"/>
                <w:color w:val="000000"/>
                <w:kern w:val="21"/>
                <w:sz w:val="24"/>
                <w:szCs w:val="24"/>
                <w:lang w:val="en-US" w:eastAsia="zh-CN"/>
              </w:rPr>
              <w:t>/a</w:t>
            </w:r>
          </w:p>
        </w:tc>
        <w:tc>
          <w:tcPr>
            <w:tcW w:w="1763" w:type="dxa"/>
            <w:noWrap w:val="0"/>
            <w:vAlign w:val="center"/>
          </w:tcPr>
          <w:p>
            <w:pPr>
              <w:pStyle w:val="49"/>
              <w:spacing w:beforeLines="0" w:afterLines="0" w:line="240" w:lineRule="auto"/>
              <w:rPr>
                <w:rFonts w:hint="default"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0</w:t>
            </w:r>
          </w:p>
        </w:tc>
        <w:tc>
          <w:tcPr>
            <w:tcW w:w="1840"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cs="Times New Roman"/>
                <w:snapToGrid w:val="0"/>
                <w:color w:val="000000"/>
                <w:kern w:val="21"/>
                <w:sz w:val="24"/>
                <w:szCs w:val="24"/>
                <w:lang w:val="en-US" w:eastAsia="zh-CN"/>
              </w:rPr>
              <w:t>0.748t</w:t>
            </w:r>
            <w:r>
              <w:rPr>
                <w:rFonts w:hint="eastAsia" w:ascii="Times New Roman" w:hAnsi="Times New Roman" w:cs="Times New Roman"/>
                <w:snapToGrid w:val="0"/>
                <w:color w:val="000000"/>
                <w:kern w:val="21"/>
                <w:sz w:val="24"/>
                <w:szCs w:val="24"/>
                <w:lang w:val="en-US" w:eastAsia="zh-CN"/>
              </w:rPr>
              <w:t>/a</w:t>
            </w:r>
          </w:p>
        </w:tc>
        <w:tc>
          <w:tcPr>
            <w:tcW w:w="1698" w:type="dxa"/>
            <w:noWrap w:val="0"/>
            <w:vAlign w:val="center"/>
          </w:tcPr>
          <w:p>
            <w:pPr>
              <w:pStyle w:val="49"/>
              <w:spacing w:beforeLines="0" w:afterLines="0" w:line="240" w:lineRule="auto"/>
              <w:rPr>
                <w:rFonts w:hint="eastAsia" w:ascii="Times New Roman" w:hAnsi="Times New Roman" w:cs="Times New Roman"/>
                <w:snapToGrid w:val="0"/>
                <w:color w:val="000000"/>
                <w:kern w:val="21"/>
                <w:sz w:val="24"/>
                <w:szCs w:val="24"/>
                <w:lang w:val="en-US" w:eastAsia="zh-CN"/>
              </w:rPr>
            </w:pPr>
            <w:r>
              <w:rPr>
                <w:rFonts w:hint="eastAsia" w:ascii="Times New Roman" w:hAnsi="Times New Roman" w:cs="Times New Roman"/>
                <w:snapToGrid w:val="0"/>
                <w:color w:val="000000"/>
                <w:kern w:val="21"/>
                <w:sz w:val="24"/>
                <w:szCs w:val="24"/>
                <w:lang w:val="en-US" w:eastAsia="zh-CN"/>
              </w:rPr>
              <w:t>+</w:t>
            </w:r>
            <w:r>
              <w:rPr>
                <w:rFonts w:hint="eastAsia" w:ascii="Times New Roman" w:cs="Times New Roman"/>
                <w:snapToGrid w:val="0"/>
                <w:color w:val="000000"/>
                <w:kern w:val="21"/>
                <w:sz w:val="24"/>
                <w:szCs w:val="24"/>
                <w:lang w:val="en-US" w:eastAsia="zh-CN"/>
              </w:rPr>
              <w:t>0.748t</w:t>
            </w:r>
            <w:r>
              <w:rPr>
                <w:rFonts w:hint="eastAsia" w:ascii="Times New Roman" w:hAnsi="Times New Roman" w:cs="Times New Roman"/>
                <w:snapToGrid w:val="0"/>
                <w:color w:val="000000"/>
                <w:kern w:val="21"/>
                <w:sz w:val="24"/>
                <w:szCs w:val="24"/>
                <w:lang w:val="en-US" w:eastAsia="zh-CN"/>
              </w:rPr>
              <w:t>/a</w:t>
            </w:r>
          </w:p>
        </w:tc>
      </w:tr>
    </w:tbl>
    <w:p>
      <w:pPr>
        <w:pStyle w:val="49"/>
        <w:spacing w:before="192" w:beforeLines="80" w:after="24"/>
        <w:jc w:val="left"/>
        <w:rPr>
          <w:rFonts w:ascii="宋体" w:hAnsi="宋体" w:eastAsia="黑体"/>
        </w:rPr>
        <w:sectPr>
          <w:footerReference r:id="rId4" w:type="default"/>
          <w:pgSz w:w="16838" w:h="11906" w:orient="landscape"/>
          <w:pgMar w:top="1531" w:right="1701"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bidi w:val="0"/>
        <w:rPr>
          <w:rFonts w:hint="default" w:eastAsia="宋体"/>
          <w:lang w:val="en-US" w:eastAsia="zh-CN"/>
        </w:rPr>
        <w:sectPr>
          <w:pgSz w:w="16838" w:h="11906" w:orient="landscape"/>
          <w:pgMar w:top="850" w:right="873" w:bottom="567" w:left="873" w:header="851" w:footer="992" w:gutter="0"/>
          <w:cols w:space="720" w:num="1"/>
          <w:rtlGutter w:val="0"/>
          <w:docGrid w:type="lines" w:linePitch="327" w:charSpace="0"/>
        </w:sectPr>
      </w:pPr>
      <w:r>
        <w:rPr>
          <w:sz w:val="21"/>
        </w:rPr>
        <mc:AlternateContent>
          <mc:Choice Requires="wps">
            <w:drawing>
              <wp:anchor distT="0" distB="0" distL="114300" distR="114300" simplePos="0" relativeHeight="251717632" behindDoc="0" locked="0" layoutInCell="1" allowOverlap="1">
                <wp:simplePos x="0" y="0"/>
                <wp:positionH relativeFrom="column">
                  <wp:posOffset>5286375</wp:posOffset>
                </wp:positionH>
                <wp:positionV relativeFrom="paragraph">
                  <wp:posOffset>2329815</wp:posOffset>
                </wp:positionV>
                <wp:extent cx="75565" cy="84455"/>
                <wp:effectExtent l="7620" t="7620" r="12065" b="22225"/>
                <wp:wrapNone/>
                <wp:docPr id="94" name="矩形 94"/>
                <wp:cNvGraphicFramePr/>
                <a:graphic xmlns:a="http://schemas.openxmlformats.org/drawingml/2006/main">
                  <a:graphicData uri="http://schemas.microsoft.com/office/word/2010/wordprocessingShape">
                    <wps:wsp>
                      <wps:cNvSpPr/>
                      <wps:spPr>
                        <a:xfrm>
                          <a:off x="0" y="0"/>
                          <a:ext cx="75565" cy="84455"/>
                        </a:xfrm>
                        <a:prstGeom prst="rect">
                          <a:avLst/>
                        </a:prstGeom>
                        <a:solidFill>
                          <a:srgbClr val="FF0000"/>
                        </a:solidFill>
                        <a:ln w="1587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16.25pt;margin-top:183.45pt;height:6.65pt;width:5.95pt;z-index:251717632;mso-width-relative:page;mso-height-relative:page;" fillcolor="#FF0000" filled="t" stroked="t" coordsize="21600,21600" o:gfxdata="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nVs53Z&#10;AAAACwEAAA8AAAAAAAAAAQAgAAAAIgAAAGRycy9kb3ducmV2LnhtbFBLAQIUABQAAAAIAIdO4kDR&#10;J0b55gEAAN4DAAAOAAAAAAAAAAEAIAAAACgBAABkcnMvZTJvRG9jLnhtbFBLBQYAAAAABgAGAFkB&#10;AACABQAAAAA=&#10;">
                <v:fill on="t" focussize="0,0"/>
                <v:stroke weight="1.25pt" color="#000000" joinstyle="miter"/>
                <v:imagedata o:title=""/>
                <o:lock v:ext="edit" aspectratio="f"/>
              </v:rect>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3596640</wp:posOffset>
                </wp:positionH>
                <wp:positionV relativeFrom="paragraph">
                  <wp:posOffset>6360795</wp:posOffset>
                </wp:positionV>
                <wp:extent cx="1950085" cy="30988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950085" cy="309880"/>
                        </a:xfrm>
                        <a:prstGeom prst="rect">
                          <a:avLst/>
                        </a:prstGeom>
                        <a:noFill/>
                        <a:ln>
                          <a:noFill/>
                        </a:ln>
                        <a:effectLst/>
                      </wps:spPr>
                      <wps:txbx>
                        <w:txbxContent>
                          <w:p>
                            <w:pPr>
                              <w:jc w:val="both"/>
                              <w:rPr>
                                <w:rFonts w:hint="eastAsia" w:ascii="宋体" w:hAnsi="宋体" w:eastAsia="宋体" w:cs="宋体"/>
                                <w:b/>
                                <w:bCs/>
                                <w:sz w:val="24"/>
                                <w:szCs w:val="24"/>
                                <w:u w:val="none"/>
                                <w:lang w:eastAsia="zh-CN"/>
                              </w:rPr>
                            </w:pPr>
                            <w:r>
                              <w:rPr>
                                <w:rFonts w:hint="eastAsia" w:ascii="宋体" w:hAnsi="宋体" w:eastAsia="宋体" w:cs="宋体"/>
                                <w:b/>
                                <w:bCs/>
                                <w:sz w:val="24"/>
                                <w:szCs w:val="24"/>
                                <w:u w:val="none"/>
                                <w:lang w:eastAsia="zh-CN"/>
                              </w:rPr>
                              <w:t>附图一</w:t>
                            </w:r>
                            <w:r>
                              <w:rPr>
                                <w:rFonts w:hint="eastAsia" w:ascii="宋体" w:hAnsi="宋体" w:eastAsia="宋体" w:cs="宋体"/>
                                <w:b/>
                                <w:bCs/>
                                <w:sz w:val="24"/>
                                <w:szCs w:val="24"/>
                                <w:u w:val="none"/>
                                <w:lang w:val="en-US" w:eastAsia="zh-CN"/>
                              </w:rPr>
                              <w:t xml:space="preserve">  </w:t>
                            </w:r>
                            <w:r>
                              <w:rPr>
                                <w:rFonts w:hint="eastAsia" w:ascii="宋体" w:hAnsi="宋体" w:eastAsia="宋体" w:cs="宋体"/>
                                <w:b/>
                                <w:bCs/>
                                <w:sz w:val="24"/>
                                <w:szCs w:val="24"/>
                                <w:u w:val="none"/>
                                <w:lang w:eastAsia="zh-CN"/>
                              </w:rPr>
                              <w:t>项目地理位置图</w:t>
                            </w:r>
                          </w:p>
                          <w:p>
                            <w:pPr>
                              <w:jc w:val="both"/>
                              <w:rPr>
                                <w:rFonts w:hint="eastAsia" w:ascii="黑体" w:hAnsi="黑体" w:eastAsia="黑体" w:cs="黑体"/>
                                <w:sz w:val="28"/>
                                <w:szCs w:val="28"/>
                              </w:rPr>
                            </w:pPr>
                          </w:p>
                        </w:txbxContent>
                      </wps:txbx>
                      <wps:bodyPr lIns="91439" tIns="45719" rIns="91439" bIns="45719" upright="1"/>
                    </wps:wsp>
                  </a:graphicData>
                </a:graphic>
              </wp:anchor>
            </w:drawing>
          </mc:Choice>
          <mc:Fallback>
            <w:pict>
              <v:shape id="_x0000_s1026" o:spid="_x0000_s1026" o:spt="202" type="#_x0000_t202" style="position:absolute;left:0pt;margin-left:283.2pt;margin-top:500.85pt;height:24.4pt;width:153.55pt;z-index:251716608;mso-width-relative:page;mso-height-relative:page;" filled="f" stroked="f" coordsize="21600,21600" o:gfxdata="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Ck0C&#10;b9oAAAANAQAADwAAAAAAAAABACAAAAAiAAAAZHJzL2Rvd25yZXYueG1sUEsBAhQAFAAAAAgAh07i&#10;QBL6oMWuAQAARAMAAA4AAAAAAAAAAQAgAAAAKQEAAGRycy9lMm9Eb2MueG1sUEsFBgAAAAAGAAYA&#10;WQEAAEkFAAAAAA==&#10;">
                <v:fill on="f" focussize="0,0"/>
                <v:stroke on="f"/>
                <v:imagedata o:title=""/>
                <o:lock v:ext="edit" aspectratio="f"/>
                <v:textbox inset="7.19992125984252pt,3.59992125984252pt,7.19992125984252pt,3.59992125984252pt">
                  <w:txbxContent>
                    <w:p>
                      <w:pPr>
                        <w:jc w:val="both"/>
                        <w:rPr>
                          <w:rFonts w:hint="eastAsia" w:ascii="宋体" w:hAnsi="宋体" w:eastAsia="宋体" w:cs="宋体"/>
                          <w:b/>
                          <w:bCs/>
                          <w:sz w:val="24"/>
                          <w:szCs w:val="24"/>
                          <w:u w:val="none"/>
                          <w:lang w:eastAsia="zh-CN"/>
                        </w:rPr>
                      </w:pPr>
                      <w:r>
                        <w:rPr>
                          <w:rFonts w:hint="eastAsia" w:ascii="宋体" w:hAnsi="宋体" w:eastAsia="宋体" w:cs="宋体"/>
                          <w:b/>
                          <w:bCs/>
                          <w:sz w:val="24"/>
                          <w:szCs w:val="24"/>
                          <w:u w:val="none"/>
                          <w:lang w:eastAsia="zh-CN"/>
                        </w:rPr>
                        <w:t>附图一</w:t>
                      </w:r>
                      <w:r>
                        <w:rPr>
                          <w:rFonts w:hint="eastAsia" w:ascii="宋体" w:hAnsi="宋体" w:eastAsia="宋体" w:cs="宋体"/>
                          <w:b/>
                          <w:bCs/>
                          <w:sz w:val="24"/>
                          <w:szCs w:val="24"/>
                          <w:u w:val="none"/>
                          <w:lang w:val="en-US" w:eastAsia="zh-CN"/>
                        </w:rPr>
                        <w:t xml:space="preserve">  </w:t>
                      </w:r>
                      <w:r>
                        <w:rPr>
                          <w:rFonts w:hint="eastAsia" w:ascii="宋体" w:hAnsi="宋体" w:eastAsia="宋体" w:cs="宋体"/>
                          <w:b/>
                          <w:bCs/>
                          <w:sz w:val="24"/>
                          <w:szCs w:val="24"/>
                          <w:u w:val="none"/>
                          <w:lang w:eastAsia="zh-CN"/>
                        </w:rPr>
                        <w:t>项目地理位置图</w:t>
                      </w:r>
                    </w:p>
                    <w:p>
                      <w:pPr>
                        <w:jc w:val="both"/>
                        <w:rPr>
                          <w:rFonts w:hint="eastAsia" w:ascii="黑体" w:hAnsi="黑体" w:eastAsia="黑体" w:cs="黑体"/>
                          <w:sz w:val="28"/>
                          <w:szCs w:val="28"/>
                        </w:rPr>
                      </w:pPr>
                    </w:p>
                  </w:txbxContent>
                </v:textbox>
              </v:shape>
            </w:pict>
          </mc:Fallback>
        </mc:AlternateContent>
      </w:r>
      <w:r>
        <w:drawing>
          <wp:anchor distT="0" distB="0" distL="114300" distR="114300" simplePos="0" relativeHeight="251719680" behindDoc="1" locked="0" layoutInCell="1" allowOverlap="1">
            <wp:simplePos x="0" y="0"/>
            <wp:positionH relativeFrom="column">
              <wp:posOffset>1441450</wp:posOffset>
            </wp:positionH>
            <wp:positionV relativeFrom="paragraph">
              <wp:posOffset>-1063625</wp:posOffset>
            </wp:positionV>
            <wp:extent cx="6294755" cy="8613140"/>
            <wp:effectExtent l="0" t="0" r="16510" b="10795"/>
            <wp:wrapTight wrapText="bothSides">
              <wp:wrapPolygon>
                <wp:start x="2" y="21600"/>
                <wp:lineTo x="21508" y="21600"/>
                <wp:lineTo x="21508" y="54"/>
                <wp:lineTo x="2" y="54"/>
                <wp:lineTo x="2" y="21600"/>
              </wp:wrapPolygon>
            </wp:wrapTight>
            <wp:docPr id="2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9"/>
                    <pic:cNvPicPr>
                      <a:picLocks noChangeAspect="1"/>
                    </pic:cNvPicPr>
                  </pic:nvPicPr>
                  <pic:blipFill>
                    <a:blip r:embed="rId38"/>
                    <a:stretch>
                      <a:fillRect/>
                    </a:stretch>
                  </pic:blipFill>
                  <pic:spPr>
                    <a:xfrm rot="5400000">
                      <a:off x="0" y="0"/>
                      <a:ext cx="6294755" cy="8613140"/>
                    </a:xfrm>
                    <a:prstGeom prst="rect">
                      <a:avLst/>
                    </a:prstGeom>
                    <a:noFill/>
                    <a:ln>
                      <a:noFill/>
                    </a:ln>
                  </pic:spPr>
                </pic:pic>
              </a:graphicData>
            </a:graphic>
          </wp:anchor>
        </w:drawing>
      </w:r>
      <w:r>
        <w:rPr>
          <w:sz w:val="21"/>
        </w:rPr>
        <mc:AlternateContent>
          <mc:Choice Requires="wps">
            <w:drawing>
              <wp:anchor distT="0" distB="0" distL="114300" distR="114300" simplePos="0" relativeHeight="251718656" behindDoc="0" locked="0" layoutInCell="1" allowOverlap="1">
                <wp:simplePos x="0" y="0"/>
                <wp:positionH relativeFrom="column">
                  <wp:posOffset>5549265</wp:posOffset>
                </wp:positionH>
                <wp:positionV relativeFrom="paragraph">
                  <wp:posOffset>769620</wp:posOffset>
                </wp:positionV>
                <wp:extent cx="1006475" cy="349250"/>
                <wp:effectExtent l="210185" t="8255" r="21590" b="1280795"/>
                <wp:wrapNone/>
                <wp:docPr id="93" name="矩形标注 93"/>
                <wp:cNvGraphicFramePr/>
                <a:graphic xmlns:a="http://schemas.openxmlformats.org/drawingml/2006/main">
                  <a:graphicData uri="http://schemas.microsoft.com/office/word/2010/wordprocessingShape">
                    <wps:wsp>
                      <wps:cNvSpPr/>
                      <wps:spPr>
                        <a:xfrm>
                          <a:off x="0" y="0"/>
                          <a:ext cx="1006475" cy="349250"/>
                        </a:xfrm>
                        <a:prstGeom prst="wedgeRectCallout">
                          <a:avLst>
                            <a:gd name="adj1" fmla="val -68403"/>
                            <a:gd name="adj2" fmla="val 396838"/>
                          </a:avLst>
                        </a:prstGeom>
                        <a:noFill/>
                        <a:ln w="15875" cap="flat" cmpd="sng">
                          <a:solidFill>
                            <a:srgbClr val="000000"/>
                          </a:solidFill>
                          <a:prstDash val="solid"/>
                          <a:miter/>
                          <a:headEnd type="none" w="med" len="med"/>
                          <a:tailEnd type="none" w="med" len="med"/>
                        </a:ln>
                        <a:effectLst/>
                      </wps:spPr>
                      <wps:txbx>
                        <w:txbxContent>
                          <w:p>
                            <w:pPr>
                              <w:rPr>
                                <w:rFonts w:hint="eastAsia" w:eastAsia="宋体"/>
                                <w:highlight w:val="green"/>
                                <w:lang w:eastAsia="zh-CN"/>
                              </w:rPr>
                            </w:pPr>
                            <w:r>
                              <w:rPr>
                                <w:rFonts w:hint="eastAsia"/>
                                <w:highlight w:val="green"/>
                                <w:lang w:eastAsia="zh-CN"/>
                              </w:rPr>
                              <w:t>本项目位置</w:t>
                            </w:r>
                          </w:p>
                        </w:txbxContent>
                      </wps:txbx>
                      <wps:bodyPr upright="1"/>
                    </wps:wsp>
                  </a:graphicData>
                </a:graphic>
              </wp:anchor>
            </w:drawing>
          </mc:Choice>
          <mc:Fallback>
            <w:pict>
              <v:shape id="_x0000_s1026" o:spid="_x0000_s1026" o:spt="61" type="#_x0000_t61" style="position:absolute;left:0pt;margin-left:436.95pt;margin-top:60.6pt;height:27.5pt;width:79.25pt;z-index:251718656;mso-width-relative:page;mso-height-relative:page;" filled="f" stroked="t" coordsize="21600,21600" o:gfxdata="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6VPTBtoAAAAMAQAADwAAAAAAAAABACAAAAAiAAAAZHJzL2Rvd25yZXYueG1sUEsBAhQAFAAAAAgA&#10;h07iQGIgZDIjAgAAKAQAAA4AAAAAAAAAAQAgAAAAKQEAAGRycy9lMm9Eb2MueG1sUEsFBgAAAAAG&#10;AAYAWQEAAL4FAAAAAA==&#10;" adj="-3975,96517">
                <v:fill on="f" focussize="0,0"/>
                <v:stroke weight="1.25pt" color="#000000" joinstyle="miter"/>
                <v:imagedata o:title=""/>
                <o:lock v:ext="edit" aspectratio="f"/>
                <v:textbox>
                  <w:txbxContent>
                    <w:p>
                      <w:pPr>
                        <w:rPr>
                          <w:rFonts w:hint="eastAsia" w:eastAsia="宋体"/>
                          <w:highlight w:val="green"/>
                          <w:lang w:eastAsia="zh-CN"/>
                        </w:rPr>
                      </w:pPr>
                      <w:r>
                        <w:rPr>
                          <w:rFonts w:hint="eastAsia"/>
                          <w:highlight w:val="green"/>
                          <w:lang w:eastAsia="zh-CN"/>
                        </w:rPr>
                        <w:t>本项目位置</w:t>
                      </w:r>
                    </w:p>
                  </w:txbxContent>
                </v:textbox>
              </v:shape>
            </w:pict>
          </mc:Fallback>
        </mc:AlternateContent>
      </w:r>
    </w:p>
    <w:p>
      <w:pPr>
        <w:bidi w:val="0"/>
        <w:sectPr>
          <w:pgSz w:w="16838" w:h="11906" w:orient="landscape"/>
          <w:pgMar w:top="1803" w:right="1440" w:bottom="1803" w:left="1440" w:header="851" w:footer="992" w:gutter="0"/>
          <w:cols w:space="720" w:num="1"/>
          <w:rtlGutter w:val="0"/>
          <w:docGrid w:type="lines" w:linePitch="319" w:charSpace="0"/>
        </w:sectPr>
      </w:pPr>
      <w:r>
        <w:rPr>
          <w:sz w:val="24"/>
        </w:rPr>
        <mc:AlternateContent>
          <mc:Choice Requires="wps">
            <w:drawing>
              <wp:anchor distT="0" distB="0" distL="114300" distR="114300" simplePos="0" relativeHeight="251715584" behindDoc="0" locked="0" layoutInCell="1" allowOverlap="1">
                <wp:simplePos x="0" y="0"/>
                <wp:positionH relativeFrom="column">
                  <wp:posOffset>4383405</wp:posOffset>
                </wp:positionH>
                <wp:positionV relativeFrom="paragraph">
                  <wp:posOffset>1619250</wp:posOffset>
                </wp:positionV>
                <wp:extent cx="608965" cy="3302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08965" cy="330200"/>
                        </a:xfrm>
                        <a:prstGeom prst="rect">
                          <a:avLst/>
                        </a:prstGeom>
                        <a:noFill/>
                        <a:ln w="15875">
                          <a:noFill/>
                        </a:ln>
                        <a:effectLst/>
                      </wps:spPr>
                      <wps:txbx>
                        <w:txbxContent>
                          <w:p>
                            <w:pPr>
                              <w:rPr>
                                <w:rFonts w:hint="default" w:eastAsia="宋体"/>
                                <w:highlight w:val="cyan"/>
                                <w:lang w:val="en-US" w:eastAsia="zh-CN"/>
                              </w:rPr>
                            </w:pPr>
                            <w:r>
                              <w:rPr>
                                <w:rFonts w:hint="eastAsia"/>
                                <w:highlight w:val="cyan"/>
                                <w:lang w:val="en-US" w:eastAsia="zh-CN"/>
                              </w:rPr>
                              <w:t>458m</w:t>
                            </w:r>
                          </w:p>
                        </w:txbxContent>
                      </wps:txbx>
                      <wps:bodyPr upright="1"/>
                    </wps:wsp>
                  </a:graphicData>
                </a:graphic>
              </wp:anchor>
            </w:drawing>
          </mc:Choice>
          <mc:Fallback>
            <w:pict>
              <v:shape id="_x0000_s1026" o:spid="_x0000_s1026" o:spt="202" type="#_x0000_t202" style="position:absolute;left:0pt;margin-left:345.15pt;margin-top:127.5pt;height:26pt;width:47.95pt;z-index:251715584;mso-width-relative:page;mso-height-relative:page;" filled="f" stroked="f" coordsize="21600,21600" o:gfxdata="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KK7bmN0AAAALAQAADwAA&#10;AAAAAAABACAAAAAiAAAAZHJzL2Rvd25yZXYueG1sUEsBAhQAFAAAAAgAh07iQDleahOfAQAAGQMA&#10;AA4AAAAAAAAAAQAgAAAALAEAAGRycy9lMm9Eb2MueG1sUEsFBgAAAAAGAAYAWQEAAD0FAAAAAA==&#10;">
                <v:fill on="f" focussize="0,0"/>
                <v:stroke on="f" weight="1.25pt"/>
                <v:imagedata o:title=""/>
                <o:lock v:ext="edit" aspectratio="f"/>
                <v:textbox>
                  <w:txbxContent>
                    <w:p>
                      <w:pPr>
                        <w:rPr>
                          <w:rFonts w:hint="default" w:eastAsia="宋体"/>
                          <w:highlight w:val="cyan"/>
                          <w:lang w:val="en-US" w:eastAsia="zh-CN"/>
                        </w:rPr>
                      </w:pPr>
                      <w:r>
                        <w:rPr>
                          <w:rFonts w:hint="eastAsia"/>
                          <w:highlight w:val="cyan"/>
                          <w:lang w:val="en-US" w:eastAsia="zh-CN"/>
                        </w:rPr>
                        <w:t>458m</w:t>
                      </w:r>
                    </w:p>
                  </w:txbxContent>
                </v:textbox>
              </v:shape>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3405505</wp:posOffset>
                </wp:positionH>
                <wp:positionV relativeFrom="paragraph">
                  <wp:posOffset>1689100</wp:posOffset>
                </wp:positionV>
                <wp:extent cx="608965" cy="3302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608965" cy="330200"/>
                        </a:xfrm>
                        <a:prstGeom prst="rect">
                          <a:avLst/>
                        </a:prstGeom>
                        <a:noFill/>
                        <a:ln w="15875">
                          <a:noFill/>
                        </a:ln>
                        <a:effectLst/>
                      </wps:spPr>
                      <wps:txbx>
                        <w:txbxContent>
                          <w:p>
                            <w:pPr>
                              <w:rPr>
                                <w:rFonts w:hint="default" w:eastAsia="宋体"/>
                                <w:highlight w:val="cyan"/>
                                <w:lang w:val="en-US" w:eastAsia="zh-CN"/>
                              </w:rPr>
                            </w:pPr>
                            <w:r>
                              <w:rPr>
                                <w:rFonts w:hint="eastAsia"/>
                                <w:highlight w:val="cyan"/>
                                <w:lang w:val="en-US" w:eastAsia="zh-CN"/>
                              </w:rPr>
                              <w:t>450m</w:t>
                            </w:r>
                          </w:p>
                        </w:txbxContent>
                      </wps:txbx>
                      <wps:bodyPr upright="1"/>
                    </wps:wsp>
                  </a:graphicData>
                </a:graphic>
              </wp:anchor>
            </w:drawing>
          </mc:Choice>
          <mc:Fallback>
            <w:pict>
              <v:shape id="_x0000_s1026" o:spid="_x0000_s1026" o:spt="202" type="#_x0000_t202" style="position:absolute;left:0pt;margin-left:268.15pt;margin-top:133pt;height:26pt;width:47.95pt;z-index:251714560;mso-width-relative:page;mso-height-relative:page;" filled="f" stroked="f" coordsize="21600,21600" o:gfxdata="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gA9Br3AAAAAsBAAAPAAAA&#10;AAAAAAEAIAAAACIAAABkcnMvZG93bnJldi54bWxQSwECFAAUAAAACACHTuJAw8OryJ8BAAAZAwAA&#10;DgAAAAAAAAABACAAAAArAQAAZHJzL2Uyb0RvYy54bWxQSwUGAAAAAAYABgBZAQAAPAUAAAAA&#10;">
                <v:fill on="f" focussize="0,0"/>
                <v:stroke on="f" weight="1.25pt"/>
                <v:imagedata o:title=""/>
                <o:lock v:ext="edit" aspectratio="f"/>
                <v:textbox>
                  <w:txbxContent>
                    <w:p>
                      <w:pPr>
                        <w:rPr>
                          <w:rFonts w:hint="default" w:eastAsia="宋体"/>
                          <w:highlight w:val="cyan"/>
                          <w:lang w:val="en-US" w:eastAsia="zh-CN"/>
                        </w:rPr>
                      </w:pPr>
                      <w:r>
                        <w:rPr>
                          <w:rFonts w:hint="eastAsia"/>
                          <w:highlight w:val="cyan"/>
                          <w:lang w:val="en-US" w:eastAsia="zh-CN"/>
                        </w:rPr>
                        <w:t>450m</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3348355</wp:posOffset>
                </wp:positionH>
                <wp:positionV relativeFrom="paragraph">
                  <wp:posOffset>2584450</wp:posOffset>
                </wp:positionV>
                <wp:extent cx="608965" cy="3302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608965" cy="330200"/>
                        </a:xfrm>
                        <a:prstGeom prst="rect">
                          <a:avLst/>
                        </a:prstGeom>
                        <a:noFill/>
                        <a:ln w="15875">
                          <a:noFill/>
                        </a:ln>
                        <a:effectLst/>
                      </wps:spPr>
                      <wps:txbx>
                        <w:txbxContent>
                          <w:p>
                            <w:pPr>
                              <w:rPr>
                                <w:rFonts w:hint="default" w:eastAsia="宋体"/>
                                <w:highlight w:val="cyan"/>
                                <w:lang w:val="en-US" w:eastAsia="zh-CN"/>
                              </w:rPr>
                            </w:pPr>
                            <w:r>
                              <w:rPr>
                                <w:rFonts w:hint="eastAsia"/>
                                <w:highlight w:val="cyan"/>
                                <w:lang w:val="en-US" w:eastAsia="zh-CN"/>
                              </w:rPr>
                              <w:t>455m</w:t>
                            </w:r>
                          </w:p>
                        </w:txbxContent>
                      </wps:txbx>
                      <wps:bodyPr upright="1"/>
                    </wps:wsp>
                  </a:graphicData>
                </a:graphic>
              </wp:anchor>
            </w:drawing>
          </mc:Choice>
          <mc:Fallback>
            <w:pict>
              <v:shape id="_x0000_s1026" o:spid="_x0000_s1026" o:spt="202" type="#_x0000_t202" style="position:absolute;left:0pt;margin-left:263.65pt;margin-top:203.5pt;height:26pt;width:47.95pt;z-index:251713536;mso-width-relative:page;mso-height-relative:page;" filled="f" stroked="f" coordsize="21600,21600" o:gfxdata="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DXyO1t0AAAALAQAADwAA&#10;AAAAAAABACAAAAAiAAAAZHJzL2Rvd25yZXYueG1sUEsBAhQAFAAAAAgAh07iQG/VKlqfAQAAGQMA&#10;AA4AAAAAAAAAAQAgAAAALAEAAGRycy9lMm9Eb2MueG1sUEsFBgAAAAAGAAYAWQEAAD0FAAAAAA==&#10;">
                <v:fill on="f" focussize="0,0"/>
                <v:stroke on="f" weight="1.25pt"/>
                <v:imagedata o:title=""/>
                <o:lock v:ext="edit" aspectratio="f"/>
                <v:textbox>
                  <w:txbxContent>
                    <w:p>
                      <w:pPr>
                        <w:rPr>
                          <w:rFonts w:hint="default" w:eastAsia="宋体"/>
                          <w:highlight w:val="cyan"/>
                          <w:lang w:val="en-US" w:eastAsia="zh-CN"/>
                        </w:rPr>
                      </w:pPr>
                      <w:r>
                        <w:rPr>
                          <w:rFonts w:hint="eastAsia"/>
                          <w:highlight w:val="cyan"/>
                          <w:lang w:val="en-US" w:eastAsia="zh-CN"/>
                        </w:rPr>
                        <w:t>455m</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4069080</wp:posOffset>
                </wp:positionH>
                <wp:positionV relativeFrom="paragraph">
                  <wp:posOffset>3603625</wp:posOffset>
                </wp:positionV>
                <wp:extent cx="1273810" cy="381000"/>
                <wp:effectExtent l="7620" t="220980" r="13970" b="7620"/>
                <wp:wrapNone/>
                <wp:docPr id="31" name="矩形标注 31"/>
                <wp:cNvGraphicFramePr/>
                <a:graphic xmlns:a="http://schemas.openxmlformats.org/drawingml/2006/main">
                  <a:graphicData uri="http://schemas.microsoft.com/office/word/2010/wordprocessingShape">
                    <wps:wsp>
                      <wps:cNvSpPr/>
                      <wps:spPr>
                        <a:xfrm>
                          <a:off x="0" y="0"/>
                          <a:ext cx="1273810" cy="381000"/>
                        </a:xfrm>
                        <a:prstGeom prst="wedgeRectCallout">
                          <a:avLst>
                            <a:gd name="adj1" fmla="val -22384"/>
                            <a:gd name="adj2" fmla="val -104495"/>
                          </a:avLst>
                        </a:prstGeom>
                        <a:noFill/>
                        <a:ln w="15875" cap="flat" cmpd="sng">
                          <a:solidFill>
                            <a:srgbClr val="FF0000"/>
                          </a:solidFill>
                          <a:prstDash val="solid"/>
                          <a:miter/>
                          <a:headEnd type="none" w="med" len="med"/>
                          <a:tailEnd type="none" w="med" len="med"/>
                        </a:ln>
                        <a:effectLst/>
                      </wps:spPr>
                      <wps:txbx>
                        <w:txbxContent>
                          <w:p>
                            <w:pPr>
                              <w:rPr>
                                <w:rFonts w:hint="eastAsia" w:eastAsia="宋体"/>
                                <w:b/>
                                <w:bCs/>
                                <w:sz w:val="24"/>
                                <w:szCs w:val="24"/>
                                <w:highlight w:val="green"/>
                                <w:lang w:eastAsia="zh-CN"/>
                              </w:rPr>
                            </w:pPr>
                            <w:r>
                              <w:rPr>
                                <w:rFonts w:hint="eastAsia"/>
                                <w:b/>
                                <w:bCs/>
                                <w:sz w:val="24"/>
                                <w:szCs w:val="24"/>
                                <w:highlight w:val="green"/>
                                <w:lang w:eastAsia="zh-CN"/>
                              </w:rPr>
                              <w:t>卧龙艾草产业园</w:t>
                            </w:r>
                          </w:p>
                        </w:txbxContent>
                      </wps:txbx>
                      <wps:bodyPr upright="1"/>
                    </wps:wsp>
                  </a:graphicData>
                </a:graphic>
              </wp:anchor>
            </w:drawing>
          </mc:Choice>
          <mc:Fallback>
            <w:pict>
              <v:shape id="_x0000_s1026" o:spid="_x0000_s1026" o:spt="61" type="#_x0000_t61" style="position:absolute;left:0pt;margin-left:320.4pt;margin-top:283.75pt;height:30pt;width:100.3pt;z-index:251684864;mso-width-relative:page;mso-height-relative:page;" filled="f" stroked="t" coordsize="21600,21600" o:gfxdata="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s&#10;TPhy2gAAAAsBAAAPAAAAAAAAAAEAIAAAACIAAABkcnMvZG93bnJldi54bWxQSwECFAAUAAAACACH&#10;TuJAV8y6dyICAAApBAAADgAAAAAAAAABACAAAAApAQAAZHJzL2Uyb0RvYy54bWxQSwUGAAAAAAYA&#10;BgBZAQAAvQUAAAAA&#10;" adj="5965,-11771">
                <v:fill on="f" focussize="0,0"/>
                <v:stroke weight="1.25pt" color="#FF0000" joinstyle="miter"/>
                <v:imagedata o:title=""/>
                <o:lock v:ext="edit" aspectratio="f"/>
                <v:textbox>
                  <w:txbxContent>
                    <w:p>
                      <w:pPr>
                        <w:rPr>
                          <w:rFonts w:hint="eastAsia" w:eastAsia="宋体"/>
                          <w:b/>
                          <w:bCs/>
                          <w:sz w:val="24"/>
                          <w:szCs w:val="24"/>
                          <w:highlight w:val="green"/>
                          <w:lang w:eastAsia="zh-CN"/>
                        </w:rPr>
                      </w:pPr>
                      <w:r>
                        <w:rPr>
                          <w:rFonts w:hint="eastAsia"/>
                          <w:b/>
                          <w:bCs/>
                          <w:sz w:val="24"/>
                          <w:szCs w:val="24"/>
                          <w:highlight w:val="green"/>
                          <w:lang w:eastAsia="zh-CN"/>
                        </w:rPr>
                        <w:t>卧龙艾草产业园</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4222115</wp:posOffset>
                </wp:positionH>
                <wp:positionV relativeFrom="paragraph">
                  <wp:posOffset>1449070</wp:posOffset>
                </wp:positionV>
                <wp:extent cx="511175" cy="805815"/>
                <wp:effectExtent l="0" t="0" r="3175" b="13335"/>
                <wp:wrapNone/>
                <wp:docPr id="32" name="直接连接符 32"/>
                <wp:cNvGraphicFramePr/>
                <a:graphic xmlns:a="http://schemas.openxmlformats.org/drawingml/2006/main">
                  <a:graphicData uri="http://schemas.microsoft.com/office/word/2010/wordprocessingShape">
                    <wps:wsp>
                      <wps:cNvCnPr/>
                      <wps:spPr>
                        <a:xfrm flipV="1">
                          <a:off x="0" y="0"/>
                          <a:ext cx="511175" cy="805815"/>
                        </a:xfrm>
                        <a:prstGeom prst="line">
                          <a:avLst/>
                        </a:prstGeom>
                        <a:ln w="15875" cap="flat" cmpd="sng">
                          <a:solidFill>
                            <a:srgbClr val="FF0000"/>
                          </a:solidFill>
                          <a:prstDash val="solid"/>
                          <a:headEnd type="triangle" w="med" len="med"/>
                          <a:tailEnd type="triangle" w="med" len="med"/>
                        </a:ln>
                        <a:effectLst/>
                      </wps:spPr>
                      <wps:bodyPr upright="1"/>
                    </wps:wsp>
                  </a:graphicData>
                </a:graphic>
              </wp:anchor>
            </w:drawing>
          </mc:Choice>
          <mc:Fallback>
            <w:pict>
              <v:line id="_x0000_s1026" o:spid="_x0000_s1026" o:spt="20" style="position:absolute;left:0pt;flip:y;margin-left:332.45pt;margin-top:114.1pt;height:63.45pt;width:40.25pt;z-index:251700224;mso-width-relative:page;mso-height-relative:page;" filled="f" stroked="t" coordsize="21600,21600" o:gfxdata="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GbYjHdAAAACwEAAA8AAAAAAAAAAQAgAAAAIgAAAGRycy9kb3ducmV2LnhtbFBLAQIU&#10;ABQAAAAIAIdO4kAmM8dK7gEAAL0DAAAOAAAAAAAAAAEAIAAAACwBAABkcnMvZTJvRG9jLnhtbFBL&#10;BQYAAAAABgAGAFkBAACMBQAAAAA=&#10;">
                <v:fill on="f" focussize="0,0"/>
                <v:stroke weight="1.25pt" color="#FF0000" joinstyle="round" startarrow="block" endarrow="block"/>
                <v:imagedata o:title=""/>
                <o:lock v:ext="edit" aspectratio="f"/>
              </v:lin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5085080</wp:posOffset>
                </wp:positionH>
                <wp:positionV relativeFrom="paragraph">
                  <wp:posOffset>929005</wp:posOffset>
                </wp:positionV>
                <wp:extent cx="638175" cy="3143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638175" cy="314325"/>
                        </a:xfrm>
                        <a:prstGeom prst="rect">
                          <a:avLst/>
                        </a:prstGeom>
                        <a:noFill/>
                        <a:ln w="15875">
                          <a:noFill/>
                        </a:ln>
                        <a:effectLst/>
                      </wps:spPr>
                      <wps:txbx>
                        <w:txbxContent>
                          <w:p>
                            <w:pPr>
                              <w:rPr>
                                <w:rFonts w:hint="eastAsia"/>
                                <w:sz w:val="18"/>
                                <w:szCs w:val="18"/>
                                <w:highlight w:val="green"/>
                              </w:rPr>
                            </w:pPr>
                            <w:r>
                              <w:rPr>
                                <w:rFonts w:hint="eastAsia"/>
                                <w:sz w:val="18"/>
                                <w:szCs w:val="18"/>
                                <w:highlight w:val="green"/>
                              </w:rPr>
                              <w:t>田营村</w:t>
                            </w:r>
                          </w:p>
                        </w:txbxContent>
                      </wps:txbx>
                      <wps:bodyPr upright="1"/>
                    </wps:wsp>
                  </a:graphicData>
                </a:graphic>
              </wp:anchor>
            </w:drawing>
          </mc:Choice>
          <mc:Fallback>
            <w:pict>
              <v:shape id="_x0000_s1026" o:spid="_x0000_s1026" o:spt="202" type="#_x0000_t202" style="position:absolute;left:0pt;margin-left:400.4pt;margin-top:73.15pt;height:24.75pt;width:50.25pt;z-index:251707392;mso-width-relative:page;mso-height-relative:page;" filled="f" stroked="f" coordsize="21600,21600" o:gfxdata="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ISv1NHcAAAACwEAAA8AAAAA&#10;AAAAAQAgAAAAIgAAAGRycy9kb3ducmV2LnhtbFBLAQIUABQAAAAIAIdO4kA5o6S3ngEAABkDAAAO&#10;AAAAAAAAAAEAIAAAACsBAABkcnMvZTJvRG9jLnhtbFBLBQYAAAAABgAGAFkBAAA7BQAAAAA=&#10;">
                <v:fill on="f" focussize="0,0"/>
                <v:stroke on="f" weight="1.25pt"/>
                <v:imagedata o:title=""/>
                <o:lock v:ext="edit" aspectratio="f"/>
                <v:textbox>
                  <w:txbxContent>
                    <w:p>
                      <w:pPr>
                        <w:rPr>
                          <w:rFonts w:hint="eastAsia"/>
                          <w:sz w:val="18"/>
                          <w:szCs w:val="18"/>
                          <w:highlight w:val="green"/>
                        </w:rPr>
                      </w:pPr>
                      <w:r>
                        <w:rPr>
                          <w:rFonts w:hint="eastAsia"/>
                          <w:sz w:val="18"/>
                          <w:szCs w:val="18"/>
                          <w:highlight w:val="green"/>
                        </w:rPr>
                        <w:t>田营村</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4686935</wp:posOffset>
                </wp:positionH>
                <wp:positionV relativeFrom="paragraph">
                  <wp:posOffset>573405</wp:posOffset>
                </wp:positionV>
                <wp:extent cx="1268095" cy="1012190"/>
                <wp:effectExtent l="7620" t="7620" r="19685" b="8890"/>
                <wp:wrapNone/>
                <wp:docPr id="35" name="任意多边形 35"/>
                <wp:cNvGraphicFramePr/>
                <a:graphic xmlns:a="http://schemas.openxmlformats.org/drawingml/2006/main">
                  <a:graphicData uri="http://schemas.microsoft.com/office/word/2010/wordprocessingShape">
                    <wps:wsp>
                      <wps:cNvSpPr/>
                      <wps:spPr>
                        <a:xfrm>
                          <a:off x="0" y="0"/>
                          <a:ext cx="1268095" cy="1012190"/>
                        </a:xfrm>
                        <a:custGeom>
                          <a:avLst/>
                          <a:gdLst/>
                          <a:ahLst/>
                          <a:cxnLst/>
                          <a:pathLst>
                            <a:path w="1997" h="1594">
                              <a:moveTo>
                                <a:pt x="731" y="160"/>
                              </a:moveTo>
                              <a:lnTo>
                                <a:pt x="412" y="403"/>
                              </a:lnTo>
                              <a:lnTo>
                                <a:pt x="168" y="685"/>
                              </a:lnTo>
                              <a:lnTo>
                                <a:pt x="37" y="938"/>
                              </a:lnTo>
                              <a:lnTo>
                                <a:pt x="0" y="1153"/>
                              </a:lnTo>
                              <a:lnTo>
                                <a:pt x="65" y="1369"/>
                              </a:lnTo>
                              <a:lnTo>
                                <a:pt x="281" y="1294"/>
                              </a:lnTo>
                              <a:lnTo>
                                <a:pt x="468" y="1444"/>
                              </a:lnTo>
                              <a:lnTo>
                                <a:pt x="722" y="1594"/>
                              </a:lnTo>
                              <a:lnTo>
                                <a:pt x="993" y="1566"/>
                              </a:lnTo>
                              <a:lnTo>
                                <a:pt x="1209" y="1472"/>
                              </a:lnTo>
                              <a:lnTo>
                                <a:pt x="1593" y="1538"/>
                              </a:lnTo>
                              <a:lnTo>
                                <a:pt x="1828" y="1444"/>
                              </a:lnTo>
                              <a:lnTo>
                                <a:pt x="1968" y="1116"/>
                              </a:lnTo>
                              <a:lnTo>
                                <a:pt x="1950" y="657"/>
                              </a:lnTo>
                              <a:lnTo>
                                <a:pt x="1997" y="394"/>
                              </a:lnTo>
                              <a:lnTo>
                                <a:pt x="1762" y="169"/>
                              </a:lnTo>
                              <a:lnTo>
                                <a:pt x="1500" y="38"/>
                              </a:lnTo>
                              <a:lnTo>
                                <a:pt x="1143" y="28"/>
                              </a:lnTo>
                              <a:lnTo>
                                <a:pt x="843" y="10"/>
                              </a:lnTo>
                              <a:lnTo>
                                <a:pt x="703" y="0"/>
                              </a:lnTo>
                              <a:lnTo>
                                <a:pt x="731" y="160"/>
                              </a:lnTo>
                              <a:close/>
                            </a:path>
                          </a:pathLst>
                        </a:custGeom>
                        <a:solidFill>
                          <a:srgbClr val="FFFBF8">
                            <a:alpha val="29999"/>
                          </a:srgbClr>
                        </a:solidFill>
                        <a:ln w="15875" cap="flat" cmpd="sng">
                          <a:solidFill>
                            <a:srgbClr val="00B05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369.05pt;margin-top:45.15pt;height:79.7pt;width:99.85pt;z-index:251706368;mso-width-relative:page;mso-height-relative:page;" fillcolor="#FFFBF8" filled="t" stroked="t" coordsize="1997,1594" o:gfxdata="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CRdPzV2gAAAAoBAAAPAAAA&#10;AAAAAAEAIAAAACIAAABkcnMvZG93bnJldi54bWxQSwECFAAUAAAACACHTuJAHNEPefcCAADXBwAA&#10;DgAAAAAAAAABACAAAAApAQAAZHJzL2Uyb0RvYy54bWxQSwUGAAAAAAYABgBZAQAAkgYAAAAA&#10;" path="m731,160l412,403,168,685,37,938,0,1153,65,1369,281,1294,468,1444,722,1594,993,1566,1209,1472,1593,1538,1828,1444,1968,1116,1950,657,1997,394,1762,169,1500,38,1143,28,843,10,703,0,731,160xe">
                <v:fill on="t" opacity="19660f" focussize="0,0"/>
                <v:stroke weight="1.25pt" color="#00B050" joinstyle="round"/>
                <v:imagedata o:title=""/>
                <o:lock v:ext="edit" aspectratio="f"/>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3441700</wp:posOffset>
                </wp:positionH>
                <wp:positionV relativeFrom="paragraph">
                  <wp:posOffset>2324100</wp:posOffset>
                </wp:positionV>
                <wp:extent cx="615315" cy="841375"/>
                <wp:effectExtent l="0" t="0" r="13335" b="15875"/>
                <wp:wrapNone/>
                <wp:docPr id="73" name="直接连接符 73"/>
                <wp:cNvGraphicFramePr/>
                <a:graphic xmlns:a="http://schemas.openxmlformats.org/drawingml/2006/main">
                  <a:graphicData uri="http://schemas.microsoft.com/office/word/2010/wordprocessingShape">
                    <wps:wsp>
                      <wps:cNvCnPr/>
                      <wps:spPr>
                        <a:xfrm flipH="1">
                          <a:off x="0" y="0"/>
                          <a:ext cx="615315" cy="841375"/>
                        </a:xfrm>
                        <a:prstGeom prst="line">
                          <a:avLst/>
                        </a:prstGeom>
                        <a:ln w="15875" cap="flat" cmpd="sng">
                          <a:solidFill>
                            <a:srgbClr val="FF0000"/>
                          </a:solidFill>
                          <a:prstDash val="solid"/>
                          <a:headEnd type="triangle" w="med" len="med"/>
                          <a:tailEnd type="triangle" w="med" len="med"/>
                        </a:ln>
                        <a:effectLst/>
                      </wps:spPr>
                      <wps:bodyPr upright="1"/>
                    </wps:wsp>
                  </a:graphicData>
                </a:graphic>
              </wp:anchor>
            </w:drawing>
          </mc:Choice>
          <mc:Fallback>
            <w:pict>
              <v:line id="_x0000_s1026" o:spid="_x0000_s1026" o:spt="20" style="position:absolute;left:0pt;flip:x;margin-left:271pt;margin-top:183pt;height:66.25pt;width:48.45pt;z-index:251701248;mso-width-relative:page;mso-height-relative:page;" filled="f" stroked="t" coordsize="21600,21600" o:gfxdata="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PN/wXeAAAACwEAAA8AAAAAAAAAAQAgAAAAIgAAAGRycy9kb3ducmV2LnhtbFBL&#10;AQIUABQAAAAIAIdO4kAg1l7v8AEAAL0DAAAOAAAAAAAAAAEAIAAAAC0BAABkcnMvZTJvRG9jLnht&#10;bFBLBQYAAAAABgAGAFkBAACPBQAAAAA=&#10;">
                <v:fill on="f" focussize="0,0"/>
                <v:stroke weight="1.25pt" color="#FF0000" joinstyle="round" startarrow="block" endarrow="block"/>
                <v:imagedata o:title=""/>
                <o:lock v:ext="edit" aspectratio="f"/>
              </v:line>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2658745</wp:posOffset>
                </wp:positionH>
                <wp:positionV relativeFrom="paragraph">
                  <wp:posOffset>3349625</wp:posOffset>
                </wp:positionV>
                <wp:extent cx="638175" cy="31432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638175" cy="314325"/>
                        </a:xfrm>
                        <a:prstGeom prst="rect">
                          <a:avLst/>
                        </a:prstGeom>
                        <a:noFill/>
                        <a:ln w="15875">
                          <a:noFill/>
                        </a:ln>
                        <a:effectLst/>
                      </wps:spPr>
                      <wps:txbx>
                        <w:txbxContent>
                          <w:p>
                            <w:pPr>
                              <w:rPr>
                                <w:rFonts w:hint="eastAsia"/>
                                <w:sz w:val="18"/>
                                <w:szCs w:val="18"/>
                                <w:highlight w:val="green"/>
                              </w:rPr>
                            </w:pPr>
                            <w:r>
                              <w:rPr>
                                <w:rFonts w:hint="eastAsia"/>
                                <w:sz w:val="18"/>
                                <w:szCs w:val="18"/>
                                <w:highlight w:val="green"/>
                              </w:rPr>
                              <w:t>倪家营</w:t>
                            </w:r>
                          </w:p>
                        </w:txbxContent>
                      </wps:txbx>
                      <wps:bodyPr upright="1"/>
                    </wps:wsp>
                  </a:graphicData>
                </a:graphic>
              </wp:anchor>
            </w:drawing>
          </mc:Choice>
          <mc:Fallback>
            <w:pict>
              <v:shape id="_x0000_s1026" o:spid="_x0000_s1026" o:spt="202" type="#_x0000_t202" style="position:absolute;left:0pt;margin-left:209.35pt;margin-top:263.75pt;height:24.75pt;width:50.25pt;z-index:251705344;mso-width-relative:page;mso-height-relative:page;" filled="f" stroked="f" coordsize="21600,21600" o:gfxdata="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Se7cCt0AAAALAQAADwAA&#10;AAAAAAABACAAAAAiAAAAZHJzL2Rvd25yZXYueG1sUEsBAhQAFAAAAAgAh07iQEeI9kyfAQAAGQMA&#10;AA4AAAAAAAAAAQAgAAAALAEAAGRycy9lMm9Eb2MueG1sUEsFBgAAAAAGAAYAWQEAAD0FAAAAAA==&#10;">
                <v:fill on="f" focussize="0,0"/>
                <v:stroke on="f" weight="1.25pt"/>
                <v:imagedata o:title=""/>
                <o:lock v:ext="edit" aspectratio="f"/>
                <v:textbox>
                  <w:txbxContent>
                    <w:p>
                      <w:pPr>
                        <w:rPr>
                          <w:rFonts w:hint="eastAsia"/>
                          <w:sz w:val="18"/>
                          <w:szCs w:val="18"/>
                          <w:highlight w:val="green"/>
                        </w:rPr>
                      </w:pPr>
                      <w:r>
                        <w:rPr>
                          <w:rFonts w:hint="eastAsia"/>
                          <w:sz w:val="18"/>
                          <w:szCs w:val="18"/>
                          <w:highlight w:val="green"/>
                        </w:rPr>
                        <w:t>倪家营</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2507615</wp:posOffset>
                </wp:positionH>
                <wp:positionV relativeFrom="paragraph">
                  <wp:posOffset>3089275</wp:posOffset>
                </wp:positionV>
                <wp:extent cx="941070" cy="881380"/>
                <wp:effectExtent l="7620" t="7620" r="22860" b="25400"/>
                <wp:wrapNone/>
                <wp:docPr id="52" name="任意多边形 52"/>
                <wp:cNvGraphicFramePr/>
                <a:graphic xmlns:a="http://schemas.openxmlformats.org/drawingml/2006/main">
                  <a:graphicData uri="http://schemas.microsoft.com/office/word/2010/wordprocessingShape">
                    <wps:wsp>
                      <wps:cNvSpPr/>
                      <wps:spPr>
                        <a:xfrm>
                          <a:off x="0" y="0"/>
                          <a:ext cx="941070" cy="881380"/>
                        </a:xfrm>
                        <a:custGeom>
                          <a:avLst/>
                          <a:gdLst/>
                          <a:ahLst/>
                          <a:cxnLst/>
                          <a:pathLst>
                            <a:path w="1482" h="1388">
                              <a:moveTo>
                                <a:pt x="150" y="0"/>
                              </a:moveTo>
                              <a:lnTo>
                                <a:pt x="0" y="666"/>
                              </a:lnTo>
                              <a:lnTo>
                                <a:pt x="57" y="816"/>
                              </a:lnTo>
                              <a:lnTo>
                                <a:pt x="150" y="1313"/>
                              </a:lnTo>
                              <a:lnTo>
                                <a:pt x="1144" y="1388"/>
                              </a:lnTo>
                              <a:lnTo>
                                <a:pt x="1172" y="1116"/>
                              </a:lnTo>
                              <a:lnTo>
                                <a:pt x="1041" y="1060"/>
                              </a:lnTo>
                              <a:lnTo>
                                <a:pt x="1069" y="938"/>
                              </a:lnTo>
                              <a:lnTo>
                                <a:pt x="1313" y="938"/>
                              </a:lnTo>
                              <a:lnTo>
                                <a:pt x="1360" y="760"/>
                              </a:lnTo>
                              <a:lnTo>
                                <a:pt x="1472" y="741"/>
                              </a:lnTo>
                              <a:lnTo>
                                <a:pt x="1482" y="122"/>
                              </a:lnTo>
                              <a:lnTo>
                                <a:pt x="150" y="0"/>
                              </a:lnTo>
                              <a:close/>
                            </a:path>
                          </a:pathLst>
                        </a:custGeom>
                        <a:solidFill>
                          <a:srgbClr val="FFFBF8">
                            <a:alpha val="29999"/>
                          </a:srgbClr>
                        </a:solidFill>
                        <a:ln w="15875" cap="flat" cmpd="sng">
                          <a:solidFill>
                            <a:srgbClr val="00B05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197.45pt;margin-top:243.25pt;height:69.4pt;width:74.1pt;z-index:251704320;mso-width-relative:page;mso-height-relative:page;" fillcolor="#FFFBF8" filled="t" stroked="t" coordsize="1482,1388" o:gfxdata="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nig8g2gAAAAsBAAAPAAAAAAAAAAEAIAAAACIAAABkcnMv&#10;ZG93bnJldi54bWxQSwECFAAUAAAACACHTuJAUSkuAawCAABoBgAADgAAAAAAAAABACAAAAApAQAA&#10;ZHJzL2Uyb0RvYy54bWxQSwUGAAAAAAYABgBZAQAARwYAAAAA&#10;" path="m150,0l0,666,57,816,150,1313,1144,1388,1172,1116,1041,1060,1069,938,1313,938,1360,760,1472,741,1482,122,150,0xe">
                <v:fill on="t" opacity="19660f" focussize="0,0"/>
                <v:stroke weight="1.25pt" color="#00B050" joinstyle="round"/>
                <v:imagedata o:title=""/>
                <o:lock v:ext="edit" aspectratio="f"/>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3206750</wp:posOffset>
                </wp:positionH>
                <wp:positionV relativeFrom="paragraph">
                  <wp:posOffset>1682115</wp:posOffset>
                </wp:positionV>
                <wp:extent cx="842645" cy="547370"/>
                <wp:effectExtent l="0" t="0" r="14605" b="5080"/>
                <wp:wrapNone/>
                <wp:docPr id="47" name="直接连接符 47"/>
                <wp:cNvGraphicFramePr/>
                <a:graphic xmlns:a="http://schemas.openxmlformats.org/drawingml/2006/main">
                  <a:graphicData uri="http://schemas.microsoft.com/office/word/2010/wordprocessingShape">
                    <wps:wsp>
                      <wps:cNvCnPr/>
                      <wps:spPr>
                        <a:xfrm flipH="1" flipV="1">
                          <a:off x="0" y="0"/>
                          <a:ext cx="842645" cy="547370"/>
                        </a:xfrm>
                        <a:prstGeom prst="line">
                          <a:avLst/>
                        </a:prstGeom>
                        <a:ln w="15875" cap="flat" cmpd="sng">
                          <a:solidFill>
                            <a:srgbClr val="FF0000"/>
                          </a:solidFill>
                          <a:prstDash val="solid"/>
                          <a:headEnd type="triangle" w="med" len="med"/>
                          <a:tailEnd type="triangle" w="med" len="med"/>
                        </a:ln>
                        <a:effectLst/>
                      </wps:spPr>
                      <wps:bodyPr upright="1"/>
                    </wps:wsp>
                  </a:graphicData>
                </a:graphic>
              </wp:anchor>
            </w:drawing>
          </mc:Choice>
          <mc:Fallback>
            <w:pict>
              <v:line id="_x0000_s1026" o:spid="_x0000_s1026" o:spt="20" style="position:absolute;left:0pt;flip:x y;margin-left:252.5pt;margin-top:132.45pt;height:43.1pt;width:66.35pt;z-index:251699200;mso-width-relative:page;mso-height-relative:page;" filled="f" stroked="t" coordsize="21600,21600" o:gfxdata="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Vbf8V2AAAAAsBAAAPAAAAAAAAAAEAIAAAACIAAABkcnMvZG93bnJldi54bWxQ&#10;SwECFAAUAAAACACHTuJAE/PNjfcBAADHAwAADgAAAAAAAAABACAAAAAnAQAAZHJzL2Uyb0RvYy54&#10;bWxQSwUGAAAAAAYABgBZAQAAkAUAAAAA&#10;">
                <v:fill on="f" focussize="0,0"/>
                <v:stroke weight="1.25pt" color="#FF0000" joinstyle="round" startarrow="block" endarrow="block"/>
                <v:imagedata o:title=""/>
                <o:lock v:ext="edit" aspectratio="f"/>
              </v:line>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2620645</wp:posOffset>
                </wp:positionH>
                <wp:positionV relativeFrom="paragraph">
                  <wp:posOffset>1189990</wp:posOffset>
                </wp:positionV>
                <wp:extent cx="781050" cy="31432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781050" cy="314325"/>
                        </a:xfrm>
                        <a:prstGeom prst="rect">
                          <a:avLst/>
                        </a:prstGeom>
                        <a:noFill/>
                        <a:ln w="15875">
                          <a:noFill/>
                        </a:ln>
                        <a:effectLst/>
                      </wps:spPr>
                      <wps:txbx>
                        <w:txbxContent>
                          <w:p>
                            <w:pPr>
                              <w:rPr>
                                <w:sz w:val="18"/>
                                <w:szCs w:val="18"/>
                                <w:highlight w:val="green"/>
                              </w:rPr>
                            </w:pPr>
                            <w:r>
                              <w:rPr>
                                <w:rFonts w:hint="eastAsia"/>
                                <w:sz w:val="18"/>
                                <w:szCs w:val="18"/>
                                <w:highlight w:val="green"/>
                              </w:rPr>
                              <w:t>赤肚杨庄</w:t>
                            </w:r>
                          </w:p>
                        </w:txbxContent>
                      </wps:txbx>
                      <wps:bodyPr upright="1"/>
                    </wps:wsp>
                  </a:graphicData>
                </a:graphic>
              </wp:anchor>
            </w:drawing>
          </mc:Choice>
          <mc:Fallback>
            <w:pict>
              <v:shape id="_x0000_s1026" o:spid="_x0000_s1026" o:spt="202" type="#_x0000_t202" style="position:absolute;left:0pt;margin-left:206.35pt;margin-top:93.7pt;height:24.75pt;width:61.5pt;z-index:251703296;mso-width-relative:page;mso-height-relative:page;" filled="f" stroked="f" coordsize="21600,21600" o:gfxdata="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FpPqbvdAAAACwEAAA8A&#10;AAAAAAAAAQAgAAAAIgAAAGRycy9kb3ducmV2LnhtbFBLAQIUABQAAAAIAIdO4kCyPGXXoAEAABkD&#10;AAAOAAAAAAAAAAEAIAAAACwBAABkcnMvZTJvRG9jLnhtbFBLBQYAAAAABgAGAFkBAAA+BQAAAAA=&#10;">
                <v:fill on="f" focussize="0,0"/>
                <v:stroke on="f" weight="1.25pt"/>
                <v:imagedata o:title=""/>
                <o:lock v:ext="edit" aspectratio="f"/>
                <v:textbox>
                  <w:txbxContent>
                    <w:p>
                      <w:pPr>
                        <w:rPr>
                          <w:sz w:val="18"/>
                          <w:szCs w:val="18"/>
                          <w:highlight w:val="green"/>
                        </w:rPr>
                      </w:pPr>
                      <w:r>
                        <w:rPr>
                          <w:rFonts w:hint="eastAsia"/>
                          <w:sz w:val="18"/>
                          <w:szCs w:val="18"/>
                          <w:highlight w:val="green"/>
                        </w:rPr>
                        <w:t>赤肚杨庄</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2650490</wp:posOffset>
                </wp:positionH>
                <wp:positionV relativeFrom="paragraph">
                  <wp:posOffset>1031240</wp:posOffset>
                </wp:positionV>
                <wp:extent cx="607695" cy="678815"/>
                <wp:effectExtent l="7620" t="7620" r="13335" b="18415"/>
                <wp:wrapNone/>
                <wp:docPr id="46" name="任意多边形 46"/>
                <wp:cNvGraphicFramePr/>
                <a:graphic xmlns:a="http://schemas.openxmlformats.org/drawingml/2006/main">
                  <a:graphicData uri="http://schemas.microsoft.com/office/word/2010/wordprocessingShape">
                    <wps:wsp>
                      <wps:cNvSpPr/>
                      <wps:spPr>
                        <a:xfrm>
                          <a:off x="0" y="0"/>
                          <a:ext cx="607695" cy="678815"/>
                        </a:xfrm>
                        <a:custGeom>
                          <a:avLst/>
                          <a:gdLst/>
                          <a:ahLst/>
                          <a:cxnLst/>
                          <a:pathLst>
                            <a:path w="957" h="1069">
                              <a:moveTo>
                                <a:pt x="94" y="0"/>
                              </a:moveTo>
                              <a:lnTo>
                                <a:pt x="0" y="750"/>
                              </a:lnTo>
                              <a:lnTo>
                                <a:pt x="235" y="835"/>
                              </a:lnTo>
                              <a:lnTo>
                                <a:pt x="404" y="872"/>
                              </a:lnTo>
                              <a:lnTo>
                                <a:pt x="507" y="1013"/>
                              </a:lnTo>
                              <a:lnTo>
                                <a:pt x="807" y="1069"/>
                              </a:lnTo>
                              <a:lnTo>
                                <a:pt x="910" y="985"/>
                              </a:lnTo>
                              <a:lnTo>
                                <a:pt x="957" y="216"/>
                              </a:lnTo>
                              <a:lnTo>
                                <a:pt x="854" y="66"/>
                              </a:lnTo>
                              <a:lnTo>
                                <a:pt x="94" y="0"/>
                              </a:lnTo>
                              <a:close/>
                            </a:path>
                          </a:pathLst>
                        </a:custGeom>
                        <a:solidFill>
                          <a:srgbClr val="FFFBF8">
                            <a:alpha val="29999"/>
                          </a:srgbClr>
                        </a:solidFill>
                        <a:ln w="15875" cap="flat" cmpd="sng">
                          <a:solidFill>
                            <a:srgbClr val="00B05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208.7pt;margin-top:81.2pt;height:53.45pt;width:47.85pt;z-index:251702272;mso-width-relative:page;mso-height-relative:page;" fillcolor="#FFFBF8" filled="t" stroked="t" coordsize="957,1069" o:gfxdata="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KP&#10;C3nZAAAACwEAAA8AAAAAAAAAAQAgAAAAIgAAAGRycy9kb3ducmV2LnhtbFBLAQIUABQAAAAIAIdO&#10;4kCXxqmjlAIAAOMFAAAOAAAAAAAAAAEAIAAAACgBAABkcnMvZTJvRG9jLnhtbFBLBQYAAAAABgAG&#10;AFkBAAAuBgAAAAA=&#10;" path="m94,0l0,750,235,835,404,872,507,1013,807,1069,910,985,957,216,854,66,94,0xe">
                <v:fill on="t" opacity="19660f" focussize="0,0"/>
                <v:stroke weight="1.25pt" color="#00B050" joinstyle="round"/>
                <v:imagedata o:title=""/>
                <o:lock v:ext="edit" aspectratio="f"/>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3875405</wp:posOffset>
                </wp:positionH>
                <wp:positionV relativeFrom="paragraph">
                  <wp:posOffset>2532380</wp:posOffset>
                </wp:positionV>
                <wp:extent cx="673100" cy="306705"/>
                <wp:effectExtent l="7620" t="261620" r="24130" b="22225"/>
                <wp:wrapNone/>
                <wp:docPr id="39" name="矩形标注 39"/>
                <wp:cNvGraphicFramePr/>
                <a:graphic xmlns:a="http://schemas.openxmlformats.org/drawingml/2006/main">
                  <a:graphicData uri="http://schemas.microsoft.com/office/word/2010/wordprocessingShape">
                    <wps:wsp>
                      <wps:cNvSpPr/>
                      <wps:spPr>
                        <a:xfrm>
                          <a:off x="0" y="0"/>
                          <a:ext cx="673100" cy="306705"/>
                        </a:xfrm>
                        <a:prstGeom prst="wedgeRectCallout">
                          <a:avLst>
                            <a:gd name="adj1" fmla="val -11227"/>
                            <a:gd name="adj2" fmla="val -127426"/>
                          </a:avLst>
                        </a:prstGeom>
                        <a:noFill/>
                        <a:ln w="15875" cap="flat" cmpd="sng">
                          <a:solidFill>
                            <a:srgbClr val="FFFF00"/>
                          </a:solidFill>
                          <a:prstDash val="solid"/>
                          <a:miter/>
                          <a:headEnd type="none" w="med" len="med"/>
                          <a:tailEnd type="none" w="med" len="med"/>
                        </a:ln>
                        <a:effectLst/>
                      </wps:spPr>
                      <wps:txbx>
                        <w:txbxContent>
                          <w:p>
                            <w:pPr>
                              <w:rPr>
                                <w:rFonts w:hint="eastAsia" w:eastAsia="宋体"/>
                                <w:b/>
                                <w:bCs/>
                                <w:sz w:val="24"/>
                                <w:szCs w:val="24"/>
                                <w:highlight w:val="green"/>
                                <w:lang w:eastAsia="zh-CN"/>
                              </w:rPr>
                            </w:pPr>
                            <w:r>
                              <w:rPr>
                                <w:rFonts w:hint="eastAsia"/>
                                <w:b/>
                                <w:bCs/>
                                <w:sz w:val="24"/>
                                <w:szCs w:val="24"/>
                                <w:highlight w:val="green"/>
                                <w:lang w:val="en-US" w:eastAsia="zh-CN"/>
                              </w:rPr>
                              <w:t>本</w:t>
                            </w:r>
                            <w:r>
                              <w:rPr>
                                <w:rFonts w:hint="eastAsia"/>
                                <w:b/>
                                <w:bCs/>
                                <w:sz w:val="24"/>
                                <w:szCs w:val="24"/>
                                <w:highlight w:val="green"/>
                                <w:lang w:eastAsia="zh-CN"/>
                              </w:rPr>
                              <w:t>项目</w:t>
                            </w:r>
                          </w:p>
                        </w:txbxContent>
                      </wps:txbx>
                      <wps:bodyPr upright="1"/>
                    </wps:wsp>
                  </a:graphicData>
                </a:graphic>
              </wp:anchor>
            </w:drawing>
          </mc:Choice>
          <mc:Fallback>
            <w:pict>
              <v:shape id="_x0000_s1026" o:spid="_x0000_s1026" o:spt="61" type="#_x0000_t61" style="position:absolute;left:0pt;margin-left:305.15pt;margin-top:199.4pt;height:24.15pt;width:53pt;z-index:251682816;mso-width-relative:page;mso-height-relative:page;" filled="f" stroked="t" coordsize="21600,21600" o:gfxdata="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MX2VztsAAAALAQAADwAAAAAAAAABACAAAAAiAAAAZHJzL2Rvd25yZXYueG1sUEsBAhQAFAAAAAgA&#10;h07iQObIdiciAgAAKAQAAA4AAAAAAAAAAQAgAAAAKgEAAGRycy9lMm9Eb2MueG1sUEsFBgAAAAAG&#10;AAYAWQEAAL4FAAAAAA==&#10;" adj="8375,-16724">
                <v:fill on="f" focussize="0,0"/>
                <v:stroke weight="1.25pt" color="#FFFF00" joinstyle="miter"/>
                <v:imagedata o:title=""/>
                <o:lock v:ext="edit" aspectratio="f"/>
                <v:textbox>
                  <w:txbxContent>
                    <w:p>
                      <w:pPr>
                        <w:rPr>
                          <w:rFonts w:hint="eastAsia" w:eastAsia="宋体"/>
                          <w:b/>
                          <w:bCs/>
                          <w:sz w:val="24"/>
                          <w:szCs w:val="24"/>
                          <w:highlight w:val="green"/>
                          <w:lang w:eastAsia="zh-CN"/>
                        </w:rPr>
                      </w:pPr>
                      <w:r>
                        <w:rPr>
                          <w:rFonts w:hint="eastAsia"/>
                          <w:b/>
                          <w:bCs/>
                          <w:sz w:val="24"/>
                          <w:szCs w:val="24"/>
                          <w:highlight w:val="green"/>
                          <w:lang w:val="en-US" w:eastAsia="zh-CN"/>
                        </w:rPr>
                        <w:t>本</w:t>
                      </w:r>
                      <w:r>
                        <w:rPr>
                          <w:rFonts w:hint="eastAsia"/>
                          <w:b/>
                          <w:bCs/>
                          <w:sz w:val="24"/>
                          <w:szCs w:val="24"/>
                          <w:highlight w:val="green"/>
                          <w:lang w:eastAsia="zh-CN"/>
                        </w:rPr>
                        <w:t>项目</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4055745</wp:posOffset>
                </wp:positionH>
                <wp:positionV relativeFrom="paragraph">
                  <wp:posOffset>2241550</wp:posOffset>
                </wp:positionV>
                <wp:extent cx="163830" cy="88900"/>
                <wp:effectExtent l="11430" t="13970" r="15240" b="30480"/>
                <wp:wrapNone/>
                <wp:docPr id="50" name="矩形 50"/>
                <wp:cNvGraphicFramePr/>
                <a:graphic xmlns:a="http://schemas.openxmlformats.org/drawingml/2006/main">
                  <a:graphicData uri="http://schemas.microsoft.com/office/word/2010/wordprocessingShape">
                    <wps:wsp>
                      <wps:cNvSpPr/>
                      <wps:spPr>
                        <a:xfrm rot="240000">
                          <a:off x="0" y="0"/>
                          <a:ext cx="163830" cy="88900"/>
                        </a:xfrm>
                        <a:prstGeom prst="rect">
                          <a:avLst/>
                        </a:prstGeom>
                        <a:noFill/>
                        <a:ln w="15875" cap="flat" cmpd="sng">
                          <a:solidFill>
                            <a:srgbClr val="FFFF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319.35pt;margin-top:176.5pt;height:7pt;width:12.9pt;rotation:262144f;z-index:251685888;mso-width-relative:page;mso-height-relative:page;" filled="f" stroked="t" coordsize="21600,21600" o:gfxdata="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AP6&#10;ExLZAAAACwEAAA8AAAAAAAAAAQAgAAAAIgAAAGRycy9kb3ducmV2LnhtbFBLAQIUABQAAAAIAIdO&#10;4kCp4C9W6QEAAMMDAAAOAAAAAAAAAAEAIAAAACgBAABkcnMvZTJvRG9jLnhtbFBLBQYAAAAABgAG&#10;AFkBAACDBQAAAAA=&#10;">
                <v:fill on="f" focussize="0,0"/>
                <v:stroke weight="1.25pt" color="#FFFF00" joinstyle="miter"/>
                <v:imagedata o:title=""/>
                <o:lock v:ext="edit" aspectratio="f"/>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3761740</wp:posOffset>
                </wp:positionH>
                <wp:positionV relativeFrom="paragraph">
                  <wp:posOffset>1888490</wp:posOffset>
                </wp:positionV>
                <wp:extent cx="1004570" cy="1486535"/>
                <wp:effectExtent l="7620" t="7620" r="16510" b="10795"/>
                <wp:wrapNone/>
                <wp:docPr id="51" name="任意多边形 51"/>
                <wp:cNvGraphicFramePr/>
                <a:graphic xmlns:a="http://schemas.openxmlformats.org/drawingml/2006/main">
                  <a:graphicData uri="http://schemas.microsoft.com/office/word/2010/wordprocessingShape">
                    <wps:wsp>
                      <wps:cNvSpPr/>
                      <wps:spPr>
                        <a:xfrm>
                          <a:off x="0" y="0"/>
                          <a:ext cx="1004570" cy="1486535"/>
                        </a:xfrm>
                        <a:custGeom>
                          <a:avLst/>
                          <a:gdLst/>
                          <a:ahLst/>
                          <a:cxnLst/>
                          <a:pathLst>
                            <a:path w="4850" h="7260">
                              <a:moveTo>
                                <a:pt x="0" y="0"/>
                              </a:moveTo>
                              <a:lnTo>
                                <a:pt x="4710" y="430"/>
                              </a:lnTo>
                              <a:lnTo>
                                <a:pt x="4850" y="3390"/>
                              </a:lnTo>
                              <a:lnTo>
                                <a:pt x="4780" y="4080"/>
                              </a:lnTo>
                              <a:lnTo>
                                <a:pt x="4050" y="4000"/>
                              </a:lnTo>
                              <a:lnTo>
                                <a:pt x="3720" y="7260"/>
                              </a:lnTo>
                              <a:lnTo>
                                <a:pt x="2520" y="7190"/>
                              </a:lnTo>
                              <a:lnTo>
                                <a:pt x="2540" y="7030"/>
                              </a:lnTo>
                              <a:lnTo>
                                <a:pt x="530" y="6810"/>
                              </a:lnTo>
                              <a:lnTo>
                                <a:pt x="0" y="0"/>
                              </a:lnTo>
                              <a:close/>
                            </a:path>
                          </a:pathLst>
                        </a:custGeom>
                        <a:noFill/>
                        <a:ln w="1587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296.2pt;margin-top:148.7pt;height:117.05pt;width:79.1pt;z-index:251683840;mso-width-relative:page;mso-height-relative:page;" filled="f" stroked="t" coordsize="4850,7260" o:gfxdata="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KlVoG2gAAAAsBAAAPAAAAAAAAAAEAIAAAACIA&#10;AABkcnMvZG93bnJldi54bWxQSwECFAAUAAAACACHTuJAoiSFQHkCAACpBQAADgAAAAAAAAABACAA&#10;AAApAQAAZHJzL2Uyb0RvYy54bWxQSwUGAAAAAAYABgBZAQAAFAYAAAAA&#10;" path="m0,0l4710,430,4850,3390,4780,4080,4050,4000,3720,7260,2520,7190,2540,7030,530,6810,0,0xe">
                <v:fill on="f" focussize="0,0"/>
                <v:stroke weight="1.25pt" color="#FF0000" joinstyle="round"/>
                <v:imagedata o:title=""/>
                <o:lock v:ext="edit" aspectratio="f"/>
              </v:shape>
            </w:pict>
          </mc:Fallback>
        </mc:AlternateContent>
      </w:r>
      <w:r>
        <w:rPr>
          <w:rFonts w:hint="default" w:ascii="Times New Roman" w:hAnsi="Times New Roman" w:cs="Times New Roman"/>
          <w:u w:val="none"/>
        </w:rPr>
        <w:drawing>
          <wp:anchor distT="0" distB="0" distL="114300" distR="114300" simplePos="0" relativeHeight="251698176" behindDoc="0" locked="0" layoutInCell="1" allowOverlap="1">
            <wp:simplePos x="0" y="0"/>
            <wp:positionH relativeFrom="column">
              <wp:posOffset>8856345</wp:posOffset>
            </wp:positionH>
            <wp:positionV relativeFrom="paragraph">
              <wp:posOffset>32385</wp:posOffset>
            </wp:positionV>
            <wp:extent cx="464185" cy="610235"/>
            <wp:effectExtent l="0" t="0" r="12065" b="18415"/>
            <wp:wrapNone/>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39"/>
                    <a:stretch>
                      <a:fillRect/>
                    </a:stretch>
                  </pic:blipFill>
                  <pic:spPr>
                    <a:xfrm>
                      <a:off x="0" y="0"/>
                      <a:ext cx="464185" cy="610235"/>
                    </a:xfrm>
                    <a:prstGeom prst="rect">
                      <a:avLst/>
                    </a:prstGeom>
                    <a:noFill/>
                    <a:ln>
                      <a:noFill/>
                    </a:ln>
                  </pic:spPr>
                </pic:pic>
              </a:graphicData>
            </a:graphic>
          </wp:anchor>
        </w:drawing>
      </w:r>
      <w:r>
        <w:rPr>
          <w:sz w:val="24"/>
        </w:rPr>
        <mc:AlternateContent>
          <mc:Choice Requires="wps">
            <w:drawing>
              <wp:anchor distT="0" distB="0" distL="114300" distR="114300" simplePos="0" relativeHeight="251697152" behindDoc="0" locked="0" layoutInCell="1" allowOverlap="1">
                <wp:simplePos x="0" y="0"/>
                <wp:positionH relativeFrom="column">
                  <wp:posOffset>3081655</wp:posOffset>
                </wp:positionH>
                <wp:positionV relativeFrom="paragraph">
                  <wp:posOffset>5088255</wp:posOffset>
                </wp:positionV>
                <wp:extent cx="2695575" cy="304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2695575"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w:t>
                            </w:r>
                            <w:r>
                              <w:rPr>
                                <w:rFonts w:hint="eastAsia" w:ascii="Times New Roman" w:hAnsi="Times New Roman" w:cs="Times New Roman"/>
                                <w:b/>
                                <w:bCs/>
                                <w:sz w:val="24"/>
                                <w:szCs w:val="24"/>
                                <w:lang w:val="en-US" w:eastAsia="zh-CN"/>
                              </w:rPr>
                              <w:t>图二</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项目周边环境敏感点示意图</w:t>
                            </w:r>
                          </w:p>
                        </w:txbxContent>
                      </wps:txbx>
                      <wps:bodyPr upright="1"/>
                    </wps:wsp>
                  </a:graphicData>
                </a:graphic>
              </wp:anchor>
            </w:drawing>
          </mc:Choice>
          <mc:Fallback>
            <w:pict>
              <v:shape id="_x0000_s1026" o:spid="_x0000_s1026" o:spt="202" type="#_x0000_t202" style="position:absolute;left:0pt;margin-left:242.65pt;margin-top:400.65pt;height:24pt;width:212.25pt;z-index:251697152;mso-width-relative:page;mso-height-relative:page;" filled="f" stroked="f" coordsize="21600,21600" o:gfxdata="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Tfpu83AAAAAsBAAAP&#10;AAAAAAAAAAEAIAAAACIAAABkcnMvZG93bnJldi54bWxQSwECFAAUAAAACACHTuJAk3vXbKIBAAAZ&#10;AwAADgAAAAAAAAABACAAAAArAQAAZHJzL2Uyb0RvYy54bWxQSwUGAAAAAAYABgBZAQAAPwU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w:t>
                      </w:r>
                      <w:r>
                        <w:rPr>
                          <w:rFonts w:hint="eastAsia" w:ascii="Times New Roman" w:hAnsi="Times New Roman" w:cs="Times New Roman"/>
                          <w:b/>
                          <w:bCs/>
                          <w:sz w:val="24"/>
                          <w:szCs w:val="24"/>
                          <w:lang w:val="en-US" w:eastAsia="zh-CN"/>
                        </w:rPr>
                        <w:t>图二</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项目周边环境敏感点示意图</w:t>
                      </w:r>
                    </w:p>
                  </w:txbxContent>
                </v:textbox>
              </v:shape>
            </w:pict>
          </mc:Fallback>
        </mc:AlternateContent>
      </w:r>
      <w:r>
        <w:drawing>
          <wp:inline distT="0" distB="0" distL="114300" distR="114300">
            <wp:extent cx="8851265" cy="4979035"/>
            <wp:effectExtent l="0" t="0" r="6985" b="1206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40"/>
                    <a:stretch>
                      <a:fillRect/>
                    </a:stretch>
                  </pic:blipFill>
                  <pic:spPr>
                    <a:xfrm>
                      <a:off x="0" y="0"/>
                      <a:ext cx="8851265" cy="4979035"/>
                    </a:xfrm>
                    <a:prstGeom prst="rect">
                      <a:avLst/>
                    </a:prstGeom>
                    <a:noFill/>
                    <a:ln>
                      <a:noFill/>
                    </a:ln>
                  </pic:spPr>
                </pic:pic>
              </a:graphicData>
            </a:graphic>
          </wp:inline>
        </w:drawing>
      </w:r>
    </w:p>
    <w:p>
      <w:pPr>
        <w:bidi w:val="0"/>
        <w:ind w:firstLine="420" w:firstLineChars="200"/>
        <w:rPr>
          <w:rFonts w:hint="default"/>
          <w:lang w:val="en-US" w:eastAsia="zh-CN"/>
        </w:rPr>
        <w:sectPr>
          <w:pgSz w:w="16838" w:h="11906" w:orient="landscape"/>
          <w:pgMar w:top="1803" w:right="1440" w:bottom="1803" w:left="1440" w:header="851" w:footer="992" w:gutter="0"/>
          <w:cols w:space="720" w:num="1"/>
          <w:rtlGutter w:val="0"/>
          <w:docGrid w:type="lines" w:linePitch="319" w:charSpace="0"/>
        </w:sectPr>
      </w:pPr>
      <w:r>
        <w:rPr>
          <w:rFonts w:hint="default" w:ascii="Times New Roman" w:hAnsi="Times New Roman" w:cs="Times New Roman"/>
          <w:u w:val="none"/>
        </w:rPr>
        <w:drawing>
          <wp:anchor distT="0" distB="0" distL="114300" distR="114300" simplePos="0" relativeHeight="251696128" behindDoc="0" locked="0" layoutInCell="1" allowOverlap="1">
            <wp:simplePos x="0" y="0"/>
            <wp:positionH relativeFrom="column">
              <wp:posOffset>8780145</wp:posOffset>
            </wp:positionH>
            <wp:positionV relativeFrom="paragraph">
              <wp:posOffset>51435</wp:posOffset>
            </wp:positionV>
            <wp:extent cx="464185" cy="610235"/>
            <wp:effectExtent l="0" t="0" r="12065" b="18415"/>
            <wp:wrapNone/>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39"/>
                    <a:stretch>
                      <a:fillRect/>
                    </a:stretch>
                  </pic:blipFill>
                  <pic:spPr>
                    <a:xfrm>
                      <a:off x="0" y="0"/>
                      <a:ext cx="464185" cy="610235"/>
                    </a:xfrm>
                    <a:prstGeom prst="rect">
                      <a:avLst/>
                    </a:prstGeom>
                    <a:noFill/>
                    <a:ln>
                      <a:noFill/>
                    </a:ln>
                  </pic:spPr>
                </pic:pic>
              </a:graphicData>
            </a:graphic>
          </wp:anchor>
        </w:drawing>
      </w:r>
      <w:r>
        <w:rPr>
          <w:sz w:val="24"/>
        </w:rPr>
        <mc:AlternateContent>
          <mc:Choice Requires="wps">
            <w:drawing>
              <wp:anchor distT="0" distB="0" distL="114300" distR="114300" simplePos="0" relativeHeight="251694080" behindDoc="0" locked="0" layoutInCell="1" allowOverlap="1">
                <wp:simplePos x="0" y="0"/>
                <wp:positionH relativeFrom="column">
                  <wp:posOffset>5320665</wp:posOffset>
                </wp:positionH>
                <wp:positionV relativeFrom="paragraph">
                  <wp:posOffset>2592705</wp:posOffset>
                </wp:positionV>
                <wp:extent cx="771525" cy="29591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771525" cy="295910"/>
                        </a:xfrm>
                        <a:prstGeom prst="rect">
                          <a:avLst/>
                        </a:prstGeom>
                        <a:noFill/>
                        <a:ln w="15875">
                          <a:noFill/>
                        </a:ln>
                        <a:effectLst/>
                      </wps:spPr>
                      <wps:txbx>
                        <w:txbxContent>
                          <w:p>
                            <w:pPr>
                              <w:rPr>
                                <w:rFonts w:hint="default" w:eastAsia="宋体"/>
                                <w:sz w:val="18"/>
                                <w:szCs w:val="18"/>
                                <w:lang w:val="en-US" w:eastAsia="zh-CN"/>
                              </w:rPr>
                            </w:pPr>
                            <w:r>
                              <w:rPr>
                                <w:rFonts w:hint="eastAsia"/>
                                <w:sz w:val="18"/>
                                <w:szCs w:val="18"/>
                                <w:lang w:val="en-US" w:eastAsia="zh-CN"/>
                              </w:rPr>
                              <w:t>危废暂存间</w:t>
                            </w:r>
                          </w:p>
                        </w:txbxContent>
                      </wps:txbx>
                      <wps:bodyPr upright="1"/>
                    </wps:wsp>
                  </a:graphicData>
                </a:graphic>
              </wp:anchor>
            </w:drawing>
          </mc:Choice>
          <mc:Fallback>
            <w:pict>
              <v:shape id="_x0000_s1026" o:spid="_x0000_s1026" o:spt="202" type="#_x0000_t202" style="position:absolute;left:0pt;margin-left:418.95pt;margin-top:204.15pt;height:23.3pt;width:60.75pt;z-index:251694080;mso-width-relative:page;mso-height-relative:page;" filled="f" stroked="f" coordsize="21600,21600" o:gfxdata="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OYswTbdAAAACwEAAA8A&#10;AAAAAAAAAQAgAAAAIgAAAGRycy9kb3ducmV2LnhtbFBLAQIUABQAAAAIAIdO4kDm0IO1oAEAABkD&#10;AAAOAAAAAAAAAAEAIAAAACwBAABkcnMvZTJvRG9jLnhtbFBLBQYAAAAABgAGAFkBAAA+BQAAAAA=&#10;">
                <v:fill on="f" focussize="0,0"/>
                <v:stroke on="f" weight="1.25pt"/>
                <v:imagedata o:title=""/>
                <o:lock v:ext="edit" aspectratio="f"/>
                <v:textbox>
                  <w:txbxContent>
                    <w:p>
                      <w:pPr>
                        <w:rPr>
                          <w:rFonts w:hint="default" w:eastAsia="宋体"/>
                          <w:sz w:val="18"/>
                          <w:szCs w:val="18"/>
                          <w:lang w:val="en-US" w:eastAsia="zh-CN"/>
                        </w:rPr>
                      </w:pPr>
                      <w:r>
                        <w:rPr>
                          <w:rFonts w:hint="eastAsia"/>
                          <w:sz w:val="18"/>
                          <w:szCs w:val="18"/>
                          <w:lang w:val="en-US" w:eastAsia="zh-CN"/>
                        </w:rPr>
                        <w:t>危废暂存间</w:t>
                      </w:r>
                    </w:p>
                  </w:txbxContent>
                </v:textbox>
              </v:shap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5930265</wp:posOffset>
                </wp:positionH>
                <wp:positionV relativeFrom="paragraph">
                  <wp:posOffset>2583180</wp:posOffset>
                </wp:positionV>
                <wp:extent cx="781050" cy="29591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781050" cy="295910"/>
                        </a:xfrm>
                        <a:prstGeom prst="rect">
                          <a:avLst/>
                        </a:prstGeom>
                        <a:noFill/>
                        <a:ln w="15875">
                          <a:noFill/>
                        </a:ln>
                        <a:effectLst/>
                      </wps:spPr>
                      <wps:txbx>
                        <w:txbxContent>
                          <w:p>
                            <w:pPr>
                              <w:rPr>
                                <w:rFonts w:hint="default" w:eastAsia="宋体"/>
                                <w:sz w:val="18"/>
                                <w:szCs w:val="18"/>
                                <w:lang w:val="en-US" w:eastAsia="zh-CN"/>
                              </w:rPr>
                            </w:pPr>
                            <w:r>
                              <w:rPr>
                                <w:rFonts w:hint="eastAsia"/>
                                <w:sz w:val="18"/>
                                <w:szCs w:val="18"/>
                                <w:lang w:val="en-US" w:eastAsia="zh-CN"/>
                              </w:rPr>
                              <w:t>固废暂存间</w:t>
                            </w:r>
                          </w:p>
                        </w:txbxContent>
                      </wps:txbx>
                      <wps:bodyPr upright="1"/>
                    </wps:wsp>
                  </a:graphicData>
                </a:graphic>
              </wp:anchor>
            </w:drawing>
          </mc:Choice>
          <mc:Fallback>
            <w:pict>
              <v:shape id="_x0000_s1026" o:spid="_x0000_s1026" o:spt="202" type="#_x0000_t202" style="position:absolute;left:0pt;margin-left:466.95pt;margin-top:203.4pt;height:23.3pt;width:61.5pt;z-index:251693056;mso-width-relative:page;mso-height-relative:page;" filled="f" stroked="f" coordsize="21600,21600" o:gfxdata="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eLvs63AAAAAwBAAAPAAAA&#10;AAAAAAEAIAAAACIAAABkcnMvZG93bnJldi54bWxQSwECFAAUAAAACACHTuJAyTPPQZ8BAAAZAwAA&#10;DgAAAAAAAAABACAAAAArAQAAZHJzL2Uyb0RvYy54bWxQSwUGAAAAAAYABgBZAQAAPAUAAAAA&#10;">
                <v:fill on="f" focussize="0,0"/>
                <v:stroke on="f" weight="1.25pt"/>
                <v:imagedata o:title=""/>
                <o:lock v:ext="edit" aspectratio="f"/>
                <v:textbox>
                  <w:txbxContent>
                    <w:p>
                      <w:pPr>
                        <w:rPr>
                          <w:rFonts w:hint="default" w:eastAsia="宋体"/>
                          <w:sz w:val="18"/>
                          <w:szCs w:val="18"/>
                          <w:lang w:val="en-US" w:eastAsia="zh-CN"/>
                        </w:rPr>
                      </w:pPr>
                      <w:r>
                        <w:rPr>
                          <w:rFonts w:hint="eastAsia"/>
                          <w:sz w:val="18"/>
                          <w:szCs w:val="18"/>
                          <w:lang w:val="en-US" w:eastAsia="zh-CN"/>
                        </w:rPr>
                        <w:t>固废暂存间</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5474335</wp:posOffset>
                </wp:positionH>
                <wp:positionV relativeFrom="paragraph">
                  <wp:posOffset>2506345</wp:posOffset>
                </wp:positionV>
                <wp:extent cx="534035" cy="457200"/>
                <wp:effectExtent l="7620" t="7620" r="10795" b="11430"/>
                <wp:wrapNone/>
                <wp:docPr id="41" name="矩形 41"/>
                <wp:cNvGraphicFramePr/>
                <a:graphic xmlns:a="http://schemas.openxmlformats.org/drawingml/2006/main">
                  <a:graphicData uri="http://schemas.microsoft.com/office/word/2010/wordprocessingShape">
                    <wps:wsp>
                      <wps:cNvSpPr/>
                      <wps:spPr>
                        <a:xfrm>
                          <a:off x="0" y="0"/>
                          <a:ext cx="534035" cy="45720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31.05pt;margin-top:197.35pt;height:36pt;width:42.05pt;z-index:251692032;mso-width-relative:page;mso-height-relative:page;" filled="f" stroked="t" coordsize="21600,21600" o:gfxdata="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D6ltR2QAA&#10;AAsBAAAPAAAAAAAAAAEAIAAAACIAAABkcnMvZG93bnJldi54bWxQSwECFAAUAAAACACHTuJAdqfz&#10;nOQBAAC3AwAADgAAAAAAAAABACAAAAAoAQAAZHJzL2Uyb0RvYy54bWxQSwUGAAAAAAYABgBZAQAA&#10;fgUAAAAA&#10;">
                <v:fill on="f" focussize="0,0"/>
                <v:stroke weight="1.25pt" color="#FF0000" joinstyle="miter"/>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6017260</wp:posOffset>
                </wp:positionH>
                <wp:positionV relativeFrom="paragraph">
                  <wp:posOffset>2506345</wp:posOffset>
                </wp:positionV>
                <wp:extent cx="534035" cy="457200"/>
                <wp:effectExtent l="7620" t="7620" r="10795" b="11430"/>
                <wp:wrapNone/>
                <wp:docPr id="40" name="矩形 40"/>
                <wp:cNvGraphicFramePr/>
                <a:graphic xmlns:a="http://schemas.openxmlformats.org/drawingml/2006/main">
                  <a:graphicData uri="http://schemas.microsoft.com/office/word/2010/wordprocessingShape">
                    <wps:wsp>
                      <wps:cNvSpPr/>
                      <wps:spPr>
                        <a:xfrm>
                          <a:off x="0" y="0"/>
                          <a:ext cx="534035" cy="45720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73.8pt;margin-top:197.35pt;height:36pt;width:42.05pt;z-index:251691008;mso-width-relative:page;mso-height-relative:page;" filled="f" stroked="t" coordsize="21600,21600" o:gfxdata="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YoXPPYAAAA&#10;DAEAAA8AAAAAAAAAAQAgAAAAIgAAAGRycy9kb3ducmV2LnhtbFBLAQIUABQAAAAIAIdO4kC3ivE9&#10;5AEAALcDAAAOAAAAAAAAAAEAIAAAACcBAABkcnMvZTJvRG9jLnhtbFBLBQYAAAAABgAGAFkBAAB9&#10;BQAAAAA=&#10;">
                <v:fill on="f" focussize="0,0"/>
                <v:stroke weight="1.25pt" color="#FF0000" joinstyle="miter"/>
                <v:imagedata o:title=""/>
                <o:lock v:ext="edit" aspectratio="f"/>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4607560</wp:posOffset>
                </wp:positionH>
                <wp:positionV relativeFrom="paragraph">
                  <wp:posOffset>2129155</wp:posOffset>
                </wp:positionV>
                <wp:extent cx="4587240" cy="629920"/>
                <wp:effectExtent l="7620" t="7620" r="10160" b="15240"/>
                <wp:wrapNone/>
                <wp:docPr id="38" name="矩形 38"/>
                <wp:cNvGraphicFramePr/>
                <a:graphic xmlns:a="http://schemas.openxmlformats.org/drawingml/2006/main">
                  <a:graphicData uri="http://schemas.microsoft.com/office/word/2010/wordprocessingShape">
                    <wps:wsp>
                      <wps:cNvSpPr/>
                      <wps:spPr>
                        <a:xfrm rot="5400000">
                          <a:off x="0" y="0"/>
                          <a:ext cx="4587240" cy="62992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362.8pt;margin-top:167.65pt;height:49.6pt;width:361.2pt;rotation:5898240f;z-index:251669504;mso-width-relative:page;mso-height-relative:page;" filled="f" stroked="t" coordsize="21600,21600" o:gfxdata="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w2xnnbAAAADAEAAA8AAAAAAAAAAQAgAAAAIgAAAGRycy9kb3ducmV2LnhtbFBLAQIUABQA&#10;AAAIAIdO4kDKFIUJ7QEAAMYDAAAOAAAAAAAAAAEAIAAAACoBAABkcnMvZTJvRG9jLnhtbFBLBQYA&#10;AAAABgAGAFkBAACJBQAAAAA=&#10;">
                <v:fill on="f" focussize="0,0"/>
                <v:stroke weight="1.25pt" color="#FF0000" joinstyle="miter"/>
                <v:imagedata o:title=""/>
                <o:lock v:ext="edit" aspectratio="f"/>
              </v:rect>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6636385</wp:posOffset>
                </wp:positionH>
                <wp:positionV relativeFrom="paragraph">
                  <wp:posOffset>4755515</wp:posOffset>
                </wp:positionV>
                <wp:extent cx="676275" cy="39052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676275" cy="390525"/>
                        </a:xfrm>
                        <a:prstGeom prst="rect">
                          <a:avLst/>
                        </a:prstGeom>
                        <a:noFill/>
                        <a:ln w="15875">
                          <a:noFill/>
                        </a:ln>
                        <a:effectLst/>
                      </wps:spPr>
                      <wps:txbx>
                        <w:txbxContent>
                          <w:p>
                            <w:pPr>
                              <w:rPr>
                                <w:rFonts w:hint="eastAsia" w:eastAsia="宋体"/>
                                <w:sz w:val="28"/>
                                <w:szCs w:val="28"/>
                                <w:lang w:eastAsia="zh-CN"/>
                              </w:rPr>
                            </w:pPr>
                            <w:r>
                              <w:rPr>
                                <w:rFonts w:hint="eastAsia"/>
                                <w:sz w:val="28"/>
                                <w:szCs w:val="28"/>
                                <w:lang w:eastAsia="zh-CN"/>
                              </w:rPr>
                              <w:t>大门</w:t>
                            </w:r>
                          </w:p>
                        </w:txbxContent>
                      </wps:txbx>
                      <wps:bodyPr upright="1"/>
                    </wps:wsp>
                  </a:graphicData>
                </a:graphic>
              </wp:anchor>
            </w:drawing>
          </mc:Choice>
          <mc:Fallback>
            <w:pict>
              <v:shape id="_x0000_s1026" o:spid="_x0000_s1026" o:spt="202" type="#_x0000_t202" style="position:absolute;left:0pt;margin-left:522.55pt;margin-top:374.45pt;height:30.75pt;width:53.25pt;z-index:251673600;mso-width-relative:page;mso-height-relative:page;" filled="f" stroked="f" coordsize="21600,21600" o:gfxdata="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0NUg1d0AAAANAQAADwAA&#10;AAAAAAABACAAAAAiAAAAZHJzL2Rvd25yZXYueG1sUEsBAhQAFAAAAAgAh07iQBIB036fAQAAGQMA&#10;AA4AAAAAAAAAAQAgAAAALAEAAGRycy9lMm9Eb2MueG1sUEsFBgAAAAAGAAYAWQEAAD0FAAAAAA==&#10;">
                <v:fill on="f" focussize="0,0"/>
                <v:stroke on="f" weight="1.25pt"/>
                <v:imagedata o:title=""/>
                <o:lock v:ext="edit" aspectratio="f"/>
                <v:textbox>
                  <w:txbxContent>
                    <w:p>
                      <w:pPr>
                        <w:rPr>
                          <w:rFonts w:hint="eastAsia" w:eastAsia="宋体"/>
                          <w:sz w:val="28"/>
                          <w:szCs w:val="28"/>
                          <w:lang w:eastAsia="zh-CN"/>
                        </w:rPr>
                      </w:pPr>
                      <w:r>
                        <w:rPr>
                          <w:rFonts w:hint="eastAsia"/>
                          <w:sz w:val="28"/>
                          <w:szCs w:val="28"/>
                          <w:lang w:eastAsia="zh-CN"/>
                        </w:rPr>
                        <w:t>大门</w:t>
                      </w: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6643370</wp:posOffset>
                </wp:positionH>
                <wp:positionV relativeFrom="paragraph">
                  <wp:posOffset>4776470</wp:posOffset>
                </wp:positionV>
                <wp:extent cx="533400" cy="87630"/>
                <wp:effectExtent l="7620" t="7620" r="11430" b="19050"/>
                <wp:wrapNone/>
                <wp:docPr id="85" name="矩形 85"/>
                <wp:cNvGraphicFramePr/>
                <a:graphic xmlns:a="http://schemas.openxmlformats.org/drawingml/2006/main">
                  <a:graphicData uri="http://schemas.microsoft.com/office/word/2010/wordprocessingShape">
                    <wps:wsp>
                      <wps:cNvSpPr/>
                      <wps:spPr>
                        <a:xfrm>
                          <a:off x="0" y="0"/>
                          <a:ext cx="533400" cy="87630"/>
                        </a:xfrm>
                        <a:prstGeom prst="rect">
                          <a:avLst/>
                        </a:prstGeom>
                        <a:noFill/>
                        <a:ln w="1587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23.1pt;margin-top:376.1pt;height:6.9pt;width:42pt;z-index:251666432;mso-width-relative:page;mso-height-relative:page;" filled="f" stroked="t" coordsize="21600,21600" o:gfxdata="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SZ+4raAAAA&#10;DQEAAA8AAAAAAAAAAQAgAAAAIgAAAGRycy9kb3ducmV2LnhtbFBLAQIUABQAAAAIAIdO4kBkSmxH&#10;4gEAALYDAAAOAAAAAAAAAAEAIAAAACkBAABkcnMvZTJvRG9jLnhtbFBLBQYAAAAABgAGAFkBAAB9&#10;BQAAAAA=&#10;">
                <v:fill on="f" focussize="0,0"/>
                <v:stroke weight="1.25pt" color="#000000" joinstyle="miter"/>
                <v:imagedata o:title=""/>
                <o:lock v:ext="edit" aspectratio="f"/>
              </v:rect>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132080</wp:posOffset>
                </wp:positionH>
                <wp:positionV relativeFrom="paragraph">
                  <wp:posOffset>2478405</wp:posOffset>
                </wp:positionV>
                <wp:extent cx="6444615" cy="2277110"/>
                <wp:effectExtent l="7620" t="8255" r="24765" b="19685"/>
                <wp:wrapNone/>
                <wp:docPr id="86" name="矩形 86"/>
                <wp:cNvGraphicFramePr/>
                <a:graphic xmlns:a="http://schemas.openxmlformats.org/drawingml/2006/main">
                  <a:graphicData uri="http://schemas.microsoft.com/office/word/2010/wordprocessingShape">
                    <wps:wsp>
                      <wps:cNvSpPr/>
                      <wps:spPr>
                        <a:xfrm>
                          <a:off x="0" y="0"/>
                          <a:ext cx="6444615" cy="227711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0.4pt;margin-top:195.15pt;height:179.3pt;width:507.45pt;z-index:251688960;mso-width-relative:page;mso-height-relative:page;" filled="f" stroked="t" coordsize="21600,21600" o:gfxdata="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8CQuPNgA&#10;AAALAQAADwAAAAAAAAABACAAAAAiAAAAZHJzL2Rvd25yZXYueG1sUEsBAhQAFAAAAAgAh07iQOi1&#10;u97mAQAAuQMAAA4AAAAAAAAAAQAgAAAAJwEAAGRycy9lMm9Eb2MueG1sUEsFBgAAAAAGAAYAWQEA&#10;AH8FAAAAAA==&#10;">
                <v:fill on="f" focussize="0,0"/>
                <v:stroke weight="1.25pt" color="#FF0000" joinstyle="miter"/>
                <v:imagedata o:title=""/>
                <o:lock v:ext="edit" aspectratio="f"/>
              </v:rect>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7242810</wp:posOffset>
                </wp:positionH>
                <wp:positionV relativeFrom="paragraph">
                  <wp:posOffset>139700</wp:posOffset>
                </wp:positionV>
                <wp:extent cx="1388745" cy="2346325"/>
                <wp:effectExtent l="7620" t="7620" r="13335" b="8255"/>
                <wp:wrapNone/>
                <wp:docPr id="84" name="矩形 84"/>
                <wp:cNvGraphicFramePr/>
                <a:graphic xmlns:a="http://schemas.openxmlformats.org/drawingml/2006/main">
                  <a:graphicData uri="http://schemas.microsoft.com/office/word/2010/wordprocessingShape">
                    <wps:wsp>
                      <wps:cNvSpPr/>
                      <wps:spPr>
                        <a:xfrm>
                          <a:off x="0" y="0"/>
                          <a:ext cx="1388745" cy="2346325"/>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70.3pt;margin-top:11pt;height:184.75pt;width:109.35pt;z-index:251668480;mso-width-relative:page;mso-height-relative:page;" filled="f" stroked="t" coordsize="21600,21600" o:gfxdata="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3MHK4tkA&#10;AAAMAQAADwAAAAAAAAABACAAAAAiAAAAZHJzL2Rvd25yZXYueG1sUEsBAhQAFAAAAAgAh07iQAGY&#10;C1jlAQAAuQMAAA4AAAAAAAAAAQAgAAAAKAEAAGRycy9lMm9Eb2MueG1sUEsFBgAAAAAGAAYAWQEA&#10;AH8FAAAAAA==&#10;">
                <v:fill on="f" focussize="0,0"/>
                <v:stroke weight="1.25pt" color="#FF0000" joinstyle="miter"/>
                <v:imagedata o:title=""/>
                <o:lock v:ext="edit" aspectratio="f"/>
              </v:rect>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2869565</wp:posOffset>
                </wp:positionH>
                <wp:positionV relativeFrom="paragraph">
                  <wp:posOffset>3403600</wp:posOffset>
                </wp:positionV>
                <wp:extent cx="866140" cy="39052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866140" cy="390525"/>
                        </a:xfrm>
                        <a:prstGeom prst="rect">
                          <a:avLst/>
                        </a:prstGeom>
                        <a:noFill/>
                        <a:ln w="15875">
                          <a:noFill/>
                        </a:ln>
                        <a:effectLst/>
                      </wps:spPr>
                      <wps:txbx>
                        <w:txbxContent>
                          <w:p>
                            <w:pPr>
                              <w:rPr>
                                <w:rFonts w:hint="default" w:eastAsia="宋体"/>
                                <w:sz w:val="28"/>
                                <w:szCs w:val="28"/>
                                <w:lang w:val="en-US" w:eastAsia="zh-CN"/>
                              </w:rPr>
                            </w:pPr>
                            <w:r>
                              <w:rPr>
                                <w:rFonts w:hint="eastAsia"/>
                                <w:sz w:val="28"/>
                                <w:szCs w:val="28"/>
                                <w:lang w:val="en-US" w:eastAsia="zh-CN"/>
                              </w:rPr>
                              <w:t>成品区</w:t>
                            </w:r>
                          </w:p>
                        </w:txbxContent>
                      </wps:txbx>
                      <wps:bodyPr upright="1"/>
                    </wps:wsp>
                  </a:graphicData>
                </a:graphic>
              </wp:anchor>
            </w:drawing>
          </mc:Choice>
          <mc:Fallback>
            <w:pict>
              <v:shape id="_x0000_s1026" o:spid="_x0000_s1026" o:spt="202" type="#_x0000_t202" style="position:absolute;left:0pt;margin-left:225.95pt;margin-top:268pt;height:30.75pt;width:68.2pt;z-index:251689984;mso-width-relative:page;mso-height-relative:page;" filled="f" stroked="f" coordsize="21600,21600" o:gfxdata="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FmFhXd0AAAALAQAADwAA&#10;AAAAAAABACAAAAAiAAAAZHJzL2Rvd25yZXYueG1sUEsBAhQAFAAAAAgAh07iQP4/KmmfAQAAGQMA&#10;AA4AAAAAAAAAAQAgAAAALAEAAGRycy9lMm9Eb2MueG1sUEsFBgAAAAAGAAYAWQEAAD0FAAAAAA==&#10;">
                <v:fill on="f" focussize="0,0"/>
                <v:stroke on="f" weight="1.25pt"/>
                <v:imagedata o:title=""/>
                <o:lock v:ext="edit" aspectratio="f"/>
                <v:textbox>
                  <w:txbxContent>
                    <w:p>
                      <w:pPr>
                        <w:rPr>
                          <w:rFonts w:hint="default" w:eastAsia="宋体"/>
                          <w:sz w:val="28"/>
                          <w:szCs w:val="28"/>
                          <w:lang w:val="en-US" w:eastAsia="zh-CN"/>
                        </w:rPr>
                      </w:pPr>
                      <w:r>
                        <w:rPr>
                          <w:rFonts w:hint="eastAsia"/>
                          <w:sz w:val="28"/>
                          <w:szCs w:val="28"/>
                          <w:lang w:val="en-US" w:eastAsia="zh-CN"/>
                        </w:rPr>
                        <w:t>成品区</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2777490</wp:posOffset>
                </wp:positionH>
                <wp:positionV relativeFrom="paragraph">
                  <wp:posOffset>1002030</wp:posOffset>
                </wp:positionV>
                <wp:extent cx="866140" cy="39052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866140" cy="390525"/>
                        </a:xfrm>
                        <a:prstGeom prst="rect">
                          <a:avLst/>
                        </a:prstGeom>
                        <a:noFill/>
                        <a:ln w="15875">
                          <a:noFill/>
                        </a:ln>
                        <a:effectLst/>
                      </wps:spPr>
                      <wps:txbx>
                        <w:txbxContent>
                          <w:p>
                            <w:pPr>
                              <w:rPr>
                                <w:rFonts w:hint="default" w:eastAsia="宋体"/>
                                <w:sz w:val="28"/>
                                <w:szCs w:val="28"/>
                                <w:lang w:val="en-US" w:eastAsia="zh-CN"/>
                              </w:rPr>
                            </w:pPr>
                            <w:r>
                              <w:rPr>
                                <w:rFonts w:hint="eastAsia"/>
                                <w:sz w:val="28"/>
                                <w:szCs w:val="28"/>
                                <w:lang w:val="en-US" w:eastAsia="zh-CN"/>
                              </w:rPr>
                              <w:t>生产区</w:t>
                            </w:r>
                          </w:p>
                        </w:txbxContent>
                      </wps:txbx>
                      <wps:bodyPr upright="1"/>
                    </wps:wsp>
                  </a:graphicData>
                </a:graphic>
              </wp:anchor>
            </w:drawing>
          </mc:Choice>
          <mc:Fallback>
            <w:pict>
              <v:shape id="_x0000_s1026" o:spid="_x0000_s1026" o:spt="202" type="#_x0000_t202" style="position:absolute;left:0pt;margin-left:218.7pt;margin-top:78.9pt;height:30.75pt;width:68.2pt;z-index:251671552;mso-width-relative:page;mso-height-relative:page;" filled="f" stroked="f" coordsize="21600,21600" o:gfxdata="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y7iE390AAAALAQAADwAA&#10;AAAAAAABACAAAAAiAAAAZHJzL2Rvd25yZXYueG1sUEsBAhQAFAAAAAgAh07iQASi67KfAQAAGQMA&#10;AA4AAAAAAAAAAQAgAAAALAEAAGRycy9lMm9Eb2MueG1sUEsFBgAAAAAGAAYAWQEAAD0FAAAAAA==&#10;">
                <v:fill on="f" focussize="0,0"/>
                <v:stroke on="f" weight="1.25pt"/>
                <v:imagedata o:title=""/>
                <o:lock v:ext="edit" aspectratio="f"/>
                <v:textbox>
                  <w:txbxContent>
                    <w:p>
                      <w:pPr>
                        <w:rPr>
                          <w:rFonts w:hint="default" w:eastAsia="宋体"/>
                          <w:sz w:val="28"/>
                          <w:szCs w:val="28"/>
                          <w:lang w:val="en-US" w:eastAsia="zh-CN"/>
                        </w:rPr>
                      </w:pPr>
                      <w:r>
                        <w:rPr>
                          <w:rFonts w:hint="eastAsia"/>
                          <w:sz w:val="28"/>
                          <w:szCs w:val="28"/>
                          <w:lang w:val="en-US" w:eastAsia="zh-CN"/>
                        </w:rPr>
                        <w:t>生产区</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7240905</wp:posOffset>
                </wp:positionH>
                <wp:positionV relativeFrom="paragraph">
                  <wp:posOffset>2489200</wp:posOffset>
                </wp:positionV>
                <wp:extent cx="1394460" cy="2278380"/>
                <wp:effectExtent l="7620" t="7620" r="26670" b="19050"/>
                <wp:wrapNone/>
                <wp:docPr id="79" name="矩形 79"/>
                <wp:cNvGraphicFramePr/>
                <a:graphic xmlns:a="http://schemas.openxmlformats.org/drawingml/2006/main">
                  <a:graphicData uri="http://schemas.microsoft.com/office/word/2010/wordprocessingShape">
                    <wps:wsp>
                      <wps:cNvSpPr/>
                      <wps:spPr>
                        <a:xfrm>
                          <a:off x="0" y="0"/>
                          <a:ext cx="1394460" cy="227838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70.15pt;margin-top:196pt;height:179.4pt;width:109.8pt;z-index:251686912;mso-width-relative:page;mso-height-relative:page;" filled="f" stroked="t" coordsize="21600,21600" o:gfxdata="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0tby&#10;+NkAAAANAQAADwAAAAAAAAABACAAAAAiAAAAZHJzL2Rvd25yZXYueG1sUEsBAhQAFAAAAAgAh07i&#10;QDZg+GToAQAAuQMAAA4AAAAAAAAAAQAgAAAAKAEAAGRycy9lMm9Eb2MueG1sUEsFBgAAAAAGAAYA&#10;WQEAAIIFAAAAAA==&#10;">
                <v:fill on="f" focussize="0,0"/>
                <v:stroke weight="1.25pt" color="#FF0000" joinstyle="miter"/>
                <v:imagedata o:title=""/>
                <o:lock v:ext="edit" aspectratio="f"/>
              </v:rect>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137160</wp:posOffset>
                </wp:positionH>
                <wp:positionV relativeFrom="paragraph">
                  <wp:posOffset>148590</wp:posOffset>
                </wp:positionV>
                <wp:extent cx="6441440" cy="2313940"/>
                <wp:effectExtent l="7620" t="7620" r="8890" b="21590"/>
                <wp:wrapNone/>
                <wp:docPr id="78" name="矩形 78"/>
                <wp:cNvGraphicFramePr/>
                <a:graphic xmlns:a="http://schemas.openxmlformats.org/drawingml/2006/main">
                  <a:graphicData uri="http://schemas.microsoft.com/office/word/2010/wordprocessingShape">
                    <wps:wsp>
                      <wps:cNvSpPr/>
                      <wps:spPr>
                        <a:xfrm>
                          <a:off x="0" y="0"/>
                          <a:ext cx="6441440" cy="2313940"/>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0.8pt;margin-top:11.7pt;height:182.2pt;width:507.2pt;z-index:251667456;mso-width-relative:page;mso-height-relative:page;" filled="f" stroked="t" coordsize="21600,21600" o:gfxdata="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Xc7LrXAAAA&#10;CgEAAA8AAAAAAAAAAQAgAAAAIgAAAGRycy9kb3ducmV2LnhtbFBLAQIUABQAAAAIAIdO4kBOwhdO&#10;5QEAALkDAAAOAAAAAAAAAAEAIAAAACYBAABkcnMvZTJvRG9jLnhtbFBLBQYAAAAABgAGAFkBAAB9&#10;BQAAAAA=&#10;">
                <v:fill on="f" focussize="0,0"/>
                <v:stroke weight="1.25pt" color="#FF0000" joinstyle="miter"/>
                <v:imagedata o:title=""/>
                <o:lock v:ext="edit" aspectratio="f"/>
              </v:rect>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7552055</wp:posOffset>
                </wp:positionH>
                <wp:positionV relativeFrom="paragraph">
                  <wp:posOffset>1072515</wp:posOffset>
                </wp:positionV>
                <wp:extent cx="747395" cy="39052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747395" cy="390525"/>
                        </a:xfrm>
                        <a:prstGeom prst="rect">
                          <a:avLst/>
                        </a:prstGeom>
                        <a:noFill/>
                        <a:ln w="15875">
                          <a:noFill/>
                        </a:ln>
                        <a:effectLst/>
                      </wps:spPr>
                      <wps:txbx>
                        <w:txbxContent>
                          <w:p>
                            <w:pPr>
                              <w:rPr>
                                <w:rFonts w:hint="default" w:eastAsia="宋体"/>
                                <w:sz w:val="28"/>
                                <w:szCs w:val="28"/>
                                <w:lang w:val="en-US" w:eastAsia="zh-CN"/>
                              </w:rPr>
                            </w:pPr>
                            <w:r>
                              <w:rPr>
                                <w:rFonts w:hint="eastAsia"/>
                                <w:sz w:val="28"/>
                                <w:szCs w:val="28"/>
                                <w:lang w:val="en-US" w:eastAsia="zh-CN"/>
                              </w:rPr>
                              <w:t>配料间</w:t>
                            </w:r>
                          </w:p>
                        </w:txbxContent>
                      </wps:txbx>
                      <wps:bodyPr upright="1"/>
                    </wps:wsp>
                  </a:graphicData>
                </a:graphic>
              </wp:anchor>
            </w:drawing>
          </mc:Choice>
          <mc:Fallback>
            <w:pict>
              <v:shape id="_x0000_s1026" o:spid="_x0000_s1026" o:spt="202" type="#_x0000_t202" style="position:absolute;left:0pt;margin-left:594.65pt;margin-top:84.45pt;height:30.75pt;width:58.85pt;z-index:251672576;mso-width-relative:page;mso-height-relative:page;" filled="f" stroked="f" coordsize="21600,21600" o:gfxdata="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EX8h3dAAAADQEAAA8A&#10;AAAAAAAAAQAgAAAAIgAAAGRycy9kb3ducmV2LnhtbFBLAQIUABQAAAAIAIdO4kB719GboAEAABkD&#10;AAAOAAAAAAAAAAEAIAAAACwBAABkcnMvZTJvRG9jLnhtbFBLBQYAAAAABgAGAFkBAAA+BQAAAAA=&#10;">
                <v:fill on="f" focussize="0,0"/>
                <v:stroke on="f" weight="1.25pt"/>
                <v:imagedata o:title=""/>
                <o:lock v:ext="edit" aspectratio="f"/>
                <v:textbox>
                  <w:txbxContent>
                    <w:p>
                      <w:pPr>
                        <w:rPr>
                          <w:rFonts w:hint="default" w:eastAsia="宋体"/>
                          <w:sz w:val="28"/>
                          <w:szCs w:val="28"/>
                          <w:lang w:val="en-US" w:eastAsia="zh-CN"/>
                        </w:rPr>
                      </w:pPr>
                      <w:r>
                        <w:rPr>
                          <w:rFonts w:hint="eastAsia"/>
                          <w:sz w:val="28"/>
                          <w:szCs w:val="28"/>
                          <w:lang w:val="en-US" w:eastAsia="zh-CN"/>
                        </w:rPr>
                        <w:t>配料间</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7357745</wp:posOffset>
                </wp:positionH>
                <wp:positionV relativeFrom="paragraph">
                  <wp:posOffset>3284220</wp:posOffset>
                </wp:positionV>
                <wp:extent cx="1365885" cy="43688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365885" cy="436880"/>
                        </a:xfrm>
                        <a:prstGeom prst="rect">
                          <a:avLst/>
                        </a:prstGeom>
                        <a:noFill/>
                        <a:ln w="15875">
                          <a:noFill/>
                        </a:ln>
                        <a:effectLst/>
                      </wps:spPr>
                      <wps:txbx>
                        <w:txbxContent>
                          <w:p>
                            <w:pPr>
                              <w:rPr>
                                <w:rFonts w:hint="default" w:eastAsia="宋体"/>
                                <w:sz w:val="28"/>
                                <w:szCs w:val="28"/>
                                <w:lang w:val="en-US" w:eastAsia="zh-CN"/>
                              </w:rPr>
                            </w:pPr>
                            <w:r>
                              <w:rPr>
                                <w:rFonts w:hint="eastAsia"/>
                                <w:sz w:val="28"/>
                                <w:szCs w:val="28"/>
                                <w:lang w:val="en-US" w:eastAsia="zh-CN"/>
                              </w:rPr>
                              <w:t>办公休息区</w:t>
                            </w:r>
                          </w:p>
                        </w:txbxContent>
                      </wps:txbx>
                      <wps:bodyPr upright="1"/>
                    </wps:wsp>
                  </a:graphicData>
                </a:graphic>
              </wp:anchor>
            </w:drawing>
          </mc:Choice>
          <mc:Fallback>
            <w:pict>
              <v:shape id="_x0000_s1026" o:spid="_x0000_s1026" o:spt="202" type="#_x0000_t202" style="position:absolute;left:0pt;margin-left:579.35pt;margin-top:258.6pt;height:34.4pt;width:107.55pt;z-index:251687936;mso-width-relative:page;mso-height-relative:page;" filled="f" stroked="f" coordsize="21600,21600" o:gfxdata="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cBhqk3QAAAA0BAAAP&#10;AAAAAAAAAAEAIAAAACIAAABkcnMvZG93bnJldi54bWxQSwECFAAUAAAACACHTuJAtS2AcaEBAAAa&#10;AwAADgAAAAAAAAABACAAAAAsAQAAZHJzL2Uyb0RvYy54bWxQSwUGAAAAAAYABgBZAQAAPwUAAAAA&#10;">
                <v:fill on="f" focussize="0,0"/>
                <v:stroke on="f" weight="1.25pt"/>
                <v:imagedata o:title=""/>
                <o:lock v:ext="edit" aspectratio="f"/>
                <v:textbox>
                  <w:txbxContent>
                    <w:p>
                      <w:pPr>
                        <w:rPr>
                          <w:rFonts w:hint="default" w:eastAsia="宋体"/>
                          <w:sz w:val="28"/>
                          <w:szCs w:val="28"/>
                          <w:lang w:val="en-US" w:eastAsia="zh-CN"/>
                        </w:rPr>
                      </w:pPr>
                      <w:r>
                        <w:rPr>
                          <w:rFonts w:hint="eastAsia"/>
                          <w:sz w:val="28"/>
                          <w:szCs w:val="28"/>
                          <w:lang w:val="en-US" w:eastAsia="zh-CN"/>
                        </w:rPr>
                        <w:t>办公休息区</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6692265</wp:posOffset>
                </wp:positionH>
                <wp:positionV relativeFrom="paragraph">
                  <wp:posOffset>1891665</wp:posOffset>
                </wp:positionV>
                <wp:extent cx="438150" cy="89090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438150" cy="890905"/>
                        </a:xfrm>
                        <a:prstGeom prst="rect">
                          <a:avLst/>
                        </a:prstGeom>
                        <a:noFill/>
                        <a:ln w="15875">
                          <a:noFill/>
                        </a:ln>
                        <a:effectLst/>
                      </wps:spPr>
                      <wps:txbx>
                        <w:txbxContent>
                          <w:p>
                            <w:pPr>
                              <w:rPr>
                                <w:rFonts w:hint="eastAsia"/>
                                <w:sz w:val="28"/>
                                <w:szCs w:val="28"/>
                                <w:lang w:val="en-US" w:eastAsia="zh-CN"/>
                              </w:rPr>
                            </w:pPr>
                            <w:r>
                              <w:rPr>
                                <w:rFonts w:hint="eastAsia"/>
                                <w:sz w:val="28"/>
                                <w:szCs w:val="28"/>
                                <w:lang w:val="en-US" w:eastAsia="zh-CN"/>
                              </w:rPr>
                              <w:t>通</w:t>
                            </w:r>
                          </w:p>
                          <w:p>
                            <w:pPr>
                              <w:rPr>
                                <w:rFonts w:hint="default" w:eastAsia="宋体"/>
                                <w:sz w:val="28"/>
                                <w:szCs w:val="28"/>
                                <w:lang w:val="en-US" w:eastAsia="zh-CN"/>
                              </w:rPr>
                            </w:pPr>
                            <w:r>
                              <w:rPr>
                                <w:rFonts w:hint="eastAsia"/>
                                <w:sz w:val="28"/>
                                <w:szCs w:val="28"/>
                                <w:lang w:val="en-US" w:eastAsia="zh-CN"/>
                              </w:rPr>
                              <w:t>道</w:t>
                            </w:r>
                          </w:p>
                        </w:txbxContent>
                      </wps:txbx>
                      <wps:bodyPr upright="1"/>
                    </wps:wsp>
                  </a:graphicData>
                </a:graphic>
              </wp:anchor>
            </w:drawing>
          </mc:Choice>
          <mc:Fallback>
            <w:pict>
              <v:shape id="_x0000_s1026" o:spid="_x0000_s1026" o:spt="202" type="#_x0000_t202" style="position:absolute;left:0pt;margin-left:526.95pt;margin-top:148.95pt;height:70.15pt;width:34.5pt;z-index:251670528;mso-width-relative:page;mso-height-relative:page;" filled="f" stroked="f" coordsize="21600,21600" o:gfxdata="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x5pT4t0AAAANAQAADwAA&#10;AAAAAAABACAAAAAiAAAAZHJzL2Rvd25yZXYueG1sUEsBAhQAFAAAAAgAh07iQAD8RmqfAQAAGQMA&#10;AA4AAAAAAAAAAQAgAAAALAEAAGRycy9lMm9Eb2MueG1sUEsFBgAAAAAGAAYAWQEAAD0FAAAAAA==&#10;">
                <v:fill on="f" focussize="0,0"/>
                <v:stroke on="f" weight="1.25pt"/>
                <v:imagedata o:title=""/>
                <o:lock v:ext="edit" aspectratio="f"/>
                <v:textbox>
                  <w:txbxContent>
                    <w:p>
                      <w:pPr>
                        <w:rPr>
                          <w:rFonts w:hint="eastAsia"/>
                          <w:sz w:val="28"/>
                          <w:szCs w:val="28"/>
                          <w:lang w:val="en-US" w:eastAsia="zh-CN"/>
                        </w:rPr>
                      </w:pPr>
                      <w:r>
                        <w:rPr>
                          <w:rFonts w:hint="eastAsia"/>
                          <w:sz w:val="28"/>
                          <w:szCs w:val="28"/>
                          <w:lang w:val="en-US" w:eastAsia="zh-CN"/>
                        </w:rPr>
                        <w:t>通</w:t>
                      </w:r>
                    </w:p>
                    <w:p>
                      <w:pPr>
                        <w:rPr>
                          <w:rFonts w:hint="default" w:eastAsia="宋体"/>
                          <w:sz w:val="28"/>
                          <w:szCs w:val="28"/>
                          <w:lang w:val="en-US" w:eastAsia="zh-CN"/>
                        </w:rPr>
                      </w:pPr>
                      <w:r>
                        <w:rPr>
                          <w:rFonts w:hint="eastAsia"/>
                          <w:sz w:val="28"/>
                          <w:szCs w:val="28"/>
                          <w:lang w:val="en-US" w:eastAsia="zh-CN"/>
                        </w:rPr>
                        <w:t>道</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2641600</wp:posOffset>
                </wp:positionH>
                <wp:positionV relativeFrom="paragraph">
                  <wp:posOffset>5106670</wp:posOffset>
                </wp:positionV>
                <wp:extent cx="3128010" cy="304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3128010"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三</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1</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项目E5楼一层平面布置图</w:t>
                            </w:r>
                          </w:p>
                        </w:txbxContent>
                      </wps:txbx>
                      <wps:bodyPr upright="1"/>
                    </wps:wsp>
                  </a:graphicData>
                </a:graphic>
              </wp:anchor>
            </w:drawing>
          </mc:Choice>
          <mc:Fallback>
            <w:pict>
              <v:shape id="_x0000_s1026" o:spid="_x0000_s1026" o:spt="202" type="#_x0000_t202" style="position:absolute;left:0pt;margin-left:208pt;margin-top:402.1pt;height:24pt;width:246.3pt;z-index:251665408;mso-width-relative:page;mso-height-relative:page;" filled="f" stroked="f" coordsize="21600,21600" o:gfxdata="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85PL2wAAAAsBAAAPAAAA&#10;AAAAAAEAIAAAACIAAABkcnMvZG93bnJldi54bWxQSwECFAAUAAAACACHTuJAno0K5KABAAAZAwAA&#10;DgAAAAAAAAABACAAAAAqAQAAZHJzL2Uyb0RvYy54bWxQSwUGAAAAAAYABgBZAQAAPAU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三</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1</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项目E5楼一层平面布置图</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6827520</wp:posOffset>
                </wp:positionH>
                <wp:positionV relativeFrom="paragraph">
                  <wp:posOffset>5064125</wp:posOffset>
                </wp:positionV>
                <wp:extent cx="1743075" cy="42862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743075" cy="428625"/>
                        </a:xfrm>
                        <a:prstGeom prst="rect">
                          <a:avLst/>
                        </a:prstGeom>
                        <a:noFill/>
                        <a:ln w="15875">
                          <a:noFill/>
                        </a:ln>
                        <a:effectLst/>
                      </wps:spPr>
                      <wps:txb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wps:txbx>
                      <wps:bodyPr upright="1"/>
                    </wps:wsp>
                  </a:graphicData>
                </a:graphic>
              </wp:anchor>
            </w:drawing>
          </mc:Choice>
          <mc:Fallback>
            <w:pict>
              <v:shape id="_x0000_s1026" o:spid="_x0000_s1026" o:spt="202" type="#_x0000_t202" style="position:absolute;left:0pt;margin-left:537.6pt;margin-top:398.75pt;height:33.75pt;width:137.25pt;z-index:251677696;mso-width-relative:page;mso-height-relative:page;" filled="f" stroked="f" coordsize="21600,21600" o:gfxdata="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lNqDw94AAAANAQAADwAA&#10;AAAAAAABACAAAAAiAAAAZHJzL2Rvd25yZXYueG1sUEsBAhQAFAAAAAgAh07iQHJrSjCeAQAAGgMA&#10;AA4AAAAAAAAAAQAgAAAALQEAAGRycy9lMm9Eb2MueG1sUEsFBgAAAAAGAAYAWQEAAD0FAAAAAA==&#10;">
                <v:fill on="f" focussize="0,0"/>
                <v:stroke on="f" weight="1.25pt"/>
                <v:imagedata o:title=""/>
                <o:lock v:ext="edit" aspectratio="f"/>
                <v:textbo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120015</wp:posOffset>
                </wp:positionH>
                <wp:positionV relativeFrom="paragraph">
                  <wp:posOffset>135890</wp:posOffset>
                </wp:positionV>
                <wp:extent cx="8526145" cy="4632325"/>
                <wp:effectExtent l="7620" t="8255" r="19685" b="7620"/>
                <wp:wrapNone/>
                <wp:docPr id="89" name="矩形 89"/>
                <wp:cNvGraphicFramePr/>
                <a:graphic xmlns:a="http://schemas.openxmlformats.org/drawingml/2006/main">
                  <a:graphicData uri="http://schemas.microsoft.com/office/word/2010/wordprocessingShape">
                    <wps:wsp>
                      <wps:cNvSpPr/>
                      <wps:spPr>
                        <a:xfrm>
                          <a:off x="0" y="0"/>
                          <a:ext cx="8526145" cy="4632325"/>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9.45pt;margin-top:10.7pt;height:364.75pt;width:671.35pt;z-index:251664384;mso-width-relative:page;mso-height-relative:page;" filled="f" stroked="t" coordsize="21600,21600" o:gfxdata="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7cG/LWAAAA&#10;CgEAAA8AAAAAAAAAAQAgAAAAIgAAAGRycy9kb3ducmV2LnhtbFBLAQIUABQAAAAIAIdO4kAjo7+F&#10;5gEAALkDAAAOAAAAAAAAAAEAIAAAACUBAABkcnMvZTJvRG9jLnhtbFBLBQYAAAAABgAGAFkBAAB9&#10;BQAAAAA=&#10;">
                <v:fill on="f" focussize="0,0"/>
                <v:stroke weight="1.25pt" color="#FF0000" joinstyle="miter"/>
                <v:imagedata o:title=""/>
                <o:lock v:ext="edit" aspectratio="f"/>
              </v:rect>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1147445</wp:posOffset>
                </wp:positionH>
                <wp:positionV relativeFrom="paragraph">
                  <wp:posOffset>7947025</wp:posOffset>
                </wp:positionV>
                <wp:extent cx="2199640" cy="36512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2199640" cy="365125"/>
                        </a:xfrm>
                        <a:prstGeom prst="rect">
                          <a:avLst/>
                        </a:prstGeom>
                        <a:noFill/>
                        <a:ln>
                          <a:noFill/>
                        </a:ln>
                        <a:effectLst/>
                      </wps:spPr>
                      <wps:txbx>
                        <w:txbxContent>
                          <w:p>
                            <w:pPr>
                              <w:jc w:val="both"/>
                              <w:rPr>
                                <w:rFonts w:hint="eastAsia" w:ascii="黑体" w:hAnsi="黑体" w:eastAsia="黑体" w:cs="黑体"/>
                                <w:b w:val="0"/>
                                <w:bCs w:val="0"/>
                                <w:sz w:val="28"/>
                                <w:szCs w:val="28"/>
                                <w:lang w:eastAsia="zh-CN"/>
                              </w:rPr>
                            </w:pPr>
                            <w:r>
                              <w:rPr>
                                <w:rFonts w:hint="eastAsia" w:ascii="黑体" w:hAnsi="黑体" w:eastAsia="黑体" w:cs="黑体"/>
                                <w:b w:val="0"/>
                                <w:bCs w:val="0"/>
                                <w:sz w:val="28"/>
                                <w:szCs w:val="28"/>
                                <w:lang w:eastAsia="zh-CN"/>
                              </w:rPr>
                              <w:t>附图二</w:t>
                            </w:r>
                            <w:r>
                              <w:rPr>
                                <w:rFonts w:hint="eastAsia" w:ascii="黑体" w:hAnsi="黑体" w:eastAsia="黑体" w:cs="黑体"/>
                                <w:b w:val="0"/>
                                <w:bCs w:val="0"/>
                                <w:sz w:val="28"/>
                                <w:szCs w:val="28"/>
                                <w:lang w:val="en-US" w:eastAsia="zh-CN"/>
                              </w:rPr>
                              <w:t xml:space="preserve">  </w:t>
                            </w:r>
                            <w:r>
                              <w:rPr>
                                <w:rFonts w:hint="eastAsia" w:ascii="黑体" w:hAnsi="黑体" w:eastAsia="黑体" w:cs="黑体"/>
                                <w:b w:val="0"/>
                                <w:bCs w:val="0"/>
                                <w:sz w:val="28"/>
                                <w:szCs w:val="28"/>
                                <w:lang w:eastAsia="zh-CN"/>
                              </w:rPr>
                              <w:t>项目平面布置图</w:t>
                            </w:r>
                          </w:p>
                          <w:p>
                            <w:pPr>
                              <w:jc w:val="both"/>
                              <w:rPr>
                                <w:rFonts w:hint="eastAsia" w:ascii="黑体" w:hAnsi="黑体" w:eastAsia="黑体" w:cs="黑体"/>
                                <w:sz w:val="28"/>
                                <w:szCs w:val="28"/>
                              </w:rPr>
                            </w:pPr>
                          </w:p>
                        </w:txbxContent>
                      </wps:txbx>
                      <wps:bodyPr lIns="91439" tIns="45719" rIns="91439" bIns="45719" upright="1"/>
                    </wps:wsp>
                  </a:graphicData>
                </a:graphic>
              </wp:anchor>
            </w:drawing>
          </mc:Choice>
          <mc:Fallback>
            <w:pict>
              <v:shape id="_x0000_s1026" o:spid="_x0000_s1026" o:spt="202" type="#_x0000_t202" style="position:absolute;left:0pt;margin-left:90.35pt;margin-top:625.75pt;height:28.75pt;width:173.2pt;z-index:251661312;mso-width-relative:page;mso-height-relative:page;" filled="f" stroked="f" coordsize="21600,21600" o:gfxdata="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cZ&#10;VkDaAAAADQEAAA8AAAAAAAAAAQAgAAAAIgAAAGRycy9kb3ducmV2LnhtbFBLAQIUABQAAAAIAIdO&#10;4kC/VUbVrwEAAEQDAAAOAAAAAAAAAAEAIAAAACkBAABkcnMvZTJvRG9jLnhtbFBLBQYAAAAABgAG&#10;AFkBAABKBQAAAAA=&#10;">
                <v:fill on="f" focussize="0,0"/>
                <v:stroke on="f"/>
                <v:imagedata o:title=""/>
                <o:lock v:ext="edit" aspectratio="f"/>
                <v:textbox inset="7.19992125984252pt,3.59992125984252pt,7.19992125984252pt,3.59992125984252pt">
                  <w:txbxContent>
                    <w:p>
                      <w:pPr>
                        <w:jc w:val="both"/>
                        <w:rPr>
                          <w:rFonts w:hint="eastAsia" w:ascii="黑体" w:hAnsi="黑体" w:eastAsia="黑体" w:cs="黑体"/>
                          <w:b w:val="0"/>
                          <w:bCs w:val="0"/>
                          <w:sz w:val="28"/>
                          <w:szCs w:val="28"/>
                          <w:lang w:eastAsia="zh-CN"/>
                        </w:rPr>
                      </w:pPr>
                      <w:r>
                        <w:rPr>
                          <w:rFonts w:hint="eastAsia" w:ascii="黑体" w:hAnsi="黑体" w:eastAsia="黑体" w:cs="黑体"/>
                          <w:b w:val="0"/>
                          <w:bCs w:val="0"/>
                          <w:sz w:val="28"/>
                          <w:szCs w:val="28"/>
                          <w:lang w:eastAsia="zh-CN"/>
                        </w:rPr>
                        <w:t>附图二</w:t>
                      </w:r>
                      <w:r>
                        <w:rPr>
                          <w:rFonts w:hint="eastAsia" w:ascii="黑体" w:hAnsi="黑体" w:eastAsia="黑体" w:cs="黑体"/>
                          <w:b w:val="0"/>
                          <w:bCs w:val="0"/>
                          <w:sz w:val="28"/>
                          <w:szCs w:val="28"/>
                          <w:lang w:val="en-US" w:eastAsia="zh-CN"/>
                        </w:rPr>
                        <w:t xml:space="preserve">  </w:t>
                      </w:r>
                      <w:r>
                        <w:rPr>
                          <w:rFonts w:hint="eastAsia" w:ascii="黑体" w:hAnsi="黑体" w:eastAsia="黑体" w:cs="黑体"/>
                          <w:b w:val="0"/>
                          <w:bCs w:val="0"/>
                          <w:sz w:val="28"/>
                          <w:szCs w:val="28"/>
                          <w:lang w:eastAsia="zh-CN"/>
                        </w:rPr>
                        <w:t>项目平面布置图</w:t>
                      </w:r>
                    </w:p>
                    <w:p>
                      <w:pPr>
                        <w:jc w:val="both"/>
                        <w:rPr>
                          <w:rFonts w:hint="eastAsia" w:ascii="黑体" w:hAnsi="黑体" w:eastAsia="黑体" w:cs="黑体"/>
                          <w:sz w:val="28"/>
                          <w:szCs w:val="28"/>
                        </w:rPr>
                      </w:pPr>
                    </w:p>
                  </w:txbxContent>
                </v:textbox>
              </v:shape>
            </w:pict>
          </mc:Fallback>
        </mc:AlternateContent>
      </w:r>
    </w:p>
    <w:p>
      <w:pPr>
        <w:bidi w:val="0"/>
        <w:rPr>
          <w:rFonts w:hint="default" w:eastAsia="宋体"/>
          <w:sz w:val="21"/>
          <w:lang w:val="en-US" w:eastAsia="zh-CN"/>
        </w:rPr>
      </w:pPr>
      <w:r>
        <w:rPr>
          <w:sz w:val="21"/>
        </w:rPr>
        <mc:AlternateContent>
          <mc:Choice Requires="wps">
            <w:drawing>
              <wp:anchor distT="0" distB="0" distL="114300" distR="114300" simplePos="0" relativeHeight="251722752" behindDoc="0" locked="0" layoutInCell="1" allowOverlap="1">
                <wp:simplePos x="0" y="0"/>
                <wp:positionH relativeFrom="column">
                  <wp:posOffset>6692900</wp:posOffset>
                </wp:positionH>
                <wp:positionV relativeFrom="paragraph">
                  <wp:posOffset>4789805</wp:posOffset>
                </wp:positionV>
                <wp:extent cx="1743075" cy="42862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743075" cy="428625"/>
                        </a:xfrm>
                        <a:prstGeom prst="rect">
                          <a:avLst/>
                        </a:prstGeom>
                        <a:noFill/>
                        <a:ln w="15875">
                          <a:noFill/>
                        </a:ln>
                        <a:effectLst/>
                      </wps:spPr>
                      <wps:txb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wps:txbx>
                      <wps:bodyPr upright="1"/>
                    </wps:wsp>
                  </a:graphicData>
                </a:graphic>
              </wp:anchor>
            </w:drawing>
          </mc:Choice>
          <mc:Fallback>
            <w:pict>
              <v:shape id="_x0000_s1026" o:spid="_x0000_s1026" o:spt="202" type="#_x0000_t202" style="position:absolute;left:0pt;margin-left:527pt;margin-top:377.15pt;height:33.75pt;width:137.25pt;z-index:251722752;mso-width-relative:page;mso-height-relative:page;" filled="f" stroked="f" coordsize="21600,21600" o:gfxdata="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Lk9I7feAAAADQEAAA8A&#10;AAAAAAAAAQAgAAAAIgAAAGRycy9kb3ducmV2LnhtbFBLAQIUABQAAAAIAIdO4kC+SmYwnwEAABwD&#10;AAAOAAAAAAAAAAEAIAAAAC0BAABkcnMvZTJvRG9jLnhtbFBLBQYAAAAABgAGAFkBAAA+BQAAAAA=&#10;">
                <v:fill on="f" focussize="0,0"/>
                <v:stroke on="f" weight="1.25pt"/>
                <v:imagedata o:title=""/>
                <o:lock v:ext="edit" aspectratio="f"/>
                <v:textbo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v:textbox>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2340610</wp:posOffset>
                </wp:positionH>
                <wp:positionV relativeFrom="paragraph">
                  <wp:posOffset>4806950</wp:posOffset>
                </wp:positionV>
                <wp:extent cx="3951605" cy="304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3951605"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eastAsia="zh-CN"/>
                              </w:rPr>
                              <w:t>三（</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项目E5楼二、三层平面布置图</w:t>
                            </w:r>
                          </w:p>
                        </w:txbxContent>
                      </wps:txbx>
                      <wps:bodyPr upright="1"/>
                    </wps:wsp>
                  </a:graphicData>
                </a:graphic>
              </wp:anchor>
            </w:drawing>
          </mc:Choice>
          <mc:Fallback>
            <w:pict>
              <v:shape id="_x0000_s1026" o:spid="_x0000_s1026" o:spt="202" type="#_x0000_t202" style="position:absolute;left:0pt;margin-left:184.3pt;margin-top:378.5pt;height:24pt;width:311.15pt;z-index:251721728;mso-width-relative:page;mso-height-relative:page;" filled="f" stroked="f" coordsize="21600,21600" o:gfxdata="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CT8MejcAAAACwEAAA8A&#10;AAAAAAAAAQAgAAAAIgAAAGRycy9kb3ducmV2LnhtbFBLAQIUABQAAAAIAIdO4kAgfmfBoQEAABkD&#10;AAAOAAAAAAAAAAEAIAAAACsBAABkcnMvZTJvRG9jLnhtbFBLBQYAAAAABgAGAFkBAAA+BQ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eastAsia="zh-CN"/>
                        </w:rPr>
                        <w:t>三（</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项目E5楼二、三层平面布置图</w:t>
                      </w:r>
                    </w:p>
                  </w:txbxContent>
                </v:textbox>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3945255</wp:posOffset>
                </wp:positionH>
                <wp:positionV relativeFrom="paragraph">
                  <wp:posOffset>2099945</wp:posOffset>
                </wp:positionV>
                <wp:extent cx="690880" cy="54356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690880" cy="543560"/>
                        </a:xfrm>
                        <a:prstGeom prst="rect">
                          <a:avLst/>
                        </a:prstGeom>
                        <a:noFill/>
                        <a:ln w="15875">
                          <a:noFill/>
                        </a:ln>
                        <a:effectLst/>
                      </wps:spPr>
                      <wps:txbx>
                        <w:txbxContent>
                          <w:p>
                            <w:pPr>
                              <w:rPr>
                                <w:rFonts w:hint="eastAsia" w:eastAsia="宋体"/>
                                <w:sz w:val="28"/>
                                <w:szCs w:val="28"/>
                                <w:lang w:eastAsia="zh-CN"/>
                              </w:rPr>
                            </w:pPr>
                            <w:r>
                              <w:rPr>
                                <w:rFonts w:hint="eastAsia"/>
                                <w:sz w:val="28"/>
                                <w:szCs w:val="28"/>
                                <w:lang w:eastAsia="zh-CN"/>
                              </w:rPr>
                              <w:t>仓库</w:t>
                            </w:r>
                          </w:p>
                        </w:txbxContent>
                      </wps:txbx>
                      <wps:bodyPr upright="1"/>
                    </wps:wsp>
                  </a:graphicData>
                </a:graphic>
              </wp:anchor>
            </w:drawing>
          </mc:Choice>
          <mc:Fallback>
            <w:pict>
              <v:shape id="_x0000_s1026" o:spid="_x0000_s1026" o:spt="202" type="#_x0000_t202" style="position:absolute;left:0pt;margin-left:310.65pt;margin-top:165.35pt;height:42.8pt;width:54.4pt;z-index:251720704;mso-width-relative:page;mso-height-relative:page;" filled="f" stroked="f" coordsize="21600,21600" o:gfxdata="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jY3WPdAAAACwEAAA8A&#10;AAAAAAAAAQAgAAAAIgAAAGRycy9kb3ducmV2LnhtbFBLAQIUABQAAAAIAIdO4kA1jQnloAEAABkD&#10;AAAOAAAAAAAAAAEAIAAAACwBAABkcnMvZTJvRG9jLnhtbFBLBQYAAAAABgAGAFkBAAA+BQAAAAA=&#10;">
                <v:fill on="f" focussize="0,0"/>
                <v:stroke on="f" weight="1.25pt"/>
                <v:imagedata o:title=""/>
                <o:lock v:ext="edit" aspectratio="f"/>
                <v:textbox>
                  <w:txbxContent>
                    <w:p>
                      <w:pPr>
                        <w:rPr>
                          <w:rFonts w:hint="eastAsia" w:eastAsia="宋体"/>
                          <w:sz w:val="28"/>
                          <w:szCs w:val="28"/>
                          <w:lang w:eastAsia="zh-CN"/>
                        </w:rPr>
                      </w:pPr>
                      <w:r>
                        <w:rPr>
                          <w:rFonts w:hint="eastAsia"/>
                          <w:sz w:val="28"/>
                          <w:szCs w:val="28"/>
                          <w:lang w:eastAsia="zh-CN"/>
                        </w:rPr>
                        <w:t>仓库</w:t>
                      </w:r>
                    </w:p>
                  </w:txbxContent>
                </v:textbox>
              </v:shape>
            </w:pict>
          </mc:Fallback>
        </mc:AlternateContent>
      </w:r>
      <w:r>
        <w:rPr>
          <w:rFonts w:hint="default" w:ascii="Times New Roman" w:hAnsi="Times New Roman" w:cs="Times New Roman"/>
          <w:u w:val="none"/>
        </w:rPr>
        <w:drawing>
          <wp:anchor distT="0" distB="0" distL="114300" distR="114300" simplePos="0" relativeHeight="251695104" behindDoc="0" locked="0" layoutInCell="1" allowOverlap="1">
            <wp:simplePos x="0" y="0"/>
            <wp:positionH relativeFrom="column">
              <wp:posOffset>8703945</wp:posOffset>
            </wp:positionH>
            <wp:positionV relativeFrom="paragraph">
              <wp:posOffset>106045</wp:posOffset>
            </wp:positionV>
            <wp:extent cx="464185" cy="610235"/>
            <wp:effectExtent l="0" t="0" r="12065" b="18415"/>
            <wp:wrapNone/>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9"/>
                    <a:stretch>
                      <a:fillRect/>
                    </a:stretch>
                  </pic:blipFill>
                  <pic:spPr>
                    <a:xfrm>
                      <a:off x="0" y="0"/>
                      <a:ext cx="464185" cy="610235"/>
                    </a:xfrm>
                    <a:prstGeom prst="rect">
                      <a:avLst/>
                    </a:prstGeom>
                    <a:noFill/>
                    <a:ln>
                      <a:noFill/>
                    </a:ln>
                  </pic:spPr>
                </pic:pic>
              </a:graphicData>
            </a:graphic>
          </wp:anchor>
        </w:drawing>
      </w:r>
      <w:r>
        <w:rPr>
          <w:rFonts w:hint="eastAsia"/>
          <w:lang w:val="en-US" w:eastAsia="zh-CN"/>
        </w:rPr>
        <w:t xml:space="preserve">  </w:t>
      </w:r>
      <w:r>
        <w:rPr>
          <w:sz w:val="21"/>
        </w:rPr>
        <mc:AlternateContent>
          <mc:Choice Requires="wps">
            <w:drawing>
              <wp:anchor distT="0" distB="0" distL="114300" distR="114300" simplePos="0" relativeHeight="251674624" behindDoc="0" locked="0" layoutInCell="1" allowOverlap="1">
                <wp:simplePos x="0" y="0"/>
                <wp:positionH relativeFrom="column">
                  <wp:posOffset>102870</wp:posOffset>
                </wp:positionH>
                <wp:positionV relativeFrom="paragraph">
                  <wp:posOffset>83820</wp:posOffset>
                </wp:positionV>
                <wp:extent cx="8526145" cy="4632325"/>
                <wp:effectExtent l="7620" t="8255" r="19685" b="7620"/>
                <wp:wrapNone/>
                <wp:docPr id="74" name="矩形 74"/>
                <wp:cNvGraphicFramePr/>
                <a:graphic xmlns:a="http://schemas.openxmlformats.org/drawingml/2006/main">
                  <a:graphicData uri="http://schemas.microsoft.com/office/word/2010/wordprocessingShape">
                    <wps:wsp>
                      <wps:cNvSpPr/>
                      <wps:spPr>
                        <a:xfrm>
                          <a:off x="0" y="0"/>
                          <a:ext cx="8526145" cy="4632325"/>
                        </a:xfrm>
                        <a:prstGeom prst="rect">
                          <a:avLst/>
                        </a:prstGeom>
                        <a:noFill/>
                        <a:ln w="1587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8.1pt;margin-top:6.6pt;height:364.75pt;width:671.35pt;z-index:251674624;mso-width-relative:page;mso-height-relative:page;" filled="f" stroked="t" coordsize="21600,21600" o:gfxdata="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GsaQbWAAAA&#10;CgEAAA8AAAAAAAAAAQAgAAAAIgAAAGRycy9kb3ducmV2LnhtbFBLAQIUABQAAAAIAIdO4kB/cG2e&#10;5gEAALkDAAAOAAAAAAAAAAEAIAAAACUBAABkcnMvZTJvRG9jLnhtbFBLBQYAAAAABgAGAFkBAAB9&#10;BQAAAAA=&#10;">
                <v:fill on="f" focussize="0,0"/>
                <v:stroke weight="1.25pt" color="#FF0000" joinstyle="miter"/>
                <v:imagedata o:title=""/>
                <o:lock v:ext="edit" aspectratio="f"/>
              </v:rect>
            </w:pict>
          </mc:Fallback>
        </mc:AlternateContent>
      </w:r>
    </w:p>
    <w:p>
      <w:pPr>
        <w:pStyle w:val="8"/>
        <w:rPr>
          <w:rFonts w:hint="default" w:eastAsia="宋体"/>
          <w:sz w:val="21"/>
          <w:lang w:val="en-US" w:eastAsia="zh-CN"/>
        </w:rPr>
        <w:sectPr>
          <w:pgSz w:w="16838" w:h="11906" w:orient="landscape"/>
          <w:pgMar w:top="1417" w:right="1440" w:bottom="1417" w:left="1440" w:header="851" w:footer="992" w:gutter="0"/>
          <w:cols w:space="720" w:num="1"/>
          <w:rtlGutter w:val="0"/>
          <w:docGrid w:type="lines" w:linePitch="324" w:charSpace="0"/>
        </w:sectPr>
      </w:pPr>
      <w:r>
        <w:rPr>
          <w:sz w:val="24"/>
        </w:rPr>
        <mc:AlternateContent>
          <mc:Choice Requires="wps">
            <w:drawing>
              <wp:anchor distT="0" distB="0" distL="114300" distR="114300" simplePos="0" relativeHeight="251676672" behindDoc="0" locked="0" layoutInCell="1" allowOverlap="1">
                <wp:simplePos x="0" y="0"/>
                <wp:positionH relativeFrom="column">
                  <wp:posOffset>3860800</wp:posOffset>
                </wp:positionH>
                <wp:positionV relativeFrom="paragraph">
                  <wp:posOffset>1743075</wp:posOffset>
                </wp:positionV>
                <wp:extent cx="1724025" cy="54356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724025" cy="543560"/>
                        </a:xfrm>
                        <a:prstGeom prst="rect">
                          <a:avLst/>
                        </a:prstGeom>
                        <a:noFill/>
                        <a:ln w="15875">
                          <a:noFill/>
                        </a:ln>
                        <a:effectLst/>
                      </wps:spPr>
                      <wps:txbx>
                        <w:txbxContent>
                          <w:p>
                            <w:pPr>
                              <w:rPr>
                                <w:rFonts w:hint="eastAsia" w:eastAsia="宋体"/>
                                <w:sz w:val="28"/>
                                <w:szCs w:val="28"/>
                                <w:lang w:eastAsia="zh-CN"/>
                              </w:rPr>
                            </w:pPr>
                            <w:r>
                              <w:rPr>
                                <w:rFonts w:hint="eastAsia"/>
                                <w:sz w:val="28"/>
                                <w:szCs w:val="28"/>
                                <w:lang w:eastAsia="zh-CN"/>
                              </w:rPr>
                              <w:t>仓库</w:t>
                            </w:r>
                          </w:p>
                        </w:txbxContent>
                      </wps:txbx>
                      <wps:bodyPr upright="1"/>
                    </wps:wsp>
                  </a:graphicData>
                </a:graphic>
              </wp:anchor>
            </w:drawing>
          </mc:Choice>
          <mc:Fallback>
            <w:pict>
              <v:shape id="_x0000_s1026" o:spid="_x0000_s1026" o:spt="202" type="#_x0000_t202" style="position:absolute;left:0pt;margin-left:304pt;margin-top:137.25pt;height:42.8pt;width:135.75pt;z-index:251676672;mso-width-relative:page;mso-height-relative:page;" filled="f" stroked="f" coordsize="21600,21600" o:gfxdata="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0FKVreAAAACwEAAA8A&#10;AAAAAAAAAQAgAAAAIgAAAGRycy9kb3ducmV2LnhtbFBLAQIUABQAAAAIAIdO4kC91OsVnwEAABoD&#10;AAAOAAAAAAAAAAEAIAAAAC0BAABkcnMvZTJvRG9jLnhtbFBLBQYAAAAABgAGAFkBAAA+BQAAAAA=&#10;">
                <v:fill on="f" focussize="0,0"/>
                <v:stroke on="f" weight="1.25pt"/>
                <v:imagedata o:title=""/>
                <o:lock v:ext="edit" aspectratio="f"/>
                <v:textbox>
                  <w:txbxContent>
                    <w:p>
                      <w:pPr>
                        <w:rPr>
                          <w:rFonts w:hint="eastAsia" w:eastAsia="宋体"/>
                          <w:sz w:val="28"/>
                          <w:szCs w:val="28"/>
                          <w:lang w:eastAsia="zh-CN"/>
                        </w:rPr>
                      </w:pPr>
                      <w:r>
                        <w:rPr>
                          <w:rFonts w:hint="eastAsia"/>
                          <w:sz w:val="28"/>
                          <w:szCs w:val="28"/>
                          <w:lang w:eastAsia="zh-CN"/>
                        </w:rPr>
                        <w:t>仓库</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2446655</wp:posOffset>
                </wp:positionH>
                <wp:positionV relativeFrom="paragraph">
                  <wp:posOffset>4776470</wp:posOffset>
                </wp:positionV>
                <wp:extent cx="3951605" cy="304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3951605"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eastAsia="zh-CN"/>
                              </w:rPr>
                              <w:t>三（</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项目E5楼二、三层平面布置图</w:t>
                            </w:r>
                          </w:p>
                        </w:txbxContent>
                      </wps:txbx>
                      <wps:bodyPr upright="1"/>
                    </wps:wsp>
                  </a:graphicData>
                </a:graphic>
              </wp:anchor>
            </w:drawing>
          </mc:Choice>
          <mc:Fallback>
            <w:pict>
              <v:shape id="_x0000_s1026" o:spid="_x0000_s1026" o:spt="202" type="#_x0000_t202" style="position:absolute;left:0pt;margin-left:192.65pt;margin-top:376.1pt;height:24pt;width:311.15pt;z-index:251675648;mso-width-relative:page;mso-height-relative:page;" filled="f" stroked="f" coordsize="21600,21600" o:gfxdata="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aw14Q3AAAAAwBAAAPAAAA&#10;AAAAAAEAIAAAACIAAABkcnMvZG93bnJldi54bWxQSwECFAAUAAAACACHTuJAw8uyY58BAAAZAwAA&#10;DgAAAAAAAAABACAAAAArAQAAZHJzL2Uyb0RvYy54bWxQSwUGAAAAAAYABgBZAQAAPAU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eastAsia="zh-CN"/>
                        </w:rPr>
                        <w:t>三（</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项目E5楼二、三层平面布置图</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6894195</wp:posOffset>
                </wp:positionH>
                <wp:positionV relativeFrom="paragraph">
                  <wp:posOffset>4773295</wp:posOffset>
                </wp:positionV>
                <wp:extent cx="1743075" cy="42862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743075" cy="428625"/>
                        </a:xfrm>
                        <a:prstGeom prst="rect">
                          <a:avLst/>
                        </a:prstGeom>
                        <a:noFill/>
                        <a:ln w="15875">
                          <a:noFill/>
                        </a:ln>
                        <a:effectLst/>
                      </wps:spPr>
                      <wps:txb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wps:txbx>
                      <wps:bodyPr upright="1"/>
                    </wps:wsp>
                  </a:graphicData>
                </a:graphic>
              </wp:anchor>
            </w:drawing>
          </mc:Choice>
          <mc:Fallback>
            <w:pict>
              <v:shape id="_x0000_s1026" o:spid="_x0000_s1026" o:spt="202" type="#_x0000_t202" style="position:absolute;left:0pt;margin-left:542.85pt;margin-top:375.85pt;height:33.75pt;width:137.25pt;z-index:251678720;mso-width-relative:page;mso-height-relative:page;" filled="f" stroked="f" coordsize="21600,21600" o:gfxdata="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G44KgXeAAAADQEAAA8A&#10;AAAAAAAAAQAgAAAAIgAAAGRycy9kb3ducmV2LnhtbFBLAQIUABQAAAAIAIdO4kAg18tInwEAABoD&#10;AAAOAAAAAAAAAAEAIAAAAC0BAABkcnMvZTJvRG9jLnhtbFBLBQYAAAAABgAGAFkBAAA+BQAAAAA=&#10;">
                <v:fill on="f" focussize="0,0"/>
                <v:stroke on="f" weight="1.25pt"/>
                <v:imagedata o:title=""/>
                <o:lock v:ext="edit" aspectratio="f"/>
                <v:textbox>
                  <w:txbxContent>
                    <w:p>
                      <w:pP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CN"/>
                        </w:rPr>
                        <w:t>比例尺：</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：250</w:t>
                      </w:r>
                    </w:p>
                  </w:txbxContent>
                </v:textbox>
              </v:shape>
            </w:pict>
          </mc:Fallback>
        </mc:AlternateContent>
      </w:r>
      <w:r>
        <w:rPr>
          <w:rFonts w:hint="default" w:eastAsia="宋体"/>
          <w:sz w:val="21"/>
          <w:lang w:val="en-US" w:eastAsia="zh-CN"/>
        </w:rPr>
        <w:br w:type="page"/>
      </w:r>
      <w:r>
        <w:rPr>
          <w:sz w:val="24"/>
        </w:rPr>
        <mc:AlternateContent>
          <mc:Choice Requires="wps">
            <w:drawing>
              <wp:anchor distT="0" distB="0" distL="114300" distR="114300" simplePos="0" relativeHeight="251712512" behindDoc="0" locked="0" layoutInCell="1" allowOverlap="1">
                <wp:simplePos x="0" y="0"/>
                <wp:positionH relativeFrom="column">
                  <wp:posOffset>3325495</wp:posOffset>
                </wp:positionH>
                <wp:positionV relativeFrom="paragraph">
                  <wp:posOffset>5469890</wp:posOffset>
                </wp:positionV>
                <wp:extent cx="2407920" cy="304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2407920"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四</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项目与南水北调位置</w:t>
                            </w:r>
                          </w:p>
                        </w:txbxContent>
                      </wps:txbx>
                      <wps:bodyPr upright="1"/>
                    </wps:wsp>
                  </a:graphicData>
                </a:graphic>
              </wp:anchor>
            </w:drawing>
          </mc:Choice>
          <mc:Fallback>
            <w:pict>
              <v:shape id="_x0000_s1026" o:spid="_x0000_s1026" o:spt="202" type="#_x0000_t202" style="position:absolute;left:0pt;margin-left:261.85pt;margin-top:430.7pt;height:24pt;width:189.6pt;z-index:251712512;mso-width-relative:page;mso-height-relative:page;" filled="f" stroked="f" coordsize="21600,21600" o:gfxdata="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gFOV+9wAAAALAQAADwAA&#10;AAAAAAABACAAAAAiAAAAZHJzL2Rvd25yZXYueG1sUEsBAhQAFAAAAAgAh07iQLhl+iugAQAAGQMA&#10;AA4AAAAAAAAAAQAgAAAAKwEAAGRycy9lMm9Eb2MueG1sUEsFBgAAAAAGAAYAWQEAAD0FA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四</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项目与南水北调位置</w:t>
                      </w:r>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3749675</wp:posOffset>
                </wp:positionH>
                <wp:positionV relativeFrom="paragraph">
                  <wp:posOffset>1527175</wp:posOffset>
                </wp:positionV>
                <wp:extent cx="663575" cy="283210"/>
                <wp:effectExtent l="0" t="0" r="0" b="0"/>
                <wp:wrapNone/>
                <wp:docPr id="68" name="文本框 68"/>
                <wp:cNvGraphicFramePr/>
                <a:graphic xmlns:a="http://schemas.openxmlformats.org/drawingml/2006/main">
                  <a:graphicData uri="http://schemas.microsoft.com/office/word/2010/wordprocessingShape">
                    <wps:wsp>
                      <wps:cNvSpPr txBox="1"/>
                      <wps:spPr>
                        <a:xfrm rot="1680000">
                          <a:off x="0" y="0"/>
                          <a:ext cx="663575" cy="283210"/>
                        </a:xfrm>
                        <a:prstGeom prst="rect">
                          <a:avLst/>
                        </a:prstGeom>
                        <a:noFill/>
                        <a:ln w="15875">
                          <a:noFill/>
                        </a:ln>
                        <a:effectLst/>
                      </wps:spPr>
                      <wps:txbx>
                        <w:txbxContent>
                          <w:p>
                            <w:pPr>
                              <w:rPr>
                                <w:rFonts w:hint="default" w:ascii="Times New Roman" w:hAnsi="Times New Roman" w:eastAsia="宋体" w:cs="Times New Roman"/>
                                <w:color w:val="FF0000"/>
                                <w:lang w:val="en-US" w:eastAsia="zh-CN"/>
                              </w:rPr>
                            </w:pPr>
                            <w:r>
                              <w:rPr>
                                <w:rFonts w:hint="eastAsia" w:ascii="Times New Roman" w:hAnsi="Times New Roman" w:cs="Times New Roman"/>
                                <w:color w:val="FF0000"/>
                                <w:lang w:val="en-US" w:eastAsia="zh-CN"/>
                              </w:rPr>
                              <w:t>3.5</w:t>
                            </w:r>
                            <w:r>
                              <w:rPr>
                                <w:rFonts w:hint="default" w:ascii="Times New Roman" w:hAnsi="Times New Roman" w:cs="Times New Roman"/>
                                <w:color w:val="FF0000"/>
                                <w:lang w:val="en-US" w:eastAsia="zh-CN"/>
                              </w:rPr>
                              <w:t>km</w:t>
                            </w:r>
                          </w:p>
                        </w:txbxContent>
                      </wps:txbx>
                      <wps:bodyPr upright="1"/>
                    </wps:wsp>
                  </a:graphicData>
                </a:graphic>
              </wp:anchor>
            </w:drawing>
          </mc:Choice>
          <mc:Fallback>
            <w:pict>
              <v:shape id="_x0000_s1026" o:spid="_x0000_s1026" o:spt="202" type="#_x0000_t202" style="position:absolute;left:0pt;margin-left:295.25pt;margin-top:120.25pt;height:22.3pt;width:52.25pt;rotation:1835008f;z-index:251711488;mso-width-relative:page;mso-height-relative:page;" filled="f" stroked="f" coordsize="21600,21600" o:gfxdata="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mInMH1gAAAAsBAAAP&#10;AAAAAAAAAAEAIAAAACIAAABkcnMvZG93bnJldi54bWxQSwECFAAUAAAACACHTuJAM0NaZqgBAAAn&#10;AwAADgAAAAAAAAABACAAAAAlAQAAZHJzL2Uyb0RvYy54bWxQSwUGAAAAAAYABgBZAQAAPwUAAAAA&#10;">
                <v:fill on="f" focussize="0,0"/>
                <v:stroke on="f" weight="1.25pt"/>
                <v:imagedata o:title=""/>
                <o:lock v:ext="edit" aspectratio="f"/>
                <v:textbox>
                  <w:txbxContent>
                    <w:p>
                      <w:pPr>
                        <w:rPr>
                          <w:rFonts w:hint="default" w:ascii="Times New Roman" w:hAnsi="Times New Roman" w:eastAsia="宋体" w:cs="Times New Roman"/>
                          <w:color w:val="FF0000"/>
                          <w:lang w:val="en-US" w:eastAsia="zh-CN"/>
                        </w:rPr>
                      </w:pPr>
                      <w:r>
                        <w:rPr>
                          <w:rFonts w:hint="eastAsia" w:ascii="Times New Roman" w:hAnsi="Times New Roman" w:cs="Times New Roman"/>
                          <w:color w:val="FF0000"/>
                          <w:lang w:val="en-US" w:eastAsia="zh-CN"/>
                        </w:rPr>
                        <w:t>3.5</w:t>
                      </w:r>
                      <w:r>
                        <w:rPr>
                          <w:rFonts w:hint="default" w:ascii="Times New Roman" w:hAnsi="Times New Roman" w:cs="Times New Roman"/>
                          <w:color w:val="FF0000"/>
                          <w:lang w:val="en-US" w:eastAsia="zh-CN"/>
                        </w:rPr>
                        <w:t>km</w:t>
                      </w:r>
                    </w:p>
                  </w:txbxContent>
                </v:textbox>
              </v:shape>
            </w:pict>
          </mc:Fallback>
        </mc:AlternateContent>
      </w:r>
      <w:r>
        <w:rPr>
          <w:sz w:val="24"/>
        </w:rPr>
        <mc:AlternateContent>
          <mc:Choice Requires="wps">
            <w:drawing>
              <wp:anchor distT="0" distB="0" distL="114300" distR="114300" simplePos="0" relativeHeight="251710464" behindDoc="0" locked="0" layoutInCell="1" allowOverlap="1">
                <wp:simplePos x="0" y="0"/>
                <wp:positionH relativeFrom="column">
                  <wp:posOffset>2792730</wp:posOffset>
                </wp:positionH>
                <wp:positionV relativeFrom="paragraph">
                  <wp:posOffset>518795</wp:posOffset>
                </wp:positionV>
                <wp:extent cx="2465070" cy="2824480"/>
                <wp:effectExtent l="5715" t="5080" r="5715" b="8890"/>
                <wp:wrapNone/>
                <wp:docPr id="58" name="直接连接符 58"/>
                <wp:cNvGraphicFramePr/>
                <a:graphic xmlns:a="http://schemas.openxmlformats.org/drawingml/2006/main">
                  <a:graphicData uri="http://schemas.microsoft.com/office/word/2010/wordprocessingShape">
                    <wps:wsp>
                      <wps:cNvCnPr/>
                      <wps:spPr>
                        <a:xfrm>
                          <a:off x="0" y="0"/>
                          <a:ext cx="2465070" cy="2824480"/>
                        </a:xfrm>
                        <a:prstGeom prst="line">
                          <a:avLst/>
                        </a:prstGeom>
                        <a:ln w="15875" cap="flat" cmpd="sng">
                          <a:solidFill>
                            <a:srgbClr val="FF0000"/>
                          </a:solidFill>
                          <a:prstDash val="solid"/>
                          <a:headEnd type="none" w="med" len="med"/>
                          <a:tailEnd type="arrow" w="med" len="med"/>
                        </a:ln>
                        <a:effectLst/>
                      </wps:spPr>
                      <wps:bodyPr upright="1"/>
                    </wps:wsp>
                  </a:graphicData>
                </a:graphic>
              </wp:anchor>
            </w:drawing>
          </mc:Choice>
          <mc:Fallback>
            <w:pict>
              <v:line id="_x0000_s1026" o:spid="_x0000_s1026" o:spt="20" style="position:absolute;left:0pt;margin-left:219.9pt;margin-top:40.85pt;height:222.4pt;width:194.1pt;z-index:251710464;mso-width-relative:page;mso-height-relative:page;" filled="f" stroked="t" coordsize="21600,21600" o:gfxdata="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sF7MNsAAAAKAQAADwAAAAAAAAABACAAAAAiAAAAZHJzL2Rvd25yZXYueG1sUEsBAhQA&#10;FAAAAAgAh07iQIVcHq/vAQAArgMAAA4AAAAAAAAAAQAgAAAAKgEAAGRycy9lMm9Eb2MueG1sUEsF&#10;BgAAAAAGAAYAWQEAAIsFAAAAAA==&#10;">
                <v:fill on="f" focussize="0,0"/>
                <v:stroke weight="1.25pt" color="#FF0000" joinstyle="round" endarrow="open"/>
                <v:imagedata o:title=""/>
                <o:lock v:ext="edit" aspectratio="f"/>
              </v:line>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2697480</wp:posOffset>
                </wp:positionH>
                <wp:positionV relativeFrom="paragraph">
                  <wp:posOffset>424180</wp:posOffset>
                </wp:positionV>
                <wp:extent cx="111760" cy="96520"/>
                <wp:effectExtent l="7620" t="8255" r="13970" b="9525"/>
                <wp:wrapNone/>
                <wp:docPr id="69" name="任意多边形 69"/>
                <wp:cNvGraphicFramePr/>
                <a:graphic xmlns:a="http://schemas.openxmlformats.org/drawingml/2006/main">
                  <a:graphicData uri="http://schemas.microsoft.com/office/word/2010/wordprocessingShape">
                    <wps:wsp>
                      <wps:cNvSpPr/>
                      <wps:spPr>
                        <a:xfrm>
                          <a:off x="0" y="0"/>
                          <a:ext cx="111760" cy="96520"/>
                        </a:xfrm>
                        <a:custGeom>
                          <a:avLst/>
                          <a:gdLst/>
                          <a:ahLst/>
                          <a:cxnLst/>
                          <a:pathLst>
                            <a:path w="176" h="152">
                              <a:moveTo>
                                <a:pt x="0" y="0"/>
                              </a:moveTo>
                              <a:lnTo>
                                <a:pt x="16" y="152"/>
                              </a:lnTo>
                              <a:lnTo>
                                <a:pt x="176" y="152"/>
                              </a:lnTo>
                              <a:lnTo>
                                <a:pt x="176" y="0"/>
                              </a:lnTo>
                              <a:lnTo>
                                <a:pt x="0" y="0"/>
                              </a:lnTo>
                              <a:close/>
                            </a:path>
                          </a:pathLst>
                        </a:custGeom>
                        <a:noFill/>
                        <a:ln w="1587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100" style="position:absolute;left:0pt;margin-left:212.4pt;margin-top:33.4pt;height:7.6pt;width:8.8pt;z-index:251709440;mso-width-relative:page;mso-height-relative:page;" filled="f" stroked="t" coordsize="176,152" o:gfxdata="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G7a02QAAAAkBAAAPAAAAAAAAAAEAIAAAACIAAABk&#10;cnMvZG93bnJldi54bWxQSwECFAAUAAAACACHTuJA9VcI/j4CAADLBAAADgAAAAAAAAABACAAAAAo&#10;AQAAZHJzL2Uyb0RvYy54bWxQSwUGAAAAAAYABgBZAQAA2AUAAAAA&#10;" path="m0,0l16,152,176,152,176,0,0,0xe">
                <v:fill on="f" focussize="0,0"/>
                <v:stroke weight="1.25pt" color="#FF0000" joinstyle="round"/>
                <v:imagedata o:title=""/>
                <o:lock v:ext="edit" aspectratio="f"/>
              </v:shape>
            </w:pict>
          </mc:Fallback>
        </mc:AlternateContent>
      </w:r>
      <w:r>
        <w:drawing>
          <wp:anchor distT="0" distB="0" distL="114300" distR="114300" simplePos="0" relativeHeight="251708416" behindDoc="0" locked="0" layoutInCell="1" allowOverlap="1">
            <wp:simplePos x="0" y="0"/>
            <wp:positionH relativeFrom="column">
              <wp:posOffset>328295</wp:posOffset>
            </wp:positionH>
            <wp:positionV relativeFrom="paragraph">
              <wp:posOffset>-302260</wp:posOffset>
            </wp:positionV>
            <wp:extent cx="8136890" cy="5769610"/>
            <wp:effectExtent l="0" t="0" r="16510" b="2540"/>
            <wp:wrapTopAndBottom/>
            <wp:docPr id="2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0"/>
                    <pic:cNvPicPr>
                      <a:picLocks noChangeAspect="1"/>
                    </pic:cNvPicPr>
                  </pic:nvPicPr>
                  <pic:blipFill>
                    <a:blip r:embed="rId41"/>
                    <a:stretch>
                      <a:fillRect/>
                    </a:stretch>
                  </pic:blipFill>
                  <pic:spPr>
                    <a:xfrm>
                      <a:off x="0" y="0"/>
                      <a:ext cx="8136890" cy="5769610"/>
                    </a:xfrm>
                    <a:prstGeom prst="rect">
                      <a:avLst/>
                    </a:prstGeom>
                    <a:noFill/>
                    <a:ln>
                      <a:noFill/>
                    </a:ln>
                  </pic:spPr>
                </pic:pic>
              </a:graphicData>
            </a:graphic>
          </wp:anchor>
        </w:drawing>
      </w:r>
    </w:p>
    <w:p>
      <w:pPr>
        <w:pStyle w:val="8"/>
        <w:rPr>
          <w:rFonts w:hint="default" w:eastAsia="宋体"/>
          <w:sz w:val="21"/>
          <w:lang w:val="en-US" w:eastAsia="zh-CN"/>
        </w:rPr>
      </w:pPr>
    </w:p>
    <w:p>
      <w:pPr>
        <w:pStyle w:val="8"/>
        <w:rPr>
          <w:rFonts w:hint="default"/>
          <w:sz w:val="21"/>
          <w:lang w:val="en-US" w:eastAsia="zh-CN"/>
        </w:rPr>
        <w:sectPr>
          <w:pgSz w:w="16838" w:h="11906" w:orient="landscape"/>
          <w:pgMar w:top="1417" w:right="1440" w:bottom="1417" w:left="1440" w:header="851" w:footer="992" w:gutter="0"/>
          <w:cols w:space="720" w:num="1"/>
          <w:rtlGutter w:val="0"/>
          <w:docGrid w:type="lines" w:linePitch="324" w:charSpace="0"/>
        </w:sectPr>
      </w:pPr>
      <w:r>
        <w:rPr>
          <w:sz w:val="24"/>
        </w:rPr>
        <mc:AlternateContent>
          <mc:Choice Requires="wps">
            <w:drawing>
              <wp:anchor distT="0" distB="0" distL="114300" distR="114300" simplePos="0" relativeHeight="251679744" behindDoc="0" locked="0" layoutInCell="1" allowOverlap="1">
                <wp:simplePos x="0" y="0"/>
                <wp:positionH relativeFrom="column">
                  <wp:posOffset>2815590</wp:posOffset>
                </wp:positionH>
                <wp:positionV relativeFrom="paragraph">
                  <wp:posOffset>4625975</wp:posOffset>
                </wp:positionV>
                <wp:extent cx="3781425" cy="304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3781425"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五</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项目在南阳市卧龙区“三线一单”位置图</w:t>
                            </w:r>
                          </w:p>
                        </w:txbxContent>
                      </wps:txbx>
                      <wps:bodyPr upright="1"/>
                    </wps:wsp>
                  </a:graphicData>
                </a:graphic>
              </wp:anchor>
            </w:drawing>
          </mc:Choice>
          <mc:Fallback>
            <w:pict>
              <v:shape id="_x0000_s1026" o:spid="_x0000_s1026" o:spt="202" type="#_x0000_t202" style="position:absolute;left:0pt;margin-left:221.7pt;margin-top:364.25pt;height:24pt;width:297.75pt;z-index:251679744;mso-width-relative:page;mso-height-relative:page;" filled="f" stroked="f" coordsize="21600,21600" o:gfxdata="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LQx9IHdAAAADAEAAA8A&#10;AAAAAAAAAQAgAAAAIgAAAGRycy9kb3ducmV2LnhtbFBLAQIUABQAAAAIAIdO4kAq1/HHoAEAABkD&#10;AAAOAAAAAAAAAAEAIAAAACwBAABkcnMvZTJvRG9jLnhtbFBLBQYAAAAABgAGAFkBAAA+BQ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五</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项目在南阳市卧龙区“三线一单”位置图</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5070475</wp:posOffset>
                </wp:positionH>
                <wp:positionV relativeFrom="paragraph">
                  <wp:posOffset>1027430</wp:posOffset>
                </wp:positionV>
                <wp:extent cx="838200" cy="357505"/>
                <wp:effectExtent l="183515" t="7620" r="26035" b="263525"/>
                <wp:wrapNone/>
                <wp:docPr id="55" name="圆角矩形标注 55"/>
                <wp:cNvGraphicFramePr/>
                <a:graphic xmlns:a="http://schemas.openxmlformats.org/drawingml/2006/main">
                  <a:graphicData uri="http://schemas.microsoft.com/office/word/2010/wordprocessingShape">
                    <wps:wsp>
                      <wps:cNvSpPr/>
                      <wps:spPr>
                        <a:xfrm>
                          <a:off x="0" y="0"/>
                          <a:ext cx="838200" cy="357505"/>
                        </a:xfrm>
                        <a:prstGeom prst="wedgeRoundRectCallout">
                          <a:avLst>
                            <a:gd name="adj1" fmla="val -65625"/>
                            <a:gd name="adj2" fmla="val 112699"/>
                            <a:gd name="adj3" fmla="val 16667"/>
                          </a:avLst>
                        </a:prstGeom>
                        <a:noFill/>
                        <a:ln w="15875" cap="flat" cmpd="sng">
                          <a:solidFill>
                            <a:srgbClr val="FF0000"/>
                          </a:solidFill>
                          <a:prstDash val="solid"/>
                          <a:miter/>
                          <a:headEnd type="none" w="med" len="med"/>
                          <a:tailEnd type="none" w="med" len="med"/>
                        </a:ln>
                        <a:effectLst/>
                      </wps:spPr>
                      <wps:txbx>
                        <w:txbxContent>
                          <w:p>
                            <w:pPr>
                              <w:rPr>
                                <w:rFonts w:hint="eastAsia" w:eastAsia="宋体"/>
                                <w:highlight w:val="green"/>
                                <w:lang w:eastAsia="zh-CN"/>
                              </w:rPr>
                            </w:pPr>
                            <w:r>
                              <w:rPr>
                                <w:rFonts w:hint="eastAsia"/>
                                <w:highlight w:val="green"/>
                                <w:lang w:eastAsia="zh-CN"/>
                              </w:rPr>
                              <w:t>项目位置</w:t>
                            </w:r>
                          </w:p>
                        </w:txbxContent>
                      </wps:txbx>
                      <wps:bodyPr upright="1"/>
                    </wps:wsp>
                  </a:graphicData>
                </a:graphic>
              </wp:anchor>
            </w:drawing>
          </mc:Choice>
          <mc:Fallback>
            <w:pict>
              <v:shape id="_x0000_s1026" o:spid="_x0000_s1026" o:spt="62" type="#_x0000_t62" style="position:absolute;left:0pt;margin-left:399.25pt;margin-top:80.9pt;height:28.15pt;width:66pt;z-index:251680768;mso-width-relative:page;mso-height-relative:page;" filled="f" stroked="t" coordsize="21600,21600" o:gfxdata="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&#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un/5/ZAAAACwEAAA8AAAAAAAAAAQAgAAAAIgAAAGRy&#10;cy9kb3ducmV2LnhtbFBLAQIUABQAAAAIAIdO4kAqMRnmPQIAAFYEAAAOAAAAAAAAAAEAIAAAACgB&#10;AABkcnMvZTJvRG9jLnhtbFBLBQYAAAAABgAGAFkBAADXBQAAAAA=&#10;" adj="-3375,35143,14400">
                <v:fill on="f" focussize="0,0"/>
                <v:stroke weight="1.25pt" color="#FF0000" joinstyle="miter"/>
                <v:imagedata o:title=""/>
                <o:lock v:ext="edit" aspectratio="f"/>
                <v:textbox>
                  <w:txbxContent>
                    <w:p>
                      <w:pPr>
                        <w:rPr>
                          <w:rFonts w:hint="eastAsia" w:eastAsia="宋体"/>
                          <w:highlight w:val="green"/>
                          <w:lang w:eastAsia="zh-CN"/>
                        </w:rPr>
                      </w:pPr>
                      <w:r>
                        <w:rPr>
                          <w:rFonts w:hint="eastAsia"/>
                          <w:highlight w:val="green"/>
                          <w:lang w:eastAsia="zh-CN"/>
                        </w:rPr>
                        <w:t>项目位置</w:t>
                      </w:r>
                    </w:p>
                  </w:txbxContent>
                </v:textbox>
              </v:shape>
            </w:pict>
          </mc:Fallback>
        </mc:AlternateContent>
      </w:r>
      <w:r>
        <w:drawing>
          <wp:inline distT="0" distB="0" distL="114300" distR="114300">
            <wp:extent cx="9337040" cy="4525010"/>
            <wp:effectExtent l="0" t="0" r="16510" b="889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42"/>
                    <a:stretch>
                      <a:fillRect/>
                    </a:stretch>
                  </pic:blipFill>
                  <pic:spPr>
                    <a:xfrm>
                      <a:off x="0" y="0"/>
                      <a:ext cx="9337040" cy="4525010"/>
                    </a:xfrm>
                    <a:prstGeom prst="rect">
                      <a:avLst/>
                    </a:prstGeom>
                    <a:noFill/>
                    <a:ln>
                      <a:noFill/>
                    </a:ln>
                  </pic:spPr>
                </pic:pic>
              </a:graphicData>
            </a:graphic>
          </wp:inline>
        </w:drawing>
      </w:r>
    </w:p>
    <w:p>
      <w:pPr>
        <w:pStyle w:val="8"/>
        <w:rPr>
          <w:rFonts w:hint="default"/>
          <w:sz w:val="21"/>
          <w:lang w:val="en-US" w:eastAsia="zh-CN"/>
        </w:rPr>
      </w:pPr>
    </w:p>
    <w:tbl>
      <w:tblPr>
        <w:tblStyle w:val="27"/>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4"/>
        <w:gridCol w:w="4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644" w:type="dxa"/>
            <w:noWrap w:val="0"/>
            <w:vAlign w:val="bottom"/>
          </w:tcPr>
          <w:p>
            <w:pPr>
              <w:pStyle w:val="8"/>
              <w:spacing w:line="360" w:lineRule="auto"/>
              <w:jc w:val="center"/>
              <w:rPr>
                <w:rFonts w:hint="default"/>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29" name="图片 10" descr="534b22ab47770a2a54cf89f7bb5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descr="534b22ab47770a2a54cf89f7bb52319"/>
                          <pic:cNvPicPr>
                            <a:picLocks noChangeAspect="1"/>
                          </pic:cNvPicPr>
                        </pic:nvPicPr>
                        <pic:blipFill>
                          <a:blip r:embed="rId43"/>
                          <a:stretch>
                            <a:fillRect/>
                          </a:stretch>
                        </pic:blipFill>
                        <pic:spPr>
                          <a:xfrm>
                            <a:off x="0" y="0"/>
                            <a:ext cx="2811145" cy="2107565"/>
                          </a:xfrm>
                          <a:prstGeom prst="rect">
                            <a:avLst/>
                          </a:prstGeom>
                          <a:noFill/>
                          <a:ln>
                            <a:noFill/>
                          </a:ln>
                        </pic:spPr>
                      </pic:pic>
                    </a:graphicData>
                  </a:graphic>
                </wp:inline>
              </w:drawing>
            </w:r>
          </w:p>
        </w:tc>
        <w:tc>
          <w:tcPr>
            <w:tcW w:w="4644" w:type="dxa"/>
            <w:noWrap w:val="0"/>
            <w:vAlign w:val="bottom"/>
          </w:tcPr>
          <w:p>
            <w:pPr>
              <w:pStyle w:val="8"/>
              <w:spacing w:line="360" w:lineRule="auto"/>
              <w:jc w:val="center"/>
              <w:rPr>
                <w:rFonts w:hint="default"/>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53" name="图片 11" descr="243ed1714db8c8de704d35dc2f78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descr="243ed1714db8c8de704d35dc2f782f2"/>
                          <pic:cNvPicPr>
                            <a:picLocks noChangeAspect="1"/>
                          </pic:cNvPicPr>
                        </pic:nvPicPr>
                        <pic:blipFill>
                          <a:blip r:embed="rId44"/>
                          <a:stretch>
                            <a:fillRect/>
                          </a:stretch>
                        </pic:blipFill>
                        <pic:spPr>
                          <a:xfrm>
                            <a:off x="0" y="0"/>
                            <a:ext cx="2811145" cy="21075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644" w:type="dxa"/>
            <w:noWrap w:val="0"/>
            <w:vAlign w:val="bottom"/>
          </w:tcPr>
          <w:p>
            <w:pPr>
              <w:pStyle w:val="8"/>
              <w:spacing w:line="360" w:lineRule="auto"/>
              <w:jc w:val="center"/>
              <w:rPr>
                <w:rFonts w:hint="default"/>
                <w:sz w:val="24"/>
                <w:szCs w:val="24"/>
                <w:vertAlign w:val="baseline"/>
                <w:lang w:val="en-US" w:eastAsia="zh-CN"/>
              </w:rPr>
            </w:pPr>
            <w:r>
              <w:rPr>
                <w:rFonts w:hint="eastAsia"/>
                <w:sz w:val="24"/>
                <w:szCs w:val="24"/>
                <w:vertAlign w:val="baseline"/>
                <w:lang w:val="en-US" w:eastAsia="zh-CN"/>
              </w:rPr>
              <w:t>项目东侧</w:t>
            </w:r>
          </w:p>
        </w:tc>
        <w:tc>
          <w:tcPr>
            <w:tcW w:w="4644" w:type="dxa"/>
            <w:noWrap w:val="0"/>
            <w:vAlign w:val="bottom"/>
          </w:tcPr>
          <w:p>
            <w:pPr>
              <w:pStyle w:val="8"/>
              <w:spacing w:line="360" w:lineRule="auto"/>
              <w:jc w:val="center"/>
              <w:rPr>
                <w:rFonts w:hint="default"/>
                <w:sz w:val="24"/>
                <w:szCs w:val="24"/>
                <w:vertAlign w:val="baseline"/>
                <w:lang w:val="en-US" w:eastAsia="zh-CN"/>
              </w:rPr>
            </w:pPr>
            <w:r>
              <w:rPr>
                <w:rFonts w:hint="eastAsia"/>
                <w:sz w:val="24"/>
                <w:szCs w:val="24"/>
                <w:vertAlign w:val="baseline"/>
                <w:lang w:val="en-US" w:eastAsia="zh-CN"/>
              </w:rPr>
              <w:t>项目南侧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644" w:type="dxa"/>
            <w:noWrap w:val="0"/>
            <w:vAlign w:val="bottom"/>
          </w:tcPr>
          <w:p>
            <w:pPr>
              <w:pStyle w:val="8"/>
              <w:spacing w:line="360" w:lineRule="auto"/>
              <w:jc w:val="center"/>
              <w:rPr>
                <w:rFonts w:hint="default"/>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43" name="图片 12" descr="fe497a90826c3c6d2cc6ab06f4e9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descr="fe497a90826c3c6d2cc6ab06f4e9f14"/>
                          <pic:cNvPicPr>
                            <a:picLocks noChangeAspect="1"/>
                          </pic:cNvPicPr>
                        </pic:nvPicPr>
                        <pic:blipFill>
                          <a:blip r:embed="rId45"/>
                          <a:stretch>
                            <a:fillRect/>
                          </a:stretch>
                        </pic:blipFill>
                        <pic:spPr>
                          <a:xfrm>
                            <a:off x="0" y="0"/>
                            <a:ext cx="2811145" cy="2107565"/>
                          </a:xfrm>
                          <a:prstGeom prst="rect">
                            <a:avLst/>
                          </a:prstGeom>
                          <a:noFill/>
                          <a:ln>
                            <a:noFill/>
                          </a:ln>
                        </pic:spPr>
                      </pic:pic>
                    </a:graphicData>
                  </a:graphic>
                </wp:inline>
              </w:drawing>
            </w:r>
          </w:p>
        </w:tc>
        <w:tc>
          <w:tcPr>
            <w:tcW w:w="4644" w:type="dxa"/>
            <w:noWrap w:val="0"/>
            <w:vAlign w:val="bottom"/>
          </w:tcPr>
          <w:p>
            <w:pPr>
              <w:pStyle w:val="8"/>
              <w:spacing w:line="360" w:lineRule="auto"/>
              <w:jc w:val="center"/>
              <w:rPr>
                <w:rFonts w:hint="default"/>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49" name="图片 13" descr="1d1e15aa434413a1b05bbddab7e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descr="1d1e15aa434413a1b05bbddab7e2206"/>
                          <pic:cNvPicPr>
                            <a:picLocks noChangeAspect="1"/>
                          </pic:cNvPicPr>
                        </pic:nvPicPr>
                        <pic:blipFill>
                          <a:blip r:embed="rId46"/>
                          <a:stretch>
                            <a:fillRect/>
                          </a:stretch>
                        </pic:blipFill>
                        <pic:spPr>
                          <a:xfrm>
                            <a:off x="0" y="0"/>
                            <a:ext cx="2811145" cy="21075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644" w:type="dxa"/>
            <w:noWrap w:val="0"/>
            <w:vAlign w:val="bottom"/>
          </w:tcPr>
          <w:p>
            <w:pPr>
              <w:pStyle w:val="8"/>
              <w:spacing w:line="360" w:lineRule="auto"/>
              <w:jc w:val="center"/>
              <w:rPr>
                <w:rFonts w:hint="default"/>
                <w:sz w:val="24"/>
                <w:szCs w:val="24"/>
                <w:vertAlign w:val="baseline"/>
                <w:lang w:val="en-US" w:eastAsia="zh-CN"/>
              </w:rPr>
            </w:pPr>
            <w:r>
              <w:rPr>
                <w:rFonts w:hint="eastAsia"/>
                <w:sz w:val="24"/>
                <w:szCs w:val="24"/>
                <w:vertAlign w:val="baseline"/>
                <w:lang w:val="en-US" w:eastAsia="zh-CN"/>
              </w:rPr>
              <w:t>项目西侧</w:t>
            </w:r>
          </w:p>
        </w:tc>
        <w:tc>
          <w:tcPr>
            <w:tcW w:w="4644" w:type="dxa"/>
            <w:noWrap w:val="0"/>
            <w:vAlign w:val="bottom"/>
          </w:tcPr>
          <w:p>
            <w:pPr>
              <w:pStyle w:val="8"/>
              <w:spacing w:line="360" w:lineRule="auto"/>
              <w:jc w:val="center"/>
              <w:rPr>
                <w:rFonts w:hint="default"/>
                <w:sz w:val="24"/>
                <w:szCs w:val="24"/>
                <w:vertAlign w:val="baseline"/>
                <w:lang w:val="en-US" w:eastAsia="zh-CN"/>
              </w:rPr>
            </w:pPr>
            <w:r>
              <w:rPr>
                <w:rFonts w:hint="eastAsia"/>
                <w:sz w:val="24"/>
                <w:szCs w:val="24"/>
                <w:vertAlign w:val="baseline"/>
                <w:lang w:val="en-US" w:eastAsia="zh-CN"/>
              </w:rPr>
              <w:t>项目北侧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4644" w:type="dxa"/>
            <w:noWrap w:val="0"/>
            <w:vAlign w:val="bottom"/>
          </w:tcPr>
          <w:p>
            <w:pPr>
              <w:pStyle w:val="8"/>
              <w:spacing w:line="360" w:lineRule="auto"/>
              <w:jc w:val="center"/>
              <w:rPr>
                <w:rFonts w:hint="eastAsia"/>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56" name="图片 14" descr="8dfb8908594c3cfb2c214a972028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descr="8dfb8908594c3cfb2c214a9720281e2"/>
                          <pic:cNvPicPr>
                            <a:picLocks noChangeAspect="1"/>
                          </pic:cNvPicPr>
                        </pic:nvPicPr>
                        <pic:blipFill>
                          <a:blip r:embed="rId47"/>
                          <a:stretch>
                            <a:fillRect/>
                          </a:stretch>
                        </pic:blipFill>
                        <pic:spPr>
                          <a:xfrm>
                            <a:off x="0" y="0"/>
                            <a:ext cx="2811145" cy="2107565"/>
                          </a:xfrm>
                          <a:prstGeom prst="rect">
                            <a:avLst/>
                          </a:prstGeom>
                          <a:noFill/>
                          <a:ln>
                            <a:noFill/>
                          </a:ln>
                        </pic:spPr>
                      </pic:pic>
                    </a:graphicData>
                  </a:graphic>
                </wp:inline>
              </w:drawing>
            </w:r>
          </w:p>
        </w:tc>
        <w:tc>
          <w:tcPr>
            <w:tcW w:w="4644" w:type="dxa"/>
            <w:noWrap w:val="0"/>
            <w:vAlign w:val="bottom"/>
          </w:tcPr>
          <w:p>
            <w:pPr>
              <w:pStyle w:val="8"/>
              <w:spacing w:line="360" w:lineRule="auto"/>
              <w:jc w:val="center"/>
              <w:rPr>
                <w:rFonts w:hint="default"/>
                <w:sz w:val="24"/>
                <w:szCs w:val="24"/>
                <w:vertAlign w:val="baseline"/>
                <w:lang w:val="en-US" w:eastAsia="zh-CN"/>
              </w:rPr>
            </w:pPr>
            <w:r>
              <w:rPr>
                <w:rFonts w:hint="default"/>
                <w:sz w:val="24"/>
                <w:szCs w:val="24"/>
                <w:vertAlign w:val="baseline"/>
                <w:lang w:val="en-US" w:eastAsia="zh-CN"/>
              </w:rPr>
              <w:drawing>
                <wp:inline distT="0" distB="0" distL="114300" distR="114300">
                  <wp:extent cx="2811145" cy="2107565"/>
                  <wp:effectExtent l="0" t="0" r="8255" b="6985"/>
                  <wp:docPr id="24" name="图片 15" descr="68fa68432b21a559f58861e9fad7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descr="68fa68432b21a559f58861e9fad7a6d"/>
                          <pic:cNvPicPr>
                            <a:picLocks noChangeAspect="1"/>
                          </pic:cNvPicPr>
                        </pic:nvPicPr>
                        <pic:blipFill>
                          <a:blip r:embed="rId48"/>
                          <a:stretch>
                            <a:fillRect/>
                          </a:stretch>
                        </pic:blipFill>
                        <pic:spPr>
                          <a:xfrm>
                            <a:off x="0" y="0"/>
                            <a:ext cx="2811145" cy="21075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9288" w:type="dxa"/>
            <w:gridSpan w:val="2"/>
            <w:noWrap w:val="0"/>
            <w:vAlign w:val="bottom"/>
          </w:tcPr>
          <w:p>
            <w:pPr>
              <w:pStyle w:val="8"/>
              <w:spacing w:line="360" w:lineRule="auto"/>
              <w:jc w:val="center"/>
              <w:rPr>
                <w:rFonts w:hint="default"/>
                <w:sz w:val="24"/>
                <w:szCs w:val="24"/>
                <w:vertAlign w:val="baseline"/>
                <w:lang w:val="en-US" w:eastAsia="zh-CN"/>
              </w:rPr>
            </w:pPr>
            <w:r>
              <w:rPr>
                <w:rFonts w:hint="eastAsia"/>
                <w:sz w:val="24"/>
                <w:szCs w:val="24"/>
                <w:vertAlign w:val="baseline"/>
                <w:lang w:val="en-US" w:eastAsia="zh-CN"/>
              </w:rPr>
              <w:t>项目厂房及环评师照片</w:t>
            </w:r>
          </w:p>
        </w:tc>
      </w:tr>
    </w:tbl>
    <w:p>
      <w:pPr>
        <w:pStyle w:val="8"/>
        <w:rPr>
          <w:rFonts w:hint="default"/>
          <w:sz w:val="21"/>
          <w:lang w:val="en-US" w:eastAsia="zh-CN"/>
        </w:rPr>
      </w:pPr>
      <w:r>
        <w:rPr>
          <w:sz w:val="24"/>
        </w:rPr>
        <mc:AlternateContent>
          <mc:Choice Requires="wps">
            <w:drawing>
              <wp:anchor distT="0" distB="0" distL="114300" distR="114300" simplePos="0" relativeHeight="251681792" behindDoc="0" locked="0" layoutInCell="1" allowOverlap="1">
                <wp:simplePos x="0" y="0"/>
                <wp:positionH relativeFrom="column">
                  <wp:posOffset>2092960</wp:posOffset>
                </wp:positionH>
                <wp:positionV relativeFrom="paragraph">
                  <wp:posOffset>94615</wp:posOffset>
                </wp:positionV>
                <wp:extent cx="1722755" cy="304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722755" cy="304800"/>
                        </a:xfrm>
                        <a:prstGeom prst="rect">
                          <a:avLst/>
                        </a:prstGeom>
                        <a:noFill/>
                        <a:ln w="6350">
                          <a:noFill/>
                        </a:ln>
                        <a:effectLst/>
                      </wps:spPr>
                      <wps:txb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六</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现场照片</w:t>
                            </w:r>
                          </w:p>
                        </w:txbxContent>
                      </wps:txbx>
                      <wps:bodyPr upright="1"/>
                    </wps:wsp>
                  </a:graphicData>
                </a:graphic>
              </wp:anchor>
            </w:drawing>
          </mc:Choice>
          <mc:Fallback>
            <w:pict>
              <v:shape id="_x0000_s1026" o:spid="_x0000_s1026" o:spt="202" type="#_x0000_t202" style="position:absolute;left:0pt;margin-left:164.8pt;margin-top:7.45pt;height:24pt;width:135.65pt;z-index:251681792;mso-width-relative:page;mso-height-relative:page;" filled="f" stroked="f" coordsize="21600,21600" o:gfxdata="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jicBPtkAAAAJAQAADwAAAAAA&#10;AAABACAAAAAiAAAAZHJzL2Rvd25yZXYueG1sUEsBAhQAFAAAAAgAh07iQEf9egigAQAAGQMAAA4A&#10;AAAAAAAAAQAgAAAAKAEAAGRycy9lMm9Eb2MueG1sUEsFBgAAAAAGAAYAWQEAADoFAAAAAA==&#10;">
                <v:fill on="f" focussize="0,0"/>
                <v:stroke on="f" weight="0.5pt"/>
                <v:imagedata o:title=""/>
                <o:lock v:ext="edit" aspectratio="f"/>
                <v:textbox>
                  <w:txbxContent>
                    <w:p>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eastAsia="zh-CN"/>
                        </w:rPr>
                        <w:t>附图</w:t>
                      </w:r>
                      <w:r>
                        <w:rPr>
                          <w:rFonts w:hint="eastAsia" w:ascii="Times New Roman" w:hAnsi="Times New Roman" w:cs="Times New Roman"/>
                          <w:b/>
                          <w:bCs/>
                          <w:sz w:val="24"/>
                          <w:szCs w:val="24"/>
                          <w:lang w:val="en-US" w:eastAsia="zh-CN"/>
                        </w:rPr>
                        <w:t>六</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 现场照片</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-5737860</wp:posOffset>
                </wp:positionH>
                <wp:positionV relativeFrom="paragraph">
                  <wp:posOffset>3698240</wp:posOffset>
                </wp:positionV>
                <wp:extent cx="75565" cy="76200"/>
                <wp:effectExtent l="6985" t="6985" r="12700" b="12065"/>
                <wp:wrapNone/>
                <wp:docPr id="91" name="菱形 91"/>
                <wp:cNvGraphicFramePr/>
                <a:graphic xmlns:a="http://schemas.openxmlformats.org/drawingml/2006/main">
                  <a:graphicData uri="http://schemas.microsoft.com/office/word/2010/wordprocessingShape">
                    <wps:wsp>
                      <wps:cNvSpPr/>
                      <wps:spPr>
                        <a:xfrm>
                          <a:off x="0" y="0"/>
                          <a:ext cx="75565" cy="76200"/>
                        </a:xfrm>
                        <a:prstGeom prst="diamond">
                          <a:avLst/>
                        </a:prstGeom>
                        <a:solidFill>
                          <a:srgbClr val="FFFF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o:spt="4" type="#_x0000_t4" style="position:absolute;left:0pt;margin-left:-451.8pt;margin-top:291.2pt;height:6pt;width:5.95pt;z-index:251662336;mso-width-relative:page;mso-height-relative:page;" fillcolor="#FFFF00" filled="t" stroked="t" coordsize="21600,21600" o:gfxdata="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d&#10;soraAAAADQEAAA8AAAAAAAAAAQAgAAAAIgAAAGRycy9kb3ducmV2LnhtbFBLAQIUABQAAAAIAIdO&#10;4kA4TK0g6AEAAOADAAAOAAAAAAAAAAEAIAAAACkBAABkcnMvZTJvRG9jLnhtbFBLBQYAAAAABgAG&#10;AFkBAACDBQAA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-5737860</wp:posOffset>
                </wp:positionH>
                <wp:positionV relativeFrom="paragraph">
                  <wp:posOffset>2963545</wp:posOffset>
                </wp:positionV>
                <wp:extent cx="1057275" cy="285750"/>
                <wp:effectExtent l="4445" t="4445" r="5080" b="471805"/>
                <wp:wrapNone/>
                <wp:docPr id="92" name="矩形标注 92"/>
                <wp:cNvGraphicFramePr/>
                <a:graphic xmlns:a="http://schemas.openxmlformats.org/drawingml/2006/main">
                  <a:graphicData uri="http://schemas.microsoft.com/office/word/2010/wordprocessingShape">
                    <wps:wsp>
                      <wps:cNvSpPr/>
                      <wps:spPr>
                        <a:xfrm>
                          <a:off x="0" y="0"/>
                          <a:ext cx="1057275" cy="285750"/>
                        </a:xfrm>
                        <a:prstGeom prst="wedgeRectCallout">
                          <a:avLst>
                            <a:gd name="adj1" fmla="val -47324"/>
                            <a:gd name="adj2" fmla="val 203333"/>
                          </a:avLst>
                        </a:prstGeom>
                        <a:noFill/>
                        <a:ln w="9525" cap="flat" cmpd="sng">
                          <a:solidFill>
                            <a:srgbClr val="000000"/>
                          </a:solidFill>
                          <a:prstDash val="solid"/>
                          <a:miter/>
                          <a:headEnd type="none" w="med" len="med"/>
                          <a:tailEnd type="none" w="med" len="med"/>
                        </a:ln>
                        <a:effectLst/>
                      </wps:spPr>
                      <wps:txbx>
                        <w:txbxContent>
                          <w:p>
                            <w:pPr>
                              <w:rPr>
                                <w:rFonts w:hint="eastAsia" w:eastAsia="宋体"/>
                                <w:b/>
                                <w:bCs/>
                                <w:color w:val="FF0000"/>
                                <w:lang w:eastAsia="zh-CN"/>
                              </w:rPr>
                            </w:pPr>
                            <w:r>
                              <w:rPr>
                                <w:rFonts w:hint="eastAsia"/>
                                <w:b/>
                                <w:bCs/>
                                <w:color w:val="FF0000"/>
                                <w:lang w:eastAsia="zh-CN"/>
                              </w:rPr>
                              <w:t>本项目位置</w:t>
                            </w:r>
                          </w:p>
                        </w:txbxContent>
                      </wps:txbx>
                      <wps:bodyPr upright="1"/>
                    </wps:wsp>
                  </a:graphicData>
                </a:graphic>
              </wp:anchor>
            </w:drawing>
          </mc:Choice>
          <mc:Fallback>
            <w:pict>
              <v:shape id="_x0000_s1026" o:spid="_x0000_s1026" o:spt="61" type="#_x0000_t61" style="position:absolute;left:0pt;margin-left:-451.8pt;margin-top:233.35pt;height:22.5pt;width:83.25pt;z-index:251663360;mso-width-relative:page;mso-height-relative:page;" filled="f" stroked="t" coordsize="21600,21600" o:gfxdata="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N4n8e&#10;2QAAAA0BAAAPAAAAAAAAAAEAIAAAACIAAABkcnMvZG93bnJldi54bWxQSwECFAAUAAAACACHTuJA&#10;3YyfwiACAAAnBAAADgAAAAAAAAABACAAAAAoAQAAZHJzL2Uyb0RvYy54bWxQSwUGAAAAAAYABgBZ&#10;AQAAugUAAAAA&#10;" adj="578,54720">
                <v:fill on="f" focussize="0,0"/>
                <v:stroke color="#000000" joinstyle="miter"/>
                <v:imagedata o:title=""/>
                <o:lock v:ext="edit" aspectratio="f"/>
                <v:textbox>
                  <w:txbxContent>
                    <w:p>
                      <w:pPr>
                        <w:rPr>
                          <w:rFonts w:hint="eastAsia" w:eastAsia="宋体"/>
                          <w:b/>
                          <w:bCs/>
                          <w:color w:val="FF0000"/>
                          <w:lang w:eastAsia="zh-CN"/>
                        </w:rPr>
                      </w:pPr>
                      <w:r>
                        <w:rPr>
                          <w:rFonts w:hint="eastAsia"/>
                          <w:b/>
                          <w:bCs/>
                          <w:color w:val="FF0000"/>
                          <w:lang w:eastAsia="zh-CN"/>
                        </w:rPr>
                        <w:t>本项目位置</w:t>
                      </w:r>
                    </w:p>
                  </w:txbxContent>
                </v:textbox>
              </v:shape>
            </w:pict>
          </mc:Fallback>
        </mc:AlternateContent>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1 委托书</w:t>
      </w:r>
    </w:p>
    <w:p>
      <w:pPr>
        <w:jc w:val="left"/>
        <w:rPr>
          <w:rFonts w:hint="default" w:ascii="Times New Roman" w:hAnsi="Times New Roman" w:cs="Times New Roman"/>
          <w:b/>
          <w:bCs/>
          <w:sz w:val="32"/>
          <w:szCs w:val="32"/>
          <w:lang w:eastAsia="zh-CN"/>
        </w:rPr>
      </w:pPr>
      <w:r>
        <w:rPr>
          <w:rFonts w:hint="default" w:ascii="Times New Roman" w:hAnsi="Times New Roman" w:cs="Times New Roman"/>
          <w:b/>
          <w:bCs/>
          <w:sz w:val="32"/>
          <w:szCs w:val="32"/>
          <w:lang w:eastAsia="zh-CN"/>
        </w:rPr>
        <w:drawing>
          <wp:inline distT="0" distB="0" distL="114300" distR="114300">
            <wp:extent cx="5267960" cy="7450455"/>
            <wp:effectExtent l="0" t="0" r="8890" b="17145"/>
            <wp:docPr id="63" name="图片 16" descr="S28BW-82412120840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descr="S28BW-824121208400_00"/>
                    <pic:cNvPicPr>
                      <a:picLocks noChangeAspect="1"/>
                    </pic:cNvPicPr>
                  </pic:nvPicPr>
                  <pic:blipFill>
                    <a:blip r:embed="rId49"/>
                    <a:stretch>
                      <a:fillRect/>
                    </a:stretch>
                  </pic:blipFill>
                  <pic:spPr>
                    <a:xfrm>
                      <a:off x="0" y="0"/>
                      <a:ext cx="5267960" cy="7450455"/>
                    </a:xfrm>
                    <a:prstGeom prst="rect">
                      <a:avLst/>
                    </a:prstGeom>
                    <a:noFill/>
                    <a:ln>
                      <a:noFill/>
                    </a:ln>
                  </pic:spPr>
                </pic:pic>
              </a:graphicData>
            </a:graphic>
          </wp:inline>
        </w:drawing>
      </w:r>
    </w:p>
    <w:p>
      <w:pPr>
        <w:jc w:val="left"/>
        <w:rPr>
          <w:rFonts w:hint="default" w:ascii="Times New Roman" w:hAnsi="Times New Roman" w:cs="Times New Roman"/>
          <w:b/>
          <w:bCs/>
          <w:sz w:val="32"/>
          <w:szCs w:val="32"/>
          <w:lang w:eastAsia="zh-CN"/>
        </w:rPr>
      </w:pPr>
    </w:p>
    <w:p>
      <w:pPr>
        <w:rPr>
          <w:rFonts w:hint="eastAsia"/>
          <w:b/>
          <w:bCs/>
          <w:sz w:val="32"/>
          <w:szCs w:val="32"/>
          <w:lang w:eastAsia="zh-CN"/>
        </w:rPr>
      </w:pPr>
      <w:r>
        <w:rPr>
          <w:rFonts w:hint="eastAsia"/>
          <w:b/>
          <w:bCs/>
          <w:sz w:val="32"/>
          <w:szCs w:val="32"/>
          <w:lang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2 发改委备案证明</w:t>
      </w:r>
    </w:p>
    <w:p>
      <w:pPr>
        <w:rPr>
          <w:rFonts w:hint="eastAsia"/>
          <w:b/>
          <w:bCs/>
          <w:sz w:val="32"/>
          <w:szCs w:val="32"/>
          <w:lang w:val="en-US" w:eastAsia="zh-CN"/>
        </w:rPr>
        <w:sectPr>
          <w:pgSz w:w="11906" w:h="16838"/>
          <w:pgMar w:top="1440" w:right="1800" w:bottom="1440" w:left="1800" w:header="851" w:footer="992" w:gutter="0"/>
          <w:cols w:space="720" w:num="1"/>
          <w:docGrid w:type="lines" w:linePitch="312" w:charSpace="0"/>
        </w:sectPr>
      </w:pPr>
      <w:r>
        <w:rPr>
          <w:rFonts w:hint="eastAsia"/>
          <w:b/>
          <w:bCs/>
          <w:sz w:val="32"/>
          <w:szCs w:val="32"/>
          <w:lang w:val="en-US" w:eastAsia="zh-CN"/>
        </w:rPr>
        <w:drawing>
          <wp:inline distT="0" distB="0" distL="114300" distR="114300">
            <wp:extent cx="5267960" cy="7450455"/>
            <wp:effectExtent l="0" t="0" r="8890" b="17145"/>
            <wp:docPr id="61" name="图片 17" descr="S28BW-82412120842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 descr="S28BW-824121208420_00"/>
                    <pic:cNvPicPr>
                      <a:picLocks noChangeAspect="1"/>
                    </pic:cNvPicPr>
                  </pic:nvPicPr>
                  <pic:blipFill>
                    <a:blip r:embed="rId50"/>
                    <a:stretch>
                      <a:fillRect/>
                    </a:stretch>
                  </pic:blipFill>
                  <pic:spPr>
                    <a:xfrm>
                      <a:off x="0" y="0"/>
                      <a:ext cx="5267960" cy="7450455"/>
                    </a:xfrm>
                    <a:prstGeom prst="rect">
                      <a:avLst/>
                    </a:prstGeom>
                    <a:noFill/>
                    <a:ln>
                      <a:noFill/>
                    </a:ln>
                  </pic:spPr>
                </pic:pic>
              </a:graphicData>
            </a:graphic>
          </wp:inline>
        </w:drawing>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3</w:t>
      </w:r>
      <w:bookmarkStart w:id="2" w:name="_GoBack"/>
      <w:bookmarkEnd w:id="2"/>
      <w:r>
        <w:rPr>
          <w:rFonts w:hint="eastAsia"/>
          <w:b/>
          <w:bCs/>
          <w:sz w:val="32"/>
          <w:szCs w:val="32"/>
          <w:lang w:val="en-US" w:eastAsia="zh-CN"/>
        </w:rPr>
        <w:t>土地证明</w:t>
      </w:r>
    </w:p>
    <w:p>
      <w:pPr>
        <w:rPr>
          <w:rFonts w:hint="default"/>
          <w:b/>
          <w:bCs/>
          <w:sz w:val="32"/>
          <w:szCs w:val="32"/>
          <w:lang w:val="en-US" w:eastAsia="zh-CN"/>
        </w:rPr>
        <w:sectPr>
          <w:pgSz w:w="11906" w:h="16838"/>
          <w:pgMar w:top="1440" w:right="1800" w:bottom="1440" w:left="1800" w:header="851" w:footer="992" w:gutter="0"/>
          <w:cols w:space="720" w:num="1"/>
          <w:docGrid w:type="lines" w:linePitch="312" w:charSpace="0"/>
        </w:sectPr>
      </w:pPr>
    </w:p>
    <w:p>
      <w:pPr>
        <w:rPr>
          <w:rFonts w:hint="eastAsia"/>
          <w:b/>
          <w:bCs/>
          <w:sz w:val="32"/>
          <w:szCs w:val="32"/>
          <w:lang w:val="en-US" w:eastAsia="zh-CN"/>
        </w:rPr>
      </w:pPr>
      <w:r>
        <w:rPr>
          <w:rFonts w:hint="eastAsia"/>
          <w:b/>
          <w:bCs/>
          <w:sz w:val="32"/>
          <w:szCs w:val="32"/>
          <w:lang w:val="en-US"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4 租赁协议</w:t>
      </w:r>
    </w:p>
    <w:p>
      <w:pPr>
        <w:rPr>
          <w:rFonts w:hint="eastAsia"/>
          <w:b/>
          <w:bCs/>
          <w:sz w:val="32"/>
          <w:szCs w:val="32"/>
          <w:lang w:val="en-US" w:eastAsia="zh-CN"/>
        </w:rPr>
      </w:pPr>
      <w:r>
        <w:rPr>
          <w:rFonts w:hint="eastAsia"/>
          <w:b/>
          <w:bCs/>
          <w:sz w:val="32"/>
          <w:szCs w:val="32"/>
          <w:lang w:val="en-US" w:eastAsia="zh-CN"/>
        </w:rPr>
        <w:drawing>
          <wp:inline distT="0" distB="0" distL="114300" distR="114300">
            <wp:extent cx="5267960" cy="7453630"/>
            <wp:effectExtent l="0" t="0" r="8890" b="13970"/>
            <wp:docPr id="97" name="图片 20" descr="租赁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0" descr="租赁协议_00"/>
                    <pic:cNvPicPr>
                      <a:picLocks noChangeAspect="1"/>
                    </pic:cNvPicPr>
                  </pic:nvPicPr>
                  <pic:blipFill>
                    <a:blip r:embed="rId51"/>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57" name="图片 21" descr="租赁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descr="租赁协议_01"/>
                    <pic:cNvPicPr>
                      <a:picLocks noChangeAspect="1"/>
                    </pic:cNvPicPr>
                  </pic:nvPicPr>
                  <pic:blipFill>
                    <a:blip r:embed="rId52"/>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59" name="图片 22" descr="租赁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2" descr="租赁协议_02"/>
                    <pic:cNvPicPr>
                      <a:picLocks noChangeAspect="1"/>
                    </pic:cNvPicPr>
                  </pic:nvPicPr>
                  <pic:blipFill>
                    <a:blip r:embed="rId53"/>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62" name="图片 23" descr="租赁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3" descr="租赁协议_03"/>
                    <pic:cNvPicPr>
                      <a:picLocks noChangeAspect="1"/>
                    </pic:cNvPicPr>
                  </pic:nvPicPr>
                  <pic:blipFill>
                    <a:blip r:embed="rId54"/>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64" name="图片 24" descr="租赁协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4" descr="租赁协议_04"/>
                    <pic:cNvPicPr>
                      <a:picLocks noChangeAspect="1"/>
                    </pic:cNvPicPr>
                  </pic:nvPicPr>
                  <pic:blipFill>
                    <a:blip r:embed="rId55"/>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67" name="图片 25" descr="租赁协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descr="租赁协议_05"/>
                    <pic:cNvPicPr>
                      <a:picLocks noChangeAspect="1"/>
                    </pic:cNvPicPr>
                  </pic:nvPicPr>
                  <pic:blipFill>
                    <a:blip r:embed="rId56"/>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16" name="图片 26" descr="租赁协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6" descr="租赁协议_06"/>
                    <pic:cNvPicPr>
                      <a:picLocks noChangeAspect="1"/>
                    </pic:cNvPicPr>
                  </pic:nvPicPr>
                  <pic:blipFill>
                    <a:blip r:embed="rId57"/>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18" name="图片 27" descr="租赁协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7" descr="租赁协议_07"/>
                    <pic:cNvPicPr>
                      <a:picLocks noChangeAspect="1"/>
                    </pic:cNvPicPr>
                  </pic:nvPicPr>
                  <pic:blipFill>
                    <a:blip r:embed="rId58"/>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17" name="图片 28" descr="租赁协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8" descr="租赁协议_08"/>
                    <pic:cNvPicPr>
                      <a:picLocks noChangeAspect="1"/>
                    </pic:cNvPicPr>
                  </pic:nvPicPr>
                  <pic:blipFill>
                    <a:blip r:embed="rId59"/>
                    <a:stretch>
                      <a:fillRect/>
                    </a:stretch>
                  </pic:blipFill>
                  <pic:spPr>
                    <a:xfrm>
                      <a:off x="0" y="0"/>
                      <a:ext cx="5267960" cy="7453630"/>
                    </a:xfrm>
                    <a:prstGeom prst="rect">
                      <a:avLst/>
                    </a:prstGeom>
                    <a:noFill/>
                    <a:ln>
                      <a:noFill/>
                    </a:ln>
                  </pic:spPr>
                </pic:pic>
              </a:graphicData>
            </a:graphic>
          </wp:inline>
        </w:drawing>
      </w:r>
      <w:r>
        <w:rPr>
          <w:rFonts w:hint="eastAsia"/>
          <w:b/>
          <w:bCs/>
          <w:sz w:val="32"/>
          <w:szCs w:val="32"/>
          <w:lang w:val="en-US" w:eastAsia="zh-CN"/>
        </w:rPr>
        <w:drawing>
          <wp:inline distT="0" distB="0" distL="114300" distR="114300">
            <wp:extent cx="5267960" cy="7453630"/>
            <wp:effectExtent l="0" t="0" r="8890" b="13970"/>
            <wp:docPr id="1" name="图片 29" descr="租赁协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9" descr="租赁协议_09"/>
                    <pic:cNvPicPr>
                      <a:picLocks noChangeAspect="1"/>
                    </pic:cNvPicPr>
                  </pic:nvPicPr>
                  <pic:blipFill>
                    <a:blip r:embed="rId60"/>
                    <a:stretch>
                      <a:fillRect/>
                    </a:stretch>
                  </pic:blipFill>
                  <pic:spPr>
                    <a:xfrm>
                      <a:off x="0" y="0"/>
                      <a:ext cx="5267960" cy="7453630"/>
                    </a:xfrm>
                    <a:prstGeom prst="rect">
                      <a:avLst/>
                    </a:prstGeom>
                    <a:noFill/>
                    <a:ln>
                      <a:noFill/>
                    </a:ln>
                  </pic:spPr>
                </pic:pic>
              </a:graphicData>
            </a:graphic>
          </wp:inline>
        </w:drawing>
      </w:r>
    </w:p>
    <w:p>
      <w:pPr>
        <w:rPr>
          <w:rFonts w:hint="eastAsia"/>
          <w:b/>
          <w:bCs/>
          <w:sz w:val="32"/>
          <w:szCs w:val="32"/>
          <w:lang w:val="en-US" w:eastAsia="zh-CN"/>
        </w:rPr>
      </w:pPr>
      <w:r>
        <w:rPr>
          <w:rFonts w:hint="eastAsia"/>
          <w:b/>
          <w:bCs/>
          <w:sz w:val="32"/>
          <w:szCs w:val="32"/>
          <w:lang w:val="en-US"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5 规划证明</w:t>
      </w:r>
    </w:p>
    <w:p>
      <w:pPr>
        <w:rPr>
          <w:rFonts w:hint="default" w:ascii="Times New Roman" w:hAnsi="Times New Roman" w:cs="Times New Roman"/>
          <w:b/>
          <w:bCs/>
          <w:sz w:val="32"/>
          <w:szCs w:val="32"/>
          <w:lang w:eastAsia="zh-CN"/>
        </w:rPr>
      </w:pPr>
      <w:r>
        <w:rPr>
          <w:rFonts w:hint="default" w:ascii="Times New Roman" w:hAnsi="Times New Roman" w:cs="Times New Roman"/>
          <w:b/>
          <w:bCs/>
          <w:sz w:val="32"/>
          <w:szCs w:val="32"/>
          <w:lang w:eastAsia="zh-CN"/>
        </w:rPr>
        <w:drawing>
          <wp:inline distT="0" distB="0" distL="114300" distR="114300">
            <wp:extent cx="5278755" cy="6946900"/>
            <wp:effectExtent l="0" t="0" r="17145" b="6350"/>
            <wp:docPr id="3" name="图片 30" descr="规划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0" descr="规划证"/>
                    <pic:cNvPicPr>
                      <a:picLocks noChangeAspect="1"/>
                    </pic:cNvPicPr>
                  </pic:nvPicPr>
                  <pic:blipFill>
                    <a:blip r:embed="rId61"/>
                    <a:srcRect l="4355" t="21046" r="1923" b="23155"/>
                    <a:stretch>
                      <a:fillRect/>
                    </a:stretch>
                  </pic:blipFill>
                  <pic:spPr>
                    <a:xfrm>
                      <a:off x="0" y="0"/>
                      <a:ext cx="5278755" cy="6946900"/>
                    </a:xfrm>
                    <a:prstGeom prst="rect">
                      <a:avLst/>
                    </a:prstGeom>
                    <a:noFill/>
                    <a:ln>
                      <a:noFill/>
                    </a:ln>
                  </pic:spPr>
                </pic:pic>
              </a:graphicData>
            </a:graphic>
          </wp:inline>
        </w:drawing>
      </w:r>
    </w:p>
    <w:p>
      <w:pPr>
        <w:rPr>
          <w:rFonts w:hint="default" w:ascii="Times New Roman" w:hAnsi="Times New Roman" w:cs="Times New Roman"/>
          <w:b/>
          <w:bCs/>
          <w:sz w:val="32"/>
          <w:szCs w:val="32"/>
          <w:lang w:eastAsia="zh-CN"/>
        </w:rPr>
      </w:pPr>
      <w:r>
        <w:rPr>
          <w:rFonts w:hint="default" w:ascii="Times New Roman" w:hAnsi="Times New Roman" w:cs="Times New Roman"/>
          <w:b/>
          <w:bCs/>
          <w:sz w:val="32"/>
          <w:szCs w:val="32"/>
          <w:lang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6 卧龙艾草产业园（一期）建设项目环评批复</w:t>
      </w:r>
    </w:p>
    <w:p>
      <w:pPr>
        <w:rPr>
          <w:rFonts w:hint="eastAsia"/>
          <w:b/>
          <w:bCs/>
          <w:sz w:val="32"/>
          <w:szCs w:val="32"/>
          <w:lang w:eastAsia="zh-CN"/>
        </w:rPr>
      </w:pPr>
      <w:r>
        <w:rPr>
          <w:rFonts w:hint="eastAsia"/>
          <w:b/>
          <w:bCs/>
          <w:sz w:val="32"/>
          <w:szCs w:val="32"/>
          <w:lang w:eastAsia="zh-CN"/>
        </w:rPr>
        <w:drawing>
          <wp:inline distT="0" distB="0" distL="114300" distR="114300">
            <wp:extent cx="5269230" cy="6546850"/>
            <wp:effectExtent l="0" t="0" r="7620" b="6350"/>
            <wp:docPr id="4" name="图片 31" descr="微信图片_2024041515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1" descr="微信图片_20240415150659"/>
                    <pic:cNvPicPr>
                      <a:picLocks noChangeAspect="1"/>
                    </pic:cNvPicPr>
                  </pic:nvPicPr>
                  <pic:blipFill>
                    <a:blip r:embed="rId62"/>
                    <a:stretch>
                      <a:fillRect/>
                    </a:stretch>
                  </pic:blipFill>
                  <pic:spPr>
                    <a:xfrm>
                      <a:off x="0" y="0"/>
                      <a:ext cx="5269230" cy="6546850"/>
                    </a:xfrm>
                    <a:prstGeom prst="rect">
                      <a:avLst/>
                    </a:prstGeom>
                    <a:noFill/>
                    <a:ln>
                      <a:noFill/>
                    </a:ln>
                  </pic:spPr>
                </pic:pic>
              </a:graphicData>
            </a:graphic>
          </wp:inline>
        </w:drawing>
      </w:r>
      <w:r>
        <w:rPr>
          <w:rFonts w:hint="eastAsia"/>
          <w:b/>
          <w:bCs/>
          <w:sz w:val="32"/>
          <w:szCs w:val="32"/>
          <w:lang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7 营业执照</w:t>
      </w:r>
    </w:p>
    <w:p>
      <w:pPr>
        <w:rPr>
          <w:rFonts w:hint="eastAsia"/>
          <w:b/>
          <w:bCs/>
          <w:sz w:val="32"/>
          <w:szCs w:val="32"/>
          <w:lang w:val="en-US" w:eastAsia="zh-CN"/>
        </w:rPr>
      </w:pPr>
      <w:r>
        <w:rPr>
          <w:rFonts w:hint="eastAsia"/>
          <w:b/>
          <w:bCs/>
          <w:sz w:val="32"/>
          <w:szCs w:val="32"/>
          <w:lang w:val="en-US" w:eastAsia="zh-CN"/>
        </w:rPr>
        <w:drawing>
          <wp:inline distT="0" distB="0" distL="114300" distR="114300">
            <wp:extent cx="5262880" cy="7459980"/>
            <wp:effectExtent l="0" t="0" r="13970" b="7620"/>
            <wp:docPr id="2" name="图片 3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2" descr="营业执照"/>
                    <pic:cNvPicPr>
                      <a:picLocks noChangeAspect="1"/>
                    </pic:cNvPicPr>
                  </pic:nvPicPr>
                  <pic:blipFill>
                    <a:blip r:embed="rId63"/>
                    <a:stretch>
                      <a:fillRect/>
                    </a:stretch>
                  </pic:blipFill>
                  <pic:spPr>
                    <a:xfrm rot="10800000">
                      <a:off x="0" y="0"/>
                      <a:ext cx="5262880" cy="7459980"/>
                    </a:xfrm>
                    <a:prstGeom prst="rect">
                      <a:avLst/>
                    </a:prstGeom>
                    <a:noFill/>
                    <a:ln>
                      <a:noFill/>
                    </a:ln>
                  </pic:spPr>
                </pic:pic>
              </a:graphicData>
            </a:graphic>
          </wp:inline>
        </w:drawing>
      </w:r>
    </w:p>
    <w:p>
      <w:pPr>
        <w:rPr>
          <w:rFonts w:hint="eastAsia"/>
          <w:b/>
          <w:bCs/>
          <w:sz w:val="32"/>
          <w:szCs w:val="32"/>
          <w:lang w:val="en-US" w:eastAsia="zh-CN"/>
        </w:rPr>
      </w:pPr>
      <w:r>
        <w:rPr>
          <w:rFonts w:hint="eastAsia"/>
          <w:b/>
          <w:bCs/>
          <w:sz w:val="32"/>
          <w:szCs w:val="32"/>
          <w:lang w:val="en-US" w:eastAsia="zh-CN"/>
        </w:rPr>
        <w:br w:type="page"/>
      </w:r>
    </w:p>
    <w:p>
      <w:pPr>
        <w:rPr>
          <w:rFonts w:hint="eastAsia"/>
          <w:b/>
          <w:bCs/>
          <w:sz w:val="32"/>
          <w:szCs w:val="32"/>
          <w:lang w:val="en-US" w:eastAsia="zh-CN"/>
        </w:rPr>
      </w:pPr>
      <w:r>
        <w:rPr>
          <w:rFonts w:hint="eastAsia"/>
          <w:b/>
          <w:bCs/>
          <w:sz w:val="32"/>
          <w:szCs w:val="32"/>
          <w:lang w:eastAsia="zh-CN"/>
        </w:rPr>
        <w:t>附件</w:t>
      </w:r>
      <w:r>
        <w:rPr>
          <w:rFonts w:hint="eastAsia"/>
          <w:b/>
          <w:bCs/>
          <w:sz w:val="32"/>
          <w:szCs w:val="32"/>
          <w:lang w:val="en-US" w:eastAsia="zh-CN"/>
        </w:rPr>
        <w:t>8 法人身份证</w:t>
      </w:r>
    </w:p>
    <w:p>
      <w:pPr>
        <w:rPr>
          <w:rFonts w:hint="default" w:ascii="Times New Roman" w:hAnsi="Times New Roman" w:cs="Times New Roman"/>
          <w:b/>
          <w:bCs/>
          <w:sz w:val="32"/>
          <w:szCs w:val="32"/>
          <w:lang w:eastAsia="zh-CN"/>
        </w:rPr>
      </w:pPr>
    </w:p>
    <w:p/>
    <w:p/>
    <w:sectPr>
      <w:pgSz w:w="11906" w:h="16838"/>
      <w:pgMar w:top="1440" w:right="1417" w:bottom="1440" w:left="1417" w:header="851" w:footer="992" w:gutter="0"/>
      <w:cols w:space="720" w:num="1"/>
      <w:rtlGutter w:val="0"/>
      <w:docGrid w:type="lines" w:linePitch="32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方正小标宋_GBK">
    <w:altName w:val="微软雅黑"/>
    <w:panose1 w:val="03000509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XAyHIUAgAAFQ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RcDIchQCAAAVBAAADgAAAAAAAAAB&#10;ACAAAAAfAQAAZHJzL2Uyb0RvYy54bWxQSwUGAAAAAAYABgBZAQAApQU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1JoQUVAgAAFQ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bylRDOFHZ1+fD/9fDj9+kagA0Ct9TP4bSw8Q/fOdFj0oPdQxrm7&#10;yql4YyICO6A+XuAVXSA8Bk0n02kOE4dteCB/9hhunQ/vhVEkCgV12F+ClR3WPvSug0usps2qkTLt&#10;UGrSFvTq9Z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P1JoQUVAgAAFQQAAA4AAAAAAAAA&#10;AQAgAAAAHwEAAGRycy9lMm9Eb2MueG1sUEsFBgAAAAAGAAYAWQEAAKY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76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68989B"/>
    <w:multiLevelType w:val="singleLevel"/>
    <w:tmpl w:val="9068989B"/>
    <w:lvl w:ilvl="0" w:tentative="0">
      <w:start w:val="1"/>
      <w:numFmt w:val="decimal"/>
      <w:suff w:val="nothing"/>
      <w:lvlText w:val="%1、"/>
      <w:lvlJc w:val="left"/>
    </w:lvl>
  </w:abstractNum>
  <w:abstractNum w:abstractNumId="1">
    <w:nsid w:val="E0E9498B"/>
    <w:multiLevelType w:val="singleLevel"/>
    <w:tmpl w:val="E0E9498B"/>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JlYzUyMDU3MWQ4MGY2MGRlNjRjMWFlMWM4YWJhYmM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AA6"/>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512"/>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50C0"/>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84750"/>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2A220E"/>
    <w:rsid w:val="015D1E09"/>
    <w:rsid w:val="016F5DA7"/>
    <w:rsid w:val="01F75B26"/>
    <w:rsid w:val="02051BBE"/>
    <w:rsid w:val="02574237"/>
    <w:rsid w:val="026913C2"/>
    <w:rsid w:val="02697903"/>
    <w:rsid w:val="02C612F3"/>
    <w:rsid w:val="02F96569"/>
    <w:rsid w:val="03EA7B21"/>
    <w:rsid w:val="04430370"/>
    <w:rsid w:val="04AA42B9"/>
    <w:rsid w:val="04C35225"/>
    <w:rsid w:val="04C47FF8"/>
    <w:rsid w:val="05B4103E"/>
    <w:rsid w:val="05F83EAE"/>
    <w:rsid w:val="06036029"/>
    <w:rsid w:val="060816FA"/>
    <w:rsid w:val="063E7D85"/>
    <w:rsid w:val="06557E7C"/>
    <w:rsid w:val="06663057"/>
    <w:rsid w:val="06892A43"/>
    <w:rsid w:val="068C11EB"/>
    <w:rsid w:val="07293586"/>
    <w:rsid w:val="07295285"/>
    <w:rsid w:val="07636392"/>
    <w:rsid w:val="07770C56"/>
    <w:rsid w:val="079E58DB"/>
    <w:rsid w:val="081C1CBE"/>
    <w:rsid w:val="08376F6A"/>
    <w:rsid w:val="08640382"/>
    <w:rsid w:val="08B41C75"/>
    <w:rsid w:val="092201DE"/>
    <w:rsid w:val="092217DD"/>
    <w:rsid w:val="09221A8D"/>
    <w:rsid w:val="093A7294"/>
    <w:rsid w:val="0A263993"/>
    <w:rsid w:val="0A2D3AC2"/>
    <w:rsid w:val="0A750A4E"/>
    <w:rsid w:val="0AA755DF"/>
    <w:rsid w:val="0B120D44"/>
    <w:rsid w:val="0BD27BF6"/>
    <w:rsid w:val="0C3B3C7D"/>
    <w:rsid w:val="0C53107F"/>
    <w:rsid w:val="0C601917"/>
    <w:rsid w:val="0C7139C9"/>
    <w:rsid w:val="0C877528"/>
    <w:rsid w:val="0CAB2EAE"/>
    <w:rsid w:val="0CC47758"/>
    <w:rsid w:val="0D1D123A"/>
    <w:rsid w:val="0D621C7D"/>
    <w:rsid w:val="0DDA462A"/>
    <w:rsid w:val="0E3A00E1"/>
    <w:rsid w:val="0E681731"/>
    <w:rsid w:val="0E73034D"/>
    <w:rsid w:val="0E81102D"/>
    <w:rsid w:val="0ED201AD"/>
    <w:rsid w:val="0F056DFE"/>
    <w:rsid w:val="0F13775A"/>
    <w:rsid w:val="0F293D6D"/>
    <w:rsid w:val="0F5F45FE"/>
    <w:rsid w:val="0F6A1AE7"/>
    <w:rsid w:val="0F9A112B"/>
    <w:rsid w:val="106D2F64"/>
    <w:rsid w:val="10B63710"/>
    <w:rsid w:val="10F10820"/>
    <w:rsid w:val="111C2F7A"/>
    <w:rsid w:val="113C1CC7"/>
    <w:rsid w:val="113E2699"/>
    <w:rsid w:val="11665CA1"/>
    <w:rsid w:val="11814507"/>
    <w:rsid w:val="126F6E60"/>
    <w:rsid w:val="127177E7"/>
    <w:rsid w:val="127B59C0"/>
    <w:rsid w:val="128F3FA9"/>
    <w:rsid w:val="129E0380"/>
    <w:rsid w:val="12CB6ED4"/>
    <w:rsid w:val="12CF4809"/>
    <w:rsid w:val="132C2349"/>
    <w:rsid w:val="136447C8"/>
    <w:rsid w:val="13951726"/>
    <w:rsid w:val="140F0527"/>
    <w:rsid w:val="142D4ED8"/>
    <w:rsid w:val="14396509"/>
    <w:rsid w:val="14AF44E2"/>
    <w:rsid w:val="14DD2C3C"/>
    <w:rsid w:val="150338BE"/>
    <w:rsid w:val="15886E67"/>
    <w:rsid w:val="15A47E03"/>
    <w:rsid w:val="16087E1D"/>
    <w:rsid w:val="16CC4CA7"/>
    <w:rsid w:val="16F413C5"/>
    <w:rsid w:val="17701D14"/>
    <w:rsid w:val="17735226"/>
    <w:rsid w:val="189F624C"/>
    <w:rsid w:val="190938FB"/>
    <w:rsid w:val="1910494D"/>
    <w:rsid w:val="19C56C22"/>
    <w:rsid w:val="1A1C66C0"/>
    <w:rsid w:val="1A42393B"/>
    <w:rsid w:val="1A95442A"/>
    <w:rsid w:val="1AAD45DE"/>
    <w:rsid w:val="1B046F80"/>
    <w:rsid w:val="1B183080"/>
    <w:rsid w:val="1B1F39CC"/>
    <w:rsid w:val="1B2A271F"/>
    <w:rsid w:val="1B3267B5"/>
    <w:rsid w:val="1B40161D"/>
    <w:rsid w:val="1B441859"/>
    <w:rsid w:val="1B6606B1"/>
    <w:rsid w:val="1C5E7925"/>
    <w:rsid w:val="1C885EDE"/>
    <w:rsid w:val="1C96589C"/>
    <w:rsid w:val="1CC03ABA"/>
    <w:rsid w:val="1CC21AAC"/>
    <w:rsid w:val="1CD925E1"/>
    <w:rsid w:val="1CFD070F"/>
    <w:rsid w:val="1D36530B"/>
    <w:rsid w:val="1D5F6196"/>
    <w:rsid w:val="1D6132A5"/>
    <w:rsid w:val="1D8E56D5"/>
    <w:rsid w:val="1E11738E"/>
    <w:rsid w:val="1E23065A"/>
    <w:rsid w:val="1E463258"/>
    <w:rsid w:val="1E7A0EF4"/>
    <w:rsid w:val="1E7A43DA"/>
    <w:rsid w:val="1E7F016F"/>
    <w:rsid w:val="1ECC5DE7"/>
    <w:rsid w:val="1EDC3D09"/>
    <w:rsid w:val="1F3317FF"/>
    <w:rsid w:val="1FBB471C"/>
    <w:rsid w:val="1FE7539E"/>
    <w:rsid w:val="20041933"/>
    <w:rsid w:val="203D2E5C"/>
    <w:rsid w:val="205D490E"/>
    <w:rsid w:val="20671BE0"/>
    <w:rsid w:val="20963CB8"/>
    <w:rsid w:val="20A81A1B"/>
    <w:rsid w:val="20B07FB6"/>
    <w:rsid w:val="20B646FB"/>
    <w:rsid w:val="213B74B1"/>
    <w:rsid w:val="214E2934"/>
    <w:rsid w:val="215A2310"/>
    <w:rsid w:val="217A23C3"/>
    <w:rsid w:val="217B3919"/>
    <w:rsid w:val="21815FC3"/>
    <w:rsid w:val="21DE318A"/>
    <w:rsid w:val="21EF5B80"/>
    <w:rsid w:val="22341B28"/>
    <w:rsid w:val="2254309C"/>
    <w:rsid w:val="22576990"/>
    <w:rsid w:val="228F2844"/>
    <w:rsid w:val="22F47480"/>
    <w:rsid w:val="23282A52"/>
    <w:rsid w:val="235F09DE"/>
    <w:rsid w:val="23DE1C48"/>
    <w:rsid w:val="23E460FC"/>
    <w:rsid w:val="240210CD"/>
    <w:rsid w:val="2403409E"/>
    <w:rsid w:val="243F1FDE"/>
    <w:rsid w:val="245C1319"/>
    <w:rsid w:val="24650CEA"/>
    <w:rsid w:val="249B429A"/>
    <w:rsid w:val="24BF09F7"/>
    <w:rsid w:val="24FE5E3A"/>
    <w:rsid w:val="251A32A1"/>
    <w:rsid w:val="252D53FE"/>
    <w:rsid w:val="25301EE0"/>
    <w:rsid w:val="257362C1"/>
    <w:rsid w:val="25EC2D81"/>
    <w:rsid w:val="26D34FFD"/>
    <w:rsid w:val="26DD6952"/>
    <w:rsid w:val="26F03EAF"/>
    <w:rsid w:val="277057A2"/>
    <w:rsid w:val="27CF2AF4"/>
    <w:rsid w:val="286470EF"/>
    <w:rsid w:val="28BB5E26"/>
    <w:rsid w:val="28CF1743"/>
    <w:rsid w:val="28ED3EC6"/>
    <w:rsid w:val="29206EB8"/>
    <w:rsid w:val="292946B4"/>
    <w:rsid w:val="2936080F"/>
    <w:rsid w:val="29595666"/>
    <w:rsid w:val="29874881"/>
    <w:rsid w:val="29BE3608"/>
    <w:rsid w:val="29E325E0"/>
    <w:rsid w:val="2A217B5A"/>
    <w:rsid w:val="2A452503"/>
    <w:rsid w:val="2B2501C0"/>
    <w:rsid w:val="2BA936A8"/>
    <w:rsid w:val="2BF92F32"/>
    <w:rsid w:val="2C315A5A"/>
    <w:rsid w:val="2C4B1C25"/>
    <w:rsid w:val="2C7D571B"/>
    <w:rsid w:val="2CA008E0"/>
    <w:rsid w:val="2D046D1B"/>
    <w:rsid w:val="2D837011"/>
    <w:rsid w:val="2D9E56F5"/>
    <w:rsid w:val="2DA822E4"/>
    <w:rsid w:val="2E667F96"/>
    <w:rsid w:val="2E8226AB"/>
    <w:rsid w:val="2E9F3D98"/>
    <w:rsid w:val="2ED95569"/>
    <w:rsid w:val="2EE75DEB"/>
    <w:rsid w:val="2F174889"/>
    <w:rsid w:val="2FCF307B"/>
    <w:rsid w:val="2FD065E6"/>
    <w:rsid w:val="2FD96870"/>
    <w:rsid w:val="2FFB6945"/>
    <w:rsid w:val="300D032E"/>
    <w:rsid w:val="30580BC9"/>
    <w:rsid w:val="30AA2028"/>
    <w:rsid w:val="30C106E2"/>
    <w:rsid w:val="30DA68AD"/>
    <w:rsid w:val="30EA50A3"/>
    <w:rsid w:val="30ED2B91"/>
    <w:rsid w:val="311E2ED7"/>
    <w:rsid w:val="3150308E"/>
    <w:rsid w:val="315619EE"/>
    <w:rsid w:val="315C449C"/>
    <w:rsid w:val="31B23DD6"/>
    <w:rsid w:val="31B32DF2"/>
    <w:rsid w:val="31B82709"/>
    <w:rsid w:val="31D05482"/>
    <w:rsid w:val="31D831F9"/>
    <w:rsid w:val="31E8351B"/>
    <w:rsid w:val="31F738A4"/>
    <w:rsid w:val="3208148C"/>
    <w:rsid w:val="32400B34"/>
    <w:rsid w:val="328E2276"/>
    <w:rsid w:val="329E6876"/>
    <w:rsid w:val="32C17518"/>
    <w:rsid w:val="333015F2"/>
    <w:rsid w:val="333A7CFE"/>
    <w:rsid w:val="334B6320"/>
    <w:rsid w:val="33646120"/>
    <w:rsid w:val="33D934D4"/>
    <w:rsid w:val="33FE2F6A"/>
    <w:rsid w:val="340006F5"/>
    <w:rsid w:val="340E07E5"/>
    <w:rsid w:val="34235BF7"/>
    <w:rsid w:val="34A45FE9"/>
    <w:rsid w:val="358C5FA8"/>
    <w:rsid w:val="35C15DF1"/>
    <w:rsid w:val="36074A7F"/>
    <w:rsid w:val="36244DFA"/>
    <w:rsid w:val="36923549"/>
    <w:rsid w:val="36B75FBF"/>
    <w:rsid w:val="36BD0C45"/>
    <w:rsid w:val="36D45B0A"/>
    <w:rsid w:val="36D76674"/>
    <w:rsid w:val="36E64460"/>
    <w:rsid w:val="36EC7318"/>
    <w:rsid w:val="372E04CB"/>
    <w:rsid w:val="376F1A2D"/>
    <w:rsid w:val="37E00298"/>
    <w:rsid w:val="38B302F9"/>
    <w:rsid w:val="38B54FF1"/>
    <w:rsid w:val="38EC448A"/>
    <w:rsid w:val="38F12CD3"/>
    <w:rsid w:val="38F94775"/>
    <w:rsid w:val="392860F9"/>
    <w:rsid w:val="392971ED"/>
    <w:rsid w:val="39325651"/>
    <w:rsid w:val="397E020B"/>
    <w:rsid w:val="399A358E"/>
    <w:rsid w:val="399F5E72"/>
    <w:rsid w:val="39E7619C"/>
    <w:rsid w:val="39E84EA6"/>
    <w:rsid w:val="39F65251"/>
    <w:rsid w:val="3A272733"/>
    <w:rsid w:val="3A3951BD"/>
    <w:rsid w:val="3A872856"/>
    <w:rsid w:val="3B3763D1"/>
    <w:rsid w:val="3B734654"/>
    <w:rsid w:val="3C2F6E1E"/>
    <w:rsid w:val="3C4F64BA"/>
    <w:rsid w:val="3C8F098C"/>
    <w:rsid w:val="3C9157EA"/>
    <w:rsid w:val="3CDA245A"/>
    <w:rsid w:val="3D0D62D2"/>
    <w:rsid w:val="3D1E06B7"/>
    <w:rsid w:val="3D5379F0"/>
    <w:rsid w:val="3DDA7FCA"/>
    <w:rsid w:val="3E233459"/>
    <w:rsid w:val="3E400F90"/>
    <w:rsid w:val="3EC079B0"/>
    <w:rsid w:val="3ECD7F94"/>
    <w:rsid w:val="3EDA0523"/>
    <w:rsid w:val="3EDA7CAE"/>
    <w:rsid w:val="3F294389"/>
    <w:rsid w:val="3F88629F"/>
    <w:rsid w:val="3FC70FB2"/>
    <w:rsid w:val="40276FC8"/>
    <w:rsid w:val="407A6407"/>
    <w:rsid w:val="40A40598"/>
    <w:rsid w:val="40DC49B8"/>
    <w:rsid w:val="412A651D"/>
    <w:rsid w:val="41355BCE"/>
    <w:rsid w:val="41F17868"/>
    <w:rsid w:val="4200449D"/>
    <w:rsid w:val="421A663A"/>
    <w:rsid w:val="423A3BCC"/>
    <w:rsid w:val="424E57D2"/>
    <w:rsid w:val="42646CB0"/>
    <w:rsid w:val="42A23969"/>
    <w:rsid w:val="42A85BE1"/>
    <w:rsid w:val="42B26C49"/>
    <w:rsid w:val="431F460D"/>
    <w:rsid w:val="433A6FE6"/>
    <w:rsid w:val="4346170B"/>
    <w:rsid w:val="43480868"/>
    <w:rsid w:val="4350713C"/>
    <w:rsid w:val="436653E0"/>
    <w:rsid w:val="436C1CAB"/>
    <w:rsid w:val="43C4431A"/>
    <w:rsid w:val="43CB047F"/>
    <w:rsid w:val="43E135DC"/>
    <w:rsid w:val="44592AAD"/>
    <w:rsid w:val="44B951CC"/>
    <w:rsid w:val="44CB0228"/>
    <w:rsid w:val="44CD14E0"/>
    <w:rsid w:val="44EA396A"/>
    <w:rsid w:val="44F20B0B"/>
    <w:rsid w:val="4504201E"/>
    <w:rsid w:val="452E5F4C"/>
    <w:rsid w:val="45351421"/>
    <w:rsid w:val="455E4F82"/>
    <w:rsid w:val="45612018"/>
    <w:rsid w:val="456B11AD"/>
    <w:rsid w:val="458946E9"/>
    <w:rsid w:val="45A47C0E"/>
    <w:rsid w:val="46040FBB"/>
    <w:rsid w:val="464D41ED"/>
    <w:rsid w:val="46577FD6"/>
    <w:rsid w:val="46BD2144"/>
    <w:rsid w:val="46D955A7"/>
    <w:rsid w:val="47133957"/>
    <w:rsid w:val="477B1184"/>
    <w:rsid w:val="47884C06"/>
    <w:rsid w:val="4792094D"/>
    <w:rsid w:val="47A07E0C"/>
    <w:rsid w:val="486E0728"/>
    <w:rsid w:val="4870272E"/>
    <w:rsid w:val="49DC7715"/>
    <w:rsid w:val="4A023139"/>
    <w:rsid w:val="4A7B576F"/>
    <w:rsid w:val="4AB958F4"/>
    <w:rsid w:val="4AC34E0F"/>
    <w:rsid w:val="4ADB3256"/>
    <w:rsid w:val="4AF561A9"/>
    <w:rsid w:val="4B047EA1"/>
    <w:rsid w:val="4B126681"/>
    <w:rsid w:val="4B152C58"/>
    <w:rsid w:val="4B170A42"/>
    <w:rsid w:val="4B2E0668"/>
    <w:rsid w:val="4B87644F"/>
    <w:rsid w:val="4BCA6561"/>
    <w:rsid w:val="4C4A0649"/>
    <w:rsid w:val="4C7E5ECA"/>
    <w:rsid w:val="4C876AA5"/>
    <w:rsid w:val="4CDC0D49"/>
    <w:rsid w:val="4CDC5121"/>
    <w:rsid w:val="4D0E00FB"/>
    <w:rsid w:val="4D176606"/>
    <w:rsid w:val="4DEC4FB0"/>
    <w:rsid w:val="4E075D8A"/>
    <w:rsid w:val="4EA772D4"/>
    <w:rsid w:val="4EB218DF"/>
    <w:rsid w:val="4EC00FAD"/>
    <w:rsid w:val="4F836643"/>
    <w:rsid w:val="4F8820F4"/>
    <w:rsid w:val="4F9843DC"/>
    <w:rsid w:val="4FAA5B1D"/>
    <w:rsid w:val="4FC51C37"/>
    <w:rsid w:val="4FC62A8C"/>
    <w:rsid w:val="4FE20F0D"/>
    <w:rsid w:val="4FE51552"/>
    <w:rsid w:val="504474E4"/>
    <w:rsid w:val="50504C4B"/>
    <w:rsid w:val="509C6E7C"/>
    <w:rsid w:val="50D106C2"/>
    <w:rsid w:val="51072025"/>
    <w:rsid w:val="515B3199"/>
    <w:rsid w:val="515B5889"/>
    <w:rsid w:val="5162104E"/>
    <w:rsid w:val="51F166A0"/>
    <w:rsid w:val="52EC7D3F"/>
    <w:rsid w:val="532E7431"/>
    <w:rsid w:val="538C4F55"/>
    <w:rsid w:val="538D5B0D"/>
    <w:rsid w:val="53A039CC"/>
    <w:rsid w:val="53A1505A"/>
    <w:rsid w:val="53B72BA6"/>
    <w:rsid w:val="54063E08"/>
    <w:rsid w:val="540C764D"/>
    <w:rsid w:val="543437E8"/>
    <w:rsid w:val="545824EB"/>
    <w:rsid w:val="547A242D"/>
    <w:rsid w:val="548A0C3C"/>
    <w:rsid w:val="54F73313"/>
    <w:rsid w:val="54F80955"/>
    <w:rsid w:val="552846FA"/>
    <w:rsid w:val="555170A7"/>
    <w:rsid w:val="55695F65"/>
    <w:rsid w:val="5587536D"/>
    <w:rsid w:val="559B174B"/>
    <w:rsid w:val="55CE0CF4"/>
    <w:rsid w:val="55D707BD"/>
    <w:rsid w:val="568A7BA4"/>
    <w:rsid w:val="56AD214A"/>
    <w:rsid w:val="56B22A9C"/>
    <w:rsid w:val="57083E8D"/>
    <w:rsid w:val="573B7E43"/>
    <w:rsid w:val="57B72A76"/>
    <w:rsid w:val="57C3426C"/>
    <w:rsid w:val="57CE1F93"/>
    <w:rsid w:val="57DE2EDC"/>
    <w:rsid w:val="58494D04"/>
    <w:rsid w:val="586E31BF"/>
    <w:rsid w:val="588743D1"/>
    <w:rsid w:val="5887701A"/>
    <w:rsid w:val="58A271C6"/>
    <w:rsid w:val="58CF0DD5"/>
    <w:rsid w:val="591B2E22"/>
    <w:rsid w:val="596671F9"/>
    <w:rsid w:val="59922620"/>
    <w:rsid w:val="59B47246"/>
    <w:rsid w:val="59BE0DE3"/>
    <w:rsid w:val="59C0439F"/>
    <w:rsid w:val="5A01014E"/>
    <w:rsid w:val="5A0F2E4B"/>
    <w:rsid w:val="5A167100"/>
    <w:rsid w:val="5A1A5DF9"/>
    <w:rsid w:val="5A426396"/>
    <w:rsid w:val="5ABE2233"/>
    <w:rsid w:val="5B485D5F"/>
    <w:rsid w:val="5B5E1024"/>
    <w:rsid w:val="5B686770"/>
    <w:rsid w:val="5B6B0C93"/>
    <w:rsid w:val="5B8C1E41"/>
    <w:rsid w:val="5B9D2321"/>
    <w:rsid w:val="5BDF5D95"/>
    <w:rsid w:val="5BFE7528"/>
    <w:rsid w:val="5C673F60"/>
    <w:rsid w:val="5CAD611C"/>
    <w:rsid w:val="5D5A415B"/>
    <w:rsid w:val="5DBB6CB5"/>
    <w:rsid w:val="5E1821D5"/>
    <w:rsid w:val="5E2467F1"/>
    <w:rsid w:val="5E52207C"/>
    <w:rsid w:val="5F0059FA"/>
    <w:rsid w:val="5F13525D"/>
    <w:rsid w:val="5F15007E"/>
    <w:rsid w:val="5F1A2B43"/>
    <w:rsid w:val="5F963F5A"/>
    <w:rsid w:val="5FB837BB"/>
    <w:rsid w:val="5FBA4A30"/>
    <w:rsid w:val="5FD76F74"/>
    <w:rsid w:val="6004135F"/>
    <w:rsid w:val="60CC405A"/>
    <w:rsid w:val="60D40512"/>
    <w:rsid w:val="618C41B3"/>
    <w:rsid w:val="61E215D8"/>
    <w:rsid w:val="61F26DE9"/>
    <w:rsid w:val="621B3775"/>
    <w:rsid w:val="62364782"/>
    <w:rsid w:val="625D2AF0"/>
    <w:rsid w:val="62AF2E67"/>
    <w:rsid w:val="62BE4D4E"/>
    <w:rsid w:val="62BE5C46"/>
    <w:rsid w:val="63430532"/>
    <w:rsid w:val="636E7CFB"/>
    <w:rsid w:val="6394356A"/>
    <w:rsid w:val="63C61B2C"/>
    <w:rsid w:val="63D40BE9"/>
    <w:rsid w:val="64102431"/>
    <w:rsid w:val="641A1DB2"/>
    <w:rsid w:val="64A5243A"/>
    <w:rsid w:val="64C04962"/>
    <w:rsid w:val="64F17BAA"/>
    <w:rsid w:val="64F531DE"/>
    <w:rsid w:val="650D71BB"/>
    <w:rsid w:val="65373578"/>
    <w:rsid w:val="65B67314"/>
    <w:rsid w:val="661105F0"/>
    <w:rsid w:val="661E2CF0"/>
    <w:rsid w:val="665E7354"/>
    <w:rsid w:val="66A320FE"/>
    <w:rsid w:val="66B44A74"/>
    <w:rsid w:val="6700297D"/>
    <w:rsid w:val="671F124A"/>
    <w:rsid w:val="673C1213"/>
    <w:rsid w:val="674D1AB0"/>
    <w:rsid w:val="676F5E0B"/>
    <w:rsid w:val="677A33C6"/>
    <w:rsid w:val="6800080F"/>
    <w:rsid w:val="680F6A3F"/>
    <w:rsid w:val="681F6961"/>
    <w:rsid w:val="68610A2F"/>
    <w:rsid w:val="68805514"/>
    <w:rsid w:val="68854C78"/>
    <w:rsid w:val="69217F9D"/>
    <w:rsid w:val="69316E2F"/>
    <w:rsid w:val="694E2071"/>
    <w:rsid w:val="695407C1"/>
    <w:rsid w:val="695C34B9"/>
    <w:rsid w:val="69766163"/>
    <w:rsid w:val="697A3B33"/>
    <w:rsid w:val="69835E7F"/>
    <w:rsid w:val="69C76E18"/>
    <w:rsid w:val="69D44760"/>
    <w:rsid w:val="69D94BA5"/>
    <w:rsid w:val="69FB2005"/>
    <w:rsid w:val="6A520EC7"/>
    <w:rsid w:val="6A7C4108"/>
    <w:rsid w:val="6AF87E20"/>
    <w:rsid w:val="6B043207"/>
    <w:rsid w:val="6B322639"/>
    <w:rsid w:val="6B5F0D04"/>
    <w:rsid w:val="6B7748B9"/>
    <w:rsid w:val="6BD04573"/>
    <w:rsid w:val="6BDD720C"/>
    <w:rsid w:val="6C20729C"/>
    <w:rsid w:val="6C586E75"/>
    <w:rsid w:val="6C636C38"/>
    <w:rsid w:val="6C714A49"/>
    <w:rsid w:val="6CDF0FD5"/>
    <w:rsid w:val="6CEB02C2"/>
    <w:rsid w:val="6D055A57"/>
    <w:rsid w:val="6D0D2515"/>
    <w:rsid w:val="6DB34098"/>
    <w:rsid w:val="6DB545B6"/>
    <w:rsid w:val="6DB76988"/>
    <w:rsid w:val="6DBC5447"/>
    <w:rsid w:val="6DE02FB4"/>
    <w:rsid w:val="6E2A15E5"/>
    <w:rsid w:val="6E385A71"/>
    <w:rsid w:val="6E514CED"/>
    <w:rsid w:val="6E88640C"/>
    <w:rsid w:val="6EA70BEA"/>
    <w:rsid w:val="6EB563D5"/>
    <w:rsid w:val="6ED92677"/>
    <w:rsid w:val="6F225983"/>
    <w:rsid w:val="6F2A116E"/>
    <w:rsid w:val="6F584EF6"/>
    <w:rsid w:val="6F83354F"/>
    <w:rsid w:val="6FEB130E"/>
    <w:rsid w:val="6FF91C70"/>
    <w:rsid w:val="6FFC5590"/>
    <w:rsid w:val="6FFC72C8"/>
    <w:rsid w:val="7020772D"/>
    <w:rsid w:val="7044325F"/>
    <w:rsid w:val="706D1DD0"/>
    <w:rsid w:val="70762181"/>
    <w:rsid w:val="70856B87"/>
    <w:rsid w:val="70BC6081"/>
    <w:rsid w:val="70D527EE"/>
    <w:rsid w:val="711B2577"/>
    <w:rsid w:val="714C2047"/>
    <w:rsid w:val="715B5300"/>
    <w:rsid w:val="719A3A8C"/>
    <w:rsid w:val="71D27F8A"/>
    <w:rsid w:val="72553024"/>
    <w:rsid w:val="726A0F6B"/>
    <w:rsid w:val="72963D5E"/>
    <w:rsid w:val="72FB49B3"/>
    <w:rsid w:val="73051F9B"/>
    <w:rsid w:val="73122968"/>
    <w:rsid w:val="731F5D5E"/>
    <w:rsid w:val="73C51AD5"/>
    <w:rsid w:val="73E15FC0"/>
    <w:rsid w:val="73F75FD7"/>
    <w:rsid w:val="741E793C"/>
    <w:rsid w:val="745E3944"/>
    <w:rsid w:val="74902154"/>
    <w:rsid w:val="74E210AD"/>
    <w:rsid w:val="74F55BA9"/>
    <w:rsid w:val="750B5D8B"/>
    <w:rsid w:val="752670B7"/>
    <w:rsid w:val="756118D2"/>
    <w:rsid w:val="75A16EF7"/>
    <w:rsid w:val="75F26955"/>
    <w:rsid w:val="7635099D"/>
    <w:rsid w:val="76553A42"/>
    <w:rsid w:val="772D5D5B"/>
    <w:rsid w:val="77541DD9"/>
    <w:rsid w:val="77762421"/>
    <w:rsid w:val="77850F12"/>
    <w:rsid w:val="77A20BA3"/>
    <w:rsid w:val="77B56B1F"/>
    <w:rsid w:val="780F09F4"/>
    <w:rsid w:val="787561F5"/>
    <w:rsid w:val="78A90480"/>
    <w:rsid w:val="78FE116D"/>
    <w:rsid w:val="78FF080F"/>
    <w:rsid w:val="792811C0"/>
    <w:rsid w:val="7A364017"/>
    <w:rsid w:val="7A8265E1"/>
    <w:rsid w:val="7ABE4C8F"/>
    <w:rsid w:val="7AE1780F"/>
    <w:rsid w:val="7AE32DE8"/>
    <w:rsid w:val="7B686D42"/>
    <w:rsid w:val="7B841746"/>
    <w:rsid w:val="7BBC0250"/>
    <w:rsid w:val="7BBE3213"/>
    <w:rsid w:val="7BCE2737"/>
    <w:rsid w:val="7BD63B6E"/>
    <w:rsid w:val="7C170407"/>
    <w:rsid w:val="7C1F6230"/>
    <w:rsid w:val="7C613805"/>
    <w:rsid w:val="7C6C5AC7"/>
    <w:rsid w:val="7CAD3485"/>
    <w:rsid w:val="7CC6544B"/>
    <w:rsid w:val="7D0239FF"/>
    <w:rsid w:val="7D1F5795"/>
    <w:rsid w:val="7D5E40CD"/>
    <w:rsid w:val="7D7D056A"/>
    <w:rsid w:val="7DCD56F2"/>
    <w:rsid w:val="7E635AD2"/>
    <w:rsid w:val="7F001CE7"/>
    <w:rsid w:val="7F33594B"/>
    <w:rsid w:val="7F6C3B2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qFormat="1" w:unhideWhenUsed="0" w:uiPriority="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qFormat="1"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locked/>
    <w:uiPriority w:val="0"/>
    <w:pPr>
      <w:keepNext/>
      <w:keepLines/>
      <w:spacing w:before="260" w:beforeLines="0" w:after="260" w:afterLines="0" w:line="415" w:lineRule="auto"/>
      <w:outlineLvl w:val="2"/>
    </w:pPr>
    <w:rPr>
      <w:b/>
      <w:bCs/>
      <w:sz w:val="32"/>
      <w:szCs w:val="32"/>
    </w:rPr>
  </w:style>
  <w:style w:type="character" w:default="1" w:styleId="28">
    <w:name w:val="Default Paragraph Font"/>
    <w:semiHidden/>
    <w:qFormat/>
    <w:uiPriority w:val="0"/>
  </w:style>
  <w:style w:type="table" w:default="1" w:styleId="26">
    <w:name w:val="Normal Table"/>
    <w:semiHidden/>
    <w:qFormat/>
    <w:uiPriority w:val="0"/>
    <w:tblPr>
      <w:tblLayout w:type="fixed"/>
      <w:tblCellMar>
        <w:top w:w="0" w:type="dxa"/>
        <w:left w:w="108" w:type="dxa"/>
        <w:bottom w:w="0" w:type="dxa"/>
        <w:right w:w="108" w:type="dxa"/>
      </w:tblCellMar>
    </w:tblPr>
  </w:style>
  <w:style w:type="paragraph" w:styleId="5">
    <w:name w:val="Normal Indent"/>
    <w:basedOn w:val="1"/>
    <w:next w:val="1"/>
    <w:qFormat/>
    <w:locked/>
    <w:uiPriority w:val="0"/>
    <w:rPr>
      <w:sz w:val="28"/>
      <w:szCs w:val="20"/>
    </w:rPr>
  </w:style>
  <w:style w:type="paragraph" w:styleId="6">
    <w:name w:val="caption"/>
    <w:basedOn w:val="1"/>
    <w:next w:val="1"/>
    <w:qFormat/>
    <w:locked/>
    <w:uiPriority w:val="0"/>
    <w:pPr>
      <w:spacing w:before="6" w:after="6" w:line="0" w:lineRule="atLeast"/>
    </w:pPr>
    <w:rPr>
      <w:rFonts w:ascii="Arial" w:hAnsi="Arial"/>
      <w:kern w:val="24"/>
      <w:sz w:val="24"/>
    </w:rPr>
  </w:style>
  <w:style w:type="paragraph" w:styleId="7">
    <w:name w:val="annotation text"/>
    <w:basedOn w:val="1"/>
    <w:link w:val="33"/>
    <w:semiHidden/>
    <w:qFormat/>
    <w:uiPriority w:val="0"/>
    <w:pPr>
      <w:jc w:val="left"/>
    </w:pPr>
    <w:rPr>
      <w:kern w:val="0"/>
      <w:sz w:val="24"/>
      <w:szCs w:val="20"/>
    </w:rPr>
  </w:style>
  <w:style w:type="paragraph" w:styleId="8">
    <w:name w:val="Body Text"/>
    <w:basedOn w:val="1"/>
    <w:next w:val="1"/>
    <w:link w:val="34"/>
    <w:qFormat/>
    <w:uiPriority w:val="0"/>
    <w:pPr>
      <w:widowControl/>
      <w:snapToGrid w:val="0"/>
      <w:spacing w:before="60" w:after="160" w:line="259" w:lineRule="auto"/>
      <w:ind w:right="113"/>
    </w:pPr>
    <w:rPr>
      <w:kern w:val="0"/>
      <w:sz w:val="18"/>
      <w:szCs w:val="20"/>
    </w:rPr>
  </w:style>
  <w:style w:type="paragraph" w:styleId="9">
    <w:name w:val="Body Text Indent"/>
    <w:basedOn w:val="1"/>
    <w:next w:val="10"/>
    <w:link w:val="35"/>
    <w:qFormat/>
    <w:uiPriority w:val="0"/>
    <w:pPr>
      <w:spacing w:after="120"/>
      <w:ind w:left="420" w:leftChars="200"/>
    </w:pPr>
    <w:rPr>
      <w:kern w:val="0"/>
      <w:sz w:val="24"/>
      <w:szCs w:val="20"/>
    </w:rPr>
  </w:style>
  <w:style w:type="paragraph" w:styleId="10">
    <w:name w:val="toc 3"/>
    <w:basedOn w:val="1"/>
    <w:next w:val="1"/>
    <w:semiHidden/>
    <w:qFormat/>
    <w:locked/>
    <w:uiPriority w:val="0"/>
    <w:pPr>
      <w:autoSpaceDE/>
      <w:autoSpaceDN/>
      <w:ind w:left="420" w:firstLine="4608"/>
    </w:pPr>
    <w:rPr>
      <w:rFonts w:ascii="Times New Roman"/>
    </w:rPr>
  </w:style>
  <w:style w:type="paragraph" w:styleId="11">
    <w:name w:val="Block Text"/>
    <w:basedOn w:val="1"/>
    <w:next w:val="1"/>
    <w:qFormat/>
    <w:locked/>
    <w:uiPriority w:val="0"/>
    <w:pPr>
      <w:spacing w:line="480" w:lineRule="exact"/>
      <w:ind w:left="100" w:right="111" w:firstLine="556"/>
    </w:pPr>
    <w:rPr>
      <w:sz w:val="28"/>
      <w:szCs w:val="20"/>
    </w:rPr>
  </w:style>
  <w:style w:type="paragraph" w:styleId="12">
    <w:name w:val="Plain Text"/>
    <w:basedOn w:val="1"/>
    <w:qFormat/>
    <w:locked/>
    <w:uiPriority w:val="0"/>
    <w:rPr>
      <w:rFonts w:ascii="宋体" w:hAnsi="Courier New"/>
      <w:szCs w:val="20"/>
    </w:rPr>
  </w:style>
  <w:style w:type="paragraph" w:styleId="13">
    <w:name w:val="List Bullet 5"/>
    <w:basedOn w:val="1"/>
    <w:qFormat/>
    <w:locked/>
    <w:uiPriority w:val="0"/>
    <w:pPr>
      <w:numPr>
        <w:ilvl w:val="0"/>
        <w:numId w:val="1"/>
      </w:numPr>
    </w:pPr>
  </w:style>
  <w:style w:type="paragraph" w:styleId="14">
    <w:name w:val="Date"/>
    <w:basedOn w:val="1"/>
    <w:next w:val="1"/>
    <w:link w:val="36"/>
    <w:qFormat/>
    <w:uiPriority w:val="0"/>
    <w:pPr>
      <w:ind w:left="100" w:leftChars="2500"/>
    </w:pPr>
    <w:rPr>
      <w:kern w:val="0"/>
      <w:sz w:val="24"/>
      <w:szCs w:val="20"/>
    </w:rPr>
  </w:style>
  <w:style w:type="paragraph" w:styleId="15">
    <w:name w:val="Balloon Text"/>
    <w:basedOn w:val="1"/>
    <w:link w:val="37"/>
    <w:semiHidden/>
    <w:qFormat/>
    <w:uiPriority w:val="0"/>
    <w:rPr>
      <w:kern w:val="0"/>
      <w:sz w:val="18"/>
      <w:szCs w:val="20"/>
    </w:rPr>
  </w:style>
  <w:style w:type="paragraph" w:styleId="16">
    <w:name w:val="footer"/>
    <w:basedOn w:val="1"/>
    <w:link w:val="38"/>
    <w:qFormat/>
    <w:uiPriority w:val="99"/>
    <w:pPr>
      <w:tabs>
        <w:tab w:val="center" w:pos="4153"/>
        <w:tab w:val="right" w:pos="8306"/>
      </w:tabs>
      <w:snapToGrid w:val="0"/>
      <w:jc w:val="left"/>
    </w:pPr>
    <w:rPr>
      <w:kern w:val="0"/>
      <w:sz w:val="18"/>
      <w:szCs w:val="20"/>
    </w:rPr>
  </w:style>
  <w:style w:type="paragraph" w:styleId="17">
    <w:name w:val="header"/>
    <w:basedOn w:val="1"/>
    <w:link w:val="39"/>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List"/>
    <w:basedOn w:val="1"/>
    <w:qFormat/>
    <w:locked/>
    <w:uiPriority w:val="0"/>
    <w:pPr>
      <w:ind w:left="200" w:hanging="200" w:hangingChars="200"/>
      <w:contextualSpacing/>
    </w:pPr>
  </w:style>
  <w:style w:type="paragraph" w:styleId="19">
    <w:name w:val="Body Text Indent 3"/>
    <w:basedOn w:val="1"/>
    <w:qFormat/>
    <w:locked/>
    <w:uiPriority w:val="0"/>
    <w:pPr>
      <w:ind w:left="840" w:leftChars="400"/>
    </w:pPr>
    <w:rPr>
      <w:rFonts w:ascii="宋体" w:hAnsi="宋体"/>
      <w:sz w:val="28"/>
    </w:rPr>
  </w:style>
  <w:style w:type="paragraph" w:styleId="20">
    <w:name w:val="toc 9"/>
    <w:next w:val="1"/>
    <w:qFormat/>
    <w:locked/>
    <w:uiPriority w:val="0"/>
    <w:pPr>
      <w:wordWrap w:val="0"/>
      <w:ind w:left="2975"/>
      <w:jc w:val="both"/>
    </w:pPr>
    <w:rPr>
      <w:rFonts w:ascii="Times New Roman" w:hAnsi="Times New Roman" w:eastAsia="宋体" w:cs="Times New Roman"/>
      <w:sz w:val="21"/>
      <w:szCs w:val="22"/>
      <w:lang w:val="en-US" w:eastAsia="zh-CN" w:bidi="ar-SA"/>
    </w:rPr>
  </w:style>
  <w:style w:type="paragraph" w:styleId="21">
    <w:name w:val="Normal (Web)"/>
    <w:basedOn w:val="1"/>
    <w:link w:val="40"/>
    <w:qFormat/>
    <w:uiPriority w:val="0"/>
    <w:pPr>
      <w:widowControl/>
      <w:spacing w:before="100" w:beforeAutospacing="1" w:after="100" w:afterAutospacing="1"/>
      <w:jc w:val="left"/>
    </w:pPr>
    <w:rPr>
      <w:rFonts w:ascii="宋体" w:hAnsi="宋体"/>
      <w:kern w:val="0"/>
      <w:sz w:val="24"/>
      <w:szCs w:val="20"/>
    </w:rPr>
  </w:style>
  <w:style w:type="paragraph" w:styleId="22">
    <w:name w:val="Title"/>
    <w:basedOn w:val="1"/>
    <w:next w:val="1"/>
    <w:qFormat/>
    <w:locked/>
    <w:uiPriority w:val="0"/>
    <w:pPr>
      <w:spacing w:before="240" w:after="60"/>
      <w:jc w:val="center"/>
      <w:outlineLvl w:val="0"/>
    </w:pPr>
    <w:rPr>
      <w:rFonts w:ascii="Arial" w:hAnsi="Arial" w:cs="Arial"/>
      <w:b/>
      <w:bCs/>
      <w:sz w:val="32"/>
      <w:szCs w:val="32"/>
    </w:rPr>
  </w:style>
  <w:style w:type="paragraph" w:styleId="23">
    <w:name w:val="annotation subject"/>
    <w:basedOn w:val="7"/>
    <w:next w:val="7"/>
    <w:link w:val="41"/>
    <w:semiHidden/>
    <w:qFormat/>
    <w:uiPriority w:val="0"/>
    <w:rPr>
      <w:b/>
      <w:sz w:val="24"/>
      <w:szCs w:val="20"/>
    </w:rPr>
  </w:style>
  <w:style w:type="paragraph" w:styleId="24">
    <w:name w:val="Body Text First Indent"/>
    <w:basedOn w:val="8"/>
    <w:qFormat/>
    <w:locked/>
    <w:uiPriority w:val="0"/>
    <w:pPr>
      <w:spacing w:after="120"/>
      <w:ind w:firstLine="420" w:firstLineChars="100"/>
    </w:pPr>
    <w:rPr>
      <w:sz w:val="21"/>
    </w:rPr>
  </w:style>
  <w:style w:type="paragraph" w:styleId="25">
    <w:name w:val="Body Text First Indent 2"/>
    <w:basedOn w:val="1"/>
    <w:next w:val="1"/>
    <w:unhideWhenUsed/>
    <w:qFormat/>
    <w:locked/>
    <w:uiPriority w:val="99"/>
    <w:pPr>
      <w:tabs>
        <w:tab w:val="left" w:pos="210"/>
      </w:tabs>
      <w:spacing w:after="120" w:line="240" w:lineRule="auto"/>
      <w:ind w:left="420" w:leftChars="200" w:firstLine="420" w:firstLineChars="200"/>
    </w:pPr>
    <w:rPr>
      <w:sz w:val="21"/>
    </w:rPr>
  </w:style>
  <w:style w:type="table" w:styleId="27">
    <w:name w:val="Table Grid"/>
    <w:basedOn w:val="2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29">
    <w:name w:val="page number"/>
    <w:basedOn w:val="28"/>
    <w:qFormat/>
    <w:locked/>
    <w:uiPriority w:val="0"/>
  </w:style>
  <w:style w:type="character" w:styleId="30">
    <w:name w:val="annotation reference"/>
    <w:basedOn w:val="28"/>
    <w:semiHidden/>
    <w:qFormat/>
    <w:uiPriority w:val="0"/>
    <w:rPr>
      <w:sz w:val="21"/>
    </w:rPr>
  </w:style>
  <w:style w:type="paragraph" w:customStyle="1" w:styleId="31">
    <w:name w:val="Default"/>
    <w:basedOn w:val="32"/>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2">
    <w:name w:val="纯文本1"/>
    <w:basedOn w:val="1"/>
    <w:qFormat/>
    <w:uiPriority w:val="0"/>
    <w:pPr>
      <w:adjustRightInd w:val="0"/>
    </w:pPr>
    <w:rPr>
      <w:rFonts w:ascii="宋体" w:hAnsi="Courier New"/>
      <w:szCs w:val="20"/>
    </w:rPr>
  </w:style>
  <w:style w:type="character" w:customStyle="1" w:styleId="33">
    <w:name w:val="批注文字 Char"/>
    <w:link w:val="7"/>
    <w:qFormat/>
    <w:locked/>
    <w:uiPriority w:val="0"/>
    <w:rPr>
      <w:rFonts w:ascii="Times New Roman" w:hAnsi="Times New Roman" w:eastAsia="宋体"/>
      <w:sz w:val="24"/>
    </w:rPr>
  </w:style>
  <w:style w:type="character" w:customStyle="1" w:styleId="34">
    <w:name w:val="正文文本 Char"/>
    <w:link w:val="8"/>
    <w:qFormat/>
    <w:locked/>
    <w:uiPriority w:val="0"/>
    <w:rPr>
      <w:sz w:val="18"/>
    </w:rPr>
  </w:style>
  <w:style w:type="character" w:customStyle="1" w:styleId="35">
    <w:name w:val="正文文本缩进 Char"/>
    <w:link w:val="9"/>
    <w:semiHidden/>
    <w:qFormat/>
    <w:locked/>
    <w:uiPriority w:val="0"/>
    <w:rPr>
      <w:rFonts w:ascii="Times New Roman" w:hAnsi="Times New Roman" w:eastAsia="宋体"/>
      <w:sz w:val="24"/>
    </w:rPr>
  </w:style>
  <w:style w:type="character" w:customStyle="1" w:styleId="36">
    <w:name w:val="日期 Char"/>
    <w:link w:val="14"/>
    <w:qFormat/>
    <w:locked/>
    <w:uiPriority w:val="0"/>
    <w:rPr>
      <w:rFonts w:ascii="Times New Roman" w:hAnsi="Times New Roman" w:eastAsia="宋体"/>
      <w:sz w:val="24"/>
    </w:rPr>
  </w:style>
  <w:style w:type="character" w:customStyle="1" w:styleId="37">
    <w:name w:val="批注框文本 Char"/>
    <w:link w:val="15"/>
    <w:semiHidden/>
    <w:qFormat/>
    <w:locked/>
    <w:uiPriority w:val="0"/>
    <w:rPr>
      <w:rFonts w:ascii="Times New Roman" w:hAnsi="Times New Roman" w:eastAsia="宋体"/>
      <w:sz w:val="18"/>
    </w:rPr>
  </w:style>
  <w:style w:type="character" w:customStyle="1" w:styleId="38">
    <w:name w:val="页脚 Char"/>
    <w:link w:val="16"/>
    <w:qFormat/>
    <w:locked/>
    <w:uiPriority w:val="99"/>
    <w:rPr>
      <w:sz w:val="18"/>
    </w:rPr>
  </w:style>
  <w:style w:type="character" w:customStyle="1" w:styleId="39">
    <w:name w:val="页眉 Char"/>
    <w:link w:val="17"/>
    <w:qFormat/>
    <w:locked/>
    <w:uiPriority w:val="0"/>
    <w:rPr>
      <w:sz w:val="18"/>
    </w:rPr>
  </w:style>
  <w:style w:type="character" w:customStyle="1" w:styleId="40">
    <w:name w:val="普通(网站) Char"/>
    <w:link w:val="21"/>
    <w:qFormat/>
    <w:locked/>
    <w:uiPriority w:val="0"/>
    <w:rPr>
      <w:rFonts w:ascii="宋体" w:hAnsi="宋体" w:eastAsia="宋体"/>
      <w:sz w:val="24"/>
    </w:rPr>
  </w:style>
  <w:style w:type="character" w:customStyle="1" w:styleId="41">
    <w:name w:val="批注主题 Char"/>
    <w:link w:val="23"/>
    <w:semiHidden/>
    <w:qFormat/>
    <w:locked/>
    <w:uiPriority w:val="0"/>
    <w:rPr>
      <w:rFonts w:ascii="Times New Roman" w:hAnsi="Times New Roman" w:eastAsia="宋体"/>
      <w:b/>
      <w:kern w:val="2"/>
      <w:sz w:val="24"/>
    </w:rPr>
  </w:style>
  <w:style w:type="character" w:customStyle="1" w:styleId="42">
    <w:name w:val="批注文字 字符1"/>
    <w:semiHidden/>
    <w:qFormat/>
    <w:uiPriority w:val="0"/>
    <w:rPr>
      <w:rFonts w:ascii="Times New Roman" w:hAnsi="Times New Roman" w:eastAsia="宋体"/>
      <w:sz w:val="24"/>
    </w:rPr>
  </w:style>
  <w:style w:type="character" w:customStyle="1" w:styleId="43">
    <w:name w:val="页脚 字符"/>
    <w:basedOn w:val="28"/>
    <w:qFormat/>
    <w:uiPriority w:val="99"/>
  </w:style>
  <w:style w:type="character" w:customStyle="1" w:styleId="44">
    <w:name w:val="font41"/>
    <w:basedOn w:val="28"/>
    <w:qFormat/>
    <w:uiPriority w:val="0"/>
    <w:rPr>
      <w:rFonts w:hint="eastAsia" w:ascii="宋体" w:hAnsi="宋体" w:eastAsia="宋体" w:cs="宋体"/>
      <w:color w:val="000000"/>
      <w:sz w:val="20"/>
      <w:szCs w:val="20"/>
      <w:u w:val="none"/>
    </w:rPr>
  </w:style>
  <w:style w:type="character" w:customStyle="1" w:styleId="45">
    <w:name w:val="font11"/>
    <w:basedOn w:val="28"/>
    <w:qFormat/>
    <w:uiPriority w:val="0"/>
    <w:rPr>
      <w:rFonts w:hint="eastAsia" w:ascii="宋体" w:hAnsi="宋体" w:eastAsia="宋体" w:cs="宋体"/>
      <w:color w:val="000000"/>
      <w:sz w:val="20"/>
      <w:szCs w:val="20"/>
      <w:u w:val="none"/>
    </w:rPr>
  </w:style>
  <w:style w:type="character" w:customStyle="1" w:styleId="46">
    <w:name w:val="正文文本 字符1"/>
    <w:semiHidden/>
    <w:qFormat/>
    <w:uiPriority w:val="0"/>
    <w:rPr>
      <w:rFonts w:ascii="Times New Roman" w:hAnsi="Times New Roman" w:eastAsia="宋体"/>
      <w:sz w:val="24"/>
    </w:rPr>
  </w:style>
  <w:style w:type="character" w:customStyle="1" w:styleId="47">
    <w:name w:val="日期 字符"/>
    <w:semiHidden/>
    <w:qFormat/>
    <w:uiPriority w:val="0"/>
    <w:rPr>
      <w:rFonts w:ascii="Times New Roman" w:hAnsi="Times New Roman" w:eastAsia="宋体"/>
      <w:sz w:val="24"/>
    </w:rPr>
  </w:style>
  <w:style w:type="character" w:customStyle="1" w:styleId="48">
    <w:name w:val="表格 Char"/>
    <w:link w:val="49"/>
    <w:qFormat/>
    <w:locked/>
    <w:uiPriority w:val="0"/>
    <w:rPr>
      <w:rFonts w:ascii="宋体"/>
      <w:sz w:val="21"/>
    </w:rPr>
  </w:style>
  <w:style w:type="paragraph" w:customStyle="1" w:styleId="49">
    <w:name w:val="表格"/>
    <w:basedOn w:val="5"/>
    <w:next w:val="1"/>
    <w:link w:val="48"/>
    <w:qFormat/>
    <w:uiPriority w:val="0"/>
    <w:pPr>
      <w:adjustRightInd w:val="0"/>
      <w:snapToGrid w:val="0"/>
      <w:spacing w:beforeLines="10" w:afterLines="10" w:line="259" w:lineRule="auto"/>
      <w:jc w:val="center"/>
    </w:pPr>
    <w:rPr>
      <w:rFonts w:ascii="宋体"/>
      <w:kern w:val="0"/>
      <w:szCs w:val="20"/>
    </w:rPr>
  </w:style>
  <w:style w:type="character" w:customStyle="1" w:styleId="50">
    <w:name w:val="font01"/>
    <w:basedOn w:val="28"/>
    <w:qFormat/>
    <w:uiPriority w:val="0"/>
    <w:rPr>
      <w:rFonts w:hint="eastAsia" w:ascii="宋体" w:hAnsi="宋体" w:eastAsia="宋体" w:cs="宋体"/>
      <w:color w:val="000000"/>
      <w:sz w:val="20"/>
      <w:szCs w:val="20"/>
      <w:u w:val="none"/>
    </w:rPr>
  </w:style>
  <w:style w:type="paragraph" w:customStyle="1" w:styleId="5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2">
    <w:name w:val="Plain Text"/>
    <w:basedOn w:val="1"/>
    <w:qFormat/>
    <w:uiPriority w:val="0"/>
    <w:pPr>
      <w:adjustRightInd w:val="0"/>
      <w:jc w:val="left"/>
    </w:pPr>
    <w:rPr>
      <w:rFonts w:ascii="宋体" w:hAnsi="Courier New"/>
      <w:sz w:val="24"/>
      <w:szCs w:val="20"/>
    </w:rPr>
  </w:style>
  <w:style w:type="paragraph" w:customStyle="1" w:styleId="53">
    <w:name w:val="00000"/>
    <w:basedOn w:val="1"/>
    <w:qFormat/>
    <w:uiPriority w:val="0"/>
    <w:pPr>
      <w:spacing w:line="520" w:lineRule="exact"/>
      <w:ind w:firstLine="200" w:firstLineChars="200"/>
    </w:pPr>
    <w:rPr>
      <w:rFonts w:ascii="宋体" w:hAnsi="宋体" w:eastAsia="宋体"/>
      <w:kern w:val="2"/>
      <w:sz w:val="24"/>
      <w:szCs w:val="24"/>
      <w:lang w:val="en-US" w:eastAsia="zh-CN" w:bidi="ar-SA"/>
    </w:rPr>
  </w:style>
  <w:style w:type="paragraph" w:customStyle="1" w:styleId="54">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55">
    <w:name w:val="表格文字"/>
    <w:basedOn w:val="1"/>
    <w:qFormat/>
    <w:uiPriority w:val="0"/>
    <w:pPr>
      <w:tabs>
        <w:tab w:val="left" w:pos="-2848"/>
      </w:tabs>
      <w:spacing w:before="40" w:after="40" w:line="240" w:lineRule="atLeast"/>
      <w:jc w:val="center"/>
    </w:pPr>
    <w:rPr>
      <w:position w:val="-10"/>
      <w:szCs w:val="20"/>
    </w:rPr>
  </w:style>
  <w:style w:type="paragraph" w:styleId="56">
    <w:name w:val="List Paragraph"/>
    <w:basedOn w:val="1"/>
    <w:qFormat/>
    <w:uiPriority w:val="34"/>
    <w:pPr>
      <w:ind w:firstLine="420" w:firstLineChars="200"/>
    </w:pPr>
  </w:style>
  <w:style w:type="paragraph" w:customStyle="1" w:styleId="57">
    <w:name w:val="Table Paragraph"/>
    <w:basedOn w:val="1"/>
    <w:qFormat/>
    <w:uiPriority w:val="1"/>
    <w:pPr>
      <w:autoSpaceDE w:val="0"/>
      <w:autoSpaceDN w:val="0"/>
      <w:jc w:val="center"/>
    </w:pPr>
    <w:rPr>
      <w:rFonts w:eastAsia="Times New Roman"/>
      <w:kern w:val="0"/>
      <w:sz w:val="22"/>
      <w:szCs w:val="22"/>
      <w:lang w:eastAsia="en-US"/>
    </w:rPr>
  </w:style>
  <w:style w:type="paragraph" w:customStyle="1" w:styleId="58">
    <w:name w:val="冠恒"/>
    <w:basedOn w:val="1"/>
    <w:qFormat/>
    <w:uiPriority w:val="0"/>
    <w:pPr>
      <w:spacing w:line="360" w:lineRule="auto"/>
      <w:ind w:firstLine="720" w:firstLineChars="200"/>
    </w:pPr>
    <w:rPr>
      <w:rFonts w:ascii="Times New Roman" w:hAnsi="Times New Roman" w:eastAsia="宋体"/>
      <w:sz w:val="24"/>
    </w:rPr>
  </w:style>
  <w:style w:type="paragraph" w:customStyle="1" w:styleId="59">
    <w:name w:val="列出段落1"/>
    <w:basedOn w:val="1"/>
    <w:qFormat/>
    <w:uiPriority w:val="0"/>
    <w:pPr>
      <w:ind w:firstLine="420" w:firstLineChars="200"/>
    </w:pPr>
    <w:rPr>
      <w:rFonts w:ascii="Calibri" w:hAnsi="Calibri"/>
      <w:szCs w:val="22"/>
    </w:rPr>
  </w:style>
  <w:style w:type="paragraph" w:customStyle="1" w:styleId="60">
    <w:name w:val="a表格"/>
    <w:basedOn w:val="1"/>
    <w:next w:val="24"/>
    <w:unhideWhenUsed/>
    <w:qFormat/>
    <w:uiPriority w:val="99"/>
    <w:pPr>
      <w:snapToGrid w:val="0"/>
      <w:jc w:val="center"/>
      <w:outlineLvl w:val="2"/>
    </w:pPr>
    <w:rPr>
      <w:rFonts w:hint="eastAsia"/>
      <w:szCs w:val="20"/>
    </w:rPr>
  </w:style>
  <w:style w:type="paragraph" w:customStyle="1" w:styleId="61">
    <w:name w:val="00"/>
    <w:basedOn w:val="1"/>
    <w:qFormat/>
    <w:uiPriority w:val="0"/>
    <w:pPr>
      <w:spacing w:line="520" w:lineRule="exact"/>
      <w:ind w:firstLine="200" w:firstLineChars="200"/>
    </w:pPr>
    <w:rPr>
      <w:rFonts w:ascii="宋体" w:hAnsi="宋体" w:eastAsia="宋体" w:cs="宋体"/>
      <w:kern w:val="2"/>
      <w:sz w:val="24"/>
      <w:lang w:val="en-US" w:eastAsia="zh-CN" w:bidi="ar-SA"/>
    </w:rPr>
  </w:style>
  <w:style w:type="paragraph" w:customStyle="1" w:styleId="62">
    <w:name w:val="中文报告书"/>
    <w:basedOn w:val="1"/>
    <w:qFormat/>
    <w:uiPriority w:val="0"/>
    <w:pPr>
      <w:adjustRightInd w:val="0"/>
      <w:spacing w:after="80" w:line="420" w:lineRule="atLeast"/>
      <w:jc w:val="left"/>
      <w:textAlignment w:val="baseline"/>
    </w:pPr>
    <w:rPr>
      <w:kern w:val="0"/>
      <w:sz w:val="24"/>
      <w:szCs w:val="20"/>
    </w:rPr>
  </w:style>
  <w:style w:type="paragraph" w:customStyle="1" w:styleId="63">
    <w:name w:val="表格内容"/>
    <w:basedOn w:val="1"/>
    <w:semiHidden/>
    <w:qFormat/>
    <w:uiPriority w:val="99"/>
    <w:pPr>
      <w:adjustRightInd w:val="0"/>
      <w:snapToGrid w:val="0"/>
      <w:spacing w:line="400" w:lineRule="atLeast"/>
      <w:jc w:val="center"/>
    </w:pPr>
    <w:rPr>
      <w:kern w:val="0"/>
      <w:sz w:val="22"/>
      <w:szCs w:val="22"/>
    </w:rPr>
  </w:style>
  <w:style w:type="paragraph" w:customStyle="1" w:styleId="6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5">
    <w:name w:val="报告表  段"/>
    <w:basedOn w:val="1"/>
    <w:qFormat/>
    <w:uiPriority w:val="0"/>
    <w:pPr>
      <w:adjustRightInd w:val="0"/>
      <w:spacing w:line="360" w:lineRule="auto"/>
      <w:ind w:firstLine="505"/>
      <w:textAlignment w:val="baseline"/>
    </w:pPr>
    <w:rPr>
      <w:rFonts w:ascii="宋体"/>
      <w:kern w:val="0"/>
      <w:sz w:val="24"/>
      <w:szCs w:val="20"/>
    </w:rPr>
  </w:style>
  <w:style w:type="paragraph" w:customStyle="1" w:styleId="66">
    <w:name w:val="000"/>
    <w:basedOn w:val="1"/>
    <w:qFormat/>
    <w:uiPriority w:val="0"/>
    <w:pPr>
      <w:snapToGrid w:val="0"/>
      <w:spacing w:line="520" w:lineRule="exact"/>
      <w:ind w:firstLine="200" w:firstLineChars="200"/>
    </w:pPr>
    <w:rPr>
      <w:sz w:val="24"/>
    </w:rPr>
  </w:style>
  <w:style w:type="paragraph" w:customStyle="1" w:styleId="67">
    <w:name w:val="表格样式1"/>
    <w:basedOn w:val="1"/>
    <w:qFormat/>
    <w:uiPriority w:val="0"/>
    <w:pPr>
      <w:spacing w:line="360" w:lineRule="exact"/>
      <w:jc w:val="center"/>
    </w:pPr>
    <w:rPr>
      <w:rFonts w:eastAsia="仿宋_GB2312"/>
      <w:color w:val="000080"/>
    </w:rPr>
  </w:style>
  <w:style w:type="paragraph" w:customStyle="1" w:styleId="68">
    <w:name w:val="_Style 1"/>
    <w:basedOn w:val="1"/>
    <w:qFormat/>
    <w:uiPriority w:val="0"/>
    <w:pPr>
      <w:adjustRightInd w:val="0"/>
      <w:snapToGrid w:val="0"/>
      <w:spacing w:line="481" w:lineRule="atLeast"/>
      <w:ind w:firstLine="623"/>
      <w:jc w:val="left"/>
      <w:textAlignment w:val="baseline"/>
    </w:pPr>
    <w:rPr>
      <w:rFonts w:eastAsia="仿宋_GB2312"/>
      <w:color w:val="000000"/>
      <w:sz w:val="31"/>
      <w:szCs w:val="24"/>
    </w:rPr>
  </w:style>
  <w:style w:type="paragraph" w:customStyle="1" w:styleId="69">
    <w:name w:val="表题"/>
    <w:basedOn w:val="18"/>
    <w:qFormat/>
    <w:uiPriority w:val="0"/>
    <w:pPr>
      <w:adjustRightInd w:val="0"/>
      <w:snapToGrid w:val="0"/>
      <w:spacing w:beforeLines="50" w:line="480" w:lineRule="exact"/>
      <w:ind w:left="0" w:firstLine="0" w:firstLineChars="0"/>
      <w:jc w:val="center"/>
    </w:pPr>
    <w:rPr>
      <w:rFonts w:eastAsia="黑体"/>
      <w:sz w:val="22"/>
      <w:szCs w:val="24"/>
    </w:rPr>
  </w:style>
  <w:style w:type="paragraph" w:customStyle="1" w:styleId="70">
    <w:name w:val="表内 定"/>
    <w:basedOn w:val="1"/>
    <w:qFormat/>
    <w:uiPriority w:val="0"/>
    <w:rPr>
      <w:rFonts w:cs="Times New Roman"/>
      <w:color w:val="000000"/>
    </w:rPr>
  </w:style>
  <w:style w:type="paragraph" w:customStyle="1" w:styleId="71">
    <w:name w:val="正文样式首行缩进2字符"/>
    <w:basedOn w:val="1"/>
    <w:qFormat/>
    <w:uiPriority w:val="0"/>
    <w:pPr>
      <w:adjustRightInd w:val="0"/>
      <w:snapToGrid w:val="0"/>
      <w:spacing w:line="360" w:lineRule="auto"/>
      <w:ind w:firstLine="200" w:firstLineChars="200"/>
    </w:pPr>
    <w:rPr>
      <w:rFonts w:ascii="Times New Roman" w:hAnsi="Times New Roman"/>
      <w:sz w:val="24"/>
    </w:rPr>
  </w:style>
  <w:style w:type="paragraph" w:customStyle="1" w:styleId="72">
    <w:name w:val="No Spacing"/>
    <w:qFormat/>
    <w:uiPriority w:val="0"/>
    <w:pPr>
      <w:widowControl w:val="0"/>
      <w:spacing w:line="300" w:lineRule="exact"/>
      <w:jc w:val="center"/>
    </w:pPr>
    <w:rPr>
      <w:rFonts w:ascii="Times New Roman" w:hAnsi="Times New Roman" w:eastAsia="宋体" w:cs="Times New Roman"/>
      <w:kern w:val="2"/>
      <w:sz w:val="21"/>
      <w:szCs w:val="22"/>
      <w:lang w:val="en-US" w:eastAsia="zh-CN" w:bidi="ar-SA"/>
    </w:rPr>
  </w:style>
  <w:style w:type="paragraph" w:customStyle="1" w:styleId="73">
    <w:name w:val="Table Text"/>
    <w:basedOn w:val="1"/>
    <w:semiHidden/>
    <w:qFormat/>
    <w:uiPriority w:val="0"/>
    <w:rPr>
      <w:sz w:val="24"/>
      <w:szCs w:val="24"/>
    </w:rPr>
  </w:style>
  <w:style w:type="table" w:customStyle="1" w:styleId="74">
    <w:name w:val="Table Normal"/>
    <w:unhideWhenUsed/>
    <w:qFormat/>
    <w:uiPriority w:val="2"/>
    <w:tblPr>
      <w:tblLayout w:type="fixed"/>
      <w:tblCellMar>
        <w:top w:w="0" w:type="dxa"/>
        <w:left w:w="0" w:type="dxa"/>
        <w:bottom w:w="0" w:type="dxa"/>
        <w:right w:w="0" w:type="dxa"/>
      </w:tblCellMar>
    </w:tblPr>
  </w:style>
  <w:style w:type="paragraph" w:customStyle="1" w:styleId="75">
    <w:name w:val="Body Text Indent"/>
    <w:basedOn w:val="1"/>
    <w:qFormat/>
    <w:uiPriority w:val="0"/>
    <w:pPr>
      <w:ind w:firstLine="570"/>
    </w:pPr>
    <w:rPr>
      <w:rFonts w:ascii="Times New Roman" w:hAnsi="Times New Roman"/>
      <w:sz w:val="28"/>
      <w:lang w:eastAsia="zh-TW"/>
    </w:rPr>
  </w:style>
  <w:style w:type="paragraph" w:customStyle="1" w:styleId="76">
    <w:name w:val="报告正文"/>
    <w:qFormat/>
    <w:uiPriority w:val="0"/>
    <w:pPr>
      <w:spacing w:line="360" w:lineRule="auto"/>
      <w:ind w:firstLine="723" w:firstLineChars="200"/>
    </w:pPr>
    <w:rPr>
      <w:rFonts w:ascii="Times New Roman" w:hAnsi="Times New Roman" w:eastAsia="宋体" w:cs="宋体"/>
      <w:sz w:val="24"/>
      <w:szCs w:val="24"/>
      <w:lang w:val="en-US" w:eastAsia="zh-CN" w:bidi="ar-SA"/>
    </w:rPr>
  </w:style>
  <w:style w:type="paragraph" w:customStyle="1" w:styleId="77">
    <w:name w:val="表格内容样式"/>
    <w:basedOn w:val="1"/>
    <w:qFormat/>
    <w:uiPriority w:val="0"/>
    <w:pPr>
      <w:jc w:val="center"/>
    </w:pPr>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image" Target="media/image1.jpeg"/><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theme" Target="theme/theme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wmf"/><Relationship Id="rId27" Type="http://schemas.openxmlformats.org/officeDocument/2006/relationships/oleObject" Target="embeddings/oleObject7.bin"/><Relationship Id="rId26" Type="http://schemas.openxmlformats.org/officeDocument/2006/relationships/image" Target="media/image15.wmf"/><Relationship Id="rId25" Type="http://schemas.openxmlformats.org/officeDocument/2006/relationships/oleObject" Target="embeddings/oleObject6.bin"/><Relationship Id="rId24" Type="http://schemas.openxmlformats.org/officeDocument/2006/relationships/image" Target="media/image14.wmf"/><Relationship Id="rId23" Type="http://schemas.openxmlformats.org/officeDocument/2006/relationships/oleObject" Target="embeddings/oleObject5.bin"/><Relationship Id="rId22" Type="http://schemas.openxmlformats.org/officeDocument/2006/relationships/image" Target="media/image13.wmf"/><Relationship Id="rId21" Type="http://schemas.openxmlformats.org/officeDocument/2006/relationships/oleObject" Target="embeddings/oleObject4.bin"/><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11.wmf"/><Relationship Id="rId17" Type="http://schemas.openxmlformats.org/officeDocument/2006/relationships/oleObject" Target="embeddings/oleObject2.bin"/><Relationship Id="rId16" Type="http://schemas.openxmlformats.org/officeDocument/2006/relationships/image" Target="media/image10.wmf"/><Relationship Id="rId15" Type="http://schemas.openxmlformats.org/officeDocument/2006/relationships/oleObject" Target="embeddings/oleObject1.bin"/><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94</Pages>
  <Words>18677</Words>
  <Characters>19775</Characters>
  <Lines>13</Lines>
  <Paragraphs>3</Paragraphs>
  <TotalTime>1</TotalTime>
  <ScaleCrop>false</ScaleCrop>
  <LinksUpToDate>false</LinksUpToDate>
  <CharactersWithSpaces>19907</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admin</cp:lastModifiedBy>
  <cp:lastPrinted>2022-10-27T03:51:00Z</cp:lastPrinted>
  <dcterms:modified xsi:type="dcterms:W3CDTF">2025-03-12T05:10:48Z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y fmtid="{D5CDD505-2E9C-101B-9397-08002B2CF9AE}" pid="3" name="ICV">
    <vt:lpwstr>E2EC5BBA9FE145FCB49B12DC763CE9BF_13</vt:lpwstr>
  </property>
  <property fmtid="{D5CDD505-2E9C-101B-9397-08002B2CF9AE}" pid="4" name="KSOTemplateDocerSaveRecord">
    <vt:lpwstr>eyJoZGlkIjoiYmJlYzUyMDU3MWQ4MGY2MGRlNjRjMWFlMWM4YWJhYmMiLCJ1c2VySWQiOiI2NDk5NzM5MjgifQ==</vt:lpwstr>
  </property>
</Properties>
</file>