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91C8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70" w:lineRule="atLeast"/>
        <w:ind w:left="0" w:right="0" w:firstLine="0"/>
        <w:jc w:val="center"/>
        <w:textAlignment w:val="top"/>
        <w:rPr>
          <w:rFonts w:hint="eastAsia" w:ascii="Arial" w:hAnsi="Arial" w:cs="Arial"/>
          <w:b/>
          <w:bCs/>
          <w:i w:val="0"/>
          <w:iCs w:val="0"/>
          <w:caps w:val="0"/>
          <w:color w:val="000000" w:themeColor="text1"/>
          <w:spacing w:val="0"/>
          <w:sz w:val="57"/>
          <w:szCs w:val="57"/>
          <w:shd w:val="clear" w:fill="FFFFFF"/>
          <w:lang w:eastAsia="zh-CN"/>
          <w14:textFill>
            <w14:solidFill>
              <w14:schemeClr w14:val="tx1"/>
            </w14:solidFill>
          </w14:textFill>
        </w:rPr>
      </w:pPr>
      <w:r>
        <w:rPr>
          <w:rFonts w:hint="eastAsia" w:ascii="Arial" w:hAnsi="Arial" w:cs="Arial"/>
          <w:b/>
          <w:bCs/>
          <w:i w:val="0"/>
          <w:iCs w:val="0"/>
          <w:caps w:val="0"/>
          <w:color w:val="000000" w:themeColor="text1"/>
          <w:spacing w:val="0"/>
          <w:sz w:val="57"/>
          <w:szCs w:val="57"/>
          <w:shd w:val="clear" w:fill="FFFFFF"/>
          <w:lang w:eastAsia="zh-CN"/>
          <w14:textFill>
            <w14:solidFill>
              <w14:schemeClr w14:val="tx1"/>
            </w14:solidFill>
          </w14:textFill>
        </w:rPr>
        <w:t>《</w:t>
      </w:r>
      <w:r>
        <w:rPr>
          <w:rFonts w:hint="default" w:ascii="Arial" w:hAnsi="Arial" w:eastAsia="宋体" w:cs="Arial"/>
          <w:b/>
          <w:bCs/>
          <w:i w:val="0"/>
          <w:iCs w:val="0"/>
          <w:caps w:val="0"/>
          <w:color w:val="000000" w:themeColor="text1"/>
          <w:spacing w:val="0"/>
          <w:sz w:val="57"/>
          <w:szCs w:val="57"/>
          <w:shd w:val="clear" w:fill="FFFFFF"/>
          <w14:textFill>
            <w14:solidFill>
              <w14:schemeClr w14:val="tx1"/>
            </w14:solidFill>
          </w14:textFill>
        </w:rPr>
        <w:t>南阳市卧龙区粮食收购贷款信用保证基金管理办法</w:t>
      </w:r>
      <w:r>
        <w:rPr>
          <w:rFonts w:hint="eastAsia" w:ascii="Arial" w:hAnsi="Arial" w:cs="Arial"/>
          <w:b/>
          <w:bCs/>
          <w:i w:val="0"/>
          <w:iCs w:val="0"/>
          <w:caps w:val="0"/>
          <w:color w:val="000000" w:themeColor="text1"/>
          <w:spacing w:val="0"/>
          <w:sz w:val="57"/>
          <w:szCs w:val="57"/>
          <w:shd w:val="clear" w:fill="FFFFFF"/>
          <w:lang w:eastAsia="zh-CN"/>
          <w14:textFill>
            <w14:solidFill>
              <w14:schemeClr w14:val="tx1"/>
            </w14:solidFill>
          </w14:textFill>
        </w:rPr>
        <w:t>》</w:t>
      </w:r>
    </w:p>
    <w:p w14:paraId="0434E5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870" w:lineRule="atLeast"/>
        <w:ind w:left="0" w:right="0" w:firstLine="0"/>
        <w:jc w:val="center"/>
        <w:textAlignment w:val="top"/>
        <w:rPr>
          <w:rFonts w:hint="default" w:ascii="Arial" w:hAnsi="Arial" w:eastAsia="宋体" w:cs="Arial"/>
          <w:b/>
          <w:bCs/>
          <w:i w:val="0"/>
          <w:iCs w:val="0"/>
          <w:caps w:val="0"/>
          <w:color w:val="000000" w:themeColor="text1"/>
          <w:spacing w:val="0"/>
          <w:sz w:val="57"/>
          <w:szCs w:val="57"/>
          <w:shd w:val="clear" w:fill="FFFFFF"/>
          <w14:textFill>
            <w14:solidFill>
              <w14:schemeClr w14:val="tx1"/>
            </w14:solidFill>
          </w14:textFill>
        </w:rPr>
      </w:pPr>
      <w:r>
        <w:rPr>
          <w:rFonts w:hint="default" w:ascii="Arial" w:hAnsi="Arial" w:eastAsia="宋体" w:cs="Arial"/>
          <w:b/>
          <w:bCs/>
          <w:i w:val="0"/>
          <w:iCs w:val="0"/>
          <w:caps w:val="0"/>
          <w:color w:val="000000" w:themeColor="text1"/>
          <w:spacing w:val="0"/>
          <w:sz w:val="57"/>
          <w:szCs w:val="57"/>
          <w:shd w:val="clear" w:fill="FFFFFF"/>
          <w14:textFill>
            <w14:solidFill>
              <w14:schemeClr w14:val="tx1"/>
            </w14:solidFill>
          </w14:textFill>
        </w:rPr>
        <w:t>政策解读</w:t>
      </w:r>
    </w:p>
    <w:p w14:paraId="09EF6BED">
      <w:pPr>
        <w:rPr>
          <w:rFonts w:hint="default"/>
        </w:rPr>
      </w:pPr>
    </w:p>
    <w:p w14:paraId="2515A9B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eastAsia" w:ascii="黑体" w:hAnsi="黑体" w:eastAsia="黑体" w:cs="黑体"/>
          <w:i w:val="0"/>
          <w:iCs w:val="0"/>
          <w:caps w:val="0"/>
          <w:color w:val="121212"/>
          <w:spacing w:val="0"/>
          <w:sz w:val="32"/>
          <w:szCs w:val="32"/>
          <w:shd w:val="clear" w:fill="FFFFFF"/>
          <w:lang w:val="en-US" w:eastAsia="zh-CN"/>
        </w:rPr>
      </w:pPr>
      <w:r>
        <w:rPr>
          <w:rFonts w:hint="eastAsia" w:ascii="黑体" w:hAnsi="黑体" w:eastAsia="黑体" w:cs="黑体"/>
          <w:i w:val="0"/>
          <w:iCs w:val="0"/>
          <w:caps w:val="0"/>
          <w:color w:val="121212"/>
          <w:spacing w:val="0"/>
          <w:sz w:val="32"/>
          <w:szCs w:val="32"/>
          <w:shd w:val="clear" w:fill="FFFFFF"/>
        </w:rPr>
        <w:t>一、政策背景与</w:t>
      </w:r>
      <w:r>
        <w:rPr>
          <w:rFonts w:hint="eastAsia" w:ascii="黑体" w:hAnsi="黑体" w:eastAsia="黑体" w:cs="黑体"/>
          <w:i w:val="0"/>
          <w:iCs w:val="0"/>
          <w:caps w:val="0"/>
          <w:color w:val="121212"/>
          <w:spacing w:val="0"/>
          <w:sz w:val="32"/>
          <w:szCs w:val="32"/>
          <w:shd w:val="clear" w:fill="FFFFFF"/>
          <w:lang w:val="en-US" w:eastAsia="zh-CN"/>
        </w:rPr>
        <w:t>依据</w:t>
      </w:r>
    </w:p>
    <w:p w14:paraId="568249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为推进粮食收储制度改革，加大粮食市场化收购信贷支持力度，落实粮食安全党政同责要求，保障国家粮食安全，南阳市卧龙区政府根据耕地保护和粮食安全责任制考核及省政府办公厅《关于大力发展粮食产业经济加快建设粮食经济强省的实施意见》(豫政办〔2018〕45号)，决定建立卧龙区粮食收购贷款信用保证基金（以下简称“粮食信保金”）。该基金旨在通过政府引导、企业参与的方式，为粮食企业提供融资增信，防范信贷风险，促进粮食市场化收购。</w:t>
      </w:r>
    </w:p>
    <w:p w14:paraId="003FDAE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Arial" w:hAnsi="Arial" w:cs="Arial"/>
          <w:i w:val="0"/>
          <w:iCs w:val="0"/>
          <w:caps w:val="0"/>
          <w:color w:val="121212"/>
          <w:spacing w:val="0"/>
          <w:sz w:val="32"/>
          <w:szCs w:val="32"/>
          <w:shd w:val="clear" w:fill="FFFFFF"/>
        </w:rPr>
        <w:t>文件依据为：</w:t>
      </w:r>
      <w:r>
        <w:rPr>
          <w:rFonts w:hint="eastAsia" w:ascii="仿宋_GB2312" w:eastAsia="仿宋_GB2312" w:hAnsiTheme="minorHAnsi" w:cstheme="minorBidi"/>
          <w:kern w:val="2"/>
          <w:sz w:val="32"/>
          <w:szCs w:val="32"/>
          <w:lang w:val="en-US" w:eastAsia="zh-CN" w:bidi="ar-SA"/>
        </w:rPr>
        <w:t>《南阳市粮食和物资储备局转发&lt;河南省财政厅 河南省粮食和物资储备局 中国农业发展银行河南分行关于印发&lt;河南省粮食收购贷款信用保证基金管理办法&gt;的通知》（宛粮文〔2023〕62号）和《南阳市粮食和物资储备局南阳市财政局 南阳市银保监分局 中国农业发展银行南阳分行关于印发&lt;南阳市南阳市粮食收购贷款信用保证基金管理办法&gt;的通知》（宛粮文〔2022〕51号）</w:t>
      </w:r>
      <w:r>
        <w:rPr>
          <w:rFonts w:hint="default" w:ascii="仿宋_GB2312" w:eastAsia="仿宋_GB2312" w:hAnsiTheme="minorHAnsi" w:cstheme="minorBidi"/>
          <w:kern w:val="2"/>
          <w:sz w:val="32"/>
          <w:szCs w:val="32"/>
          <w:lang w:val="en-US" w:eastAsia="zh-CN" w:bidi="ar-SA"/>
        </w:rPr>
        <w:t>。</w:t>
      </w:r>
    </w:p>
    <w:p w14:paraId="6944BD38">
      <w:pPr>
        <w:pStyle w:val="5"/>
        <w:keepNext w:val="0"/>
        <w:keepLines w:val="0"/>
        <w:widowControl/>
        <w:suppressLineNumbers w:val="0"/>
        <w:spacing w:before="0" w:beforeAutospacing="1" w:after="0" w:afterAutospacing="0"/>
        <w:ind w:left="0" w:right="0"/>
        <w:rPr>
          <w:bdr w:val="none" w:color="auto" w:sz="0" w:space="0"/>
        </w:rPr>
      </w:pPr>
    </w:p>
    <w:p w14:paraId="6488AAA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eastAsia" w:ascii="黑体" w:hAnsi="黑体" w:eastAsia="黑体" w:cs="黑体"/>
          <w:i w:val="0"/>
          <w:iCs w:val="0"/>
          <w:caps w:val="0"/>
          <w:color w:val="121212"/>
          <w:spacing w:val="0"/>
          <w:sz w:val="32"/>
          <w:szCs w:val="32"/>
          <w:shd w:val="clear" w:fill="FFFFFF"/>
          <w:lang w:val="en-US" w:eastAsia="zh-CN"/>
        </w:rPr>
      </w:pPr>
      <w:r>
        <w:rPr>
          <w:rFonts w:hint="eastAsia" w:ascii="黑体" w:hAnsi="黑体" w:eastAsia="黑体" w:cs="黑体"/>
          <w:i w:val="0"/>
          <w:iCs w:val="0"/>
          <w:caps w:val="0"/>
          <w:color w:val="121212"/>
          <w:spacing w:val="0"/>
          <w:sz w:val="32"/>
          <w:szCs w:val="32"/>
          <w:shd w:val="clear" w:fill="FFFFFF"/>
          <w:lang w:val="en-US" w:eastAsia="zh-CN"/>
        </w:rPr>
        <w:t>二、粮食信保金的定义与运作原则</w:t>
      </w:r>
    </w:p>
    <w:p w14:paraId="1E8A12A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w:t>
      </w:r>
      <w:bookmarkStart w:id="0" w:name="_GoBack"/>
      <w:bookmarkEnd w:id="0"/>
      <w:r>
        <w:rPr>
          <w:rFonts w:hint="eastAsia" w:ascii="楷体" w:hAnsi="楷体" w:eastAsia="楷体" w:cs="楷体"/>
          <w:b/>
          <w:bCs/>
          <w:kern w:val="2"/>
          <w:sz w:val="32"/>
          <w:szCs w:val="32"/>
          <w:lang w:val="en-US" w:eastAsia="zh-CN" w:bidi="ar-SA"/>
        </w:rPr>
        <w:t>定义</w:t>
      </w:r>
    </w:p>
    <w:p w14:paraId="70AE61E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粮食信保金是由政府适当出资，引导符合条件的粮食企业共同出资设立的担保资金，主要用于为粮食企业收购小麦、玉米提供融资增信，防范信贷风险。</w:t>
      </w:r>
    </w:p>
    <w:p w14:paraId="21105E1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运作原则</w:t>
      </w:r>
    </w:p>
    <w:p w14:paraId="75042B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政府引导：政府引导、企业自愿、统一管理、封闭运行、市场运作、风险共担。</w:t>
      </w:r>
    </w:p>
    <w:p w14:paraId="0B6311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互利共赢：促进粮食安全，引导信贷资金入市，帮助粮食企业融资增信，防控银行贷款风险。</w:t>
      </w:r>
    </w:p>
    <w:p w14:paraId="1B1BCE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协同配合：区政府领导下，粮食和物资储备部门直接管理，财政部门及其他部门协同配合。</w:t>
      </w:r>
    </w:p>
    <w:p w14:paraId="0EEB69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风险共担：各方主体共同应对、承担、化解资金风险，代偿后净损失由出资各方共同承担。</w:t>
      </w:r>
    </w:p>
    <w:p w14:paraId="381FBD4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eastAsia" w:ascii="黑体" w:hAnsi="黑体" w:eastAsia="黑体" w:cs="黑体"/>
          <w:i w:val="0"/>
          <w:iCs w:val="0"/>
          <w:caps w:val="0"/>
          <w:color w:val="121212"/>
          <w:spacing w:val="0"/>
          <w:sz w:val="32"/>
          <w:szCs w:val="32"/>
          <w:shd w:val="clear" w:fill="FFFFFF"/>
          <w:lang w:val="en-US" w:eastAsia="zh-CN"/>
        </w:rPr>
      </w:pPr>
      <w:r>
        <w:rPr>
          <w:rFonts w:hint="eastAsia" w:ascii="黑体" w:hAnsi="黑体" w:eastAsia="黑体" w:cs="黑体"/>
          <w:i w:val="0"/>
          <w:iCs w:val="0"/>
          <w:caps w:val="0"/>
          <w:color w:val="121212"/>
          <w:spacing w:val="0"/>
          <w:sz w:val="32"/>
          <w:szCs w:val="32"/>
          <w:shd w:val="clear" w:fill="FFFFFF"/>
          <w:lang w:val="en-US" w:eastAsia="zh-CN"/>
        </w:rPr>
        <w:t>三、粮食信金的设立与管理</w:t>
      </w:r>
    </w:p>
    <w:p w14:paraId="58E098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基金规模与募集</w:t>
      </w:r>
    </w:p>
    <w:p w14:paraId="5433F1A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粮食信保金规模暂定1000万元，其中区财政出资300万元，参与企业出资700万元。募集期内，粮食企业先到先得缴纳额度，满额为止。募集期结束后，区信保金办公布实缴企业名单。</w:t>
      </w:r>
    </w:p>
    <w:p w14:paraId="1CE7AF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参与企业与贷款合作银行</w:t>
      </w:r>
    </w:p>
    <w:p w14:paraId="39144DA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参与企业范围为卧龙区内注册的从事粮食收购、销售、储存、加工等经营活动的粮食企业。贷款合作银行需与粮食信保金管理人签订合作协议，并报区信保金办备案。</w:t>
      </w:r>
    </w:p>
    <w:p w14:paraId="0C00998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w:t>
      </w:r>
      <w:r>
        <w:rPr>
          <w:rFonts w:hint="default" w:ascii="楷体" w:hAnsi="楷体" w:eastAsia="楷体" w:cs="楷体"/>
          <w:b/>
          <w:bCs/>
          <w:kern w:val="2"/>
          <w:sz w:val="32"/>
          <w:szCs w:val="32"/>
          <w:lang w:val="en-US" w:eastAsia="zh-CN" w:bidi="ar-SA"/>
        </w:rPr>
        <w:t xml:space="preserve"> 缴存份额与归集管理</w:t>
      </w:r>
    </w:p>
    <w:p w14:paraId="55AE417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粮食信保金缴存起点为50万元，每户企业缴纳额度不超过200万元。粮食信保金实行专户管理，资金执行存款优惠利率。</w:t>
      </w:r>
    </w:p>
    <w:p w14:paraId="260DEE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黑体" w:hAnsi="黑体" w:eastAsia="黑体" w:cs="黑体"/>
          <w:i w:val="0"/>
          <w:iCs w:val="0"/>
          <w:caps w:val="0"/>
          <w:color w:val="121212"/>
          <w:spacing w:val="0"/>
          <w:sz w:val="32"/>
          <w:szCs w:val="32"/>
          <w:shd w:val="clear" w:fill="FFFFFF"/>
          <w:lang w:val="en-US" w:eastAsia="zh-CN"/>
        </w:rPr>
      </w:pPr>
      <w:r>
        <w:rPr>
          <w:rFonts w:hint="default" w:ascii="黑体" w:hAnsi="黑体" w:eastAsia="黑体" w:cs="黑体"/>
          <w:i w:val="0"/>
          <w:iCs w:val="0"/>
          <w:caps w:val="0"/>
          <w:color w:val="121212"/>
          <w:spacing w:val="0"/>
          <w:sz w:val="32"/>
          <w:szCs w:val="32"/>
          <w:shd w:val="clear" w:fill="FFFFFF"/>
          <w:lang w:val="en-US" w:eastAsia="zh-CN"/>
        </w:rPr>
        <w:t>四、资格认定与贷款管理</w:t>
      </w:r>
    </w:p>
    <w:p w14:paraId="5A1EE0E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资格认定</w:t>
      </w:r>
    </w:p>
    <w:p w14:paraId="5FF93E9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企业申请参加粮食信保金，须向贷款银行提交贷款申请。贷款银行在5个工作日内完成资格审查，并书面答复企业。贷款银行确认企业符合条件后，会同区粮食和物资储备部门确定企业参与资格及缴存上限，并报粮食信保金管理人审核。</w:t>
      </w:r>
    </w:p>
    <w:p w14:paraId="578FC35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贷款管理</w:t>
      </w:r>
    </w:p>
    <w:p w14:paraId="08012AB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贷款银行按企业实际缴存额度的10倍左右发放贷款，最高不超过15倍，贷款期限不超过一年。贷款利率原则上按一年期LPR执行，鼓励银行根据企业资信状况下浮利率。</w:t>
      </w:r>
    </w:p>
    <w:p w14:paraId="45689F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黑体" w:hAnsi="黑体" w:eastAsia="黑体" w:cs="黑体"/>
          <w:i w:val="0"/>
          <w:iCs w:val="0"/>
          <w:caps w:val="0"/>
          <w:color w:val="121212"/>
          <w:spacing w:val="0"/>
          <w:sz w:val="32"/>
          <w:szCs w:val="32"/>
          <w:shd w:val="clear" w:fill="FFFFFF"/>
          <w:lang w:val="en-US" w:eastAsia="zh-CN"/>
        </w:rPr>
      </w:pPr>
      <w:r>
        <w:rPr>
          <w:rFonts w:hint="default" w:ascii="黑体" w:hAnsi="黑体" w:eastAsia="黑体" w:cs="黑体"/>
          <w:i w:val="0"/>
          <w:iCs w:val="0"/>
          <w:caps w:val="0"/>
          <w:color w:val="121212"/>
          <w:spacing w:val="0"/>
          <w:sz w:val="32"/>
          <w:szCs w:val="32"/>
          <w:shd w:val="clear" w:fill="FFFFFF"/>
          <w:lang w:val="en-US" w:eastAsia="zh-CN"/>
        </w:rPr>
        <w:t>五、代偿、追缴及损失认定</w:t>
      </w:r>
    </w:p>
    <w:p w14:paraId="4C223E2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仿宋_GB2312" w:eastAsia="仿宋_GB2312" w:hAnsiTheme="minorHAnsi" w:cstheme="minorBidi"/>
          <w:kern w:val="2"/>
          <w:sz w:val="32"/>
          <w:szCs w:val="32"/>
          <w:lang w:val="en-US" w:eastAsia="zh-CN" w:bidi="ar-SA"/>
        </w:rPr>
      </w:pPr>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 xml:space="preserve"> 代偿原则</w:t>
      </w:r>
      <w:r>
        <w:rPr>
          <w:rFonts w:hint="default" w:ascii="仿宋_GB2312" w:eastAsia="仿宋_GB2312" w:hAnsiTheme="minorHAnsi" w:cstheme="minorBidi"/>
          <w:kern w:val="2"/>
          <w:sz w:val="32"/>
          <w:szCs w:val="32"/>
          <w:lang w:val="en-US" w:eastAsia="zh-CN" w:bidi="ar-SA"/>
        </w:rPr>
        <w:br w:type="textWrapping"/>
      </w:r>
      <w:r>
        <w:rPr>
          <w:rFonts w:hint="default" w:ascii="仿宋_GB2312" w:eastAsia="仿宋_GB2312" w:hAnsiTheme="minorHAnsi" w:cstheme="minorBidi"/>
          <w:kern w:val="2"/>
          <w:sz w:val="32"/>
          <w:szCs w:val="32"/>
          <w:lang w:val="en-US" w:eastAsia="zh-CN" w:bidi="ar-SA"/>
        </w:rPr>
        <w:t>贷款银行到期未收回的贷款，由粮食信保金进行过渡性代偿。存在借款合同无效、贷款银行串通企业恶意欺骗、实际放款额超过授信额度等情况的，不予代偿。</w:t>
      </w:r>
    </w:p>
    <w:p w14:paraId="5ACC94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启动代偿</w:t>
      </w:r>
    </w:p>
    <w:p w14:paraId="2792F9B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贷款到期前10个工作日内，贷款银行向企业送达还款通知。到期未收回的贷款，贷款银行提出代偿申请，经区粮食和物资储备部门审核后，报粮食信保金管理人复核。</w:t>
      </w:r>
    </w:p>
    <w:p w14:paraId="1C9413A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w:t>
      </w:r>
      <w:r>
        <w:rPr>
          <w:rFonts w:hint="default" w:ascii="楷体" w:hAnsi="楷体" w:eastAsia="楷体" w:cs="楷体"/>
          <w:b/>
          <w:bCs/>
          <w:kern w:val="2"/>
          <w:sz w:val="32"/>
          <w:szCs w:val="32"/>
          <w:lang w:val="en-US" w:eastAsia="zh-CN" w:bidi="ar-SA"/>
        </w:rPr>
        <w:t>代偿顺序</w:t>
      </w:r>
    </w:p>
    <w:p w14:paraId="2BEFB9B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先使用企业自身缴存的资金，不足部分由参与企业出资和对应的区级财政出资按7:3比例代偿，代偿金额不超过未还贷款额度的2/3。</w:t>
      </w:r>
    </w:p>
    <w:p w14:paraId="1576AA4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w:t>
      </w:r>
      <w:r>
        <w:rPr>
          <w:rFonts w:hint="default" w:ascii="楷体" w:hAnsi="楷体" w:eastAsia="楷体" w:cs="楷体"/>
          <w:b/>
          <w:bCs/>
          <w:kern w:val="2"/>
          <w:sz w:val="32"/>
          <w:szCs w:val="32"/>
          <w:lang w:val="en-US" w:eastAsia="zh-CN" w:bidi="ar-SA"/>
        </w:rPr>
        <w:t>资金追缴</w:t>
      </w:r>
    </w:p>
    <w:p w14:paraId="289DD91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发生代偿后，贷款银行会同区粮食和物资储备局、区财政局，采取必要手段追缴资金。</w:t>
      </w:r>
    </w:p>
    <w:p w14:paraId="191963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黑体" w:hAnsi="黑体" w:eastAsia="黑体" w:cs="黑体"/>
          <w:i w:val="0"/>
          <w:iCs w:val="0"/>
          <w:caps w:val="0"/>
          <w:color w:val="121212"/>
          <w:spacing w:val="0"/>
          <w:sz w:val="32"/>
          <w:szCs w:val="32"/>
          <w:shd w:val="clear" w:fill="FFFFFF"/>
          <w:lang w:val="en-US" w:eastAsia="zh-CN"/>
        </w:rPr>
      </w:pPr>
      <w:r>
        <w:rPr>
          <w:rFonts w:hint="default" w:ascii="黑体" w:hAnsi="黑体" w:eastAsia="黑体" w:cs="黑体"/>
          <w:i w:val="0"/>
          <w:iCs w:val="0"/>
          <w:caps w:val="0"/>
          <w:color w:val="121212"/>
          <w:spacing w:val="0"/>
          <w:sz w:val="32"/>
          <w:szCs w:val="32"/>
          <w:shd w:val="clear" w:fill="FFFFFF"/>
          <w:lang w:val="en-US" w:eastAsia="zh-CN"/>
        </w:rPr>
        <w:t>六、粮食信保金退出及奖惩机制</w:t>
      </w:r>
    </w:p>
    <w:p w14:paraId="007015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退出条件</w:t>
      </w:r>
    </w:p>
    <w:p w14:paraId="00EE178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未通过资格审批，可全额退还。</w:t>
      </w:r>
    </w:p>
    <w:p w14:paraId="52B408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通过资格审批但未签订三方协议，可全额退还。</w:t>
      </w:r>
    </w:p>
    <w:p w14:paraId="4AF08A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通过审批并缴纳粮食信保金后，未通过贷款审批或一个月内未贷款并提出退出申请，可全额退还。</w:t>
      </w:r>
    </w:p>
    <w:p w14:paraId="308637B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粮食信保金期满或贷款银行收回贷款本息后，参与企业如无互保责任或互保责任已解除，可根据粮食信保金单位净值按出资份额收回出资。</w:t>
      </w:r>
    </w:p>
    <w:p w14:paraId="61463B1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奖惩机制</w:t>
      </w:r>
    </w:p>
    <w:p w14:paraId="2C16AF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未使用粮食信保金代偿的企业，再次申请贷款时可适当提高放大倍数。</w:t>
      </w:r>
    </w:p>
    <w:p w14:paraId="20681A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使用粮食信保金代偿的企业，次年贷款放大倍数最高不超过5倍。</w:t>
      </w:r>
    </w:p>
    <w:p w14:paraId="479A39C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对拒不执行还款计划的企业，采取经济、行政、法律手段追缴。</w:t>
      </w:r>
    </w:p>
    <w:p w14:paraId="5E2816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对积极配合充实粮食信保金额度的企业，贷款银行在信贷支持方面优先考虑。</w:t>
      </w:r>
    </w:p>
    <w:p w14:paraId="6844644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黑体" w:hAnsi="黑体" w:eastAsia="黑体" w:cs="黑体"/>
          <w:i w:val="0"/>
          <w:iCs w:val="0"/>
          <w:caps w:val="0"/>
          <w:color w:val="121212"/>
          <w:spacing w:val="0"/>
          <w:sz w:val="32"/>
          <w:szCs w:val="32"/>
          <w:shd w:val="clear" w:fill="FFFFFF"/>
          <w:lang w:val="en-US" w:eastAsia="zh-CN"/>
        </w:rPr>
      </w:pPr>
      <w:r>
        <w:rPr>
          <w:rFonts w:hint="default" w:ascii="黑体" w:hAnsi="黑体" w:eastAsia="黑体" w:cs="黑体"/>
          <w:i w:val="0"/>
          <w:iCs w:val="0"/>
          <w:caps w:val="0"/>
          <w:color w:val="121212"/>
          <w:spacing w:val="0"/>
          <w:sz w:val="32"/>
          <w:szCs w:val="32"/>
          <w:shd w:val="clear" w:fill="FFFFFF"/>
          <w:lang w:val="en-US" w:eastAsia="zh-CN"/>
        </w:rPr>
        <w:t>七、财务管理</w:t>
      </w:r>
    </w:p>
    <w:p w14:paraId="716C5C1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仿宋_GB2312" w:eastAsia="仿宋_GB2312" w:hAnsiTheme="minorHAnsi" w:cstheme="minorBidi"/>
          <w:kern w:val="2"/>
          <w:sz w:val="32"/>
          <w:szCs w:val="32"/>
          <w:lang w:val="en-US" w:eastAsia="zh-CN" w:bidi="ar-SA"/>
        </w:rPr>
      </w:pPr>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 xml:space="preserve"> 粮食信保金核算</w:t>
      </w:r>
      <w:r>
        <w:rPr>
          <w:rFonts w:hint="default" w:ascii="仿宋_GB2312" w:eastAsia="仿宋_GB2312" w:hAnsiTheme="minorHAnsi" w:cstheme="minorBidi"/>
          <w:kern w:val="2"/>
          <w:sz w:val="32"/>
          <w:szCs w:val="32"/>
          <w:lang w:val="en-US" w:eastAsia="zh-CN" w:bidi="ar-SA"/>
        </w:rPr>
        <w:br w:type="textWrapping"/>
      </w:r>
      <w:r>
        <w:rPr>
          <w:rFonts w:hint="default" w:ascii="仿宋_GB2312" w:eastAsia="仿宋_GB2312" w:hAnsiTheme="minorHAnsi" w:cstheme="minorBidi"/>
          <w:kern w:val="2"/>
          <w:sz w:val="32"/>
          <w:szCs w:val="32"/>
          <w:lang w:val="en-US" w:eastAsia="zh-CN" w:bidi="ar-SA"/>
        </w:rPr>
        <w:t>粮食信保金管理人应对粮食信保金专户管理、单独核算。粮食信保金收支及其业务应与粮食信保金管理人日常业务分开。</w:t>
      </w:r>
    </w:p>
    <w:p w14:paraId="2B76F9C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仿宋_GB2312" w:eastAsia="仿宋_GB2312" w:hAnsiTheme="minorHAnsi" w:cstheme="minorBidi"/>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存款利息</w:t>
      </w:r>
      <w:r>
        <w:rPr>
          <w:rFonts w:hint="default" w:ascii="仿宋_GB2312" w:eastAsia="仿宋_GB2312" w:hAnsiTheme="minorHAnsi" w:cstheme="minorBidi"/>
          <w:kern w:val="2"/>
          <w:sz w:val="32"/>
          <w:szCs w:val="32"/>
          <w:lang w:val="en-US" w:eastAsia="zh-CN" w:bidi="ar-SA"/>
        </w:rPr>
        <w:br w:type="textWrapping"/>
      </w:r>
      <w:r>
        <w:rPr>
          <w:rFonts w:hint="default" w:ascii="仿宋_GB2312" w:eastAsia="仿宋_GB2312" w:hAnsiTheme="minorHAnsi" w:cstheme="minorBidi"/>
          <w:kern w:val="2"/>
          <w:sz w:val="32"/>
          <w:szCs w:val="32"/>
          <w:lang w:val="en-US" w:eastAsia="zh-CN" w:bidi="ar-SA"/>
        </w:rPr>
        <w:t>企业缴存资金存款产生的利息不增加粮食信保金份数，利息增值收益按粮食信保金份数分享。财政出资产生的利息用于增加粮食信保金，部分利息可用于必要的粮食信保金管理性支出。</w:t>
      </w:r>
    </w:p>
    <w:p w14:paraId="7AD102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w:t>
      </w:r>
      <w:r>
        <w:rPr>
          <w:rFonts w:hint="default" w:ascii="楷体" w:hAnsi="楷体" w:eastAsia="楷体" w:cs="楷体"/>
          <w:b/>
          <w:bCs/>
          <w:kern w:val="2"/>
          <w:sz w:val="32"/>
          <w:szCs w:val="32"/>
          <w:lang w:val="en-US" w:eastAsia="zh-CN" w:bidi="ar-SA"/>
        </w:rPr>
        <w:t>粮食信保金管理费</w:t>
      </w:r>
    </w:p>
    <w:p w14:paraId="5DA2E62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粮食信保金管理费通过粮食信保金政府出资利息收入渠道解决，按不超过当年政府出资实际使用额度的1%计算。</w:t>
      </w:r>
    </w:p>
    <w:p w14:paraId="085452C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黑体" w:hAnsi="黑体" w:eastAsia="黑体" w:cs="黑体"/>
          <w:i w:val="0"/>
          <w:iCs w:val="0"/>
          <w:caps w:val="0"/>
          <w:color w:val="121212"/>
          <w:spacing w:val="0"/>
          <w:sz w:val="32"/>
          <w:szCs w:val="32"/>
          <w:shd w:val="clear" w:fill="FFFFFF"/>
          <w:lang w:val="en-US" w:eastAsia="zh-CN"/>
        </w:rPr>
      </w:pPr>
      <w:r>
        <w:rPr>
          <w:rFonts w:hint="default" w:ascii="黑体" w:hAnsi="黑体" w:eastAsia="黑体" w:cs="黑体"/>
          <w:i w:val="0"/>
          <w:iCs w:val="0"/>
          <w:caps w:val="0"/>
          <w:color w:val="121212"/>
          <w:spacing w:val="0"/>
          <w:sz w:val="32"/>
          <w:szCs w:val="32"/>
          <w:shd w:val="clear" w:fill="FFFFFF"/>
          <w:lang w:val="en-US" w:eastAsia="zh-CN"/>
        </w:rPr>
        <w:t>八、附则</w:t>
      </w:r>
    </w:p>
    <w:p w14:paraId="5F77941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w:t>
      </w:r>
      <w:r>
        <w:rPr>
          <w:rFonts w:hint="default" w:ascii="楷体" w:hAnsi="楷体" w:eastAsia="楷体" w:cs="楷体"/>
          <w:b/>
          <w:bCs/>
          <w:kern w:val="2"/>
          <w:sz w:val="32"/>
          <w:szCs w:val="32"/>
          <w:lang w:val="en-US" w:eastAsia="zh-CN" w:bidi="ar-SA"/>
        </w:rPr>
        <w:t>粮食信保金终止</w:t>
      </w:r>
    </w:p>
    <w:p w14:paraId="487F65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粮食信保金终止后，区信保金办负责组织清算，按照粮食信保金单位净值、粮食信保金份额计算，返还各缴存单位。</w:t>
      </w:r>
    </w:p>
    <w:p w14:paraId="2701DB9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3" w:firstLineChars="200"/>
        <w:jc w:val="left"/>
        <w:textAlignment w:val="top"/>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（二）</w:t>
      </w:r>
      <w:r>
        <w:rPr>
          <w:rFonts w:hint="default" w:ascii="楷体" w:hAnsi="楷体" w:eastAsia="楷体" w:cs="楷体"/>
          <w:b/>
          <w:bCs/>
          <w:kern w:val="2"/>
          <w:sz w:val="32"/>
          <w:szCs w:val="32"/>
          <w:lang w:val="en-US" w:eastAsia="zh-CN" w:bidi="ar-SA"/>
        </w:rPr>
        <w:t>解释与执行</w:t>
      </w:r>
    </w:p>
    <w:p w14:paraId="683D97B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本办法由区粮食信保金管理办公室负责解释，自印发之日起执行。</w:t>
      </w:r>
    </w:p>
    <w:p w14:paraId="63ADC88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r>
        <w:rPr>
          <w:rFonts w:hint="default" w:ascii="仿宋_GB2312" w:eastAsia="仿宋_GB2312" w:hAnsiTheme="minorHAnsi" w:cstheme="minorBidi"/>
          <w:kern w:val="2"/>
          <w:sz w:val="32"/>
          <w:szCs w:val="32"/>
          <w:lang w:val="en-US" w:eastAsia="zh-CN" w:bidi="ar-SA"/>
        </w:rPr>
        <w:t>通过以上解读，可以看出南阳市卧龙区粮食收购贷款信用保证基金管理办法旨在通过政府引导、企业参与的方式，为粮食企业提供融资增信，防范信贷风险，促进粮食市场化收购，保障国家粮食安全。</w:t>
      </w:r>
    </w:p>
    <w:p w14:paraId="6015A2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p>
    <w:p w14:paraId="5843034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textAlignment w:val="top"/>
        <w:rPr>
          <w:rFonts w:hint="default" w:ascii="仿宋_GB2312" w:eastAsia="仿宋_GB2312" w:hAnsiTheme="minorHAnsi" w:cstheme="minorBidi"/>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B5074"/>
    <w:rsid w:val="1AE90459"/>
    <w:rsid w:val="4B0B04B0"/>
    <w:rsid w:val="4E720846"/>
    <w:rsid w:val="609B3C2C"/>
    <w:rsid w:val="6BC56001"/>
    <w:rsid w:val="759131C1"/>
    <w:rsid w:val="78776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2025-03-10T00:56:13Z</dcterms:created>
  <dc:creator>Administrator</dc:creator>
  <cp:lastModifiedBy>贪得</cp:lastModifiedBy>
  <dcterms:modified xsi:type="dcterms:W3CDTF">2025-03-10T01:14:13Z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eyJoZGlkIjoiNzQwOTVkODMxNjRmZjVjNDE5OTEzMGM2YTExNjZjODEiLCJ1c2VySWQiOiI0OTI4MTU3NzkifQ==</vt:lpwstr>
  </property>
  <property fmtid="{D5CDD505-2E9C-101B-9397-08002B2CF9AE}" pid="4" name="ICV">
    <vt:lpwstr>6D20D11F3C764DA48D9FA094210AA8CC_12</vt:lpwstr>
  </property>
</Properties>
</file>