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Style w:val="42"/>
          <w:rFonts w:hint="default" w:ascii="Times New Roman" w:hAnsi="Times New Roman" w:cs="Times New Roman"/>
        </w:rPr>
      </w:pPr>
      <w:r>
        <w:rPr>
          <w:rStyle w:val="42"/>
          <w:rFonts w:hint="default" w:ascii="Times New Roman" w:hAnsi="Times New Roman" w:cs="Times New Roman"/>
        </w:rPr>
        <w:t xml:space="preserve"> </w:t>
      </w:r>
    </w:p>
    <w:p>
      <w:pPr>
        <w:ind w:firstLine="420" w:firstLineChars="200"/>
        <w:jc w:val="center"/>
        <w:rPr>
          <w:rFonts w:asciiTheme="minorEastAsia" w:hAnsiTheme="minorEastAsia" w:eastAsiaTheme="minorEastAsia"/>
          <w:b/>
          <w:sz w:val="36"/>
          <w:szCs w:val="36"/>
        </w:rPr>
        <w:sectPr>
          <w:footerReference r:id="rId3" w:type="default"/>
          <w:pgSz w:w="11906" w:h="16838"/>
          <w:pgMar w:top="1701" w:right="1588" w:bottom="1701" w:left="1588" w:header="851" w:footer="1134" w:gutter="0"/>
          <w:pgNumType w:fmt="numberInDash" w:start="1"/>
          <w:cols w:space="720" w:num="1"/>
          <w:docGrid w:type="lines" w:linePitch="312" w:charSpace="0"/>
        </w:sectPr>
      </w:pPr>
      <w:r>
        <w:drawing>
          <wp:inline distT="0" distB="0" distL="0" distR="0">
            <wp:extent cx="5543550" cy="7744460"/>
            <wp:effectExtent l="19050" t="0" r="0" b="0"/>
            <wp:docPr id="11" name="图片 11" descr="E:\360Downloads\Software\QQGameTempest\log\微信\WeChat Files\wxid_tj4eqwcjd7gt21\FileStorage\Temp\3ea0462765d092464d7f6e6b9b25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E:\360Downloads\Software\QQGameTempest\log\微信\WeChat Files\wxid_tj4eqwcjd7gt21\FileStorage\Temp\3ea0462765d092464d7f6e6b9b2552c.jpg"/>
                    <pic:cNvPicPr>
                      <a:picLocks noChangeAspect="1" noChangeArrowheads="1"/>
                    </pic:cNvPicPr>
                  </pic:nvPicPr>
                  <pic:blipFill>
                    <a:blip r:embed="rId7" cstate="print"/>
                    <a:srcRect/>
                    <a:stretch>
                      <a:fillRect/>
                    </a:stretch>
                  </pic:blipFill>
                  <pic:spPr>
                    <a:xfrm>
                      <a:off x="0" y="0"/>
                      <a:ext cx="5543550" cy="7744797"/>
                    </a:xfrm>
                    <a:prstGeom prst="rect">
                      <a:avLst/>
                    </a:prstGeom>
                    <a:noFill/>
                    <a:ln w="9525">
                      <a:noFill/>
                      <a:miter lim="800000"/>
                      <a:headEnd/>
                      <a:tailEnd/>
                    </a:ln>
                  </pic:spPr>
                </pic:pic>
              </a:graphicData>
            </a:graphic>
          </wp:inline>
        </w:drawing>
      </w:r>
      <w:r>
        <w:rPr>
          <w:rFonts w:asciiTheme="minorEastAsia" w:hAnsiTheme="minorEastAsia" w:eastAsiaTheme="minorEastAsia"/>
          <w:b/>
          <w:sz w:val="36"/>
          <w:szCs w:val="36"/>
        </w:rPr>
        <w:drawing>
          <wp:inline distT="0" distB="0" distL="0" distR="0">
            <wp:extent cx="5543550" cy="8030845"/>
            <wp:effectExtent l="19050" t="0" r="0" b="0"/>
            <wp:docPr id="12" name="图片 12" descr="E:\360Downloads\Software\QQGameTempest\log\微信\WeChat Files\wxid_tj4eqwcjd7gt21\FileStorage\Temp\151b631a65c89f134a3dd227e1412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E:\360Downloads\Software\QQGameTempest\log\微信\WeChat Files\wxid_tj4eqwcjd7gt21\FileStorage\Temp\151b631a65c89f134a3dd227e1412ee.jpg"/>
                    <pic:cNvPicPr>
                      <a:picLocks noChangeAspect="1" noChangeArrowheads="1"/>
                    </pic:cNvPicPr>
                  </pic:nvPicPr>
                  <pic:blipFill>
                    <a:blip r:embed="rId8" cstate="print"/>
                    <a:srcRect/>
                    <a:stretch>
                      <a:fillRect/>
                    </a:stretch>
                  </pic:blipFill>
                  <pic:spPr>
                    <a:xfrm>
                      <a:off x="0" y="0"/>
                      <a:ext cx="5543550" cy="8030986"/>
                    </a:xfrm>
                    <a:prstGeom prst="rect">
                      <a:avLst/>
                    </a:prstGeom>
                    <a:noFill/>
                    <a:ln w="9525">
                      <a:noFill/>
                      <a:miter lim="800000"/>
                      <a:headEnd/>
                      <a:tailEnd/>
                    </a:ln>
                  </pic:spPr>
                </pic:pic>
              </a:graphicData>
            </a:graphic>
          </wp:inline>
        </w:drawing>
      </w:r>
      <w:r>
        <w:rPr>
          <w:rFonts w:asciiTheme="minorEastAsia" w:hAnsiTheme="minorEastAsia" w:eastAsiaTheme="minorEastAsia"/>
          <w:b/>
          <w:sz w:val="36"/>
          <w:szCs w:val="36"/>
        </w:rPr>
        <w:drawing>
          <wp:inline distT="0" distB="0" distL="0" distR="0">
            <wp:extent cx="5543550" cy="7559675"/>
            <wp:effectExtent l="1905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9" cstate="print"/>
                    <a:srcRect/>
                    <a:stretch>
                      <a:fillRect/>
                    </a:stretch>
                  </pic:blipFill>
                  <pic:spPr>
                    <a:xfrm>
                      <a:off x="0" y="0"/>
                      <a:ext cx="5543550" cy="7559815"/>
                    </a:xfrm>
                    <a:prstGeom prst="rect">
                      <a:avLst/>
                    </a:prstGeom>
                    <a:noFill/>
                    <a:ln w="9525">
                      <a:noFill/>
                      <a:miter lim="800000"/>
                      <a:headEnd/>
                      <a:tailEnd/>
                    </a:ln>
                  </pic:spPr>
                </pic:pic>
              </a:graphicData>
            </a:graphic>
          </wp:inline>
        </w:drawing>
      </w:r>
      <w:r>
        <w:rPr>
          <w:rFonts w:asciiTheme="minorEastAsia" w:hAnsiTheme="minorEastAsia" w:eastAsiaTheme="minorEastAsia"/>
          <w:b/>
          <w:sz w:val="36"/>
          <w:szCs w:val="36"/>
        </w:rPr>
        <w:drawing>
          <wp:inline distT="0" distB="0" distL="0" distR="0">
            <wp:extent cx="5543550" cy="7871460"/>
            <wp:effectExtent l="1905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10" cstate="print"/>
                    <a:srcRect/>
                    <a:stretch>
                      <a:fillRect/>
                    </a:stretch>
                  </pic:blipFill>
                  <pic:spPr>
                    <a:xfrm>
                      <a:off x="0" y="0"/>
                      <a:ext cx="5543550" cy="7871912"/>
                    </a:xfrm>
                    <a:prstGeom prst="rect">
                      <a:avLst/>
                    </a:prstGeom>
                    <a:noFill/>
                    <a:ln w="9525">
                      <a:noFill/>
                      <a:miter lim="800000"/>
                      <a:headEnd/>
                      <a:tailEnd/>
                    </a:ln>
                  </pic:spPr>
                </pic:pic>
              </a:graphicData>
            </a:graphic>
          </wp:inline>
        </w:drawing>
      </w:r>
      <w:r>
        <w:rPr>
          <w:rFonts w:asciiTheme="minorEastAsia" w:hAnsiTheme="minorEastAsia" w:eastAsiaTheme="minorEastAsia"/>
          <w:b/>
          <w:sz w:val="36"/>
          <w:szCs w:val="36"/>
        </w:rPr>
        <w:drawing>
          <wp:inline distT="0" distB="0" distL="0" distR="0">
            <wp:extent cx="5543550" cy="7806055"/>
            <wp:effectExtent l="19050" t="0" r="0" b="0"/>
            <wp:docPr id="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9"/>
                    <pic:cNvPicPr>
                      <a:picLocks noChangeAspect="1" noChangeArrowheads="1"/>
                    </pic:cNvPicPr>
                  </pic:nvPicPr>
                  <pic:blipFill>
                    <a:blip r:embed="rId11" cstate="print"/>
                    <a:srcRect/>
                    <a:stretch>
                      <a:fillRect/>
                    </a:stretch>
                  </pic:blipFill>
                  <pic:spPr>
                    <a:xfrm>
                      <a:off x="0" y="0"/>
                      <a:ext cx="5543550" cy="7806418"/>
                    </a:xfrm>
                    <a:prstGeom prst="rect">
                      <a:avLst/>
                    </a:prstGeom>
                    <a:noFill/>
                    <a:ln w="9525">
                      <a:noFill/>
                      <a:miter lim="800000"/>
                      <a:headEnd/>
                      <a:tailEnd/>
                    </a:ln>
                  </pic:spPr>
                </pic:pic>
              </a:graphicData>
            </a:graphic>
          </wp:inline>
        </w:drawing>
      </w:r>
      <w:r>
        <w:rPr>
          <w:rFonts w:asciiTheme="minorEastAsia" w:hAnsiTheme="minorEastAsia" w:eastAsiaTheme="minorEastAsia"/>
          <w:b/>
          <w:sz w:val="36"/>
          <w:szCs w:val="36"/>
        </w:rPr>
        <w:drawing>
          <wp:inline distT="0" distB="0" distL="0" distR="0">
            <wp:extent cx="5543550" cy="7809230"/>
            <wp:effectExtent l="19050" t="0" r="0" b="0"/>
            <wp:docPr id="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2"/>
                    <pic:cNvPicPr>
                      <a:picLocks noChangeAspect="1" noChangeArrowheads="1"/>
                    </pic:cNvPicPr>
                  </pic:nvPicPr>
                  <pic:blipFill>
                    <a:blip r:embed="rId12" cstate="print"/>
                    <a:srcRect/>
                    <a:stretch>
                      <a:fillRect/>
                    </a:stretch>
                  </pic:blipFill>
                  <pic:spPr>
                    <a:xfrm>
                      <a:off x="0" y="0"/>
                      <a:ext cx="5543550" cy="7809796"/>
                    </a:xfrm>
                    <a:prstGeom prst="rect">
                      <a:avLst/>
                    </a:prstGeom>
                    <a:noFill/>
                    <a:ln w="9525">
                      <a:noFill/>
                      <a:miter lim="800000"/>
                      <a:headEnd/>
                      <a:tailEnd/>
                    </a:ln>
                  </pic:spPr>
                </pic:pic>
              </a:graphicData>
            </a:graphic>
          </wp:inline>
        </w:drawing>
      </w:r>
    </w:p>
    <w:p>
      <w:pPr>
        <w:pStyle w:val="21"/>
        <w:rPr>
          <w:rFonts w:ascii="Times New Roman" w:hAnsi="Times New Roman" w:cs="Times New Roman"/>
          <w:kern w:val="2"/>
          <w:sz w:val="21"/>
        </w:rPr>
      </w:pPr>
      <w:r>
        <w:rPr>
          <w:rFonts w:ascii="Times New Roman" w:hAnsi="Times New Roman" w:cs="Times New Roman"/>
          <w:sz w:val="32"/>
          <w:szCs w:val="32"/>
        </w:rPr>
        <w:fldChar w:fldCharType="begin"/>
      </w:r>
      <w:r>
        <w:rPr>
          <w:rFonts w:ascii="Times New Roman" w:hAnsi="Times New Roman" w:cs="Times New Roman"/>
          <w:sz w:val="32"/>
          <w:szCs w:val="32"/>
        </w:rPr>
        <w:instrText xml:space="preserve"> TOC \o "1-1" \h \z \u </w:instrText>
      </w:r>
      <w:r>
        <w:rPr>
          <w:rFonts w:ascii="Times New Roman" w:hAnsi="Times New Roman" w:cs="Times New Roman"/>
          <w:sz w:val="32"/>
          <w:szCs w:val="32"/>
        </w:rPr>
        <w:fldChar w:fldCharType="separate"/>
      </w:r>
      <w:r>
        <w:fldChar w:fldCharType="begin"/>
      </w:r>
      <w:r>
        <w:instrText xml:space="preserve"> HYPERLINK \l "_Toc172623720" </w:instrText>
      </w:r>
      <w:r>
        <w:fldChar w:fldCharType="separate"/>
      </w:r>
      <w:r>
        <w:rPr>
          <w:rStyle w:val="30"/>
          <w:rFonts w:ascii="Times New Roman" w:cs="Times New Roman"/>
          <w:bCs w:val="0"/>
        </w:rPr>
        <w:t>目录</w:t>
      </w:r>
      <w:r>
        <w:rPr>
          <w:rStyle w:val="30"/>
          <w:rFonts w:ascii="Times New Roman" w:cs="Times New Roman"/>
          <w:bCs w:val="0"/>
        </w:rPr>
        <w:fldChar w:fldCharType="end"/>
      </w:r>
    </w:p>
    <w:p>
      <w:pPr>
        <w:pStyle w:val="21"/>
        <w:rPr>
          <w:rFonts w:ascii="Times New Roman" w:hAnsi="Times New Roman" w:cs="Times New Roman"/>
          <w:kern w:val="2"/>
          <w:sz w:val="21"/>
        </w:rPr>
      </w:pPr>
      <w:r>
        <w:fldChar w:fldCharType="begin"/>
      </w:r>
      <w:r>
        <w:instrText xml:space="preserve"> HYPERLINK \l "_Toc172623721" </w:instrText>
      </w:r>
      <w:r>
        <w:fldChar w:fldCharType="separate"/>
      </w:r>
      <w:r>
        <w:rPr>
          <w:rStyle w:val="30"/>
          <w:rFonts w:ascii="Times New Roman" w:eastAsia="黑体" w:cs="Times New Roman"/>
          <w:snapToGrid w:val="0"/>
        </w:rPr>
        <w:t>一、</w:t>
      </w:r>
      <w:r>
        <w:rPr>
          <w:rStyle w:val="30"/>
          <w:rFonts w:ascii="Times New Roman" w:hAnsi="Times New Roman" w:eastAsia="黑体" w:cs="Times New Roman"/>
          <w:snapToGrid w:val="0"/>
        </w:rPr>
        <w:t xml:space="preserve"> </w:t>
      </w:r>
      <w:r>
        <w:rPr>
          <w:rStyle w:val="30"/>
          <w:rFonts w:ascii="Times New Roman" w:eastAsia="黑体" w:cs="Times New Roman"/>
          <w:snapToGrid w:val="0"/>
        </w:rPr>
        <w:t>建设项目基本情况</w:t>
      </w:r>
      <w:r>
        <w:rPr>
          <w:rFonts w:ascii="Times New Roman" w:hAnsi="Times New Roman" w:cs="Times New Roman"/>
        </w:rPr>
        <w:tab/>
      </w:r>
      <w:r>
        <w:rPr>
          <w:rStyle w:val="30"/>
          <w:rFonts w:ascii="Times New Roman" w:hAnsi="Times New Roman" w:cs="Times New Roman"/>
        </w:rPr>
        <w:fldChar w:fldCharType="begin"/>
      </w:r>
      <w:r>
        <w:rPr>
          <w:rFonts w:ascii="Times New Roman" w:hAnsi="Times New Roman" w:cs="Times New Roman"/>
        </w:rPr>
        <w:instrText xml:space="preserve"> PAGEREF _Toc172623721 \h </w:instrText>
      </w:r>
      <w:r>
        <w:rPr>
          <w:rStyle w:val="30"/>
          <w:rFonts w:ascii="Times New Roman" w:hAnsi="Times New Roman" w:cs="Times New Roman"/>
        </w:rPr>
        <w:fldChar w:fldCharType="separate"/>
      </w:r>
      <w:r>
        <w:rPr>
          <w:rFonts w:ascii="Times New Roman" w:hAnsi="Times New Roman" w:cs="Times New Roman"/>
        </w:rPr>
        <w:t>1</w:t>
      </w:r>
      <w:r>
        <w:rPr>
          <w:rStyle w:val="30"/>
          <w:rFonts w:ascii="Times New Roman" w:hAnsi="Times New Roman" w:cs="Times New Roman"/>
        </w:rPr>
        <w:fldChar w:fldCharType="end"/>
      </w:r>
      <w:r>
        <w:rPr>
          <w:rStyle w:val="30"/>
          <w:rFonts w:ascii="Times New Roman" w:hAnsi="Times New Roman" w:cs="Times New Roman"/>
        </w:rPr>
        <w:fldChar w:fldCharType="end"/>
      </w:r>
    </w:p>
    <w:p>
      <w:pPr>
        <w:pStyle w:val="21"/>
        <w:rPr>
          <w:rFonts w:ascii="Times New Roman" w:hAnsi="Times New Roman" w:cs="Times New Roman"/>
          <w:kern w:val="2"/>
          <w:sz w:val="21"/>
        </w:rPr>
      </w:pPr>
      <w:r>
        <w:fldChar w:fldCharType="begin"/>
      </w:r>
      <w:r>
        <w:instrText xml:space="preserve"> HYPERLINK \l "_Toc172623722" </w:instrText>
      </w:r>
      <w:r>
        <w:fldChar w:fldCharType="separate"/>
      </w:r>
      <w:r>
        <w:rPr>
          <w:rStyle w:val="30"/>
          <w:rFonts w:ascii="Times New Roman" w:eastAsia="黑体" w:cs="Times New Roman"/>
          <w:snapToGrid w:val="0"/>
        </w:rPr>
        <w:t>二、</w:t>
      </w:r>
      <w:r>
        <w:rPr>
          <w:rStyle w:val="30"/>
          <w:rFonts w:ascii="Times New Roman" w:hAnsi="Times New Roman" w:eastAsia="黑体" w:cs="Times New Roman"/>
          <w:snapToGrid w:val="0"/>
        </w:rPr>
        <w:t xml:space="preserve"> </w:t>
      </w:r>
      <w:r>
        <w:rPr>
          <w:rStyle w:val="30"/>
          <w:rFonts w:ascii="Times New Roman" w:eastAsia="黑体" w:cs="Times New Roman"/>
          <w:snapToGrid w:val="0"/>
        </w:rPr>
        <w:t>建设项目工程分析</w:t>
      </w:r>
      <w:r>
        <w:rPr>
          <w:rFonts w:ascii="Times New Roman" w:hAnsi="Times New Roman" w:cs="Times New Roman"/>
        </w:rPr>
        <w:tab/>
      </w:r>
      <w:r>
        <w:rPr>
          <w:rStyle w:val="30"/>
          <w:rFonts w:ascii="Times New Roman" w:hAnsi="Times New Roman" w:cs="Times New Roman"/>
        </w:rPr>
        <w:fldChar w:fldCharType="begin"/>
      </w:r>
      <w:r>
        <w:rPr>
          <w:rFonts w:ascii="Times New Roman" w:hAnsi="Times New Roman" w:cs="Times New Roman"/>
        </w:rPr>
        <w:instrText xml:space="preserve"> PAGEREF _Toc172623722 \h </w:instrText>
      </w:r>
      <w:r>
        <w:rPr>
          <w:rStyle w:val="30"/>
          <w:rFonts w:ascii="Times New Roman" w:hAnsi="Times New Roman" w:cs="Times New Roman"/>
        </w:rPr>
        <w:fldChar w:fldCharType="separate"/>
      </w:r>
      <w:r>
        <w:rPr>
          <w:rFonts w:ascii="Times New Roman" w:hAnsi="Times New Roman" w:cs="Times New Roman"/>
        </w:rPr>
        <w:t>24</w:t>
      </w:r>
      <w:r>
        <w:rPr>
          <w:rStyle w:val="30"/>
          <w:rFonts w:ascii="Times New Roman" w:hAnsi="Times New Roman" w:cs="Times New Roman"/>
        </w:rPr>
        <w:fldChar w:fldCharType="end"/>
      </w:r>
      <w:r>
        <w:rPr>
          <w:rStyle w:val="30"/>
          <w:rFonts w:ascii="Times New Roman" w:hAnsi="Times New Roman" w:cs="Times New Roman"/>
        </w:rPr>
        <w:fldChar w:fldCharType="end"/>
      </w:r>
    </w:p>
    <w:p>
      <w:pPr>
        <w:pStyle w:val="21"/>
        <w:rPr>
          <w:rFonts w:ascii="Times New Roman" w:hAnsi="Times New Roman" w:cs="Times New Roman"/>
          <w:kern w:val="2"/>
          <w:sz w:val="21"/>
        </w:rPr>
      </w:pPr>
      <w:r>
        <w:fldChar w:fldCharType="begin"/>
      </w:r>
      <w:r>
        <w:instrText xml:space="preserve"> HYPERLINK \l "_Toc172623723" </w:instrText>
      </w:r>
      <w:r>
        <w:fldChar w:fldCharType="separate"/>
      </w:r>
      <w:r>
        <w:rPr>
          <w:rStyle w:val="30"/>
          <w:rFonts w:ascii="Times New Roman" w:eastAsia="黑体" w:cs="Times New Roman"/>
          <w:snapToGrid w:val="0"/>
        </w:rPr>
        <w:t>三、</w:t>
      </w:r>
      <w:r>
        <w:rPr>
          <w:rStyle w:val="30"/>
          <w:rFonts w:ascii="Times New Roman" w:hAnsi="Times New Roman" w:eastAsia="黑体" w:cs="Times New Roman"/>
          <w:snapToGrid w:val="0"/>
        </w:rPr>
        <w:t xml:space="preserve"> </w:t>
      </w:r>
      <w:r>
        <w:rPr>
          <w:rStyle w:val="30"/>
          <w:rFonts w:ascii="Times New Roman" w:eastAsia="黑体" w:cs="Times New Roman"/>
          <w:snapToGrid w:val="0"/>
        </w:rPr>
        <w:t>区域环境质量现状、环境保护目标及评价标准</w:t>
      </w:r>
      <w:r>
        <w:rPr>
          <w:rFonts w:ascii="Times New Roman" w:hAnsi="Times New Roman" w:cs="Times New Roman"/>
        </w:rPr>
        <w:tab/>
      </w:r>
      <w:r>
        <w:rPr>
          <w:rStyle w:val="30"/>
          <w:rFonts w:ascii="Times New Roman" w:hAnsi="Times New Roman" w:cs="Times New Roman"/>
        </w:rPr>
        <w:fldChar w:fldCharType="begin"/>
      </w:r>
      <w:r>
        <w:rPr>
          <w:rFonts w:ascii="Times New Roman" w:hAnsi="Times New Roman" w:cs="Times New Roman"/>
        </w:rPr>
        <w:instrText xml:space="preserve"> PAGEREF _Toc172623723 \h </w:instrText>
      </w:r>
      <w:r>
        <w:rPr>
          <w:rStyle w:val="30"/>
          <w:rFonts w:ascii="Times New Roman" w:hAnsi="Times New Roman" w:cs="Times New Roman"/>
        </w:rPr>
        <w:fldChar w:fldCharType="separate"/>
      </w:r>
      <w:r>
        <w:rPr>
          <w:rFonts w:ascii="Times New Roman" w:hAnsi="Times New Roman" w:cs="Times New Roman"/>
        </w:rPr>
        <w:t>30</w:t>
      </w:r>
      <w:r>
        <w:rPr>
          <w:rStyle w:val="30"/>
          <w:rFonts w:ascii="Times New Roman" w:hAnsi="Times New Roman" w:cs="Times New Roman"/>
        </w:rPr>
        <w:fldChar w:fldCharType="end"/>
      </w:r>
      <w:r>
        <w:rPr>
          <w:rStyle w:val="30"/>
          <w:rFonts w:ascii="Times New Roman" w:hAnsi="Times New Roman" w:cs="Times New Roman"/>
        </w:rPr>
        <w:fldChar w:fldCharType="end"/>
      </w:r>
    </w:p>
    <w:p>
      <w:pPr>
        <w:pStyle w:val="21"/>
        <w:rPr>
          <w:rFonts w:ascii="Times New Roman" w:hAnsi="Times New Roman" w:cs="Times New Roman"/>
          <w:kern w:val="2"/>
          <w:sz w:val="21"/>
        </w:rPr>
      </w:pPr>
      <w:r>
        <w:fldChar w:fldCharType="begin"/>
      </w:r>
      <w:r>
        <w:instrText xml:space="preserve"> HYPERLINK \l "_Toc172623724" </w:instrText>
      </w:r>
      <w:r>
        <w:fldChar w:fldCharType="separate"/>
      </w:r>
      <w:r>
        <w:rPr>
          <w:rStyle w:val="30"/>
          <w:rFonts w:ascii="Times New Roman" w:eastAsia="黑体" w:cs="Times New Roman"/>
          <w:snapToGrid w:val="0"/>
        </w:rPr>
        <w:t>四、</w:t>
      </w:r>
      <w:r>
        <w:rPr>
          <w:rStyle w:val="30"/>
          <w:rFonts w:ascii="Times New Roman" w:hAnsi="Times New Roman" w:eastAsia="黑体" w:cs="Times New Roman"/>
          <w:snapToGrid w:val="0"/>
        </w:rPr>
        <w:t xml:space="preserve"> </w:t>
      </w:r>
      <w:r>
        <w:rPr>
          <w:rStyle w:val="30"/>
          <w:rFonts w:ascii="Times New Roman" w:eastAsia="黑体" w:cs="Times New Roman"/>
          <w:snapToGrid w:val="0"/>
        </w:rPr>
        <w:t>主要环境影响和保护措施</w:t>
      </w:r>
      <w:r>
        <w:rPr>
          <w:rFonts w:ascii="Times New Roman" w:hAnsi="Times New Roman" w:cs="Times New Roman"/>
        </w:rPr>
        <w:tab/>
      </w:r>
      <w:r>
        <w:rPr>
          <w:rStyle w:val="30"/>
          <w:rFonts w:ascii="Times New Roman" w:hAnsi="Times New Roman" w:cs="Times New Roman"/>
        </w:rPr>
        <w:fldChar w:fldCharType="begin"/>
      </w:r>
      <w:r>
        <w:rPr>
          <w:rFonts w:ascii="Times New Roman" w:hAnsi="Times New Roman" w:cs="Times New Roman"/>
        </w:rPr>
        <w:instrText xml:space="preserve"> PAGEREF _Toc172623724 \h </w:instrText>
      </w:r>
      <w:r>
        <w:rPr>
          <w:rStyle w:val="30"/>
          <w:rFonts w:ascii="Times New Roman" w:hAnsi="Times New Roman" w:cs="Times New Roman"/>
        </w:rPr>
        <w:fldChar w:fldCharType="separate"/>
      </w:r>
      <w:r>
        <w:rPr>
          <w:rFonts w:ascii="Times New Roman" w:hAnsi="Times New Roman" w:cs="Times New Roman"/>
        </w:rPr>
        <w:t>34</w:t>
      </w:r>
      <w:r>
        <w:rPr>
          <w:rStyle w:val="30"/>
          <w:rFonts w:ascii="Times New Roman" w:hAnsi="Times New Roman" w:cs="Times New Roman"/>
        </w:rPr>
        <w:fldChar w:fldCharType="end"/>
      </w:r>
      <w:r>
        <w:rPr>
          <w:rStyle w:val="30"/>
          <w:rFonts w:ascii="Times New Roman" w:hAnsi="Times New Roman" w:cs="Times New Roman"/>
        </w:rPr>
        <w:fldChar w:fldCharType="end"/>
      </w:r>
    </w:p>
    <w:p>
      <w:pPr>
        <w:pStyle w:val="21"/>
        <w:rPr>
          <w:rFonts w:ascii="Times New Roman" w:hAnsi="Times New Roman" w:cs="Times New Roman"/>
          <w:kern w:val="2"/>
          <w:sz w:val="21"/>
        </w:rPr>
      </w:pPr>
      <w:r>
        <w:fldChar w:fldCharType="begin"/>
      </w:r>
      <w:r>
        <w:instrText xml:space="preserve"> HYPERLINK \l "_Toc172623775" </w:instrText>
      </w:r>
      <w:r>
        <w:fldChar w:fldCharType="separate"/>
      </w:r>
      <w:r>
        <w:rPr>
          <w:rStyle w:val="30"/>
          <w:rFonts w:ascii="Times New Roman" w:eastAsia="黑体" w:cs="Times New Roman"/>
          <w:snapToGrid w:val="0"/>
        </w:rPr>
        <w:t>五、</w:t>
      </w:r>
      <w:r>
        <w:rPr>
          <w:rStyle w:val="30"/>
          <w:rFonts w:ascii="Times New Roman" w:hAnsi="Times New Roman" w:eastAsia="黑体" w:cs="Times New Roman"/>
          <w:snapToGrid w:val="0"/>
        </w:rPr>
        <w:t xml:space="preserve"> </w:t>
      </w:r>
      <w:r>
        <w:rPr>
          <w:rStyle w:val="30"/>
          <w:rFonts w:ascii="Times New Roman" w:eastAsia="黑体" w:cs="Times New Roman"/>
          <w:snapToGrid w:val="0"/>
        </w:rPr>
        <w:t>环境保护措施监督检查清单</w:t>
      </w:r>
      <w:r>
        <w:rPr>
          <w:rFonts w:ascii="Times New Roman" w:hAnsi="Times New Roman" w:cs="Times New Roman"/>
        </w:rPr>
        <w:tab/>
      </w:r>
      <w:r>
        <w:rPr>
          <w:rStyle w:val="30"/>
          <w:rFonts w:ascii="Times New Roman" w:hAnsi="Times New Roman" w:cs="Times New Roman"/>
        </w:rPr>
        <w:fldChar w:fldCharType="begin"/>
      </w:r>
      <w:r>
        <w:rPr>
          <w:rFonts w:ascii="Times New Roman" w:hAnsi="Times New Roman" w:cs="Times New Roman"/>
        </w:rPr>
        <w:instrText xml:space="preserve"> PAGEREF _Toc172623775 \h </w:instrText>
      </w:r>
      <w:r>
        <w:rPr>
          <w:rStyle w:val="30"/>
          <w:rFonts w:ascii="Times New Roman" w:hAnsi="Times New Roman" w:cs="Times New Roman"/>
        </w:rPr>
        <w:fldChar w:fldCharType="separate"/>
      </w:r>
      <w:r>
        <w:rPr>
          <w:rFonts w:ascii="Times New Roman" w:hAnsi="Times New Roman" w:cs="Times New Roman"/>
        </w:rPr>
        <w:t>52</w:t>
      </w:r>
      <w:r>
        <w:rPr>
          <w:rStyle w:val="30"/>
          <w:rFonts w:ascii="Times New Roman" w:hAnsi="Times New Roman" w:cs="Times New Roman"/>
        </w:rPr>
        <w:fldChar w:fldCharType="end"/>
      </w:r>
      <w:r>
        <w:rPr>
          <w:rStyle w:val="30"/>
          <w:rFonts w:ascii="Times New Roman" w:hAnsi="Times New Roman" w:cs="Times New Roman"/>
        </w:rPr>
        <w:fldChar w:fldCharType="end"/>
      </w:r>
    </w:p>
    <w:p>
      <w:pPr>
        <w:pStyle w:val="21"/>
        <w:rPr>
          <w:rFonts w:ascii="Times New Roman" w:hAnsi="Times New Roman" w:cs="Times New Roman"/>
          <w:kern w:val="2"/>
          <w:sz w:val="21"/>
        </w:rPr>
      </w:pPr>
      <w:r>
        <w:fldChar w:fldCharType="begin"/>
      </w:r>
      <w:r>
        <w:instrText xml:space="preserve"> HYPERLINK \l "_Toc172623776" </w:instrText>
      </w:r>
      <w:r>
        <w:fldChar w:fldCharType="separate"/>
      </w:r>
      <w:r>
        <w:rPr>
          <w:rStyle w:val="30"/>
          <w:rFonts w:ascii="Times New Roman" w:eastAsia="黑体" w:cs="Times New Roman"/>
          <w:snapToGrid w:val="0"/>
        </w:rPr>
        <w:t>六、</w:t>
      </w:r>
      <w:r>
        <w:rPr>
          <w:rStyle w:val="30"/>
          <w:rFonts w:ascii="Times New Roman" w:hAnsi="Times New Roman" w:eastAsia="黑体" w:cs="Times New Roman"/>
          <w:snapToGrid w:val="0"/>
        </w:rPr>
        <w:t xml:space="preserve"> </w:t>
      </w:r>
      <w:r>
        <w:rPr>
          <w:rStyle w:val="30"/>
          <w:rFonts w:ascii="Times New Roman" w:eastAsia="黑体" w:cs="Times New Roman"/>
          <w:snapToGrid w:val="0"/>
        </w:rPr>
        <w:t>结论</w:t>
      </w:r>
      <w:r>
        <w:rPr>
          <w:rFonts w:ascii="Times New Roman" w:hAnsi="Times New Roman" w:cs="Times New Roman"/>
        </w:rPr>
        <w:tab/>
      </w:r>
      <w:r>
        <w:rPr>
          <w:rStyle w:val="30"/>
          <w:rFonts w:ascii="Times New Roman" w:hAnsi="Times New Roman" w:cs="Times New Roman"/>
        </w:rPr>
        <w:fldChar w:fldCharType="begin"/>
      </w:r>
      <w:r>
        <w:rPr>
          <w:rFonts w:ascii="Times New Roman" w:hAnsi="Times New Roman" w:cs="Times New Roman"/>
        </w:rPr>
        <w:instrText xml:space="preserve"> PAGEREF _Toc172623776 \h </w:instrText>
      </w:r>
      <w:r>
        <w:rPr>
          <w:rStyle w:val="30"/>
          <w:rFonts w:ascii="Times New Roman" w:hAnsi="Times New Roman" w:cs="Times New Roman"/>
        </w:rPr>
        <w:fldChar w:fldCharType="separate"/>
      </w:r>
      <w:r>
        <w:rPr>
          <w:rFonts w:ascii="Times New Roman" w:hAnsi="Times New Roman" w:cs="Times New Roman"/>
        </w:rPr>
        <w:t>54</w:t>
      </w:r>
      <w:r>
        <w:rPr>
          <w:rStyle w:val="30"/>
          <w:rFonts w:ascii="Times New Roman" w:hAnsi="Times New Roman" w:cs="Times New Roman"/>
        </w:rPr>
        <w:fldChar w:fldCharType="end"/>
      </w:r>
      <w:r>
        <w:rPr>
          <w:rStyle w:val="30"/>
          <w:rFonts w:ascii="Times New Roman" w:hAnsi="Times New Roman" w:cs="Times New Roman"/>
        </w:rPr>
        <w:fldChar w:fldCharType="end"/>
      </w:r>
    </w:p>
    <w:p>
      <w:pPr>
        <w:pStyle w:val="21"/>
        <w:rPr>
          <w:rFonts w:ascii="Times New Roman" w:hAnsi="Times New Roman" w:cs="Times New Roman"/>
          <w:kern w:val="2"/>
          <w:sz w:val="21"/>
        </w:rPr>
      </w:pPr>
      <w:r>
        <w:fldChar w:fldCharType="begin"/>
      </w:r>
      <w:r>
        <w:instrText xml:space="preserve"> HYPERLINK \l "_Toc172623777" </w:instrText>
      </w:r>
      <w:r>
        <w:fldChar w:fldCharType="separate"/>
      </w:r>
      <w:r>
        <w:rPr>
          <w:rStyle w:val="30"/>
          <w:rFonts w:ascii="Times New Roman" w:hAnsi="Times New Roman" w:eastAsia="黑体" w:cs="Times New Roman"/>
          <w:snapToGrid w:val="0"/>
        </w:rPr>
        <w:t>附表</w:t>
      </w:r>
      <w:r>
        <w:rPr>
          <w:rFonts w:ascii="Times New Roman" w:hAnsi="Times New Roman" w:cs="Times New Roman"/>
        </w:rPr>
        <w:tab/>
      </w:r>
      <w:r>
        <w:rPr>
          <w:rStyle w:val="30"/>
          <w:rFonts w:ascii="Times New Roman" w:hAnsi="Times New Roman" w:cs="Times New Roman"/>
        </w:rPr>
        <w:fldChar w:fldCharType="begin"/>
      </w:r>
      <w:r>
        <w:rPr>
          <w:rFonts w:ascii="Times New Roman" w:hAnsi="Times New Roman" w:cs="Times New Roman"/>
        </w:rPr>
        <w:instrText xml:space="preserve"> PAGEREF _Toc172623777 \h </w:instrText>
      </w:r>
      <w:r>
        <w:rPr>
          <w:rStyle w:val="30"/>
          <w:rFonts w:ascii="Times New Roman" w:hAnsi="Times New Roman" w:cs="Times New Roman"/>
        </w:rPr>
        <w:fldChar w:fldCharType="separate"/>
      </w:r>
      <w:r>
        <w:rPr>
          <w:rFonts w:ascii="Times New Roman" w:hAnsi="Times New Roman" w:cs="Times New Roman"/>
        </w:rPr>
        <w:t>55</w:t>
      </w:r>
      <w:r>
        <w:rPr>
          <w:rStyle w:val="30"/>
          <w:rFonts w:ascii="Times New Roman" w:hAnsi="Times New Roman" w:cs="Times New Roman"/>
        </w:rPr>
        <w:fldChar w:fldCharType="end"/>
      </w:r>
      <w:r>
        <w:rPr>
          <w:rStyle w:val="30"/>
          <w:rFonts w:ascii="Times New Roman" w:hAnsi="Times New Roman" w:cs="Times New Roman"/>
        </w:rPr>
        <w:fldChar w:fldCharType="end"/>
      </w:r>
    </w:p>
    <w:p>
      <w:pPr>
        <w:pStyle w:val="21"/>
        <w:rPr>
          <w:rFonts w:ascii="Times New Roman" w:hAnsi="Times New Roman" w:cs="Times New Roman"/>
          <w:kern w:val="2"/>
          <w:sz w:val="21"/>
        </w:rPr>
      </w:pPr>
      <w:r>
        <w:fldChar w:fldCharType="begin"/>
      </w:r>
      <w:r>
        <w:instrText xml:space="preserve"> HYPERLINK \l "_Toc172623778" </w:instrText>
      </w:r>
      <w:r>
        <w:fldChar w:fldCharType="separate"/>
      </w:r>
      <w:r>
        <w:rPr>
          <w:rStyle w:val="30"/>
          <w:rFonts w:ascii="Times New Roman" w:hAnsi="Times New Roman" w:cs="Times New Roman"/>
          <w:snapToGrid w:val="0"/>
        </w:rPr>
        <w:t>建设项目污染物排放量汇总表</w:t>
      </w:r>
      <w:r>
        <w:rPr>
          <w:rFonts w:ascii="Times New Roman" w:hAnsi="Times New Roman" w:cs="Times New Roman"/>
        </w:rPr>
        <w:tab/>
      </w:r>
      <w:r>
        <w:rPr>
          <w:rStyle w:val="30"/>
          <w:rFonts w:ascii="Times New Roman" w:hAnsi="Times New Roman" w:cs="Times New Roman"/>
        </w:rPr>
        <w:fldChar w:fldCharType="begin"/>
      </w:r>
      <w:r>
        <w:rPr>
          <w:rFonts w:ascii="Times New Roman" w:hAnsi="Times New Roman" w:cs="Times New Roman"/>
        </w:rPr>
        <w:instrText xml:space="preserve"> PAGEREF _Toc172623778 \h </w:instrText>
      </w:r>
      <w:r>
        <w:rPr>
          <w:rStyle w:val="30"/>
          <w:rFonts w:ascii="Times New Roman" w:hAnsi="Times New Roman" w:cs="Times New Roman"/>
        </w:rPr>
        <w:fldChar w:fldCharType="separate"/>
      </w:r>
      <w:r>
        <w:rPr>
          <w:rFonts w:ascii="Times New Roman" w:hAnsi="Times New Roman" w:cs="Times New Roman"/>
        </w:rPr>
        <w:t>55</w:t>
      </w:r>
      <w:r>
        <w:rPr>
          <w:rStyle w:val="30"/>
          <w:rFonts w:ascii="Times New Roman" w:hAnsi="Times New Roman" w:cs="Times New Roman"/>
        </w:rPr>
        <w:fldChar w:fldCharType="end"/>
      </w:r>
      <w:r>
        <w:rPr>
          <w:rStyle w:val="30"/>
          <w:rFonts w:ascii="Times New Roman" w:hAnsi="Times New Roman" w:cs="Times New Roman"/>
        </w:rPr>
        <w:fldChar w:fldCharType="end"/>
      </w:r>
    </w:p>
    <w:p>
      <w:pPr>
        <w:rPr>
          <w:rFonts w:eastAsiaTheme="minorEastAsia"/>
          <w:b/>
          <w:bCs/>
          <w:sz w:val="24"/>
          <w:szCs w:val="32"/>
        </w:rPr>
      </w:pPr>
      <w:r>
        <w:rPr>
          <w:rFonts w:eastAsiaTheme="minorEastAsia"/>
          <w:b/>
          <w:bCs/>
          <w:sz w:val="32"/>
          <w:szCs w:val="32"/>
        </w:rPr>
        <w:fldChar w:fldCharType="end"/>
      </w:r>
    </w:p>
    <w:p>
      <w:pPr>
        <w:rPr>
          <w:rFonts w:eastAsiaTheme="minorEastAsia"/>
          <w:b/>
          <w:bCs/>
          <w:sz w:val="24"/>
          <w:szCs w:val="32"/>
        </w:rPr>
      </w:pPr>
      <w:r>
        <w:rPr>
          <w:rFonts w:hint="eastAsia" w:eastAsiaTheme="minorEastAsia"/>
          <w:b/>
          <w:bCs/>
          <w:sz w:val="24"/>
          <w:szCs w:val="32"/>
        </w:rPr>
        <w:t>附图：</w:t>
      </w:r>
    </w:p>
    <w:p>
      <w:pPr>
        <w:ind w:firstLine="840" w:firstLineChars="400"/>
      </w:pPr>
      <w:r>
        <w:rPr>
          <w:rFonts w:hint="eastAsia"/>
        </w:rPr>
        <w:t>附图1  项目地理位置图</w:t>
      </w:r>
    </w:p>
    <w:p>
      <w:pPr>
        <w:ind w:firstLine="840" w:firstLineChars="400"/>
      </w:pPr>
      <w:r>
        <w:rPr>
          <w:rFonts w:hint="eastAsia"/>
        </w:rPr>
        <w:t>附图2  项目厂区平面布置图</w:t>
      </w:r>
    </w:p>
    <w:p>
      <w:pPr>
        <w:ind w:firstLine="840" w:firstLineChars="400"/>
      </w:pPr>
      <w:r>
        <w:rPr>
          <w:rFonts w:hint="eastAsia"/>
        </w:rPr>
        <w:t>附图3  项目周围敏感点卫星示意图</w:t>
      </w:r>
    </w:p>
    <w:p>
      <w:pPr>
        <w:ind w:firstLine="840" w:firstLineChars="400"/>
      </w:pPr>
      <w:r>
        <w:rPr>
          <w:rFonts w:hint="eastAsia"/>
        </w:rPr>
        <w:t>附图4  项目与南水北调中线工程位置关系图</w:t>
      </w:r>
    </w:p>
    <w:p>
      <w:pPr>
        <w:ind w:firstLine="840" w:firstLineChars="400"/>
      </w:pPr>
      <w:r>
        <w:rPr>
          <w:rFonts w:hint="eastAsia"/>
        </w:rPr>
        <w:t>附图5  项目与河南省三线一单综合信息应用平台研判结果图</w:t>
      </w:r>
    </w:p>
    <w:p>
      <w:pPr>
        <w:ind w:firstLine="840" w:firstLineChars="400"/>
      </w:pPr>
      <w:r>
        <w:rPr>
          <w:rFonts w:hint="eastAsia"/>
        </w:rPr>
        <w:t>附图6  现场照片</w:t>
      </w:r>
    </w:p>
    <w:p>
      <w:pPr>
        <w:rPr>
          <w:rFonts w:eastAsiaTheme="minorEastAsia"/>
          <w:b/>
          <w:bCs/>
          <w:sz w:val="24"/>
          <w:szCs w:val="32"/>
        </w:rPr>
      </w:pPr>
      <w:r>
        <w:rPr>
          <w:rFonts w:hint="eastAsia" w:eastAsiaTheme="minorEastAsia"/>
          <w:b/>
          <w:bCs/>
          <w:sz w:val="24"/>
          <w:szCs w:val="32"/>
        </w:rPr>
        <w:t>附件：</w:t>
      </w:r>
    </w:p>
    <w:p>
      <w:pPr>
        <w:ind w:firstLine="840" w:firstLineChars="400"/>
      </w:pPr>
      <w:r>
        <w:rPr>
          <w:rFonts w:hint="eastAsia"/>
        </w:rPr>
        <w:t>附件1  委托书</w:t>
      </w:r>
    </w:p>
    <w:p>
      <w:pPr>
        <w:ind w:firstLine="840" w:firstLineChars="400"/>
      </w:pPr>
      <w:r>
        <w:rPr>
          <w:rFonts w:hint="eastAsia"/>
        </w:rPr>
        <w:t>附件2  立项文件</w:t>
      </w:r>
    </w:p>
    <w:p>
      <w:pPr>
        <w:ind w:firstLine="840" w:firstLineChars="400"/>
      </w:pPr>
      <w:r>
        <w:rPr>
          <w:rFonts w:hint="eastAsia"/>
        </w:rPr>
        <w:t>附件3  规划证明</w:t>
      </w:r>
    </w:p>
    <w:p>
      <w:pPr>
        <w:ind w:firstLine="840" w:firstLineChars="400"/>
      </w:pPr>
      <w:r>
        <w:rPr>
          <w:rFonts w:hint="eastAsia"/>
        </w:rPr>
        <w:t>附件4  土地手续</w:t>
      </w:r>
    </w:p>
    <w:p>
      <w:pPr>
        <w:ind w:firstLine="840" w:firstLineChars="400"/>
      </w:pPr>
      <w:r>
        <w:rPr>
          <w:rFonts w:hint="eastAsia"/>
        </w:rPr>
        <w:t>附件5  租赁协议</w:t>
      </w:r>
    </w:p>
    <w:p>
      <w:pPr>
        <w:ind w:firstLine="840" w:firstLineChars="400"/>
      </w:pPr>
      <w:r>
        <w:rPr>
          <w:rFonts w:hint="eastAsia"/>
        </w:rPr>
        <w:t>附件6  营业执照</w:t>
      </w:r>
    </w:p>
    <w:p>
      <w:pPr>
        <w:ind w:firstLine="840" w:firstLineChars="400"/>
      </w:pPr>
      <w:r>
        <w:rPr>
          <w:rFonts w:hint="eastAsia"/>
        </w:rPr>
        <w:t>附件7  法人身份证</w:t>
      </w:r>
    </w:p>
    <w:p>
      <w:pPr>
        <w:ind w:firstLine="840" w:firstLineChars="400"/>
      </w:pPr>
      <w:r>
        <w:rPr>
          <w:rFonts w:hint="eastAsia"/>
        </w:rPr>
        <w:t>附件8  噪声现状检测报告</w:t>
      </w:r>
    </w:p>
    <w:p>
      <w:pPr>
        <w:ind w:firstLine="840" w:firstLineChars="400"/>
      </w:pPr>
      <w:r>
        <w:rPr>
          <w:rFonts w:hint="eastAsia"/>
        </w:rPr>
        <w:t>附件9  承诺书</w:t>
      </w:r>
    </w:p>
    <w:p>
      <w:pPr>
        <w:sectPr>
          <w:pgSz w:w="11906" w:h="16838"/>
          <w:pgMar w:top="1701" w:right="1588" w:bottom="1701" w:left="1588" w:header="851" w:footer="1134" w:gutter="0"/>
          <w:pgNumType w:fmt="numberInDash" w:start="1"/>
          <w:cols w:space="720" w:num="1"/>
          <w:docGrid w:type="lines" w:linePitch="312" w:charSpace="0"/>
        </w:sectPr>
      </w:pPr>
    </w:p>
    <w:p>
      <w:pPr>
        <w:numPr>
          <w:ilvl w:val="0"/>
          <w:numId w:val="1"/>
        </w:numPr>
        <w:jc w:val="center"/>
        <w:outlineLvl w:val="0"/>
        <w:rPr>
          <w:rFonts w:eastAsia="黑体"/>
          <w:snapToGrid w:val="0"/>
          <w:kern w:val="21"/>
          <w:sz w:val="30"/>
          <w:szCs w:val="30"/>
        </w:rPr>
      </w:pPr>
      <w:bookmarkStart w:id="0" w:name="_Toc172623721"/>
      <w:r>
        <w:rPr>
          <w:rFonts w:eastAsia="黑体"/>
          <w:snapToGrid w:val="0"/>
          <w:kern w:val="21"/>
          <w:sz w:val="30"/>
          <w:szCs w:val="30"/>
        </w:rPr>
        <w:t>建设项目基本情况</w:t>
      </w:r>
      <w:bookmarkEnd w:id="0"/>
    </w:p>
    <w:tbl>
      <w:tblPr>
        <w:tblStyle w:val="26"/>
        <w:tblW w:w="8875"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717"/>
        <w:gridCol w:w="1986"/>
        <w:gridCol w:w="1842"/>
        <w:gridCol w:w="33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567" w:hRule="atLeast"/>
          <w:jc w:val="center"/>
        </w:trPr>
        <w:tc>
          <w:tcPr>
            <w:tcW w:w="1717" w:type="dxa"/>
            <w:tcBorders>
              <w:tl2br w:val="nil"/>
              <w:tr2bl w:val="nil"/>
            </w:tcBorders>
            <w:tcMar>
              <w:top w:w="16" w:type="dxa"/>
              <w:left w:w="16" w:type="dxa"/>
              <w:right w:w="16" w:type="dxa"/>
            </w:tcMar>
            <w:vAlign w:val="center"/>
          </w:tcPr>
          <w:p>
            <w:pPr>
              <w:adjustRightInd w:val="0"/>
              <w:snapToGrid w:val="0"/>
              <w:spacing w:line="400" w:lineRule="exact"/>
              <w:jc w:val="center"/>
              <w:rPr>
                <w:sz w:val="24"/>
                <w:szCs w:val="24"/>
              </w:rPr>
            </w:pPr>
            <w:r>
              <w:rPr>
                <w:sz w:val="24"/>
                <w:szCs w:val="24"/>
              </w:rPr>
              <w:t>建设项目名称</w:t>
            </w:r>
          </w:p>
        </w:tc>
        <w:tc>
          <w:tcPr>
            <w:tcW w:w="7158" w:type="dxa"/>
            <w:gridSpan w:val="3"/>
            <w:tcBorders>
              <w:tl2br w:val="nil"/>
              <w:tr2bl w:val="nil"/>
            </w:tcBorders>
            <w:vAlign w:val="center"/>
          </w:tcPr>
          <w:p>
            <w:pPr>
              <w:adjustRightInd w:val="0"/>
              <w:snapToGrid w:val="0"/>
              <w:spacing w:line="400" w:lineRule="exact"/>
              <w:jc w:val="center"/>
              <w:rPr>
                <w:rFonts w:eastAsiaTheme="minorEastAsia"/>
                <w:kern w:val="21"/>
                <w:sz w:val="24"/>
                <w:szCs w:val="24"/>
              </w:rPr>
            </w:pPr>
            <w:r>
              <w:rPr>
                <w:rFonts w:hAnsi="宋体"/>
                <w:kern w:val="21"/>
                <w:sz w:val="24"/>
                <w:szCs w:val="24"/>
              </w:rPr>
              <w:t>年产100吨艾草制品项目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567" w:hRule="atLeast"/>
          <w:jc w:val="center"/>
        </w:trPr>
        <w:tc>
          <w:tcPr>
            <w:tcW w:w="1717" w:type="dxa"/>
            <w:tcBorders>
              <w:tl2br w:val="nil"/>
              <w:tr2bl w:val="nil"/>
            </w:tcBorders>
            <w:tcMar>
              <w:top w:w="16" w:type="dxa"/>
              <w:left w:w="16" w:type="dxa"/>
              <w:right w:w="16" w:type="dxa"/>
            </w:tcMar>
            <w:vAlign w:val="center"/>
          </w:tcPr>
          <w:p>
            <w:pPr>
              <w:adjustRightInd w:val="0"/>
              <w:snapToGrid w:val="0"/>
              <w:spacing w:line="400" w:lineRule="exact"/>
              <w:jc w:val="center"/>
              <w:rPr>
                <w:sz w:val="24"/>
                <w:szCs w:val="24"/>
              </w:rPr>
            </w:pPr>
            <w:r>
              <w:rPr>
                <w:sz w:val="24"/>
                <w:szCs w:val="24"/>
              </w:rPr>
              <w:t>项目代码</w:t>
            </w:r>
          </w:p>
        </w:tc>
        <w:tc>
          <w:tcPr>
            <w:tcW w:w="7158" w:type="dxa"/>
            <w:gridSpan w:val="3"/>
            <w:tcBorders>
              <w:tl2br w:val="nil"/>
              <w:tr2bl w:val="nil"/>
            </w:tcBorders>
            <w:vAlign w:val="center"/>
          </w:tcPr>
          <w:p>
            <w:pPr>
              <w:adjustRightInd w:val="0"/>
              <w:snapToGrid w:val="0"/>
              <w:spacing w:line="400" w:lineRule="exact"/>
              <w:jc w:val="center"/>
              <w:rPr>
                <w:kern w:val="21"/>
                <w:sz w:val="24"/>
                <w:szCs w:val="24"/>
              </w:rPr>
            </w:pPr>
            <w:r>
              <w:rPr>
                <w:kern w:val="0"/>
                <w:sz w:val="24"/>
                <w:szCs w:val="24"/>
              </w:rPr>
              <w:t>2410-411303-04-01-128447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567" w:hRule="atLeast"/>
          <w:jc w:val="center"/>
        </w:trPr>
        <w:tc>
          <w:tcPr>
            <w:tcW w:w="1717" w:type="dxa"/>
            <w:tcBorders>
              <w:tl2br w:val="nil"/>
              <w:tr2bl w:val="nil"/>
            </w:tcBorders>
            <w:tcMar>
              <w:top w:w="16" w:type="dxa"/>
              <w:left w:w="16" w:type="dxa"/>
              <w:right w:w="16" w:type="dxa"/>
            </w:tcMar>
            <w:vAlign w:val="center"/>
          </w:tcPr>
          <w:p>
            <w:pPr>
              <w:adjustRightInd w:val="0"/>
              <w:snapToGrid w:val="0"/>
              <w:spacing w:line="400" w:lineRule="exact"/>
              <w:jc w:val="center"/>
              <w:rPr>
                <w:sz w:val="24"/>
                <w:szCs w:val="24"/>
              </w:rPr>
            </w:pPr>
            <w:r>
              <w:rPr>
                <w:sz w:val="24"/>
                <w:szCs w:val="24"/>
              </w:rPr>
              <w:t>建设单位联系人</w:t>
            </w:r>
          </w:p>
        </w:tc>
        <w:tc>
          <w:tcPr>
            <w:tcW w:w="1986" w:type="dxa"/>
            <w:tcBorders>
              <w:tl2br w:val="nil"/>
              <w:tr2bl w:val="nil"/>
            </w:tcBorders>
            <w:vAlign w:val="center"/>
          </w:tcPr>
          <w:p>
            <w:pPr>
              <w:adjustRightInd w:val="0"/>
              <w:snapToGrid w:val="0"/>
              <w:spacing w:line="400" w:lineRule="exact"/>
              <w:jc w:val="center"/>
              <w:rPr>
                <w:rFonts w:eastAsia="Calibri"/>
                <w:kern w:val="21"/>
                <w:sz w:val="24"/>
                <w:szCs w:val="24"/>
              </w:rPr>
            </w:pPr>
            <w:r>
              <w:rPr>
                <w:rFonts w:hint="eastAsia"/>
                <w:kern w:val="0"/>
                <w:sz w:val="24"/>
                <w:szCs w:val="24"/>
              </w:rPr>
              <w:t>刘延春</w:t>
            </w:r>
          </w:p>
        </w:tc>
        <w:tc>
          <w:tcPr>
            <w:tcW w:w="1842" w:type="dxa"/>
            <w:tcBorders>
              <w:tl2br w:val="nil"/>
              <w:tr2bl w:val="nil"/>
            </w:tcBorders>
            <w:vAlign w:val="center"/>
          </w:tcPr>
          <w:p>
            <w:pPr>
              <w:adjustRightInd w:val="0"/>
              <w:snapToGrid w:val="0"/>
              <w:spacing w:line="400" w:lineRule="exact"/>
              <w:jc w:val="center"/>
              <w:rPr>
                <w:kern w:val="21"/>
                <w:sz w:val="24"/>
                <w:szCs w:val="24"/>
              </w:rPr>
            </w:pPr>
            <w:r>
              <w:rPr>
                <w:kern w:val="21"/>
                <w:sz w:val="24"/>
                <w:szCs w:val="24"/>
              </w:rPr>
              <w:t>联系方式</w:t>
            </w:r>
          </w:p>
        </w:tc>
        <w:tc>
          <w:tcPr>
            <w:tcW w:w="3330" w:type="dxa"/>
            <w:tcBorders>
              <w:tl2br w:val="nil"/>
              <w:tr2bl w:val="nil"/>
            </w:tcBorders>
            <w:vAlign w:val="center"/>
          </w:tcPr>
          <w:p>
            <w:pPr>
              <w:adjustRightInd w:val="0"/>
              <w:snapToGrid w:val="0"/>
              <w:spacing w:line="400" w:lineRule="exact"/>
              <w:jc w:val="center"/>
              <w:rPr>
                <w:kern w:val="21"/>
                <w:sz w:val="24"/>
                <w:szCs w:val="24"/>
              </w:rPr>
            </w:pPr>
            <w:r>
              <w:rPr>
                <w:rFonts w:hint="eastAsia"/>
                <w:kern w:val="21"/>
                <w:sz w:val="24"/>
                <w:szCs w:val="24"/>
              </w:rPr>
              <w:t>186</w:t>
            </w:r>
            <w:r>
              <w:rPr>
                <w:rFonts w:hint="eastAsia"/>
                <w:kern w:val="21"/>
                <w:sz w:val="24"/>
                <w:szCs w:val="24"/>
                <w:lang w:val="en-US" w:eastAsia="zh-CN"/>
              </w:rPr>
              <w:t>*****</w:t>
            </w:r>
            <w:r>
              <w:rPr>
                <w:rFonts w:hint="eastAsia"/>
                <w:kern w:val="21"/>
                <w:sz w:val="24"/>
                <w:szCs w:val="24"/>
              </w:rPr>
              <w:t>788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567" w:hRule="atLeast"/>
          <w:jc w:val="center"/>
        </w:trPr>
        <w:tc>
          <w:tcPr>
            <w:tcW w:w="1717" w:type="dxa"/>
            <w:tcBorders>
              <w:tl2br w:val="nil"/>
              <w:tr2bl w:val="nil"/>
            </w:tcBorders>
            <w:tcMar>
              <w:top w:w="16" w:type="dxa"/>
              <w:left w:w="16" w:type="dxa"/>
              <w:right w:w="16" w:type="dxa"/>
            </w:tcMar>
            <w:vAlign w:val="center"/>
          </w:tcPr>
          <w:p>
            <w:pPr>
              <w:adjustRightInd w:val="0"/>
              <w:snapToGrid w:val="0"/>
              <w:spacing w:line="400" w:lineRule="exact"/>
              <w:jc w:val="center"/>
              <w:rPr>
                <w:sz w:val="24"/>
                <w:szCs w:val="24"/>
              </w:rPr>
            </w:pPr>
            <w:r>
              <w:rPr>
                <w:sz w:val="24"/>
                <w:szCs w:val="24"/>
              </w:rPr>
              <w:t>建设地点</w:t>
            </w:r>
          </w:p>
        </w:tc>
        <w:tc>
          <w:tcPr>
            <w:tcW w:w="7158" w:type="dxa"/>
            <w:gridSpan w:val="3"/>
            <w:tcBorders>
              <w:tl2br w:val="nil"/>
              <w:tr2bl w:val="nil"/>
            </w:tcBorders>
            <w:vAlign w:val="center"/>
          </w:tcPr>
          <w:p>
            <w:pPr>
              <w:adjustRightInd w:val="0"/>
              <w:snapToGrid w:val="0"/>
              <w:spacing w:line="400" w:lineRule="exact"/>
              <w:jc w:val="center"/>
              <w:rPr>
                <w:kern w:val="21"/>
                <w:sz w:val="24"/>
                <w:szCs w:val="24"/>
              </w:rPr>
            </w:pPr>
            <w:r>
              <w:rPr>
                <w:sz w:val="24"/>
                <w:szCs w:val="24"/>
              </w:rPr>
              <w:t>南阳市卧龙区蒲山镇棉花库路口向西20米路北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567" w:hRule="atLeast"/>
          <w:jc w:val="center"/>
        </w:trPr>
        <w:tc>
          <w:tcPr>
            <w:tcW w:w="1717" w:type="dxa"/>
            <w:tcBorders>
              <w:tl2br w:val="nil"/>
              <w:tr2bl w:val="nil"/>
            </w:tcBorders>
            <w:tcMar>
              <w:top w:w="16" w:type="dxa"/>
              <w:left w:w="16" w:type="dxa"/>
              <w:right w:w="16" w:type="dxa"/>
            </w:tcMar>
            <w:vAlign w:val="center"/>
          </w:tcPr>
          <w:p>
            <w:pPr>
              <w:adjustRightInd w:val="0"/>
              <w:snapToGrid w:val="0"/>
              <w:spacing w:line="400" w:lineRule="exact"/>
              <w:jc w:val="center"/>
              <w:rPr>
                <w:sz w:val="24"/>
                <w:szCs w:val="24"/>
              </w:rPr>
            </w:pPr>
            <w:r>
              <w:rPr>
                <w:sz w:val="24"/>
                <w:szCs w:val="24"/>
              </w:rPr>
              <w:t>地理坐标</w:t>
            </w:r>
          </w:p>
        </w:tc>
        <w:tc>
          <w:tcPr>
            <w:tcW w:w="7158" w:type="dxa"/>
            <w:gridSpan w:val="3"/>
            <w:tcBorders>
              <w:tl2br w:val="nil"/>
              <w:tr2bl w:val="nil"/>
            </w:tcBorders>
            <w:vAlign w:val="center"/>
          </w:tcPr>
          <w:p>
            <w:pPr>
              <w:adjustRightInd w:val="0"/>
              <w:snapToGrid w:val="0"/>
              <w:spacing w:line="400" w:lineRule="exact"/>
              <w:jc w:val="center"/>
              <w:rPr>
                <w:rFonts w:eastAsiaTheme="minorEastAsia"/>
                <w:sz w:val="24"/>
                <w:szCs w:val="24"/>
                <w:u w:val="single"/>
              </w:rPr>
            </w:pPr>
            <w:r>
              <w:rPr>
                <w:rFonts w:eastAsiaTheme="minorEastAsia"/>
                <w:sz w:val="24"/>
                <w:szCs w:val="24"/>
                <w:u w:val="single"/>
              </w:rPr>
              <w:t>E112°</w:t>
            </w:r>
            <w:r>
              <w:rPr>
                <w:rFonts w:hint="eastAsia" w:eastAsiaTheme="minorEastAsia"/>
                <w:sz w:val="24"/>
                <w:szCs w:val="24"/>
                <w:u w:val="single"/>
              </w:rPr>
              <w:t>35</w:t>
            </w:r>
            <w:r>
              <w:rPr>
                <w:rFonts w:eastAsiaTheme="minorEastAsia"/>
                <w:sz w:val="24"/>
                <w:szCs w:val="24"/>
                <w:u w:val="single"/>
              </w:rPr>
              <w:t>′</w:t>
            </w:r>
            <w:r>
              <w:rPr>
                <w:rFonts w:hint="eastAsia" w:eastAsiaTheme="minorEastAsia"/>
                <w:sz w:val="24"/>
                <w:szCs w:val="24"/>
                <w:u w:val="single"/>
              </w:rPr>
              <w:t>33.750</w:t>
            </w:r>
            <w:r>
              <w:rPr>
                <w:rFonts w:eastAsiaTheme="minorEastAsia"/>
                <w:sz w:val="24"/>
                <w:szCs w:val="24"/>
                <w:u w:val="single"/>
              </w:rPr>
              <w:t>″，N3</w:t>
            </w:r>
            <w:r>
              <w:rPr>
                <w:rFonts w:hint="eastAsia" w:eastAsiaTheme="minorEastAsia"/>
                <w:sz w:val="24"/>
                <w:szCs w:val="24"/>
                <w:u w:val="single"/>
              </w:rPr>
              <w:t>3</w:t>
            </w:r>
            <w:r>
              <w:rPr>
                <w:rFonts w:eastAsiaTheme="minorEastAsia"/>
                <w:sz w:val="24"/>
                <w:szCs w:val="24"/>
                <w:u w:val="single"/>
              </w:rPr>
              <w:t>°</w:t>
            </w:r>
            <w:r>
              <w:rPr>
                <w:rFonts w:hint="eastAsia" w:eastAsiaTheme="minorEastAsia"/>
                <w:sz w:val="24"/>
                <w:szCs w:val="24"/>
                <w:u w:val="single"/>
              </w:rPr>
              <w:t>6</w:t>
            </w:r>
            <w:r>
              <w:rPr>
                <w:rFonts w:eastAsiaTheme="minorEastAsia"/>
                <w:sz w:val="24"/>
                <w:szCs w:val="24"/>
                <w:u w:val="single"/>
              </w:rPr>
              <w:t>′</w:t>
            </w:r>
            <w:r>
              <w:rPr>
                <w:rFonts w:hint="eastAsia" w:eastAsiaTheme="minorEastAsia"/>
                <w:sz w:val="24"/>
                <w:szCs w:val="24"/>
                <w:u w:val="single"/>
              </w:rPr>
              <w:t>26.79</w:t>
            </w:r>
            <w:r>
              <w:rPr>
                <w:rFonts w:eastAsiaTheme="minorEastAsia"/>
                <w:sz w:val="24"/>
                <w:szCs w:val="24"/>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567" w:hRule="atLeast"/>
          <w:jc w:val="center"/>
        </w:trPr>
        <w:tc>
          <w:tcPr>
            <w:tcW w:w="1717" w:type="dxa"/>
            <w:tcBorders>
              <w:tl2br w:val="nil"/>
              <w:tr2bl w:val="nil"/>
            </w:tcBorders>
            <w:tcMar>
              <w:top w:w="16" w:type="dxa"/>
              <w:left w:w="16" w:type="dxa"/>
              <w:right w:w="16" w:type="dxa"/>
            </w:tcMar>
            <w:vAlign w:val="center"/>
          </w:tcPr>
          <w:p>
            <w:pPr>
              <w:adjustRightInd w:val="0"/>
              <w:snapToGrid w:val="0"/>
              <w:spacing w:line="400" w:lineRule="exact"/>
              <w:jc w:val="center"/>
              <w:rPr>
                <w:sz w:val="24"/>
                <w:szCs w:val="24"/>
              </w:rPr>
            </w:pPr>
            <w:r>
              <w:rPr>
                <w:sz w:val="24"/>
                <w:szCs w:val="24"/>
              </w:rPr>
              <w:t>国民经济</w:t>
            </w:r>
          </w:p>
          <w:p>
            <w:pPr>
              <w:adjustRightInd w:val="0"/>
              <w:snapToGrid w:val="0"/>
              <w:spacing w:line="400" w:lineRule="exact"/>
              <w:jc w:val="center"/>
              <w:rPr>
                <w:sz w:val="24"/>
                <w:szCs w:val="24"/>
              </w:rPr>
            </w:pPr>
            <w:r>
              <w:rPr>
                <w:sz w:val="24"/>
                <w:szCs w:val="24"/>
              </w:rPr>
              <w:t>行业类别</w:t>
            </w:r>
          </w:p>
        </w:tc>
        <w:tc>
          <w:tcPr>
            <w:tcW w:w="1986" w:type="dxa"/>
            <w:tcBorders>
              <w:tl2br w:val="nil"/>
              <w:tr2bl w:val="nil"/>
            </w:tcBorders>
            <w:vAlign w:val="center"/>
          </w:tcPr>
          <w:p>
            <w:pPr>
              <w:adjustRightInd w:val="0"/>
              <w:snapToGrid w:val="0"/>
              <w:spacing w:line="400" w:lineRule="exact"/>
              <w:jc w:val="center"/>
              <w:rPr>
                <w:kern w:val="21"/>
                <w:sz w:val="24"/>
                <w:szCs w:val="24"/>
                <w:highlight w:val="yellow"/>
              </w:rPr>
            </w:pPr>
            <w:r>
              <w:rPr>
                <w:rFonts w:hint="eastAsia"/>
                <w:sz w:val="24"/>
                <w:szCs w:val="24"/>
              </w:rPr>
              <w:t>卫生材料及医药用品制造【</w:t>
            </w:r>
            <w:r>
              <w:rPr>
                <w:sz w:val="24"/>
                <w:szCs w:val="24"/>
              </w:rPr>
              <w:t>C</w:t>
            </w:r>
            <w:r>
              <w:rPr>
                <w:rFonts w:hint="eastAsia"/>
                <w:sz w:val="24"/>
                <w:szCs w:val="24"/>
              </w:rPr>
              <w:t>2770】</w:t>
            </w:r>
          </w:p>
        </w:tc>
        <w:tc>
          <w:tcPr>
            <w:tcW w:w="1842" w:type="dxa"/>
            <w:tcBorders>
              <w:tl2br w:val="nil"/>
              <w:tr2bl w:val="nil"/>
            </w:tcBorders>
            <w:vAlign w:val="center"/>
          </w:tcPr>
          <w:p>
            <w:pPr>
              <w:adjustRightInd w:val="0"/>
              <w:snapToGrid w:val="0"/>
              <w:spacing w:line="400" w:lineRule="exact"/>
              <w:jc w:val="center"/>
              <w:rPr>
                <w:sz w:val="24"/>
                <w:szCs w:val="24"/>
              </w:rPr>
            </w:pPr>
            <w:bookmarkStart w:id="1" w:name="_Hlk49843745"/>
            <w:r>
              <w:rPr>
                <w:sz w:val="24"/>
                <w:szCs w:val="24"/>
              </w:rPr>
              <w:t>建设项目</w:t>
            </w:r>
          </w:p>
          <w:p>
            <w:pPr>
              <w:adjustRightInd w:val="0"/>
              <w:snapToGrid w:val="0"/>
              <w:spacing w:line="400" w:lineRule="exact"/>
              <w:jc w:val="center"/>
              <w:rPr>
                <w:sz w:val="24"/>
                <w:szCs w:val="24"/>
              </w:rPr>
            </w:pPr>
            <w:r>
              <w:rPr>
                <w:sz w:val="24"/>
                <w:szCs w:val="24"/>
              </w:rPr>
              <w:t>行业类别</w:t>
            </w:r>
            <w:bookmarkEnd w:id="1"/>
          </w:p>
        </w:tc>
        <w:tc>
          <w:tcPr>
            <w:tcW w:w="3330" w:type="dxa"/>
            <w:tcBorders>
              <w:tl2br w:val="nil"/>
              <w:tr2bl w:val="nil"/>
            </w:tcBorders>
            <w:vAlign w:val="center"/>
          </w:tcPr>
          <w:p>
            <w:pPr>
              <w:adjustRightInd w:val="0"/>
              <w:snapToGrid w:val="0"/>
              <w:spacing w:line="400" w:lineRule="exact"/>
              <w:jc w:val="center"/>
              <w:rPr>
                <w:sz w:val="24"/>
                <w:szCs w:val="24"/>
              </w:rPr>
            </w:pPr>
            <w:r>
              <w:rPr>
                <w:rFonts w:hint="eastAsia"/>
                <w:sz w:val="24"/>
                <w:szCs w:val="24"/>
              </w:rPr>
              <w:t>二十四、医药制造业27-49</w:t>
            </w:r>
            <w:r>
              <w:rPr>
                <w:sz w:val="24"/>
                <w:szCs w:val="24"/>
              </w:rPr>
              <w:t>、</w:t>
            </w:r>
            <w:r>
              <w:rPr>
                <w:rFonts w:hint="eastAsia"/>
                <w:sz w:val="24"/>
                <w:szCs w:val="24"/>
              </w:rPr>
              <w:t>卫生材料及医药用品制造277；药用辅料及包装材料制造278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567" w:hRule="atLeast"/>
          <w:jc w:val="center"/>
        </w:trPr>
        <w:tc>
          <w:tcPr>
            <w:tcW w:w="1717" w:type="dxa"/>
            <w:tcBorders>
              <w:tl2br w:val="nil"/>
              <w:tr2bl w:val="nil"/>
            </w:tcBorders>
            <w:tcMar>
              <w:top w:w="16" w:type="dxa"/>
              <w:left w:w="16" w:type="dxa"/>
              <w:right w:w="16" w:type="dxa"/>
            </w:tcMar>
            <w:vAlign w:val="center"/>
          </w:tcPr>
          <w:p>
            <w:pPr>
              <w:adjustRightInd w:val="0"/>
              <w:snapToGrid w:val="0"/>
              <w:spacing w:line="400" w:lineRule="exact"/>
              <w:jc w:val="center"/>
              <w:rPr>
                <w:sz w:val="24"/>
                <w:szCs w:val="24"/>
              </w:rPr>
            </w:pPr>
            <w:r>
              <w:rPr>
                <w:sz w:val="24"/>
                <w:szCs w:val="24"/>
              </w:rPr>
              <w:t>建设性质</w:t>
            </w:r>
          </w:p>
        </w:tc>
        <w:tc>
          <w:tcPr>
            <w:tcW w:w="1986" w:type="dxa"/>
            <w:tcBorders>
              <w:tl2br w:val="nil"/>
              <w:tr2bl w:val="nil"/>
            </w:tcBorders>
            <w:vAlign w:val="center"/>
          </w:tcPr>
          <w:p>
            <w:pPr>
              <w:adjustRightInd w:val="0"/>
              <w:snapToGrid w:val="0"/>
              <w:spacing w:line="400" w:lineRule="exact"/>
              <w:jc w:val="left"/>
              <w:rPr>
                <w:kern w:val="21"/>
                <w:sz w:val="24"/>
                <w:szCs w:val="24"/>
              </w:rPr>
            </w:pPr>
            <w:r>
              <w:rPr>
                <w:kern w:val="21"/>
                <w:sz w:val="24"/>
                <w:szCs w:val="24"/>
              </w:rPr>
              <w:sym w:font="Wingdings" w:char="F06E"/>
            </w:r>
            <w:r>
              <w:rPr>
                <w:kern w:val="21"/>
                <w:sz w:val="24"/>
                <w:szCs w:val="24"/>
              </w:rPr>
              <w:t>新建（迁建）</w:t>
            </w:r>
          </w:p>
          <w:p>
            <w:pPr>
              <w:adjustRightInd w:val="0"/>
              <w:snapToGrid w:val="0"/>
              <w:spacing w:line="400" w:lineRule="exact"/>
              <w:jc w:val="left"/>
              <w:rPr>
                <w:kern w:val="21"/>
                <w:sz w:val="24"/>
                <w:szCs w:val="24"/>
              </w:rPr>
            </w:pPr>
            <w:r>
              <w:rPr>
                <w:kern w:val="21"/>
                <w:sz w:val="24"/>
                <w:szCs w:val="24"/>
              </w:rPr>
              <w:t>□改建</w:t>
            </w:r>
          </w:p>
          <w:p>
            <w:pPr>
              <w:adjustRightInd w:val="0"/>
              <w:snapToGrid w:val="0"/>
              <w:spacing w:line="400" w:lineRule="exact"/>
              <w:jc w:val="left"/>
              <w:rPr>
                <w:kern w:val="21"/>
                <w:sz w:val="24"/>
                <w:szCs w:val="24"/>
              </w:rPr>
            </w:pPr>
            <w:r>
              <w:rPr>
                <w:kern w:val="21"/>
                <w:sz w:val="24"/>
                <w:szCs w:val="24"/>
              </w:rPr>
              <w:t>□扩建</w:t>
            </w:r>
          </w:p>
          <w:p>
            <w:pPr>
              <w:adjustRightInd w:val="0"/>
              <w:snapToGrid w:val="0"/>
              <w:spacing w:line="400" w:lineRule="exact"/>
              <w:jc w:val="left"/>
              <w:rPr>
                <w:kern w:val="21"/>
                <w:sz w:val="24"/>
                <w:szCs w:val="24"/>
              </w:rPr>
            </w:pPr>
            <w:r>
              <w:rPr>
                <w:kern w:val="21"/>
                <w:sz w:val="24"/>
                <w:szCs w:val="24"/>
              </w:rPr>
              <w:t>□技术改造</w:t>
            </w:r>
          </w:p>
        </w:tc>
        <w:tc>
          <w:tcPr>
            <w:tcW w:w="1842" w:type="dxa"/>
            <w:tcBorders>
              <w:tl2br w:val="nil"/>
              <w:tr2bl w:val="nil"/>
            </w:tcBorders>
            <w:vAlign w:val="center"/>
          </w:tcPr>
          <w:p>
            <w:pPr>
              <w:adjustRightInd w:val="0"/>
              <w:snapToGrid w:val="0"/>
              <w:spacing w:line="400" w:lineRule="exact"/>
              <w:jc w:val="center"/>
              <w:rPr>
                <w:sz w:val="24"/>
                <w:szCs w:val="24"/>
              </w:rPr>
            </w:pPr>
            <w:r>
              <w:rPr>
                <w:sz w:val="24"/>
                <w:szCs w:val="24"/>
              </w:rPr>
              <w:t>建设项目</w:t>
            </w:r>
          </w:p>
          <w:p>
            <w:pPr>
              <w:adjustRightInd w:val="0"/>
              <w:snapToGrid w:val="0"/>
              <w:spacing w:line="400" w:lineRule="exact"/>
              <w:jc w:val="center"/>
              <w:rPr>
                <w:sz w:val="24"/>
                <w:szCs w:val="24"/>
              </w:rPr>
            </w:pPr>
            <w:r>
              <w:rPr>
                <w:sz w:val="24"/>
                <w:szCs w:val="24"/>
              </w:rPr>
              <w:t>申报情形</w:t>
            </w:r>
          </w:p>
        </w:tc>
        <w:tc>
          <w:tcPr>
            <w:tcW w:w="3330" w:type="dxa"/>
            <w:tcBorders>
              <w:tl2br w:val="nil"/>
              <w:tr2bl w:val="nil"/>
            </w:tcBorders>
            <w:vAlign w:val="center"/>
          </w:tcPr>
          <w:p>
            <w:pPr>
              <w:adjustRightInd w:val="0"/>
              <w:snapToGrid w:val="0"/>
              <w:spacing w:line="400" w:lineRule="exact"/>
              <w:jc w:val="left"/>
              <w:rPr>
                <w:kern w:val="21"/>
                <w:sz w:val="24"/>
                <w:szCs w:val="24"/>
              </w:rPr>
            </w:pPr>
            <w:r>
              <w:rPr>
                <w:kern w:val="21"/>
                <w:sz w:val="24"/>
                <w:szCs w:val="24"/>
              </w:rPr>
              <w:sym w:font="Wingdings" w:char="F06E"/>
            </w:r>
            <w:r>
              <w:rPr>
                <w:kern w:val="21"/>
                <w:sz w:val="24"/>
                <w:szCs w:val="24"/>
              </w:rPr>
              <w:t>首次申报项目</w:t>
            </w:r>
          </w:p>
          <w:p>
            <w:pPr>
              <w:adjustRightInd w:val="0"/>
              <w:snapToGrid w:val="0"/>
              <w:spacing w:line="400" w:lineRule="exact"/>
              <w:jc w:val="left"/>
              <w:rPr>
                <w:kern w:val="21"/>
                <w:sz w:val="24"/>
                <w:szCs w:val="24"/>
              </w:rPr>
            </w:pPr>
            <w:r>
              <w:rPr>
                <w:kern w:val="21"/>
                <w:sz w:val="24"/>
                <w:szCs w:val="24"/>
              </w:rPr>
              <w:t>□不予批准后再次申报项目</w:t>
            </w:r>
          </w:p>
          <w:p>
            <w:pPr>
              <w:adjustRightInd w:val="0"/>
              <w:snapToGrid w:val="0"/>
              <w:spacing w:line="400" w:lineRule="exact"/>
              <w:jc w:val="left"/>
              <w:rPr>
                <w:kern w:val="21"/>
                <w:sz w:val="24"/>
                <w:szCs w:val="24"/>
              </w:rPr>
            </w:pPr>
            <w:r>
              <w:rPr>
                <w:kern w:val="21"/>
                <w:sz w:val="24"/>
                <w:szCs w:val="24"/>
              </w:rPr>
              <w:t>□超五年重新审核项目</w:t>
            </w:r>
          </w:p>
          <w:p>
            <w:pPr>
              <w:adjustRightInd w:val="0"/>
              <w:snapToGrid w:val="0"/>
              <w:spacing w:line="400" w:lineRule="exact"/>
              <w:jc w:val="left"/>
              <w:rPr>
                <w:kern w:val="21"/>
                <w:sz w:val="24"/>
                <w:szCs w:val="24"/>
              </w:rPr>
            </w:pPr>
            <w:r>
              <w:rPr>
                <w:kern w:val="21"/>
                <w:sz w:val="24"/>
                <w:szCs w:val="24"/>
              </w:rPr>
              <w:t>□重大变动重新报批项目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567" w:hRule="atLeast"/>
          <w:jc w:val="center"/>
        </w:trPr>
        <w:tc>
          <w:tcPr>
            <w:tcW w:w="1717" w:type="dxa"/>
            <w:tcBorders>
              <w:tl2br w:val="nil"/>
              <w:tr2bl w:val="nil"/>
            </w:tcBorders>
            <w:tcMar>
              <w:top w:w="16" w:type="dxa"/>
              <w:left w:w="16" w:type="dxa"/>
              <w:right w:w="16" w:type="dxa"/>
            </w:tcMar>
            <w:vAlign w:val="center"/>
          </w:tcPr>
          <w:p>
            <w:pPr>
              <w:adjustRightInd w:val="0"/>
              <w:snapToGrid w:val="0"/>
              <w:spacing w:line="400" w:lineRule="exact"/>
              <w:jc w:val="center"/>
              <w:rPr>
                <w:sz w:val="24"/>
                <w:szCs w:val="24"/>
              </w:rPr>
            </w:pPr>
            <w:r>
              <w:rPr>
                <w:sz w:val="24"/>
                <w:szCs w:val="24"/>
              </w:rPr>
              <w:t>项目审批（核准/备案）部门（选填）</w:t>
            </w:r>
          </w:p>
        </w:tc>
        <w:tc>
          <w:tcPr>
            <w:tcW w:w="1986" w:type="dxa"/>
            <w:tcBorders>
              <w:tl2br w:val="nil"/>
              <w:tr2bl w:val="nil"/>
            </w:tcBorders>
            <w:vAlign w:val="center"/>
          </w:tcPr>
          <w:p>
            <w:pPr>
              <w:adjustRightInd w:val="0"/>
              <w:snapToGrid w:val="0"/>
              <w:spacing w:line="400" w:lineRule="exact"/>
              <w:jc w:val="center"/>
              <w:rPr>
                <w:kern w:val="21"/>
                <w:sz w:val="24"/>
                <w:szCs w:val="24"/>
              </w:rPr>
            </w:pPr>
            <w:r>
              <w:rPr>
                <w:sz w:val="24"/>
              </w:rPr>
              <w:t>南阳市卧龙区发展和改革委员会</w:t>
            </w:r>
          </w:p>
        </w:tc>
        <w:tc>
          <w:tcPr>
            <w:tcW w:w="1842" w:type="dxa"/>
            <w:tcBorders>
              <w:tl2br w:val="nil"/>
              <w:tr2bl w:val="nil"/>
            </w:tcBorders>
            <w:vAlign w:val="center"/>
          </w:tcPr>
          <w:p>
            <w:pPr>
              <w:adjustRightInd w:val="0"/>
              <w:snapToGrid w:val="0"/>
              <w:spacing w:line="400" w:lineRule="exact"/>
              <w:jc w:val="center"/>
              <w:rPr>
                <w:sz w:val="24"/>
                <w:szCs w:val="24"/>
              </w:rPr>
            </w:pPr>
            <w:r>
              <w:rPr>
                <w:sz w:val="24"/>
                <w:szCs w:val="24"/>
              </w:rPr>
              <w:t>项目审批（核准/</w:t>
            </w:r>
          </w:p>
          <w:p>
            <w:pPr>
              <w:adjustRightInd w:val="0"/>
              <w:snapToGrid w:val="0"/>
              <w:spacing w:line="400" w:lineRule="exact"/>
              <w:jc w:val="center"/>
              <w:rPr>
                <w:sz w:val="24"/>
                <w:szCs w:val="24"/>
              </w:rPr>
            </w:pPr>
            <w:r>
              <w:rPr>
                <w:sz w:val="24"/>
                <w:szCs w:val="24"/>
              </w:rPr>
              <w:t>备案）文号（选填）</w:t>
            </w:r>
          </w:p>
        </w:tc>
        <w:tc>
          <w:tcPr>
            <w:tcW w:w="3330" w:type="dxa"/>
            <w:tcBorders>
              <w:tl2br w:val="nil"/>
              <w:tr2bl w:val="nil"/>
            </w:tcBorders>
            <w:vAlign w:val="center"/>
          </w:tcPr>
          <w:p>
            <w:pPr>
              <w:adjustRightInd w:val="0"/>
              <w:snapToGrid w:val="0"/>
              <w:spacing w:line="400" w:lineRule="exact"/>
              <w:jc w:val="center"/>
              <w:rPr>
                <w:kern w:val="21"/>
                <w:sz w:val="24"/>
                <w:szCs w:val="24"/>
              </w:rPr>
            </w:pPr>
            <w:r>
              <w:rPr>
                <w:kern w:val="0"/>
                <w:sz w:val="24"/>
                <w:szCs w:val="24"/>
              </w:rPr>
              <w:t>2410-411303-04-01-128447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567" w:hRule="atLeast"/>
          <w:jc w:val="center"/>
        </w:trPr>
        <w:tc>
          <w:tcPr>
            <w:tcW w:w="1717" w:type="dxa"/>
            <w:tcBorders>
              <w:tl2br w:val="nil"/>
              <w:tr2bl w:val="nil"/>
            </w:tcBorders>
            <w:tcMar>
              <w:top w:w="16" w:type="dxa"/>
              <w:left w:w="16" w:type="dxa"/>
              <w:right w:w="16" w:type="dxa"/>
            </w:tcMar>
            <w:vAlign w:val="center"/>
          </w:tcPr>
          <w:p>
            <w:pPr>
              <w:adjustRightInd w:val="0"/>
              <w:snapToGrid w:val="0"/>
              <w:spacing w:line="400" w:lineRule="exact"/>
              <w:jc w:val="center"/>
              <w:rPr>
                <w:sz w:val="24"/>
                <w:szCs w:val="24"/>
              </w:rPr>
            </w:pPr>
            <w:r>
              <w:rPr>
                <w:sz w:val="24"/>
                <w:szCs w:val="24"/>
              </w:rPr>
              <w:t>总投资（万元）</w:t>
            </w:r>
          </w:p>
        </w:tc>
        <w:tc>
          <w:tcPr>
            <w:tcW w:w="1986" w:type="dxa"/>
            <w:tcBorders>
              <w:tl2br w:val="nil"/>
              <w:tr2bl w:val="nil"/>
            </w:tcBorders>
            <w:vAlign w:val="center"/>
          </w:tcPr>
          <w:p>
            <w:pPr>
              <w:adjustRightInd w:val="0"/>
              <w:snapToGrid w:val="0"/>
              <w:spacing w:line="400" w:lineRule="exact"/>
              <w:jc w:val="center"/>
              <w:rPr>
                <w:kern w:val="21"/>
                <w:sz w:val="24"/>
                <w:szCs w:val="24"/>
              </w:rPr>
            </w:pPr>
            <w:r>
              <w:rPr>
                <w:rFonts w:hint="eastAsia"/>
                <w:sz w:val="24"/>
                <w:szCs w:val="24"/>
              </w:rPr>
              <w:t>20</w:t>
            </w:r>
          </w:p>
        </w:tc>
        <w:tc>
          <w:tcPr>
            <w:tcW w:w="1842" w:type="dxa"/>
            <w:tcBorders>
              <w:tl2br w:val="nil"/>
              <w:tr2bl w:val="nil"/>
            </w:tcBorders>
            <w:tcMar>
              <w:top w:w="16" w:type="dxa"/>
              <w:left w:w="16" w:type="dxa"/>
              <w:right w:w="16" w:type="dxa"/>
            </w:tcMar>
            <w:vAlign w:val="center"/>
          </w:tcPr>
          <w:p>
            <w:pPr>
              <w:adjustRightInd w:val="0"/>
              <w:snapToGrid w:val="0"/>
              <w:spacing w:line="400" w:lineRule="exact"/>
              <w:jc w:val="center"/>
              <w:rPr>
                <w:sz w:val="24"/>
                <w:szCs w:val="24"/>
              </w:rPr>
            </w:pPr>
            <w:r>
              <w:rPr>
                <w:sz w:val="24"/>
                <w:szCs w:val="24"/>
              </w:rPr>
              <w:t>环保投资（万元）</w:t>
            </w:r>
          </w:p>
        </w:tc>
        <w:tc>
          <w:tcPr>
            <w:tcW w:w="3330" w:type="dxa"/>
            <w:tcBorders>
              <w:tl2br w:val="nil"/>
              <w:tr2bl w:val="nil"/>
            </w:tcBorders>
            <w:vAlign w:val="center"/>
          </w:tcPr>
          <w:p>
            <w:pPr>
              <w:adjustRightInd w:val="0"/>
              <w:snapToGrid w:val="0"/>
              <w:spacing w:line="400" w:lineRule="exact"/>
              <w:jc w:val="center"/>
              <w:rPr>
                <w:kern w:val="21"/>
                <w:sz w:val="24"/>
                <w:szCs w:val="24"/>
                <w:highlight w:val="yellow"/>
              </w:rPr>
            </w:pPr>
            <w:r>
              <w:rPr>
                <w:rFonts w:hint="eastAsia"/>
                <w:kern w:val="21"/>
                <w:sz w:val="24"/>
                <w:szCs w:val="24"/>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567" w:hRule="atLeast"/>
          <w:jc w:val="center"/>
        </w:trPr>
        <w:tc>
          <w:tcPr>
            <w:tcW w:w="1717" w:type="dxa"/>
            <w:tcBorders>
              <w:tl2br w:val="nil"/>
              <w:tr2bl w:val="nil"/>
            </w:tcBorders>
            <w:tcMar>
              <w:top w:w="16" w:type="dxa"/>
              <w:left w:w="16" w:type="dxa"/>
              <w:right w:w="16" w:type="dxa"/>
            </w:tcMar>
            <w:vAlign w:val="center"/>
          </w:tcPr>
          <w:p>
            <w:pPr>
              <w:adjustRightInd w:val="0"/>
              <w:snapToGrid w:val="0"/>
              <w:spacing w:line="400" w:lineRule="exact"/>
              <w:jc w:val="center"/>
              <w:rPr>
                <w:sz w:val="24"/>
                <w:szCs w:val="24"/>
              </w:rPr>
            </w:pPr>
            <w:r>
              <w:rPr>
                <w:sz w:val="24"/>
                <w:szCs w:val="24"/>
              </w:rPr>
              <w:t>环保投资占比（%）</w:t>
            </w:r>
          </w:p>
        </w:tc>
        <w:tc>
          <w:tcPr>
            <w:tcW w:w="1986" w:type="dxa"/>
            <w:tcBorders>
              <w:tl2br w:val="nil"/>
              <w:tr2bl w:val="nil"/>
            </w:tcBorders>
            <w:vAlign w:val="center"/>
          </w:tcPr>
          <w:p>
            <w:pPr>
              <w:adjustRightInd w:val="0"/>
              <w:snapToGrid w:val="0"/>
              <w:spacing w:line="400" w:lineRule="exact"/>
              <w:jc w:val="center"/>
              <w:rPr>
                <w:sz w:val="24"/>
                <w:szCs w:val="24"/>
                <w:highlight w:val="yellow"/>
              </w:rPr>
            </w:pPr>
            <w:r>
              <w:rPr>
                <w:rFonts w:hint="eastAsia"/>
                <w:sz w:val="24"/>
                <w:szCs w:val="24"/>
              </w:rPr>
              <w:t>40</w:t>
            </w:r>
          </w:p>
        </w:tc>
        <w:tc>
          <w:tcPr>
            <w:tcW w:w="1842" w:type="dxa"/>
            <w:tcBorders>
              <w:tl2br w:val="nil"/>
              <w:tr2bl w:val="nil"/>
            </w:tcBorders>
            <w:tcMar>
              <w:top w:w="16" w:type="dxa"/>
              <w:left w:w="16" w:type="dxa"/>
              <w:right w:w="16" w:type="dxa"/>
            </w:tcMar>
            <w:vAlign w:val="center"/>
          </w:tcPr>
          <w:p>
            <w:pPr>
              <w:adjustRightInd w:val="0"/>
              <w:snapToGrid w:val="0"/>
              <w:spacing w:line="400" w:lineRule="exact"/>
              <w:jc w:val="center"/>
              <w:rPr>
                <w:sz w:val="24"/>
                <w:szCs w:val="24"/>
              </w:rPr>
            </w:pPr>
            <w:r>
              <w:rPr>
                <w:sz w:val="24"/>
                <w:szCs w:val="24"/>
              </w:rPr>
              <w:t>施工工期</w:t>
            </w:r>
          </w:p>
        </w:tc>
        <w:tc>
          <w:tcPr>
            <w:tcW w:w="3330" w:type="dxa"/>
            <w:tcBorders>
              <w:tl2br w:val="nil"/>
              <w:tr2bl w:val="nil"/>
            </w:tcBorders>
            <w:vAlign w:val="center"/>
          </w:tcPr>
          <w:p>
            <w:pPr>
              <w:adjustRightInd w:val="0"/>
              <w:snapToGrid w:val="0"/>
              <w:spacing w:line="400" w:lineRule="exact"/>
              <w:jc w:val="center"/>
              <w:rPr>
                <w:sz w:val="24"/>
                <w:szCs w:val="24"/>
              </w:rPr>
            </w:pPr>
            <w:r>
              <w:rPr>
                <w:rFonts w:hint="eastAsia"/>
                <w:sz w:val="24"/>
                <w:szCs w:val="24"/>
              </w:rPr>
              <w:t>2个月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567" w:hRule="atLeast"/>
          <w:jc w:val="center"/>
        </w:trPr>
        <w:tc>
          <w:tcPr>
            <w:tcW w:w="1717" w:type="dxa"/>
            <w:tcBorders>
              <w:tl2br w:val="nil"/>
              <w:tr2bl w:val="nil"/>
            </w:tcBorders>
            <w:tcMar>
              <w:top w:w="16" w:type="dxa"/>
              <w:left w:w="16" w:type="dxa"/>
              <w:right w:w="16" w:type="dxa"/>
            </w:tcMar>
            <w:vAlign w:val="center"/>
          </w:tcPr>
          <w:p>
            <w:pPr>
              <w:adjustRightInd w:val="0"/>
              <w:snapToGrid w:val="0"/>
              <w:spacing w:line="400" w:lineRule="exact"/>
              <w:jc w:val="center"/>
              <w:rPr>
                <w:kern w:val="21"/>
                <w:sz w:val="24"/>
                <w:szCs w:val="24"/>
              </w:rPr>
            </w:pPr>
            <w:r>
              <w:rPr>
                <w:kern w:val="21"/>
                <w:sz w:val="24"/>
                <w:szCs w:val="24"/>
              </w:rPr>
              <w:t>是否开工建设</w:t>
            </w:r>
          </w:p>
        </w:tc>
        <w:tc>
          <w:tcPr>
            <w:tcW w:w="1986" w:type="dxa"/>
            <w:tcBorders>
              <w:tl2br w:val="nil"/>
              <w:tr2bl w:val="nil"/>
            </w:tcBorders>
            <w:vAlign w:val="center"/>
          </w:tcPr>
          <w:p>
            <w:pPr>
              <w:adjustRightInd w:val="0"/>
              <w:snapToGrid w:val="0"/>
              <w:spacing w:line="400" w:lineRule="exact"/>
              <w:rPr>
                <w:kern w:val="21"/>
                <w:sz w:val="24"/>
                <w:szCs w:val="24"/>
              </w:rPr>
            </w:pPr>
            <w:r>
              <w:rPr>
                <w:kern w:val="21"/>
                <w:sz w:val="24"/>
                <w:szCs w:val="24"/>
              </w:rPr>
              <w:sym w:font="Wingdings" w:char="F06E"/>
            </w:r>
            <w:r>
              <w:rPr>
                <w:kern w:val="21"/>
                <w:sz w:val="24"/>
                <w:szCs w:val="24"/>
              </w:rPr>
              <w:t>否</w:t>
            </w:r>
          </w:p>
          <w:p>
            <w:pPr>
              <w:adjustRightInd w:val="0"/>
              <w:snapToGrid w:val="0"/>
              <w:spacing w:line="400" w:lineRule="exact"/>
              <w:rPr>
                <w:rFonts w:eastAsia="Calibri"/>
                <w:kern w:val="21"/>
                <w:sz w:val="24"/>
                <w:szCs w:val="24"/>
              </w:rPr>
            </w:pPr>
            <w:r>
              <w:rPr>
                <w:kern w:val="21"/>
                <w:sz w:val="24"/>
                <w:szCs w:val="24"/>
              </w:rPr>
              <w:t>□是：</w:t>
            </w:r>
            <w:r>
              <w:rPr>
                <w:kern w:val="21"/>
                <w:sz w:val="24"/>
                <w:szCs w:val="24"/>
                <w:u w:val="single"/>
              </w:rPr>
              <w:t xml:space="preserve">          </w:t>
            </w:r>
          </w:p>
        </w:tc>
        <w:tc>
          <w:tcPr>
            <w:tcW w:w="1842" w:type="dxa"/>
            <w:tcBorders>
              <w:tl2br w:val="nil"/>
              <w:tr2bl w:val="nil"/>
            </w:tcBorders>
            <w:tcMar>
              <w:top w:w="16" w:type="dxa"/>
              <w:left w:w="16" w:type="dxa"/>
              <w:right w:w="16" w:type="dxa"/>
            </w:tcMar>
            <w:vAlign w:val="center"/>
          </w:tcPr>
          <w:p>
            <w:pPr>
              <w:adjustRightInd w:val="0"/>
              <w:snapToGrid w:val="0"/>
              <w:spacing w:line="400" w:lineRule="exact"/>
              <w:jc w:val="center"/>
              <w:rPr>
                <w:sz w:val="24"/>
                <w:szCs w:val="24"/>
              </w:rPr>
            </w:pPr>
            <w:r>
              <w:rPr>
                <w:sz w:val="24"/>
                <w:szCs w:val="24"/>
              </w:rPr>
              <w:t>用地（用海）</w:t>
            </w:r>
          </w:p>
          <w:p>
            <w:pPr>
              <w:adjustRightInd w:val="0"/>
              <w:snapToGrid w:val="0"/>
              <w:spacing w:line="400" w:lineRule="exact"/>
              <w:jc w:val="center"/>
              <w:rPr>
                <w:sz w:val="24"/>
                <w:szCs w:val="24"/>
              </w:rPr>
            </w:pPr>
            <w:r>
              <w:rPr>
                <w:sz w:val="24"/>
                <w:szCs w:val="24"/>
              </w:rPr>
              <w:t>面积（m</w:t>
            </w:r>
            <w:r>
              <w:rPr>
                <w:sz w:val="24"/>
                <w:szCs w:val="24"/>
                <w:vertAlign w:val="superscript"/>
              </w:rPr>
              <w:t>2</w:t>
            </w:r>
            <w:r>
              <w:rPr>
                <w:sz w:val="24"/>
                <w:szCs w:val="24"/>
              </w:rPr>
              <w:t>）</w:t>
            </w:r>
          </w:p>
        </w:tc>
        <w:tc>
          <w:tcPr>
            <w:tcW w:w="3330" w:type="dxa"/>
            <w:tcBorders>
              <w:tl2br w:val="nil"/>
              <w:tr2bl w:val="nil"/>
            </w:tcBorders>
            <w:vAlign w:val="center"/>
          </w:tcPr>
          <w:p>
            <w:pPr>
              <w:adjustRightInd w:val="0"/>
              <w:snapToGrid w:val="0"/>
              <w:spacing w:line="400" w:lineRule="exact"/>
              <w:jc w:val="center"/>
              <w:rPr>
                <w:sz w:val="24"/>
                <w:szCs w:val="24"/>
              </w:rPr>
            </w:pPr>
            <w:r>
              <w:rPr>
                <w:rFonts w:hint="eastAsia"/>
                <w:sz w:val="24"/>
                <w:szCs w:val="24"/>
              </w:rPr>
              <w:t>2364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717" w:type="dxa"/>
            <w:tcBorders>
              <w:tl2br w:val="nil"/>
              <w:tr2bl w:val="nil"/>
            </w:tcBorders>
            <w:vAlign w:val="center"/>
          </w:tcPr>
          <w:p>
            <w:pPr>
              <w:adjustRightInd w:val="0"/>
              <w:snapToGrid w:val="0"/>
              <w:spacing w:line="400" w:lineRule="exact"/>
              <w:jc w:val="center"/>
              <w:rPr>
                <w:kern w:val="21"/>
                <w:sz w:val="24"/>
                <w:szCs w:val="24"/>
              </w:rPr>
            </w:pPr>
            <w:r>
              <w:rPr>
                <w:kern w:val="21"/>
                <w:sz w:val="24"/>
                <w:szCs w:val="24"/>
              </w:rPr>
              <w:t>专项评价设置情况</w:t>
            </w:r>
          </w:p>
        </w:tc>
        <w:tc>
          <w:tcPr>
            <w:tcW w:w="7158" w:type="dxa"/>
            <w:gridSpan w:val="3"/>
            <w:tcBorders>
              <w:tl2br w:val="nil"/>
              <w:tr2bl w:val="nil"/>
            </w:tcBorders>
            <w:vAlign w:val="center"/>
          </w:tcPr>
          <w:p>
            <w:pPr>
              <w:autoSpaceDE w:val="0"/>
              <w:autoSpaceDN w:val="0"/>
              <w:adjustRightInd w:val="0"/>
              <w:snapToGrid w:val="0"/>
              <w:spacing w:line="400" w:lineRule="exact"/>
              <w:jc w:val="center"/>
              <w:rPr>
                <w:kern w:val="21"/>
                <w:sz w:val="24"/>
                <w:szCs w:val="24"/>
              </w:rPr>
            </w:pPr>
            <w:r>
              <w:rPr>
                <w:kern w:val="21"/>
                <w:sz w:val="24"/>
                <w:szCs w:val="24"/>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717" w:type="dxa"/>
            <w:tcBorders>
              <w:tl2br w:val="nil"/>
              <w:tr2bl w:val="nil"/>
            </w:tcBorders>
            <w:vAlign w:val="center"/>
          </w:tcPr>
          <w:p>
            <w:pPr>
              <w:autoSpaceDE w:val="0"/>
              <w:autoSpaceDN w:val="0"/>
              <w:adjustRightInd w:val="0"/>
              <w:snapToGrid w:val="0"/>
              <w:spacing w:line="520" w:lineRule="exact"/>
              <w:jc w:val="center"/>
              <w:rPr>
                <w:kern w:val="21"/>
                <w:sz w:val="24"/>
                <w:szCs w:val="24"/>
              </w:rPr>
            </w:pPr>
            <w:r>
              <w:rPr>
                <w:kern w:val="21"/>
                <w:sz w:val="24"/>
                <w:szCs w:val="24"/>
              </w:rPr>
              <w:t>规划情况</w:t>
            </w:r>
          </w:p>
        </w:tc>
        <w:tc>
          <w:tcPr>
            <w:tcW w:w="7158" w:type="dxa"/>
            <w:gridSpan w:val="3"/>
            <w:tcBorders>
              <w:tl2br w:val="nil"/>
              <w:tr2bl w:val="nil"/>
            </w:tcBorders>
            <w:vAlign w:val="center"/>
          </w:tcPr>
          <w:p>
            <w:pPr>
              <w:autoSpaceDE w:val="0"/>
              <w:autoSpaceDN w:val="0"/>
              <w:adjustRightInd w:val="0"/>
              <w:snapToGrid w:val="0"/>
              <w:spacing w:line="400" w:lineRule="exact"/>
              <w:jc w:val="center"/>
              <w:rPr>
                <w:kern w:val="21"/>
                <w:sz w:val="24"/>
                <w:szCs w:val="24"/>
              </w:rPr>
            </w:pPr>
            <w:r>
              <w:rPr>
                <w:rFonts w:hint="eastAsia"/>
                <w:kern w:val="21"/>
                <w:sz w:val="24"/>
                <w:szCs w:val="24"/>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717" w:type="dxa"/>
            <w:tcBorders>
              <w:tl2br w:val="nil"/>
              <w:tr2bl w:val="nil"/>
            </w:tcBorders>
            <w:vAlign w:val="center"/>
          </w:tcPr>
          <w:p>
            <w:pPr>
              <w:adjustRightInd w:val="0"/>
              <w:snapToGrid w:val="0"/>
              <w:spacing w:line="400" w:lineRule="exact"/>
              <w:jc w:val="center"/>
              <w:rPr>
                <w:kern w:val="21"/>
                <w:sz w:val="24"/>
                <w:szCs w:val="24"/>
              </w:rPr>
            </w:pPr>
            <w:r>
              <w:rPr>
                <w:kern w:val="21"/>
                <w:sz w:val="24"/>
                <w:szCs w:val="24"/>
              </w:rPr>
              <w:t>规划环境影响评价情况</w:t>
            </w:r>
          </w:p>
        </w:tc>
        <w:tc>
          <w:tcPr>
            <w:tcW w:w="7158" w:type="dxa"/>
            <w:gridSpan w:val="3"/>
            <w:tcBorders>
              <w:tl2br w:val="nil"/>
              <w:tr2bl w:val="nil"/>
            </w:tcBorders>
            <w:vAlign w:val="center"/>
          </w:tcPr>
          <w:p>
            <w:pPr>
              <w:autoSpaceDE w:val="0"/>
              <w:autoSpaceDN w:val="0"/>
              <w:adjustRightInd w:val="0"/>
              <w:snapToGrid w:val="0"/>
              <w:spacing w:line="400" w:lineRule="exact"/>
              <w:jc w:val="center"/>
              <w:rPr>
                <w:kern w:val="21"/>
                <w:sz w:val="24"/>
                <w:szCs w:val="24"/>
              </w:rPr>
            </w:pPr>
            <w:r>
              <w:rPr>
                <w:rFonts w:hint="eastAsia"/>
                <w:kern w:val="21"/>
                <w:sz w:val="24"/>
                <w:szCs w:val="24"/>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717" w:type="dxa"/>
            <w:tcBorders>
              <w:tl2br w:val="nil"/>
              <w:tr2bl w:val="nil"/>
            </w:tcBorders>
            <w:vAlign w:val="center"/>
          </w:tcPr>
          <w:p>
            <w:pPr>
              <w:autoSpaceDE w:val="0"/>
              <w:autoSpaceDN w:val="0"/>
              <w:adjustRightInd w:val="0"/>
              <w:snapToGrid w:val="0"/>
              <w:spacing w:line="520" w:lineRule="exact"/>
              <w:jc w:val="center"/>
              <w:rPr>
                <w:kern w:val="21"/>
                <w:sz w:val="24"/>
                <w:szCs w:val="24"/>
              </w:rPr>
            </w:pPr>
            <w:r>
              <w:rPr>
                <w:kern w:val="21"/>
                <w:sz w:val="24"/>
                <w:szCs w:val="24"/>
              </w:rPr>
              <w:t>其他符合性分析</w:t>
            </w:r>
          </w:p>
        </w:tc>
        <w:tc>
          <w:tcPr>
            <w:tcW w:w="7158" w:type="dxa"/>
            <w:gridSpan w:val="3"/>
            <w:tcBorders>
              <w:tl2br w:val="nil"/>
              <w:tr2bl w:val="nil"/>
            </w:tcBorders>
            <w:vAlign w:val="center"/>
          </w:tcPr>
          <w:p>
            <w:pPr>
              <w:tabs>
                <w:tab w:val="left" w:pos="1081"/>
              </w:tabs>
              <w:adjustRightInd w:val="0"/>
              <w:snapToGrid w:val="0"/>
              <w:spacing w:line="360" w:lineRule="auto"/>
              <w:ind w:firstLine="482" w:firstLineChars="200"/>
              <w:rPr>
                <w:rFonts w:eastAsiaTheme="minorEastAsia"/>
                <w:b/>
                <w:sz w:val="24"/>
                <w:szCs w:val="24"/>
              </w:rPr>
            </w:pPr>
            <w:r>
              <w:rPr>
                <w:rFonts w:eastAsiaTheme="minorEastAsia"/>
                <w:b/>
                <w:sz w:val="24"/>
                <w:szCs w:val="24"/>
              </w:rPr>
              <w:t>1、产业政策符合性</w:t>
            </w:r>
          </w:p>
          <w:p>
            <w:pPr>
              <w:tabs>
                <w:tab w:val="left" w:pos="1081"/>
              </w:tabs>
              <w:adjustRightInd w:val="0"/>
              <w:snapToGrid w:val="0"/>
              <w:spacing w:line="360" w:lineRule="auto"/>
              <w:ind w:firstLine="480" w:firstLineChars="200"/>
              <w:rPr>
                <w:sz w:val="24"/>
                <w:szCs w:val="24"/>
              </w:rPr>
            </w:pPr>
            <w:r>
              <w:rPr>
                <w:sz w:val="24"/>
                <w:szCs w:val="24"/>
              </w:rPr>
              <w:t>本项目</w:t>
            </w:r>
            <w:r>
              <w:rPr>
                <w:rFonts w:hint="eastAsia"/>
                <w:sz w:val="24"/>
                <w:szCs w:val="24"/>
              </w:rPr>
              <w:t>为艾制品加工，</w:t>
            </w:r>
            <w:r>
              <w:rPr>
                <w:sz w:val="24"/>
                <w:szCs w:val="24"/>
              </w:rPr>
              <w:t>属于</w:t>
            </w:r>
            <w:r>
              <w:rPr>
                <w:rFonts w:hint="eastAsia"/>
                <w:sz w:val="24"/>
                <w:szCs w:val="24"/>
              </w:rPr>
              <w:t>卫生材料及医药用品制造</w:t>
            </w:r>
            <w:r>
              <w:rPr>
                <w:sz w:val="24"/>
                <w:szCs w:val="24"/>
              </w:rPr>
              <w:t>，经比对《产业结构调整指导目录（20</w:t>
            </w:r>
            <w:r>
              <w:rPr>
                <w:rFonts w:hint="eastAsia"/>
                <w:sz w:val="24"/>
                <w:szCs w:val="24"/>
              </w:rPr>
              <w:t>24</w:t>
            </w:r>
            <w:r>
              <w:rPr>
                <w:sz w:val="24"/>
                <w:szCs w:val="24"/>
              </w:rPr>
              <w:t>年本）》，本项目属于</w:t>
            </w:r>
            <w:r>
              <w:rPr>
                <w:rFonts w:hint="eastAsia"/>
                <w:sz w:val="24"/>
                <w:szCs w:val="24"/>
              </w:rPr>
              <w:t>允许类项目</w:t>
            </w:r>
            <w:r>
              <w:rPr>
                <w:sz w:val="24"/>
                <w:szCs w:val="24"/>
              </w:rPr>
              <w:t>；且项目生产工艺及设备不属于《河南省部分工业行业淘汰落后生产工艺装备和产品目录（2019年本）》中的限制类和淘汰类；项目已取得南阳市卧龙区发展和改革委员会出具的备案证明（项目代码：2410-411303-04-01-128447，见附件），因此项目建设符合国家当前产业政策的要求。</w:t>
            </w:r>
          </w:p>
          <w:p>
            <w:pPr>
              <w:adjustRightInd w:val="0"/>
              <w:snapToGrid w:val="0"/>
              <w:spacing w:line="360" w:lineRule="auto"/>
              <w:ind w:firstLine="482" w:firstLineChars="200"/>
              <w:textAlignment w:val="baseline"/>
              <w:rPr>
                <w:b/>
                <w:color w:val="000000"/>
                <w:kern w:val="0"/>
                <w:sz w:val="24"/>
              </w:rPr>
            </w:pPr>
            <w:r>
              <w:rPr>
                <w:rFonts w:hint="eastAsia"/>
                <w:b/>
                <w:color w:val="000000"/>
                <w:kern w:val="0"/>
                <w:sz w:val="24"/>
              </w:rPr>
              <w:t>2</w:t>
            </w:r>
            <w:r>
              <w:rPr>
                <w:b/>
                <w:color w:val="000000"/>
                <w:kern w:val="0"/>
                <w:sz w:val="24"/>
              </w:rPr>
              <w:t>、</w:t>
            </w:r>
            <w:r>
              <w:rPr>
                <w:b/>
                <w:color w:val="000000"/>
                <w:sz w:val="24"/>
              </w:rPr>
              <w:t>项目建设与</w:t>
            </w:r>
            <w:r>
              <w:rPr>
                <w:rFonts w:hint="eastAsia"/>
                <w:b/>
                <w:color w:val="000000"/>
                <w:kern w:val="0"/>
                <w:sz w:val="24"/>
              </w:rPr>
              <w:t>《南阳市国土空间总体规划》（2</w:t>
            </w:r>
            <w:r>
              <w:rPr>
                <w:b/>
                <w:color w:val="000000"/>
                <w:kern w:val="0"/>
                <w:sz w:val="24"/>
              </w:rPr>
              <w:t>021-2035</w:t>
            </w:r>
            <w:r>
              <w:rPr>
                <w:rFonts w:hint="eastAsia"/>
                <w:b/>
                <w:color w:val="000000"/>
                <w:kern w:val="0"/>
                <w:sz w:val="24"/>
              </w:rPr>
              <w:t>年）的相符性</w:t>
            </w:r>
          </w:p>
          <w:p>
            <w:pPr>
              <w:tabs>
                <w:tab w:val="left" w:pos="1081"/>
              </w:tabs>
              <w:adjustRightInd w:val="0"/>
              <w:snapToGrid w:val="0"/>
              <w:spacing w:line="360" w:lineRule="auto"/>
              <w:ind w:firstLine="480" w:firstLineChars="200"/>
              <w:rPr>
                <w:bCs/>
                <w:color w:val="000000"/>
                <w:sz w:val="24"/>
              </w:rPr>
            </w:pPr>
            <w:r>
              <w:rPr>
                <w:rFonts w:hint="eastAsia"/>
                <w:bCs/>
                <w:color w:val="000000"/>
                <w:sz w:val="24"/>
              </w:rPr>
              <w:t>（1）南阳市国土空间总体规划内容</w:t>
            </w:r>
          </w:p>
          <w:p>
            <w:pPr>
              <w:tabs>
                <w:tab w:val="left" w:pos="1081"/>
              </w:tabs>
              <w:adjustRightInd w:val="0"/>
              <w:snapToGrid w:val="0"/>
              <w:spacing w:line="360" w:lineRule="auto"/>
              <w:ind w:firstLine="480" w:firstLineChars="200"/>
              <w:rPr>
                <w:color w:val="000000"/>
                <w:sz w:val="24"/>
              </w:rPr>
            </w:pPr>
            <w:r>
              <w:rPr>
                <w:rFonts w:hint="eastAsia"/>
                <w:color w:val="000000"/>
                <w:sz w:val="24"/>
              </w:rPr>
              <w:t>①规划范围：南阳市市域行政区划范围，总面积2</w:t>
            </w:r>
            <w:r>
              <w:rPr>
                <w:color w:val="000000"/>
                <w:sz w:val="24"/>
              </w:rPr>
              <w:t>.66</w:t>
            </w:r>
            <w:r>
              <w:rPr>
                <w:rFonts w:hint="eastAsia"/>
                <w:color w:val="000000"/>
                <w:sz w:val="24"/>
              </w:rPr>
              <w:t>万平方公里。</w:t>
            </w:r>
          </w:p>
          <w:p>
            <w:pPr>
              <w:tabs>
                <w:tab w:val="left" w:pos="1081"/>
              </w:tabs>
              <w:adjustRightInd w:val="0"/>
              <w:snapToGrid w:val="0"/>
              <w:spacing w:line="360" w:lineRule="auto"/>
              <w:ind w:firstLine="480" w:firstLineChars="200"/>
              <w:rPr>
                <w:color w:val="000000"/>
                <w:sz w:val="24"/>
              </w:rPr>
            </w:pPr>
            <w:r>
              <w:rPr>
                <w:rFonts w:hint="eastAsia"/>
                <w:color w:val="000000"/>
                <w:sz w:val="24"/>
              </w:rPr>
              <w:t>②国土空间总体布局</w:t>
            </w:r>
          </w:p>
          <w:p>
            <w:pPr>
              <w:tabs>
                <w:tab w:val="left" w:pos="1081"/>
              </w:tabs>
              <w:adjustRightInd w:val="0"/>
              <w:snapToGrid w:val="0"/>
              <w:spacing w:line="360" w:lineRule="auto"/>
              <w:ind w:firstLine="480" w:firstLineChars="200"/>
              <w:rPr>
                <w:color w:val="000000"/>
                <w:sz w:val="24"/>
              </w:rPr>
            </w:pPr>
            <w:r>
              <w:rPr>
                <w:rFonts w:hint="eastAsia"/>
                <w:color w:val="000000"/>
                <w:sz w:val="24"/>
              </w:rPr>
              <w:t>形成“一核两轴、一区两屏”的国土空间格局；</w:t>
            </w:r>
          </w:p>
          <w:p>
            <w:pPr>
              <w:tabs>
                <w:tab w:val="left" w:pos="1081"/>
              </w:tabs>
              <w:adjustRightInd w:val="0"/>
              <w:snapToGrid w:val="0"/>
              <w:spacing w:line="360" w:lineRule="auto"/>
              <w:ind w:firstLine="480" w:firstLineChars="200"/>
              <w:rPr>
                <w:color w:val="000000"/>
                <w:sz w:val="24"/>
              </w:rPr>
            </w:pPr>
            <w:r>
              <w:rPr>
                <w:rFonts w:hint="eastAsia"/>
                <w:color w:val="000000"/>
                <w:sz w:val="24"/>
              </w:rPr>
              <w:t>其中：一核：南阳市中心城区；两轴：郑渝发展轴、沪陕发展轴；一区：中部平源农业区；两屏：西部伏牛山-丹江口生态区和东部淮源生态区。</w:t>
            </w:r>
          </w:p>
          <w:p>
            <w:pPr>
              <w:tabs>
                <w:tab w:val="left" w:pos="1081"/>
              </w:tabs>
              <w:adjustRightInd w:val="0"/>
              <w:snapToGrid w:val="0"/>
              <w:spacing w:line="360" w:lineRule="auto"/>
              <w:ind w:firstLine="480" w:firstLineChars="200"/>
              <w:rPr>
                <w:color w:val="000000"/>
                <w:sz w:val="24"/>
              </w:rPr>
            </w:pPr>
            <w:r>
              <w:rPr>
                <w:rFonts w:hint="eastAsia"/>
                <w:color w:val="000000"/>
                <w:sz w:val="24"/>
              </w:rPr>
              <w:t>③主体功能布局</w:t>
            </w:r>
          </w:p>
          <w:p>
            <w:pPr>
              <w:tabs>
                <w:tab w:val="left" w:pos="1081"/>
              </w:tabs>
              <w:adjustRightInd w:val="0"/>
              <w:snapToGrid w:val="0"/>
              <w:spacing w:line="360" w:lineRule="auto"/>
              <w:ind w:firstLine="480" w:firstLineChars="200"/>
              <w:rPr>
                <w:color w:val="000000"/>
                <w:sz w:val="24"/>
              </w:rPr>
            </w:pPr>
            <w:r>
              <w:rPr>
                <w:rFonts w:hint="eastAsia"/>
                <w:color w:val="000000"/>
                <w:sz w:val="24"/>
              </w:rPr>
              <w:t>南阳市域分为城市化地区、农产品主产区、生态功能区和能源资源富集区。</w:t>
            </w:r>
          </w:p>
          <w:p>
            <w:pPr>
              <w:tabs>
                <w:tab w:val="left" w:pos="1081"/>
              </w:tabs>
              <w:adjustRightInd w:val="0"/>
              <w:snapToGrid w:val="0"/>
              <w:spacing w:line="360" w:lineRule="auto"/>
              <w:ind w:firstLine="480" w:firstLineChars="200"/>
              <w:rPr>
                <w:color w:val="000000"/>
                <w:sz w:val="24"/>
              </w:rPr>
            </w:pPr>
            <w:r>
              <w:rPr>
                <w:rFonts w:hint="eastAsia"/>
                <w:color w:val="000000"/>
                <w:sz w:val="24"/>
              </w:rPr>
              <w:t>其中城市化地区：南阳市辖区、镇平县；</w:t>
            </w:r>
          </w:p>
          <w:p>
            <w:pPr>
              <w:tabs>
                <w:tab w:val="left" w:pos="1081"/>
              </w:tabs>
              <w:adjustRightInd w:val="0"/>
              <w:snapToGrid w:val="0"/>
              <w:spacing w:line="360" w:lineRule="auto"/>
              <w:ind w:firstLine="480" w:firstLineChars="200"/>
              <w:rPr>
                <w:color w:val="000000"/>
                <w:sz w:val="24"/>
              </w:rPr>
            </w:pPr>
            <w:r>
              <w:rPr>
                <w:rFonts w:hint="eastAsia"/>
                <w:color w:val="000000"/>
                <w:sz w:val="24"/>
              </w:rPr>
              <w:t>农产品主产区：邓州市、新野县、社旗县、方城县、唐河县；</w:t>
            </w:r>
          </w:p>
          <w:p>
            <w:pPr>
              <w:tabs>
                <w:tab w:val="left" w:pos="1081"/>
              </w:tabs>
              <w:adjustRightInd w:val="0"/>
              <w:snapToGrid w:val="0"/>
              <w:spacing w:line="360" w:lineRule="auto"/>
              <w:ind w:firstLine="480" w:firstLineChars="200"/>
              <w:rPr>
                <w:color w:val="000000"/>
                <w:sz w:val="24"/>
              </w:rPr>
            </w:pPr>
            <w:r>
              <w:rPr>
                <w:rFonts w:hint="eastAsia"/>
                <w:color w:val="000000"/>
                <w:sz w:val="24"/>
              </w:rPr>
              <w:t>生态功能区：南召县、西峡县、淅川县、内乡县、桐柏县；</w:t>
            </w:r>
          </w:p>
          <w:p>
            <w:pPr>
              <w:tabs>
                <w:tab w:val="left" w:pos="1081"/>
              </w:tabs>
              <w:adjustRightInd w:val="0"/>
              <w:snapToGrid w:val="0"/>
              <w:spacing w:line="360" w:lineRule="auto"/>
              <w:ind w:firstLine="480" w:firstLineChars="200"/>
              <w:rPr>
                <w:color w:val="000000"/>
                <w:sz w:val="24"/>
              </w:rPr>
            </w:pPr>
            <w:r>
              <w:rPr>
                <w:rFonts w:hint="eastAsia"/>
                <w:color w:val="000000"/>
                <w:sz w:val="24"/>
              </w:rPr>
              <w:t>能源资源富集区：桐柏县叠加省级能源矿产资源区功能。</w:t>
            </w:r>
          </w:p>
          <w:p>
            <w:pPr>
              <w:tabs>
                <w:tab w:val="left" w:pos="1081"/>
              </w:tabs>
              <w:adjustRightInd w:val="0"/>
              <w:snapToGrid w:val="0"/>
              <w:spacing w:line="360" w:lineRule="auto"/>
              <w:ind w:firstLine="480" w:firstLineChars="200"/>
              <w:rPr>
                <w:color w:val="000000"/>
                <w:sz w:val="24"/>
              </w:rPr>
            </w:pPr>
            <w:r>
              <w:rPr>
                <w:rFonts w:hint="eastAsia"/>
                <w:color w:val="000000"/>
                <w:sz w:val="24"/>
              </w:rPr>
              <w:t>④生态保护格局</w:t>
            </w:r>
          </w:p>
          <w:p>
            <w:pPr>
              <w:tabs>
                <w:tab w:val="left" w:pos="1081"/>
              </w:tabs>
              <w:adjustRightInd w:val="0"/>
              <w:snapToGrid w:val="0"/>
              <w:spacing w:line="360" w:lineRule="auto"/>
              <w:ind w:firstLine="480" w:firstLineChars="200"/>
              <w:rPr>
                <w:color w:val="000000"/>
                <w:sz w:val="24"/>
              </w:rPr>
            </w:pPr>
            <w:r>
              <w:rPr>
                <w:rFonts w:hint="eastAsia"/>
                <w:color w:val="000000"/>
                <w:sz w:val="24"/>
              </w:rPr>
              <w:t>形成“四区、一廊、五脉”引领市域生态空间格局。</w:t>
            </w:r>
          </w:p>
          <w:p>
            <w:pPr>
              <w:tabs>
                <w:tab w:val="left" w:pos="1081"/>
              </w:tabs>
              <w:adjustRightInd w:val="0"/>
              <w:snapToGrid w:val="0"/>
              <w:spacing w:line="360" w:lineRule="auto"/>
              <w:ind w:firstLine="480" w:firstLineChars="200"/>
              <w:rPr>
                <w:color w:val="000000"/>
                <w:sz w:val="24"/>
              </w:rPr>
            </w:pPr>
            <w:r>
              <w:rPr>
                <w:rFonts w:hint="eastAsia"/>
                <w:color w:val="000000"/>
                <w:sz w:val="24"/>
              </w:rPr>
              <w:t>四区：伏牛山生物多样性和水源涵养生态功能区、丹江口水库战略水源地生态功能区、平原生态涵养功能区、桐柏淮源水源涵养和水土保持生态功能区。</w:t>
            </w:r>
          </w:p>
          <w:p>
            <w:pPr>
              <w:tabs>
                <w:tab w:val="left" w:pos="1081"/>
              </w:tabs>
              <w:adjustRightInd w:val="0"/>
              <w:snapToGrid w:val="0"/>
              <w:spacing w:line="360" w:lineRule="auto"/>
              <w:ind w:firstLine="480" w:firstLineChars="200"/>
              <w:rPr>
                <w:color w:val="000000"/>
                <w:sz w:val="24"/>
              </w:rPr>
            </w:pPr>
            <w:r>
              <w:rPr>
                <w:rFonts w:hint="eastAsia"/>
                <w:color w:val="000000"/>
                <w:sz w:val="24"/>
              </w:rPr>
              <w:t>一廊：南水北调中线干渠生态保育廊道；</w:t>
            </w:r>
          </w:p>
          <w:p>
            <w:pPr>
              <w:tabs>
                <w:tab w:val="left" w:pos="1081"/>
              </w:tabs>
              <w:adjustRightInd w:val="0"/>
              <w:snapToGrid w:val="0"/>
              <w:spacing w:line="360" w:lineRule="auto"/>
              <w:ind w:firstLine="480" w:firstLineChars="200"/>
              <w:rPr>
                <w:color w:val="000000"/>
                <w:sz w:val="24"/>
              </w:rPr>
            </w:pPr>
            <w:r>
              <w:rPr>
                <w:rFonts w:hint="eastAsia"/>
                <w:color w:val="000000"/>
                <w:sz w:val="24"/>
              </w:rPr>
              <w:t>五脉：唐河、白河、三夹河-淮河、湍河、老灌河水脉廊道。</w:t>
            </w:r>
          </w:p>
          <w:p>
            <w:pPr>
              <w:tabs>
                <w:tab w:val="left" w:pos="1081"/>
              </w:tabs>
              <w:adjustRightInd w:val="0"/>
              <w:snapToGrid w:val="0"/>
              <w:spacing w:line="360" w:lineRule="auto"/>
              <w:ind w:firstLine="480" w:firstLineChars="200"/>
              <w:rPr>
                <w:color w:val="000000"/>
                <w:sz w:val="24"/>
              </w:rPr>
            </w:pPr>
            <w:r>
              <w:rPr>
                <w:rFonts w:hint="eastAsia"/>
                <w:color w:val="000000"/>
                <w:sz w:val="24"/>
              </w:rPr>
              <w:t>（2）项目建设与</w:t>
            </w:r>
            <w:r>
              <w:rPr>
                <w:rFonts w:hint="eastAsia"/>
                <w:color w:val="000000"/>
                <w:sz w:val="24"/>
                <w:lang w:val="en-GB"/>
              </w:rPr>
              <w:t>《南阳市国土空间总体规划》（2021-2035年）</w:t>
            </w:r>
            <w:r>
              <w:rPr>
                <w:rFonts w:hint="eastAsia"/>
                <w:color w:val="000000"/>
                <w:sz w:val="24"/>
              </w:rPr>
              <w:t>的相符性分析</w:t>
            </w:r>
          </w:p>
          <w:p>
            <w:pPr>
              <w:tabs>
                <w:tab w:val="left" w:pos="1081"/>
              </w:tabs>
              <w:adjustRightInd w:val="0"/>
              <w:snapToGrid w:val="0"/>
              <w:spacing w:line="360" w:lineRule="auto"/>
              <w:ind w:firstLine="480" w:firstLineChars="200"/>
              <w:rPr>
                <w:color w:val="000000"/>
                <w:sz w:val="24"/>
              </w:rPr>
            </w:pPr>
            <w:r>
              <w:rPr>
                <w:rFonts w:hint="eastAsia"/>
                <w:color w:val="000000"/>
                <w:sz w:val="24"/>
              </w:rPr>
              <w:t>项目位于</w:t>
            </w:r>
            <w:r>
              <w:rPr>
                <w:sz w:val="24"/>
                <w:szCs w:val="24"/>
              </w:rPr>
              <w:t>南阳市卧龙区蒲山镇棉花库路口向西20米路北</w:t>
            </w:r>
            <w:r>
              <w:rPr>
                <w:rFonts w:hint="eastAsia"/>
                <w:color w:val="000000"/>
                <w:sz w:val="24"/>
              </w:rPr>
              <w:t>，经比对，项目选址位于南阳市国土空间总体规划的南阳市中心城区内，本项目总占地面积2364m</w:t>
            </w:r>
            <w:r>
              <w:rPr>
                <w:rFonts w:hint="eastAsia"/>
                <w:color w:val="000000"/>
                <w:sz w:val="24"/>
                <w:vertAlign w:val="superscript"/>
              </w:rPr>
              <w:t>2</w:t>
            </w:r>
            <w:r>
              <w:rPr>
                <w:rFonts w:hint="eastAsia"/>
                <w:color w:val="000000"/>
                <w:sz w:val="24"/>
              </w:rPr>
              <w:t>：其中工业用地面积为1002.43m</w:t>
            </w:r>
            <w:r>
              <w:rPr>
                <w:rFonts w:hint="eastAsia"/>
                <w:color w:val="000000"/>
                <w:sz w:val="24"/>
                <w:vertAlign w:val="superscript"/>
              </w:rPr>
              <w:t>2</w:t>
            </w:r>
            <w:r>
              <w:rPr>
                <w:rFonts w:hint="eastAsia"/>
                <w:color w:val="000000"/>
                <w:sz w:val="24"/>
              </w:rPr>
              <w:t>，项目拟用作生产使用（包含原料区、成品区和加工区）；农村宅基地面积103.94m</w:t>
            </w:r>
            <w:r>
              <w:rPr>
                <w:rFonts w:hint="eastAsia"/>
                <w:color w:val="000000"/>
                <w:sz w:val="24"/>
                <w:vertAlign w:val="superscript"/>
              </w:rPr>
              <w:t>2</w:t>
            </w:r>
            <w:r>
              <w:rPr>
                <w:rFonts w:hint="eastAsia"/>
                <w:color w:val="000000"/>
                <w:sz w:val="24"/>
              </w:rPr>
              <w:t>，项目拟用作办公区使用；物流仓储用地面积1257.79m</w:t>
            </w:r>
            <w:r>
              <w:rPr>
                <w:rFonts w:hint="eastAsia"/>
                <w:color w:val="000000"/>
                <w:sz w:val="24"/>
                <w:vertAlign w:val="superscript"/>
              </w:rPr>
              <w:t>2</w:t>
            </w:r>
            <w:r>
              <w:rPr>
                <w:rFonts w:hint="eastAsia"/>
                <w:color w:val="000000"/>
                <w:sz w:val="24"/>
              </w:rPr>
              <w:t>，项目拟用作院区使用。且本项目已取得卧龙区蒲山镇人民政府出具的规划证明，项目项目建设符合南阳市国土空间总体规划。</w:t>
            </w:r>
          </w:p>
          <w:p>
            <w:pPr>
              <w:tabs>
                <w:tab w:val="left" w:pos="1081"/>
              </w:tabs>
              <w:adjustRightInd w:val="0"/>
              <w:snapToGrid w:val="0"/>
              <w:spacing w:line="360" w:lineRule="auto"/>
              <w:ind w:firstLine="482" w:firstLineChars="200"/>
              <w:rPr>
                <w:b/>
                <w:bCs/>
                <w:sz w:val="24"/>
              </w:rPr>
            </w:pPr>
            <w:r>
              <w:rPr>
                <w:rFonts w:hint="eastAsia"/>
                <w:b/>
                <w:bCs/>
                <w:sz w:val="24"/>
              </w:rPr>
              <w:t>3</w:t>
            </w:r>
            <w:r>
              <w:rPr>
                <w:b/>
                <w:bCs/>
                <w:sz w:val="24"/>
              </w:rPr>
              <w:t>、项目与</w:t>
            </w:r>
            <w:r>
              <w:rPr>
                <w:rFonts w:hint="eastAsia"/>
                <w:b/>
                <w:bCs/>
                <w:sz w:val="24"/>
              </w:rPr>
              <w:t>《蒲山镇总体规划（2013-2030）》</w:t>
            </w:r>
            <w:r>
              <w:rPr>
                <w:b/>
                <w:bCs/>
                <w:sz w:val="24"/>
              </w:rPr>
              <w:t>相符性</w:t>
            </w:r>
          </w:p>
          <w:p>
            <w:pPr>
              <w:tabs>
                <w:tab w:val="left" w:pos="1081"/>
              </w:tabs>
              <w:adjustRightInd w:val="0"/>
              <w:snapToGrid w:val="0"/>
              <w:spacing w:line="360" w:lineRule="auto"/>
              <w:ind w:firstLine="482" w:firstLineChars="200"/>
              <w:rPr>
                <w:b/>
                <w:color w:val="000000"/>
                <w:sz w:val="24"/>
              </w:rPr>
            </w:pPr>
            <w:r>
              <w:rPr>
                <w:rFonts w:hint="eastAsia"/>
                <w:b/>
                <w:color w:val="000000"/>
                <w:sz w:val="24"/>
              </w:rPr>
              <w:t>3.1规划内容</w:t>
            </w:r>
          </w:p>
          <w:p>
            <w:pPr>
              <w:tabs>
                <w:tab w:val="left" w:pos="1081"/>
              </w:tabs>
              <w:adjustRightInd w:val="0"/>
              <w:snapToGrid w:val="0"/>
              <w:spacing w:line="360" w:lineRule="auto"/>
              <w:ind w:firstLine="480" w:firstLineChars="200"/>
              <w:rPr>
                <w:color w:val="000000"/>
                <w:sz w:val="24"/>
              </w:rPr>
            </w:pPr>
            <w:r>
              <w:rPr>
                <w:rFonts w:hint="eastAsia"/>
                <w:color w:val="000000"/>
                <w:sz w:val="24"/>
              </w:rPr>
              <w:t>3.1.1规划期限</w:t>
            </w:r>
          </w:p>
          <w:p>
            <w:pPr>
              <w:tabs>
                <w:tab w:val="left" w:pos="1081"/>
              </w:tabs>
              <w:adjustRightInd w:val="0"/>
              <w:snapToGrid w:val="0"/>
              <w:spacing w:line="360" w:lineRule="auto"/>
              <w:ind w:firstLine="480" w:firstLineChars="200"/>
              <w:rPr>
                <w:color w:val="000000"/>
                <w:sz w:val="24"/>
              </w:rPr>
            </w:pPr>
            <w:r>
              <w:rPr>
                <w:rFonts w:hint="eastAsia"/>
                <w:color w:val="000000"/>
                <w:sz w:val="24"/>
              </w:rPr>
              <w:t>近期2013—2020年，远期2021—2030年。</w:t>
            </w:r>
          </w:p>
          <w:p>
            <w:pPr>
              <w:tabs>
                <w:tab w:val="left" w:pos="1081"/>
              </w:tabs>
              <w:adjustRightInd w:val="0"/>
              <w:snapToGrid w:val="0"/>
              <w:spacing w:line="360" w:lineRule="auto"/>
              <w:ind w:firstLine="480" w:firstLineChars="200"/>
              <w:rPr>
                <w:color w:val="000000"/>
                <w:sz w:val="24"/>
              </w:rPr>
            </w:pPr>
            <w:r>
              <w:rPr>
                <w:rFonts w:hint="eastAsia"/>
                <w:color w:val="000000"/>
                <w:sz w:val="24"/>
              </w:rPr>
              <w:t>3.1.2规划范围</w:t>
            </w:r>
          </w:p>
          <w:p>
            <w:pPr>
              <w:tabs>
                <w:tab w:val="left" w:pos="1081"/>
              </w:tabs>
              <w:adjustRightInd w:val="0"/>
              <w:snapToGrid w:val="0"/>
              <w:spacing w:line="360" w:lineRule="auto"/>
              <w:ind w:firstLine="480" w:firstLineChars="200"/>
              <w:rPr>
                <w:color w:val="000000"/>
                <w:sz w:val="24"/>
              </w:rPr>
            </w:pPr>
            <w:r>
              <w:rPr>
                <w:rFonts w:hint="eastAsia"/>
                <w:color w:val="000000"/>
                <w:sz w:val="24"/>
              </w:rPr>
              <w:t>镇域规划范围为蒲山镇行政辖区范围，包括31个行政村，总面积139.7平方公里；镇区规划范围为：北到蒲山店村、南到河堤路、西到焦柳铁路、东到省道231，规划用地面积7.14平方公里。</w:t>
            </w:r>
          </w:p>
          <w:p>
            <w:pPr>
              <w:tabs>
                <w:tab w:val="left" w:pos="1081"/>
              </w:tabs>
              <w:adjustRightInd w:val="0"/>
              <w:snapToGrid w:val="0"/>
              <w:spacing w:line="360" w:lineRule="auto"/>
              <w:ind w:firstLine="480" w:firstLineChars="200"/>
              <w:rPr>
                <w:color w:val="000000"/>
                <w:sz w:val="24"/>
              </w:rPr>
            </w:pPr>
            <w:r>
              <w:rPr>
                <w:rFonts w:hint="eastAsia"/>
                <w:color w:val="000000"/>
                <w:sz w:val="24"/>
              </w:rPr>
              <w:t>3.1.3镇域规划</w:t>
            </w:r>
          </w:p>
          <w:p>
            <w:pPr>
              <w:tabs>
                <w:tab w:val="left" w:pos="1081"/>
              </w:tabs>
              <w:adjustRightInd w:val="0"/>
              <w:snapToGrid w:val="0"/>
              <w:spacing w:line="360" w:lineRule="auto"/>
              <w:ind w:firstLine="480" w:firstLineChars="200"/>
              <w:rPr>
                <w:color w:val="000000"/>
                <w:sz w:val="24"/>
              </w:rPr>
            </w:pPr>
            <w:r>
              <w:rPr>
                <w:rFonts w:hint="eastAsia"/>
                <w:color w:val="000000"/>
                <w:sz w:val="24"/>
              </w:rPr>
              <w:t>（1）镇域人口预测：2020年：125585人；2030年：118250人。</w:t>
            </w:r>
          </w:p>
          <w:p>
            <w:pPr>
              <w:tabs>
                <w:tab w:val="left" w:pos="1081"/>
              </w:tabs>
              <w:adjustRightInd w:val="0"/>
              <w:snapToGrid w:val="0"/>
              <w:spacing w:line="360" w:lineRule="auto"/>
              <w:ind w:firstLine="480" w:firstLineChars="200"/>
              <w:rPr>
                <w:color w:val="000000"/>
                <w:sz w:val="24"/>
              </w:rPr>
            </w:pPr>
            <w:r>
              <w:rPr>
                <w:rFonts w:hint="eastAsia"/>
                <w:color w:val="000000"/>
                <w:sz w:val="24"/>
              </w:rPr>
              <w:t>（2）乡域发展空间布局</w:t>
            </w:r>
          </w:p>
          <w:p>
            <w:pPr>
              <w:tabs>
                <w:tab w:val="left" w:pos="1081"/>
              </w:tabs>
              <w:adjustRightInd w:val="0"/>
              <w:snapToGrid w:val="0"/>
              <w:spacing w:line="360" w:lineRule="auto"/>
              <w:ind w:firstLine="480" w:firstLineChars="200"/>
              <w:rPr>
                <w:color w:val="000000"/>
                <w:sz w:val="24"/>
              </w:rPr>
            </w:pPr>
            <w:r>
              <w:rPr>
                <w:rFonts w:hint="eastAsia"/>
                <w:color w:val="000000"/>
                <w:sz w:val="24"/>
              </w:rPr>
              <w:t>以省道231和豫02线形成的镇区为发展主轴，龙祥路为发展次轴，通过轴线串联各经济区，沿主、次发展轴上重点村的优先建设，最终辐射和带动其他各村，促进整个镇村体系的发展。</w:t>
            </w:r>
          </w:p>
          <w:p>
            <w:pPr>
              <w:tabs>
                <w:tab w:val="left" w:pos="1081"/>
              </w:tabs>
              <w:adjustRightInd w:val="0"/>
              <w:snapToGrid w:val="0"/>
              <w:spacing w:line="360" w:lineRule="auto"/>
              <w:ind w:firstLine="480" w:firstLineChars="200"/>
              <w:rPr>
                <w:color w:val="000000"/>
                <w:sz w:val="24"/>
              </w:rPr>
            </w:pPr>
            <w:r>
              <w:rPr>
                <w:rFonts w:hint="eastAsia"/>
                <w:color w:val="000000"/>
                <w:sz w:val="24"/>
              </w:rPr>
              <w:t>（3）镇域经济分区：6个经济区：东部滨河观光产业区、中部经济发展核心区、河南新区、西部生态观光养老休闲区、北部畜牧养殖、生态农业区、南部中心城区发展控制区；2个产业片区：电厂工业仓储区、田营钙粉工业区。</w:t>
            </w:r>
          </w:p>
          <w:p>
            <w:pPr>
              <w:tabs>
                <w:tab w:val="left" w:pos="1081"/>
              </w:tabs>
              <w:adjustRightInd w:val="0"/>
              <w:snapToGrid w:val="0"/>
              <w:spacing w:line="360" w:lineRule="auto"/>
              <w:ind w:firstLine="480" w:firstLineChars="200"/>
              <w:rPr>
                <w:color w:val="000000"/>
                <w:sz w:val="24"/>
              </w:rPr>
            </w:pPr>
            <w:r>
              <w:rPr>
                <w:rFonts w:hint="eastAsia"/>
                <w:color w:val="000000"/>
                <w:sz w:val="24"/>
              </w:rPr>
              <w:t>（4）规模等级结构。形成中心镇区—中心村—基层村三级体系。中心村：倪家洼村、师杨庄村、丁庄村、赵官庄村、槐树湾村、宋营村；基层村：刁沟村、周小庄村、靳岗村、帅庄村、清泉村、高庄村、小赵庄村、黄渠河村、火星庙村、黄山村。</w:t>
            </w:r>
          </w:p>
          <w:p>
            <w:pPr>
              <w:tabs>
                <w:tab w:val="left" w:pos="1081"/>
              </w:tabs>
              <w:adjustRightInd w:val="0"/>
              <w:snapToGrid w:val="0"/>
              <w:spacing w:line="360" w:lineRule="auto"/>
              <w:ind w:firstLine="480" w:firstLineChars="200"/>
              <w:rPr>
                <w:color w:val="000000"/>
                <w:sz w:val="24"/>
              </w:rPr>
            </w:pPr>
            <w:r>
              <w:rPr>
                <w:rFonts w:hint="eastAsia"/>
                <w:color w:val="000000"/>
                <w:sz w:val="24"/>
              </w:rPr>
              <w:t>3.1.4镇区规划</w:t>
            </w:r>
          </w:p>
          <w:p>
            <w:pPr>
              <w:tabs>
                <w:tab w:val="left" w:pos="1081"/>
              </w:tabs>
              <w:adjustRightInd w:val="0"/>
              <w:snapToGrid w:val="0"/>
              <w:spacing w:line="360" w:lineRule="auto"/>
              <w:ind w:firstLine="480" w:firstLineChars="200"/>
              <w:rPr>
                <w:color w:val="000000"/>
                <w:sz w:val="24"/>
              </w:rPr>
            </w:pPr>
            <w:r>
              <w:rPr>
                <w:rFonts w:hint="eastAsia"/>
                <w:color w:val="000000"/>
                <w:sz w:val="24"/>
              </w:rPr>
              <w:t>（1）城镇性质。全镇政治经济文化中心；南阳市周边的卫星镇；以发展新型建材、商贸物流和旅游为主的综合型小城镇。</w:t>
            </w:r>
          </w:p>
          <w:p>
            <w:pPr>
              <w:tabs>
                <w:tab w:val="left" w:pos="1081"/>
              </w:tabs>
              <w:adjustRightInd w:val="0"/>
              <w:snapToGrid w:val="0"/>
              <w:spacing w:line="360" w:lineRule="auto"/>
              <w:ind w:firstLine="480" w:firstLineChars="200"/>
              <w:rPr>
                <w:color w:val="000000"/>
                <w:sz w:val="24"/>
              </w:rPr>
            </w:pPr>
            <w:r>
              <w:rPr>
                <w:rFonts w:hint="eastAsia"/>
                <w:color w:val="000000"/>
                <w:sz w:val="24"/>
              </w:rPr>
              <w:t>（2）城镇规模。近期：镇区人口56000人，建设用地面积577.17公顷；远期：镇区人口70000人，建设用地面积704.94公顷。</w:t>
            </w:r>
          </w:p>
          <w:p>
            <w:pPr>
              <w:tabs>
                <w:tab w:val="left" w:pos="1081"/>
              </w:tabs>
              <w:adjustRightInd w:val="0"/>
              <w:snapToGrid w:val="0"/>
              <w:spacing w:line="360" w:lineRule="auto"/>
              <w:ind w:firstLine="480" w:firstLineChars="200"/>
              <w:rPr>
                <w:color w:val="000000"/>
                <w:sz w:val="24"/>
              </w:rPr>
            </w:pPr>
            <w:r>
              <w:rPr>
                <w:rFonts w:hint="eastAsia"/>
                <w:color w:val="000000"/>
                <w:sz w:val="24"/>
              </w:rPr>
              <w:t>（3）功能结构。规划采用集中连片式发展，强调用地布局的紧凑性，总体布局大致形成“一带、三轴、三区”的规划结构形态。一带：结合南水北调中线工程水系形成的滨水绿化景观带；三轴：由丰山路形成的东西向生活主轴，也是镇区未来的主要发展轴；由蒲玉路形成的南北向经济轴，作为镇区发展的次轴；由石南公路（原省道333）和老镇区形成的交通轴；三区：以丰山路和蒲玉路为南北干道形成的文化娱乐和商贸新区；在老城镇基础上改造形成的工业仓储综合区；沿石南公路两侧形成的综合商贸居住区。</w:t>
            </w:r>
          </w:p>
          <w:p>
            <w:pPr>
              <w:tabs>
                <w:tab w:val="left" w:pos="1081"/>
              </w:tabs>
              <w:adjustRightInd w:val="0"/>
              <w:snapToGrid w:val="0"/>
              <w:spacing w:line="360" w:lineRule="auto"/>
              <w:ind w:firstLine="480" w:firstLineChars="200"/>
              <w:rPr>
                <w:color w:val="000000"/>
                <w:sz w:val="24"/>
              </w:rPr>
            </w:pPr>
            <w:r>
              <w:rPr>
                <w:rFonts w:hint="eastAsia"/>
                <w:color w:val="000000"/>
                <w:sz w:val="24"/>
              </w:rPr>
              <w:t>（4）用地布局。规划居住用地面积为196.98公顷，规划公共设施用地118.90公顷，规划生产设施用地100.84公顷，规划仓储用地12.51公顷，规划道路广场用地135.86公顷。规划公用工程设施用地12.71公顷，规划绿地面积119.90公顷。</w:t>
            </w:r>
          </w:p>
          <w:p>
            <w:pPr>
              <w:tabs>
                <w:tab w:val="left" w:pos="1081"/>
              </w:tabs>
              <w:adjustRightInd w:val="0"/>
              <w:snapToGrid w:val="0"/>
              <w:spacing w:line="360" w:lineRule="auto"/>
              <w:ind w:firstLine="482" w:firstLineChars="200"/>
              <w:rPr>
                <w:b/>
                <w:color w:val="000000"/>
                <w:sz w:val="24"/>
              </w:rPr>
            </w:pPr>
            <w:r>
              <w:rPr>
                <w:rFonts w:hint="eastAsia"/>
                <w:b/>
                <w:color w:val="000000"/>
                <w:sz w:val="24"/>
              </w:rPr>
              <w:t>3.2相符性分析</w:t>
            </w:r>
          </w:p>
          <w:p>
            <w:pPr>
              <w:tabs>
                <w:tab w:val="left" w:pos="1081"/>
              </w:tabs>
              <w:adjustRightInd w:val="0"/>
              <w:snapToGrid w:val="0"/>
              <w:spacing w:line="360" w:lineRule="auto"/>
              <w:ind w:firstLine="480" w:firstLineChars="200"/>
              <w:rPr>
                <w:color w:val="000000"/>
                <w:sz w:val="24"/>
              </w:rPr>
            </w:pPr>
            <w:r>
              <w:rPr>
                <w:rFonts w:hint="eastAsia"/>
                <w:color w:val="000000"/>
                <w:sz w:val="24"/>
              </w:rPr>
              <w:t>本项目位于卧龙区蒲山镇棉花库路口向西20米路北，根据南阳市卧龙区蒲山镇人民政府出具的规划证明，符合卧龙区蒲山镇总体发展规划。</w:t>
            </w:r>
          </w:p>
          <w:p>
            <w:pPr>
              <w:tabs>
                <w:tab w:val="left" w:pos="1081"/>
              </w:tabs>
              <w:adjustRightInd w:val="0"/>
              <w:snapToGrid w:val="0"/>
              <w:spacing w:line="360" w:lineRule="auto"/>
              <w:ind w:firstLine="482" w:firstLineChars="200"/>
              <w:rPr>
                <w:b/>
                <w:bCs/>
                <w:sz w:val="24"/>
              </w:rPr>
            </w:pPr>
            <w:r>
              <w:rPr>
                <w:rFonts w:hint="eastAsia"/>
                <w:b/>
                <w:bCs/>
                <w:sz w:val="24"/>
              </w:rPr>
              <w:t>4</w:t>
            </w:r>
            <w:r>
              <w:rPr>
                <w:b/>
                <w:bCs/>
                <w:sz w:val="24"/>
              </w:rPr>
              <w:t>、项目与《南水北调中线一期工程总干渠（河南段）两侧饮用水水源保护区划》（2018年6月28日发布）的相符性</w:t>
            </w:r>
          </w:p>
          <w:p>
            <w:pPr>
              <w:tabs>
                <w:tab w:val="left" w:pos="1081"/>
              </w:tabs>
              <w:adjustRightInd w:val="0"/>
              <w:snapToGrid w:val="0"/>
              <w:spacing w:line="360" w:lineRule="auto"/>
              <w:ind w:firstLine="480" w:firstLineChars="200"/>
              <w:rPr>
                <w:sz w:val="24"/>
              </w:rPr>
            </w:pPr>
            <w:r>
              <w:rPr>
                <w:sz w:val="24"/>
              </w:rPr>
              <w:t>根据2018年6月发布的《南水北调中线一期工程总干渠（河南段）两侧饮用水源保护区划》。</w:t>
            </w:r>
          </w:p>
          <w:p>
            <w:pPr>
              <w:tabs>
                <w:tab w:val="left" w:pos="1081"/>
              </w:tabs>
              <w:adjustRightInd w:val="0"/>
              <w:snapToGrid w:val="0"/>
              <w:spacing w:line="360" w:lineRule="auto"/>
              <w:ind w:firstLine="480" w:firstLineChars="200"/>
              <w:rPr>
                <w:sz w:val="24"/>
              </w:rPr>
            </w:pPr>
            <w:r>
              <w:rPr>
                <w:sz w:val="24"/>
              </w:rPr>
              <w:t>一、保护区涉及行政区范围</w:t>
            </w:r>
          </w:p>
          <w:p>
            <w:pPr>
              <w:tabs>
                <w:tab w:val="left" w:pos="1081"/>
              </w:tabs>
              <w:adjustRightInd w:val="0"/>
              <w:snapToGrid w:val="0"/>
              <w:spacing w:line="360" w:lineRule="auto"/>
              <w:ind w:firstLine="480" w:firstLineChars="200"/>
              <w:rPr>
                <w:sz w:val="24"/>
              </w:rPr>
            </w:pPr>
            <w:r>
              <w:rPr>
                <w:sz w:val="24"/>
              </w:rPr>
              <w:t>南水北调中线一期工程总干渠（河南段）两侧饮用水水源保护区涉及南阳市、平顶山市、许昌市、郑州市、焦作市、新乡市、鹤壁市、安阳市8个省辖市和邓州市。</w:t>
            </w:r>
          </w:p>
          <w:p>
            <w:pPr>
              <w:tabs>
                <w:tab w:val="left" w:pos="1081"/>
              </w:tabs>
              <w:adjustRightInd w:val="0"/>
              <w:snapToGrid w:val="0"/>
              <w:spacing w:line="360" w:lineRule="auto"/>
              <w:ind w:firstLine="480" w:firstLineChars="200"/>
              <w:rPr>
                <w:sz w:val="24"/>
              </w:rPr>
            </w:pPr>
            <w:r>
              <w:rPr>
                <w:sz w:val="24"/>
              </w:rPr>
              <w:t>二、总干渠两侧饮用水水源保护区划范围</w:t>
            </w:r>
          </w:p>
          <w:p>
            <w:pPr>
              <w:tabs>
                <w:tab w:val="left" w:pos="1081"/>
              </w:tabs>
              <w:adjustRightInd w:val="0"/>
              <w:snapToGrid w:val="0"/>
              <w:spacing w:line="360" w:lineRule="auto"/>
              <w:ind w:firstLine="480" w:firstLineChars="200"/>
              <w:rPr>
                <w:sz w:val="24"/>
              </w:rPr>
            </w:pPr>
            <w:r>
              <w:rPr>
                <w:sz w:val="24"/>
              </w:rPr>
              <w:t>南水北调中线一期工程总干渠在河南省境内的工程类型分为建筑物段和总干渠明渠段。</w:t>
            </w:r>
          </w:p>
          <w:p>
            <w:pPr>
              <w:tabs>
                <w:tab w:val="left" w:pos="1081"/>
              </w:tabs>
              <w:adjustRightInd w:val="0"/>
              <w:snapToGrid w:val="0"/>
              <w:spacing w:line="360" w:lineRule="auto"/>
              <w:ind w:firstLine="480" w:firstLineChars="200"/>
              <w:rPr>
                <w:sz w:val="24"/>
              </w:rPr>
            </w:pPr>
            <w:r>
              <w:rPr>
                <w:sz w:val="24"/>
              </w:rPr>
              <w:t>（一）建筑物段（</w:t>
            </w:r>
            <w:r>
              <w:rPr>
                <w:color w:val="000000"/>
                <w:kern w:val="0"/>
                <w:sz w:val="24"/>
              </w:rPr>
              <w:t>渡槽</w:t>
            </w:r>
            <w:r>
              <w:rPr>
                <w:sz w:val="24"/>
              </w:rPr>
              <w:t>、倒虹吸、暗涵、隧洞）</w:t>
            </w:r>
          </w:p>
          <w:p>
            <w:pPr>
              <w:tabs>
                <w:tab w:val="left" w:pos="1081"/>
              </w:tabs>
              <w:adjustRightInd w:val="0"/>
              <w:snapToGrid w:val="0"/>
              <w:spacing w:line="360" w:lineRule="auto"/>
              <w:ind w:firstLine="480" w:firstLineChars="200"/>
              <w:rPr>
                <w:sz w:val="24"/>
              </w:rPr>
            </w:pPr>
            <w:r>
              <w:rPr>
                <w:sz w:val="24"/>
              </w:rPr>
              <w:t>一级保护区范围自总干渠</w:t>
            </w:r>
            <w:r>
              <w:rPr>
                <w:color w:val="000000"/>
                <w:sz w:val="24"/>
                <w:lang w:val="en-GB"/>
              </w:rPr>
              <w:t>管理</w:t>
            </w:r>
            <w:r>
              <w:rPr>
                <w:sz w:val="24"/>
              </w:rPr>
              <w:t>范围边线（防护栏网）外延50m，不设二级保护区。</w:t>
            </w:r>
          </w:p>
          <w:p>
            <w:pPr>
              <w:tabs>
                <w:tab w:val="left" w:pos="1081"/>
              </w:tabs>
              <w:adjustRightInd w:val="0"/>
              <w:snapToGrid w:val="0"/>
              <w:spacing w:line="360" w:lineRule="auto"/>
              <w:ind w:firstLine="480" w:firstLineChars="200"/>
              <w:rPr>
                <w:color w:val="000000"/>
                <w:kern w:val="0"/>
                <w:sz w:val="24"/>
              </w:rPr>
            </w:pPr>
            <w:r>
              <w:rPr>
                <w:color w:val="000000"/>
                <w:kern w:val="0"/>
                <w:sz w:val="24"/>
              </w:rPr>
              <w:t>（二）总干渠明渠段</w:t>
            </w:r>
          </w:p>
          <w:p>
            <w:pPr>
              <w:tabs>
                <w:tab w:val="left" w:pos="1081"/>
              </w:tabs>
              <w:adjustRightInd w:val="0"/>
              <w:snapToGrid w:val="0"/>
              <w:spacing w:line="360" w:lineRule="auto"/>
              <w:ind w:firstLine="480" w:firstLineChars="200"/>
              <w:rPr>
                <w:sz w:val="24"/>
              </w:rPr>
            </w:pPr>
            <w:r>
              <w:rPr>
                <w:sz w:val="24"/>
              </w:rPr>
              <w:t>根据地下水水位与总</w:t>
            </w:r>
            <w:r>
              <w:rPr>
                <w:color w:val="000000"/>
                <w:sz w:val="24"/>
                <w:lang w:val="en-GB"/>
              </w:rPr>
              <w:t>干渠</w:t>
            </w:r>
            <w:r>
              <w:rPr>
                <w:sz w:val="24"/>
              </w:rPr>
              <w:t>渠底高程的关系，分为以下几种类型：</w:t>
            </w:r>
          </w:p>
          <w:p>
            <w:pPr>
              <w:tabs>
                <w:tab w:val="left" w:pos="1081"/>
              </w:tabs>
              <w:adjustRightInd w:val="0"/>
              <w:snapToGrid w:val="0"/>
              <w:spacing w:line="360" w:lineRule="auto"/>
              <w:ind w:firstLine="480" w:firstLineChars="200"/>
              <w:rPr>
                <w:sz w:val="24"/>
              </w:rPr>
            </w:pPr>
            <w:r>
              <w:rPr>
                <w:sz w:val="24"/>
              </w:rPr>
              <w:t>1、</w:t>
            </w:r>
            <w:r>
              <w:rPr>
                <w:color w:val="000000"/>
                <w:kern w:val="0"/>
                <w:sz w:val="24"/>
              </w:rPr>
              <w:t>地下水</w:t>
            </w:r>
            <w:r>
              <w:rPr>
                <w:sz w:val="24"/>
              </w:rPr>
              <w:t>水位低于总干渠渠底的渠段</w:t>
            </w:r>
          </w:p>
          <w:p>
            <w:pPr>
              <w:tabs>
                <w:tab w:val="left" w:pos="1081"/>
              </w:tabs>
              <w:adjustRightInd w:val="0"/>
              <w:snapToGrid w:val="0"/>
              <w:spacing w:line="360" w:lineRule="auto"/>
              <w:ind w:firstLine="480" w:firstLineChars="200"/>
              <w:rPr>
                <w:sz w:val="24"/>
              </w:rPr>
            </w:pPr>
            <w:r>
              <w:rPr>
                <w:sz w:val="24"/>
              </w:rPr>
              <w:t>一级</w:t>
            </w:r>
            <w:r>
              <w:rPr>
                <w:color w:val="000000"/>
                <w:kern w:val="0"/>
                <w:sz w:val="24"/>
              </w:rPr>
              <w:t>保护区</w:t>
            </w:r>
            <w:r>
              <w:rPr>
                <w:sz w:val="24"/>
              </w:rPr>
              <w:t>范围自总干渠管理范围边线（防护栏网）外延50m；</w:t>
            </w:r>
          </w:p>
          <w:p>
            <w:pPr>
              <w:tabs>
                <w:tab w:val="left" w:pos="1081"/>
              </w:tabs>
              <w:adjustRightInd w:val="0"/>
              <w:snapToGrid w:val="0"/>
              <w:spacing w:line="360" w:lineRule="auto"/>
              <w:ind w:firstLine="480" w:firstLineChars="200"/>
              <w:rPr>
                <w:sz w:val="24"/>
              </w:rPr>
            </w:pPr>
            <w:r>
              <w:rPr>
                <w:sz w:val="24"/>
              </w:rPr>
              <w:t>二级保护区范围自一级保护区边线外延150m。</w:t>
            </w:r>
          </w:p>
          <w:p>
            <w:pPr>
              <w:tabs>
                <w:tab w:val="left" w:pos="1081"/>
              </w:tabs>
              <w:adjustRightInd w:val="0"/>
              <w:snapToGrid w:val="0"/>
              <w:spacing w:line="360" w:lineRule="auto"/>
              <w:ind w:firstLine="480" w:firstLineChars="200"/>
              <w:rPr>
                <w:sz w:val="24"/>
              </w:rPr>
            </w:pPr>
            <w:r>
              <w:rPr>
                <w:sz w:val="24"/>
              </w:rPr>
              <w:t>2、地下水</w:t>
            </w:r>
            <w:r>
              <w:rPr>
                <w:color w:val="000000"/>
                <w:kern w:val="0"/>
                <w:sz w:val="24"/>
              </w:rPr>
              <w:t>水位</w:t>
            </w:r>
            <w:r>
              <w:rPr>
                <w:color w:val="000000"/>
                <w:sz w:val="24"/>
                <w:lang w:val="en-GB"/>
              </w:rPr>
              <w:t>高于</w:t>
            </w:r>
            <w:r>
              <w:rPr>
                <w:sz w:val="24"/>
              </w:rPr>
              <w:t>总干渠渠底的渠段</w:t>
            </w:r>
          </w:p>
          <w:p>
            <w:pPr>
              <w:tabs>
                <w:tab w:val="left" w:pos="1081"/>
              </w:tabs>
              <w:adjustRightInd w:val="0"/>
              <w:snapToGrid w:val="0"/>
              <w:spacing w:line="360" w:lineRule="auto"/>
              <w:ind w:firstLine="480" w:firstLineChars="200"/>
              <w:rPr>
                <w:sz w:val="24"/>
              </w:rPr>
            </w:pPr>
            <w:r>
              <w:rPr>
                <w:sz w:val="24"/>
              </w:rPr>
              <w:t>（1）微~弱</w:t>
            </w:r>
            <w:r>
              <w:rPr>
                <w:color w:val="000000"/>
                <w:sz w:val="24"/>
                <w:lang w:val="en-GB"/>
              </w:rPr>
              <w:t>透水性</w:t>
            </w:r>
            <w:r>
              <w:rPr>
                <w:sz w:val="24"/>
              </w:rPr>
              <w:t>地层</w:t>
            </w:r>
          </w:p>
          <w:p>
            <w:pPr>
              <w:tabs>
                <w:tab w:val="left" w:pos="1081"/>
              </w:tabs>
              <w:adjustRightInd w:val="0"/>
              <w:snapToGrid w:val="0"/>
              <w:spacing w:line="360" w:lineRule="auto"/>
              <w:ind w:firstLine="480" w:firstLineChars="200"/>
              <w:rPr>
                <w:sz w:val="24"/>
              </w:rPr>
            </w:pPr>
            <w:r>
              <w:rPr>
                <w:sz w:val="24"/>
              </w:rPr>
              <w:t>一级保护区范围自总干渠管理范围边线（防护栏网）外延50m；</w:t>
            </w:r>
          </w:p>
          <w:p>
            <w:pPr>
              <w:tabs>
                <w:tab w:val="left" w:pos="1081"/>
              </w:tabs>
              <w:adjustRightInd w:val="0"/>
              <w:snapToGrid w:val="0"/>
              <w:spacing w:line="360" w:lineRule="auto"/>
              <w:ind w:firstLine="480" w:firstLineChars="200"/>
              <w:rPr>
                <w:sz w:val="24"/>
              </w:rPr>
            </w:pPr>
            <w:r>
              <w:rPr>
                <w:sz w:val="24"/>
              </w:rPr>
              <w:t>二级</w:t>
            </w:r>
            <w:r>
              <w:rPr>
                <w:color w:val="000000"/>
                <w:kern w:val="0"/>
                <w:sz w:val="24"/>
              </w:rPr>
              <w:t>保护区</w:t>
            </w:r>
            <w:r>
              <w:rPr>
                <w:sz w:val="24"/>
              </w:rPr>
              <w:t>范围自一级</w:t>
            </w:r>
            <w:r>
              <w:rPr>
                <w:color w:val="000000"/>
                <w:kern w:val="0"/>
                <w:sz w:val="24"/>
              </w:rPr>
              <w:t>保护区</w:t>
            </w:r>
            <w:r>
              <w:rPr>
                <w:sz w:val="24"/>
              </w:rPr>
              <w:t>边线外延500m。</w:t>
            </w:r>
          </w:p>
          <w:p>
            <w:pPr>
              <w:tabs>
                <w:tab w:val="left" w:pos="1081"/>
              </w:tabs>
              <w:adjustRightInd w:val="0"/>
              <w:snapToGrid w:val="0"/>
              <w:spacing w:line="360" w:lineRule="auto"/>
              <w:ind w:firstLine="480" w:firstLineChars="200"/>
              <w:rPr>
                <w:sz w:val="24"/>
              </w:rPr>
            </w:pPr>
            <w:r>
              <w:rPr>
                <w:sz w:val="24"/>
              </w:rPr>
              <w:t>（2）弱~</w:t>
            </w:r>
            <w:r>
              <w:rPr>
                <w:color w:val="000000"/>
                <w:kern w:val="0"/>
                <w:sz w:val="24"/>
              </w:rPr>
              <w:t>中等</w:t>
            </w:r>
            <w:r>
              <w:rPr>
                <w:color w:val="000000"/>
                <w:sz w:val="24"/>
                <w:lang w:val="en-GB"/>
              </w:rPr>
              <w:t>透水性</w:t>
            </w:r>
            <w:r>
              <w:rPr>
                <w:sz w:val="24"/>
              </w:rPr>
              <w:t>地层</w:t>
            </w:r>
          </w:p>
          <w:p>
            <w:pPr>
              <w:tabs>
                <w:tab w:val="left" w:pos="1081"/>
              </w:tabs>
              <w:adjustRightInd w:val="0"/>
              <w:snapToGrid w:val="0"/>
              <w:spacing w:line="360" w:lineRule="auto"/>
              <w:ind w:firstLine="480" w:firstLineChars="200"/>
              <w:rPr>
                <w:sz w:val="24"/>
              </w:rPr>
            </w:pPr>
            <w:r>
              <w:rPr>
                <w:sz w:val="24"/>
              </w:rPr>
              <w:t>一级</w:t>
            </w:r>
            <w:r>
              <w:rPr>
                <w:color w:val="000000"/>
                <w:kern w:val="0"/>
                <w:sz w:val="24"/>
              </w:rPr>
              <w:t>保护区</w:t>
            </w:r>
            <w:r>
              <w:rPr>
                <w:sz w:val="24"/>
              </w:rPr>
              <w:t>范围自总干渠管理范围边线（防护栏网）外延100m；</w:t>
            </w:r>
          </w:p>
          <w:p>
            <w:pPr>
              <w:tabs>
                <w:tab w:val="left" w:pos="1081"/>
              </w:tabs>
              <w:adjustRightInd w:val="0"/>
              <w:snapToGrid w:val="0"/>
              <w:spacing w:line="360" w:lineRule="auto"/>
              <w:ind w:firstLine="480" w:firstLineChars="200"/>
              <w:rPr>
                <w:sz w:val="24"/>
              </w:rPr>
            </w:pPr>
            <w:r>
              <w:rPr>
                <w:sz w:val="24"/>
              </w:rPr>
              <w:t>二级保护区</w:t>
            </w:r>
            <w:r>
              <w:rPr>
                <w:color w:val="000000"/>
                <w:sz w:val="24"/>
                <w:lang w:val="en-GB"/>
              </w:rPr>
              <w:t>范围</w:t>
            </w:r>
            <w:r>
              <w:rPr>
                <w:sz w:val="24"/>
              </w:rPr>
              <w:t>自一级保护区边线外延1000m。</w:t>
            </w:r>
          </w:p>
          <w:p>
            <w:pPr>
              <w:tabs>
                <w:tab w:val="left" w:pos="1081"/>
              </w:tabs>
              <w:adjustRightInd w:val="0"/>
              <w:snapToGrid w:val="0"/>
              <w:spacing w:line="360" w:lineRule="auto"/>
              <w:ind w:firstLine="480" w:firstLineChars="200"/>
              <w:rPr>
                <w:sz w:val="24"/>
              </w:rPr>
            </w:pPr>
            <w:r>
              <w:rPr>
                <w:sz w:val="24"/>
              </w:rPr>
              <w:t>（3）强</w:t>
            </w:r>
            <w:r>
              <w:rPr>
                <w:color w:val="000000"/>
                <w:kern w:val="0"/>
                <w:sz w:val="24"/>
              </w:rPr>
              <w:t>透水性</w:t>
            </w:r>
            <w:r>
              <w:rPr>
                <w:sz w:val="24"/>
              </w:rPr>
              <w:t>地层</w:t>
            </w:r>
          </w:p>
          <w:p>
            <w:pPr>
              <w:tabs>
                <w:tab w:val="left" w:pos="1081"/>
              </w:tabs>
              <w:adjustRightInd w:val="0"/>
              <w:snapToGrid w:val="0"/>
              <w:spacing w:line="360" w:lineRule="auto"/>
              <w:ind w:firstLine="480" w:firstLineChars="200"/>
              <w:rPr>
                <w:sz w:val="24"/>
              </w:rPr>
            </w:pPr>
            <w:r>
              <w:rPr>
                <w:sz w:val="24"/>
              </w:rPr>
              <w:t>一级保护区</w:t>
            </w:r>
            <w:r>
              <w:rPr>
                <w:color w:val="000000"/>
                <w:sz w:val="24"/>
                <w:lang w:val="en-GB"/>
              </w:rPr>
              <w:t>范围</w:t>
            </w:r>
            <w:r>
              <w:rPr>
                <w:sz w:val="24"/>
              </w:rPr>
              <w:t>自总干渠管理范围边线（防护栏网）外延200m；</w:t>
            </w:r>
          </w:p>
          <w:p>
            <w:pPr>
              <w:tabs>
                <w:tab w:val="left" w:pos="1081"/>
              </w:tabs>
              <w:adjustRightInd w:val="0"/>
              <w:snapToGrid w:val="0"/>
              <w:spacing w:line="360" w:lineRule="auto"/>
              <w:ind w:firstLine="480" w:firstLineChars="200"/>
              <w:rPr>
                <w:sz w:val="24"/>
              </w:rPr>
            </w:pPr>
            <w:r>
              <w:rPr>
                <w:sz w:val="24"/>
              </w:rPr>
              <w:t>二级保护区范围自一级保护区边线外延2000m、1500m。</w:t>
            </w:r>
          </w:p>
          <w:p>
            <w:pPr>
              <w:tabs>
                <w:tab w:val="left" w:pos="1081"/>
              </w:tabs>
              <w:adjustRightInd w:val="0"/>
              <w:snapToGrid w:val="0"/>
              <w:spacing w:line="360" w:lineRule="auto"/>
              <w:ind w:firstLine="480" w:firstLineChars="200"/>
              <w:rPr>
                <w:bCs/>
                <w:kern w:val="0"/>
                <w:sz w:val="24"/>
              </w:rPr>
            </w:pPr>
            <w:r>
              <w:rPr>
                <w:bCs/>
                <w:kern w:val="0"/>
                <w:sz w:val="24"/>
              </w:rPr>
              <w:t>三、</w:t>
            </w:r>
            <w:r>
              <w:rPr>
                <w:color w:val="000000"/>
                <w:kern w:val="0"/>
                <w:sz w:val="24"/>
              </w:rPr>
              <w:t>水源保护</w:t>
            </w:r>
            <w:r>
              <w:rPr>
                <w:bCs/>
                <w:kern w:val="0"/>
                <w:sz w:val="24"/>
              </w:rPr>
              <w:t>区内工农业发展的有关要求</w:t>
            </w:r>
          </w:p>
          <w:p>
            <w:pPr>
              <w:tabs>
                <w:tab w:val="left" w:pos="1081"/>
              </w:tabs>
              <w:adjustRightInd w:val="0"/>
              <w:snapToGrid w:val="0"/>
              <w:spacing w:line="360" w:lineRule="auto"/>
              <w:ind w:firstLine="480" w:firstLineChars="200"/>
              <w:rPr>
                <w:bCs/>
                <w:kern w:val="0"/>
                <w:sz w:val="24"/>
              </w:rPr>
            </w:pPr>
            <w:r>
              <w:rPr>
                <w:bCs/>
                <w:kern w:val="0"/>
                <w:sz w:val="24"/>
              </w:rPr>
              <w:t>一级保护区内，不得建设任何与中线总干渠水工程无关的项目，农业种植不得使用不符合国家环保安全有关规定的高毒和高残留农药。</w:t>
            </w:r>
          </w:p>
          <w:p>
            <w:pPr>
              <w:tabs>
                <w:tab w:val="left" w:pos="1081"/>
              </w:tabs>
              <w:adjustRightInd w:val="0"/>
              <w:snapToGrid w:val="0"/>
              <w:spacing w:line="360" w:lineRule="auto"/>
              <w:ind w:firstLine="480" w:firstLineChars="200"/>
              <w:rPr>
                <w:bCs/>
                <w:kern w:val="0"/>
                <w:sz w:val="24"/>
              </w:rPr>
            </w:pPr>
            <w:r>
              <w:rPr>
                <w:bCs/>
                <w:kern w:val="0"/>
                <w:sz w:val="24"/>
              </w:rPr>
              <w:t>二级保护区不得从事以下活动：</w:t>
            </w:r>
            <w:r>
              <w:rPr>
                <w:bCs/>
                <w:kern w:val="0"/>
                <w:sz w:val="24"/>
              </w:rPr>
              <w:fldChar w:fldCharType="begin"/>
            </w:r>
            <w:r>
              <w:rPr>
                <w:bCs/>
                <w:kern w:val="0"/>
                <w:sz w:val="24"/>
              </w:rPr>
              <w:instrText xml:space="preserve"> = 1 \* GB3 \* MERGEFORMAT </w:instrText>
            </w:r>
            <w:r>
              <w:rPr>
                <w:bCs/>
                <w:kern w:val="0"/>
                <w:sz w:val="24"/>
              </w:rPr>
              <w:fldChar w:fldCharType="separate"/>
            </w:r>
            <w:r>
              <w:rPr>
                <w:bCs/>
                <w:kern w:val="0"/>
                <w:sz w:val="24"/>
              </w:rPr>
              <w:t>①</w:t>
            </w:r>
            <w:r>
              <w:rPr>
                <w:bCs/>
                <w:kern w:val="0"/>
                <w:sz w:val="24"/>
              </w:rPr>
              <w:fldChar w:fldCharType="end"/>
            </w:r>
            <w:r>
              <w:rPr>
                <w:bCs/>
                <w:kern w:val="0"/>
                <w:sz w:val="24"/>
              </w:rPr>
              <w:t>新建、扩建污染较重的废水排污口，设置医疗废水排污口；</w:t>
            </w:r>
            <w:r>
              <w:rPr>
                <w:bCs/>
                <w:kern w:val="0"/>
                <w:sz w:val="24"/>
              </w:rPr>
              <w:fldChar w:fldCharType="begin"/>
            </w:r>
            <w:r>
              <w:rPr>
                <w:bCs/>
                <w:kern w:val="0"/>
                <w:sz w:val="24"/>
              </w:rPr>
              <w:instrText xml:space="preserve"> = 2 \* GB3 \* MERGEFORMAT </w:instrText>
            </w:r>
            <w:r>
              <w:rPr>
                <w:bCs/>
                <w:kern w:val="0"/>
                <w:sz w:val="24"/>
              </w:rPr>
              <w:fldChar w:fldCharType="separate"/>
            </w:r>
            <w:r>
              <w:rPr>
                <w:bCs/>
                <w:kern w:val="0"/>
                <w:sz w:val="24"/>
              </w:rPr>
              <w:t>②</w:t>
            </w:r>
            <w:r>
              <w:rPr>
                <w:bCs/>
                <w:kern w:val="0"/>
                <w:sz w:val="24"/>
              </w:rPr>
              <w:fldChar w:fldCharType="end"/>
            </w:r>
            <w:r>
              <w:rPr>
                <w:bCs/>
                <w:kern w:val="0"/>
                <w:sz w:val="24"/>
              </w:rPr>
              <w:t>新建、扩建污染重的化工建设项目和规模化畜禽养殖项目；</w:t>
            </w:r>
            <w:r>
              <w:rPr>
                <w:bCs/>
                <w:kern w:val="0"/>
                <w:sz w:val="24"/>
              </w:rPr>
              <w:fldChar w:fldCharType="begin"/>
            </w:r>
            <w:r>
              <w:rPr>
                <w:bCs/>
                <w:kern w:val="0"/>
                <w:sz w:val="24"/>
              </w:rPr>
              <w:instrText xml:space="preserve"> = 3 \* GB3 \* MERGEFORMAT </w:instrText>
            </w:r>
            <w:r>
              <w:rPr>
                <w:bCs/>
                <w:kern w:val="0"/>
                <w:sz w:val="24"/>
              </w:rPr>
              <w:fldChar w:fldCharType="separate"/>
            </w:r>
            <w:r>
              <w:rPr>
                <w:bCs/>
                <w:kern w:val="0"/>
                <w:sz w:val="24"/>
              </w:rPr>
              <w:t>③</w:t>
            </w:r>
            <w:r>
              <w:rPr>
                <w:bCs/>
                <w:kern w:val="0"/>
                <w:sz w:val="24"/>
              </w:rPr>
              <w:fldChar w:fldCharType="end"/>
            </w:r>
            <w:r>
              <w:rPr>
                <w:bCs/>
                <w:kern w:val="0"/>
                <w:sz w:val="24"/>
              </w:rPr>
              <w:t>设置生活垃圾、医疗垃圾、工业危险废物等集中转运、堆放、填埋和焚烧设施，新建加油站及油库等；</w:t>
            </w:r>
            <w:r>
              <w:rPr>
                <w:bCs/>
                <w:kern w:val="0"/>
                <w:sz w:val="24"/>
              </w:rPr>
              <w:fldChar w:fldCharType="begin"/>
            </w:r>
            <w:r>
              <w:rPr>
                <w:bCs/>
                <w:kern w:val="0"/>
                <w:sz w:val="24"/>
              </w:rPr>
              <w:instrText xml:space="preserve"> = 4 \* GB3 \* MERGEFORMAT </w:instrText>
            </w:r>
            <w:r>
              <w:rPr>
                <w:bCs/>
                <w:kern w:val="0"/>
                <w:sz w:val="24"/>
              </w:rPr>
              <w:fldChar w:fldCharType="separate"/>
            </w:r>
            <w:r>
              <w:rPr>
                <w:bCs/>
                <w:kern w:val="0"/>
                <w:sz w:val="24"/>
              </w:rPr>
              <w:t>④</w:t>
            </w:r>
            <w:r>
              <w:rPr>
                <w:bCs/>
                <w:kern w:val="0"/>
                <w:sz w:val="24"/>
              </w:rPr>
              <w:fldChar w:fldCharType="end"/>
            </w:r>
            <w:r>
              <w:rPr>
                <w:bCs/>
                <w:kern w:val="0"/>
                <w:sz w:val="24"/>
              </w:rPr>
              <w:t>使用不符合国家有关农药安全使用和环保有关规定、标准的高毒和残留农药；</w:t>
            </w:r>
            <w:r>
              <w:rPr>
                <w:bCs/>
                <w:kern w:val="0"/>
                <w:sz w:val="24"/>
              </w:rPr>
              <w:fldChar w:fldCharType="begin"/>
            </w:r>
            <w:r>
              <w:rPr>
                <w:bCs/>
                <w:kern w:val="0"/>
                <w:sz w:val="24"/>
              </w:rPr>
              <w:instrText xml:space="preserve"> = 5 \* GB3 \* MERGEFORMAT </w:instrText>
            </w:r>
            <w:r>
              <w:rPr>
                <w:bCs/>
                <w:kern w:val="0"/>
                <w:sz w:val="24"/>
              </w:rPr>
              <w:fldChar w:fldCharType="separate"/>
            </w:r>
            <w:r>
              <w:rPr>
                <w:bCs/>
                <w:kern w:val="0"/>
                <w:sz w:val="24"/>
              </w:rPr>
              <w:t>⑤</w:t>
            </w:r>
            <w:r>
              <w:rPr>
                <w:bCs/>
                <w:kern w:val="0"/>
                <w:sz w:val="24"/>
              </w:rPr>
              <w:fldChar w:fldCharType="end"/>
            </w:r>
            <w:r>
              <w:rPr>
                <w:bCs/>
                <w:kern w:val="0"/>
                <w:sz w:val="24"/>
              </w:rPr>
              <w:t>将不符合国家《生活饮用水卫生标准》和有关规定的人工直接回灌补给地下水；</w:t>
            </w:r>
            <w:r>
              <w:rPr>
                <w:bCs/>
                <w:kern w:val="0"/>
                <w:sz w:val="24"/>
              </w:rPr>
              <w:fldChar w:fldCharType="begin"/>
            </w:r>
            <w:r>
              <w:rPr>
                <w:bCs/>
                <w:kern w:val="0"/>
                <w:sz w:val="24"/>
              </w:rPr>
              <w:instrText xml:space="preserve"> = 6 \* GB3 \* MERGEFORMAT </w:instrText>
            </w:r>
            <w:r>
              <w:rPr>
                <w:bCs/>
                <w:kern w:val="0"/>
                <w:sz w:val="24"/>
              </w:rPr>
              <w:fldChar w:fldCharType="separate"/>
            </w:r>
            <w:r>
              <w:rPr>
                <w:bCs/>
                <w:kern w:val="0"/>
                <w:sz w:val="24"/>
              </w:rPr>
              <w:t>⑥</w:t>
            </w:r>
            <w:r>
              <w:rPr>
                <w:bCs/>
                <w:kern w:val="0"/>
                <w:sz w:val="24"/>
              </w:rPr>
              <w:fldChar w:fldCharType="end"/>
            </w:r>
            <w:r>
              <w:rPr>
                <w:bCs/>
                <w:kern w:val="0"/>
                <w:sz w:val="24"/>
              </w:rPr>
              <w:t>监理基地和掩埋动物尸体；</w:t>
            </w:r>
            <w:r>
              <w:rPr>
                <w:bCs/>
                <w:kern w:val="0"/>
                <w:sz w:val="24"/>
              </w:rPr>
              <w:fldChar w:fldCharType="begin"/>
            </w:r>
            <w:r>
              <w:rPr>
                <w:bCs/>
                <w:kern w:val="0"/>
                <w:sz w:val="24"/>
              </w:rPr>
              <w:instrText xml:space="preserve"> = 7 \* GB3 \* MERGEFORMAT </w:instrText>
            </w:r>
            <w:r>
              <w:rPr>
                <w:bCs/>
                <w:kern w:val="0"/>
                <w:sz w:val="24"/>
              </w:rPr>
              <w:fldChar w:fldCharType="separate"/>
            </w:r>
            <w:r>
              <w:rPr>
                <w:bCs/>
                <w:kern w:val="0"/>
                <w:sz w:val="24"/>
              </w:rPr>
              <w:t>⑦</w:t>
            </w:r>
            <w:r>
              <w:rPr>
                <w:bCs/>
                <w:kern w:val="0"/>
                <w:sz w:val="24"/>
              </w:rPr>
              <w:fldChar w:fldCharType="end"/>
            </w:r>
            <w:r>
              <w:rPr>
                <w:bCs/>
                <w:kern w:val="0"/>
                <w:sz w:val="24"/>
              </w:rPr>
              <w:t>利用渗坑、渗井、裂隙、溶洞以及漫流等方式排放工业废水、医疗废水和其他含有毒害废水。将剧毒、持久性和放射性废物以及含有重金属废物等直接倾倒或买入地下；</w:t>
            </w:r>
            <w:r>
              <w:rPr>
                <w:bCs/>
                <w:kern w:val="0"/>
                <w:sz w:val="24"/>
              </w:rPr>
              <w:fldChar w:fldCharType="begin"/>
            </w:r>
            <w:r>
              <w:rPr>
                <w:bCs/>
                <w:kern w:val="0"/>
                <w:sz w:val="24"/>
              </w:rPr>
              <w:instrText xml:space="preserve"> = 8 \* GB3 \* MERGEFORMAT </w:instrText>
            </w:r>
            <w:r>
              <w:rPr>
                <w:bCs/>
                <w:kern w:val="0"/>
                <w:sz w:val="24"/>
              </w:rPr>
              <w:fldChar w:fldCharType="separate"/>
            </w:r>
            <w:r>
              <w:rPr>
                <w:bCs/>
                <w:kern w:val="0"/>
                <w:sz w:val="24"/>
              </w:rPr>
              <w:t>⑧</w:t>
            </w:r>
            <w:r>
              <w:rPr>
                <w:bCs/>
                <w:kern w:val="0"/>
                <w:sz w:val="24"/>
              </w:rPr>
              <w:fldChar w:fldCharType="end"/>
            </w:r>
            <w:r>
              <w:rPr>
                <w:bCs/>
                <w:kern w:val="0"/>
                <w:sz w:val="24"/>
              </w:rPr>
              <w:t>大气污染物最大落地浓度位于总干渠范围内的建设项目。</w:t>
            </w:r>
          </w:p>
          <w:p>
            <w:pPr>
              <w:tabs>
                <w:tab w:val="left" w:pos="1081"/>
              </w:tabs>
              <w:adjustRightInd w:val="0"/>
              <w:snapToGrid w:val="0"/>
              <w:spacing w:line="360" w:lineRule="auto"/>
              <w:ind w:firstLine="480" w:firstLineChars="200"/>
              <w:rPr>
                <w:bCs/>
                <w:color w:val="000000"/>
                <w:kern w:val="0"/>
                <w:sz w:val="24"/>
              </w:rPr>
            </w:pPr>
            <w:r>
              <w:rPr>
                <w:bCs/>
                <w:color w:val="000000"/>
                <w:kern w:val="0"/>
                <w:sz w:val="24"/>
              </w:rPr>
              <w:t>四、项目与南水北调中线工程总干渠两侧水源保护区规划的相符性分析</w:t>
            </w:r>
          </w:p>
          <w:p>
            <w:pPr>
              <w:tabs>
                <w:tab w:val="left" w:pos="1081"/>
              </w:tabs>
              <w:adjustRightInd w:val="0"/>
              <w:snapToGrid w:val="0"/>
              <w:spacing w:line="360" w:lineRule="auto"/>
              <w:ind w:firstLine="480" w:firstLineChars="200"/>
              <w:rPr>
                <w:bCs/>
                <w:color w:val="000000"/>
                <w:kern w:val="0"/>
                <w:sz w:val="24"/>
              </w:rPr>
            </w:pPr>
            <w:r>
              <w:rPr>
                <w:rFonts w:hint="eastAsia"/>
                <w:bCs/>
                <w:color w:val="000000"/>
                <w:kern w:val="0"/>
                <w:sz w:val="24"/>
              </w:rPr>
              <w:t>本项目位于</w:t>
            </w:r>
            <w:r>
              <w:rPr>
                <w:sz w:val="24"/>
                <w:szCs w:val="24"/>
              </w:rPr>
              <w:t>南阳市卧龙区蒲山镇棉花库路口向西20米路北</w:t>
            </w:r>
            <w:r>
              <w:rPr>
                <w:rFonts w:hint="eastAsia"/>
                <w:bCs/>
                <w:color w:val="000000"/>
                <w:kern w:val="0"/>
                <w:sz w:val="24"/>
              </w:rPr>
              <w:t>，经对照南水北调中线工程总干渠南阳市段保护区范围图（蒲山），项目距南水北调总干渠的TS109+000～TS115+000段（一级保护区宽度100m，二级保护区宽度1000m）二级保护区边界最近，距离二级保护区边界线直线距离约564m，且</w:t>
            </w:r>
            <w:r>
              <w:rPr>
                <w:bCs/>
                <w:color w:val="000000"/>
                <w:kern w:val="0"/>
                <w:sz w:val="24"/>
              </w:rPr>
              <w:t>项目营运期职工生活污水经配套化粪池</w:t>
            </w:r>
            <w:r>
              <w:rPr>
                <w:bCs/>
                <w:color w:val="000000"/>
                <w:sz w:val="24"/>
              </w:rPr>
              <w:t>处理</w:t>
            </w:r>
            <w:r>
              <w:rPr>
                <w:rFonts w:hint="eastAsia"/>
                <w:bCs/>
                <w:color w:val="000000"/>
                <w:sz w:val="24"/>
              </w:rPr>
              <w:t>后用于周围农田施肥</w:t>
            </w:r>
            <w:r>
              <w:rPr>
                <w:rFonts w:hint="eastAsia"/>
                <w:bCs/>
                <w:color w:val="000000" w:themeColor="text1"/>
                <w:kern w:val="0"/>
                <w:sz w:val="24"/>
              </w:rPr>
              <w:t>，因此</w:t>
            </w:r>
            <w:r>
              <w:rPr>
                <w:rFonts w:hint="eastAsia"/>
                <w:bCs/>
                <w:color w:val="000000"/>
                <w:kern w:val="0"/>
                <w:sz w:val="24"/>
              </w:rPr>
              <w:t>项目建设不会对南水北调总干渠的水质产生明显不良影响</w:t>
            </w:r>
            <w:r>
              <w:rPr>
                <w:bCs/>
                <w:color w:val="000000"/>
                <w:kern w:val="0"/>
                <w:sz w:val="24"/>
              </w:rPr>
              <w:t>。</w:t>
            </w:r>
          </w:p>
          <w:p>
            <w:pPr>
              <w:widowControl/>
              <w:snapToGrid w:val="0"/>
              <w:spacing w:line="360" w:lineRule="auto"/>
              <w:ind w:firstLine="482" w:firstLineChars="200"/>
              <w:rPr>
                <w:b/>
                <w:color w:val="000000" w:themeColor="text1"/>
                <w:sz w:val="24"/>
              </w:rPr>
            </w:pPr>
            <w:r>
              <w:rPr>
                <w:rFonts w:hint="eastAsia"/>
                <w:b/>
                <w:color w:val="000000" w:themeColor="text1"/>
                <w:sz w:val="24"/>
              </w:rPr>
              <w:t>5、</w:t>
            </w:r>
            <w:r>
              <w:rPr>
                <w:b/>
                <w:bCs/>
                <w:sz w:val="24"/>
              </w:rPr>
              <w:t>项目与</w:t>
            </w:r>
            <w:r>
              <w:rPr>
                <w:rFonts w:hint="eastAsia"/>
                <w:b/>
                <w:bCs/>
                <w:sz w:val="24"/>
              </w:rPr>
              <w:t xml:space="preserve">南阳市饮用水源保护规划的相符性 </w:t>
            </w:r>
          </w:p>
          <w:p>
            <w:pPr>
              <w:tabs>
                <w:tab w:val="left" w:pos="1081"/>
              </w:tabs>
              <w:adjustRightInd w:val="0"/>
              <w:snapToGrid w:val="0"/>
              <w:spacing w:line="360" w:lineRule="auto"/>
              <w:ind w:firstLine="480" w:firstLineChars="200"/>
              <w:rPr>
                <w:sz w:val="24"/>
                <w:szCs w:val="24"/>
              </w:rPr>
            </w:pPr>
            <w:r>
              <w:rPr>
                <w:rFonts w:hint="eastAsia"/>
                <w:sz w:val="24"/>
                <w:szCs w:val="24"/>
              </w:rPr>
              <w:t>（1）</w:t>
            </w:r>
            <w:r>
              <w:rPr>
                <w:sz w:val="24"/>
                <w:szCs w:val="24"/>
              </w:rPr>
              <w:t>南阳市地表水饮用水源保护区划分方案：</w:t>
            </w:r>
          </w:p>
          <w:p>
            <w:pPr>
              <w:tabs>
                <w:tab w:val="left" w:pos="1081"/>
              </w:tabs>
              <w:adjustRightInd w:val="0"/>
              <w:snapToGrid w:val="0"/>
              <w:spacing w:line="360" w:lineRule="auto"/>
              <w:ind w:firstLine="480" w:firstLineChars="200"/>
              <w:rPr>
                <w:sz w:val="24"/>
              </w:rPr>
            </w:pPr>
            <w:r>
              <w:rPr>
                <w:rFonts w:hint="eastAsia"/>
                <w:sz w:val="24"/>
              </w:rPr>
              <w:t>《南阳市城市饮用水水源地环境保护规划（2010-2020年）》规划分区南阳市城区饮用水源地包括鸭河口水库和白河水源区两部分。根据河南省人民政府关于调整取消部分集中式饮用水水源保护区的通知豫政文〔2023〕8号，取消南阳市白河地下水饮用水水源保护区。</w:t>
            </w:r>
          </w:p>
          <w:p>
            <w:pPr>
              <w:tabs>
                <w:tab w:val="left" w:pos="1081"/>
              </w:tabs>
              <w:adjustRightInd w:val="0"/>
              <w:snapToGrid w:val="0"/>
              <w:spacing w:line="360" w:lineRule="auto"/>
              <w:ind w:firstLine="482" w:firstLineChars="200"/>
              <w:rPr>
                <w:b/>
                <w:sz w:val="24"/>
              </w:rPr>
            </w:pPr>
            <w:r>
              <w:rPr>
                <w:rFonts w:hint="eastAsia"/>
                <w:b/>
                <w:sz w:val="24"/>
              </w:rPr>
              <w:t>南阳市鸭河口水库地表水饮用水源保护区：</w:t>
            </w:r>
          </w:p>
          <w:p>
            <w:pPr>
              <w:tabs>
                <w:tab w:val="left" w:pos="1081"/>
              </w:tabs>
              <w:adjustRightInd w:val="0"/>
              <w:snapToGrid w:val="0"/>
              <w:spacing w:line="360" w:lineRule="auto"/>
              <w:ind w:firstLine="480" w:firstLineChars="200"/>
              <w:rPr>
                <w:sz w:val="24"/>
              </w:rPr>
            </w:pPr>
            <w:r>
              <w:rPr>
                <w:rFonts w:hint="eastAsia"/>
                <w:sz w:val="24"/>
              </w:rPr>
              <w:t>一级保护区：水库大坝至上游2000米、左岸输水洞上游2000米，正常水位线（177米）以内的区域及以外东至水库迁赔线（178.5米)—省道231—大坝防浪墙—环岛路—2号泄洪闸、西南至滨湖路—赵家庄到马沟村的“村村通”道路的区域。北方红字水厂取水口外围1069米正常水位线（177米）以内的区域及以外200米不超过第一重山脊线的区域。</w:t>
            </w:r>
          </w:p>
          <w:p>
            <w:pPr>
              <w:tabs>
                <w:tab w:val="left" w:pos="1081"/>
              </w:tabs>
              <w:adjustRightInd w:val="0"/>
              <w:snapToGrid w:val="0"/>
              <w:spacing w:line="360" w:lineRule="auto"/>
              <w:ind w:firstLine="480" w:firstLineChars="200"/>
              <w:rPr>
                <w:sz w:val="24"/>
              </w:rPr>
            </w:pPr>
            <w:r>
              <w:rPr>
                <w:rFonts w:hint="eastAsia"/>
                <w:sz w:val="24"/>
              </w:rPr>
              <w:t>二级保护区：一级保护区外，水库正常水位线以内的区域及以外东至省道231—大坝防浪墙—1号泄洪闸—2号泄洪闸、南至滨湖路—分水岭、西至西沙沟—药王寺沟—田老庄—小漆树园—陆庄—稻谷田的“村村通”道路、北至稻谷田—上店村—杨树沟—隐士沟—下河—罗庄的“村村通”道路—乡道012—西岭—河头—葛条沟的“村村通”道路的区域。</w:t>
            </w:r>
          </w:p>
          <w:p>
            <w:pPr>
              <w:tabs>
                <w:tab w:val="left" w:pos="1081"/>
              </w:tabs>
              <w:adjustRightInd w:val="0"/>
              <w:snapToGrid w:val="0"/>
              <w:spacing w:line="360" w:lineRule="auto"/>
              <w:ind w:firstLine="480" w:firstLineChars="200"/>
              <w:rPr>
                <w:sz w:val="24"/>
                <w:szCs w:val="24"/>
              </w:rPr>
            </w:pPr>
            <w:r>
              <w:rPr>
                <w:rFonts w:hint="eastAsia"/>
                <w:sz w:val="24"/>
              </w:rPr>
              <w:t>准保护区：二级保护区外，水库南阳市界内汇水区域</w:t>
            </w:r>
            <w:r>
              <w:rPr>
                <w:sz w:val="24"/>
                <w:szCs w:val="24"/>
              </w:rPr>
              <w:t>。</w:t>
            </w:r>
          </w:p>
          <w:p>
            <w:pPr>
              <w:tabs>
                <w:tab w:val="left" w:pos="1081"/>
              </w:tabs>
              <w:adjustRightInd w:val="0"/>
              <w:snapToGrid w:val="0"/>
              <w:spacing w:line="360" w:lineRule="auto"/>
              <w:ind w:firstLine="480" w:firstLineChars="200"/>
              <w:rPr>
                <w:sz w:val="24"/>
              </w:rPr>
            </w:pPr>
            <w:r>
              <w:rPr>
                <w:rFonts w:hint="eastAsia"/>
                <w:sz w:val="24"/>
              </w:rPr>
              <w:t>（2）保护要求</w:t>
            </w:r>
          </w:p>
          <w:p>
            <w:pPr>
              <w:adjustRightInd w:val="0"/>
              <w:snapToGrid w:val="0"/>
              <w:spacing w:line="360" w:lineRule="auto"/>
              <w:ind w:firstLine="480" w:firstLineChars="200"/>
              <w:rPr>
                <w:sz w:val="24"/>
              </w:rPr>
            </w:pPr>
            <w:r>
              <w:rPr>
                <w:sz w:val="24"/>
              </w:rPr>
              <w:t>地表水饮用水源各级保护区内，禁止任何企业事业单位和个人向水体排放油类、酸类、碱液或者剧毒废液；禁止在水体清洗装贮过油类或者有毒污染物的车辆和容器；禁止向水体排放、倾倒含有汞、镉、砷、镉、铅、氢化物、黄磷等可溶性剧毒废渣；禁止向水体排放、倾倒工业废渣、城市垃圾、放射性废弃物和其他废弃物；禁止向水体排放含有病原体和高、中放射性的废水；禁止在最高水位线以下的滩地和岸坡堆放、存贮固体废弃物和其他污染物。</w:t>
            </w:r>
          </w:p>
          <w:p>
            <w:pPr>
              <w:adjustRightInd w:val="0"/>
              <w:snapToGrid w:val="0"/>
              <w:spacing w:line="360" w:lineRule="auto"/>
              <w:ind w:firstLine="480" w:firstLineChars="200"/>
              <w:rPr>
                <w:sz w:val="24"/>
              </w:rPr>
            </w:pPr>
            <w:r>
              <w:rPr>
                <w:sz w:val="24"/>
              </w:rPr>
              <w:t>地表水饮用水源一级保护区内，禁止任何企业事业单位和个人设置排污口；禁止新建、改建、扩建与供水设施和保护水源无关的建设项目；已建成的建设项目应责令拆除或关闭；禁止从事网箱养殖、旅游、游泳、垂钓或者其他可能污染饮用水水体的活动。</w:t>
            </w:r>
          </w:p>
          <w:p>
            <w:pPr>
              <w:adjustRightInd w:val="0"/>
              <w:snapToGrid w:val="0"/>
              <w:spacing w:line="360" w:lineRule="auto"/>
              <w:ind w:firstLine="480" w:firstLineChars="200"/>
              <w:rPr>
                <w:sz w:val="24"/>
              </w:rPr>
            </w:pPr>
            <w:r>
              <w:rPr>
                <w:sz w:val="24"/>
              </w:rPr>
              <w:t>地表水饮用水源二级保护区内，禁止任何企业事业单位和个人设置排污口，禁止新建、改建、扩建排放污染物的建设项目；已建成的排放污染物的建设项目应责令拆除或关闭；从事网箱养殖、旅游等活动的，应采取措施防止污染饮用水水体。</w:t>
            </w:r>
          </w:p>
          <w:p>
            <w:pPr>
              <w:tabs>
                <w:tab w:val="left" w:pos="1081"/>
              </w:tabs>
              <w:adjustRightInd w:val="0"/>
              <w:snapToGrid w:val="0"/>
              <w:spacing w:line="360" w:lineRule="auto"/>
              <w:ind w:firstLine="480" w:firstLineChars="200"/>
              <w:rPr>
                <w:sz w:val="24"/>
              </w:rPr>
            </w:pPr>
            <w:r>
              <w:rPr>
                <w:sz w:val="24"/>
              </w:rPr>
              <w:t>地表水饮用水源准保护区内，禁止新建、扩建对水体污染严重的建设项目；改建项目不得增加排污量。</w:t>
            </w:r>
          </w:p>
          <w:p>
            <w:pPr>
              <w:tabs>
                <w:tab w:val="left" w:pos="1081"/>
              </w:tabs>
              <w:adjustRightInd w:val="0"/>
              <w:snapToGrid w:val="0"/>
              <w:spacing w:line="360" w:lineRule="auto"/>
              <w:ind w:firstLine="480" w:firstLineChars="200"/>
              <w:rPr>
                <w:sz w:val="24"/>
              </w:rPr>
            </w:pPr>
            <w:r>
              <w:rPr>
                <w:rFonts w:hint="eastAsia"/>
                <w:sz w:val="24"/>
              </w:rPr>
              <w:t>（3）项目建设与饮用水源保护区规划的相符性</w:t>
            </w:r>
          </w:p>
          <w:p>
            <w:pPr>
              <w:tabs>
                <w:tab w:val="left" w:pos="1081"/>
              </w:tabs>
              <w:adjustRightInd w:val="0"/>
              <w:snapToGrid w:val="0"/>
              <w:spacing w:line="360" w:lineRule="auto"/>
              <w:ind w:firstLine="480" w:firstLineChars="200"/>
              <w:rPr>
                <w:sz w:val="24"/>
              </w:rPr>
            </w:pPr>
            <w:r>
              <w:rPr>
                <w:rFonts w:hint="eastAsia"/>
                <w:sz w:val="24"/>
              </w:rPr>
              <w:t>本项目</w:t>
            </w:r>
            <w:r>
              <w:rPr>
                <w:rFonts w:hint="eastAsia" w:hAnsi="宋体" w:cs="宋体"/>
                <w:kern w:val="0"/>
                <w:sz w:val="24"/>
              </w:rPr>
              <w:t>位于</w:t>
            </w:r>
            <w:r>
              <w:rPr>
                <w:sz w:val="24"/>
                <w:szCs w:val="24"/>
              </w:rPr>
              <w:t>南阳市卧龙区蒲山镇棉花库路口向西20米路北</w:t>
            </w:r>
            <w:r>
              <w:rPr>
                <w:rFonts w:hint="eastAsia"/>
                <w:color w:val="000000" w:themeColor="text1"/>
                <w:sz w:val="24"/>
              </w:rPr>
              <w:t>，</w:t>
            </w:r>
            <w:r>
              <w:rPr>
                <w:rFonts w:hint="eastAsia" w:hAnsi="宋体" w:cs="宋体"/>
                <w:kern w:val="0"/>
                <w:sz w:val="24"/>
              </w:rPr>
              <w:t>东北距离饮用水源保护区的最近距离约19.7</w:t>
            </w:r>
            <w:r>
              <w:rPr>
                <w:rFonts w:hAnsi="宋体" w:cs="宋体"/>
                <w:kern w:val="0"/>
                <w:sz w:val="24"/>
              </w:rPr>
              <w:t>km</w:t>
            </w:r>
            <w:r>
              <w:rPr>
                <w:rFonts w:hint="eastAsia" w:hAnsi="宋体" w:cs="宋体"/>
                <w:kern w:val="0"/>
                <w:sz w:val="24"/>
              </w:rPr>
              <w:t>，相对较远，因此项目不在南阳市饮用水源保护区内</w:t>
            </w:r>
            <w:r>
              <w:rPr>
                <w:sz w:val="24"/>
              </w:rPr>
              <w:t>。</w:t>
            </w:r>
          </w:p>
          <w:p>
            <w:pPr>
              <w:widowControl/>
              <w:snapToGrid w:val="0"/>
              <w:spacing w:line="360" w:lineRule="auto"/>
              <w:ind w:firstLine="482" w:firstLineChars="200"/>
              <w:rPr>
                <w:b/>
                <w:color w:val="000000" w:themeColor="text1"/>
                <w:sz w:val="24"/>
              </w:rPr>
            </w:pPr>
            <w:r>
              <w:rPr>
                <w:rFonts w:hint="eastAsia"/>
                <w:b/>
                <w:color w:val="000000" w:themeColor="text1"/>
                <w:sz w:val="24"/>
              </w:rPr>
              <w:t>6、</w:t>
            </w:r>
            <w:r>
              <w:rPr>
                <w:rFonts w:hint="eastAsia"/>
                <w:b/>
                <w:bCs/>
                <w:sz w:val="24"/>
              </w:rPr>
              <w:t xml:space="preserve">项目建设与蒲山镇饮用水源保护区规划的相符性 </w:t>
            </w:r>
          </w:p>
          <w:p>
            <w:pPr>
              <w:tabs>
                <w:tab w:val="left" w:pos="1081"/>
              </w:tabs>
              <w:adjustRightInd w:val="0"/>
              <w:snapToGrid w:val="0"/>
              <w:spacing w:line="360" w:lineRule="auto"/>
              <w:ind w:firstLine="482" w:firstLineChars="200"/>
              <w:rPr>
                <w:b/>
                <w:bCs/>
                <w:color w:val="000000"/>
                <w:kern w:val="0"/>
                <w:sz w:val="24"/>
              </w:rPr>
            </w:pPr>
            <w:r>
              <w:rPr>
                <w:rFonts w:hint="eastAsia"/>
                <w:b/>
                <w:bCs/>
                <w:color w:val="000000"/>
                <w:kern w:val="0"/>
                <w:sz w:val="24"/>
              </w:rPr>
              <w:t>6.1蒲山镇饮用水源保护区规划内容</w:t>
            </w:r>
          </w:p>
          <w:p>
            <w:pPr>
              <w:tabs>
                <w:tab w:val="left" w:pos="1081"/>
              </w:tabs>
              <w:adjustRightInd w:val="0"/>
              <w:snapToGrid w:val="0"/>
              <w:spacing w:line="360" w:lineRule="auto"/>
              <w:ind w:firstLine="480" w:firstLineChars="200"/>
              <w:rPr>
                <w:bCs/>
                <w:color w:val="000000"/>
                <w:kern w:val="0"/>
                <w:sz w:val="24"/>
              </w:rPr>
            </w:pPr>
            <w:r>
              <w:rPr>
                <w:rFonts w:hint="eastAsia"/>
                <w:bCs/>
                <w:color w:val="000000"/>
                <w:kern w:val="0"/>
                <w:sz w:val="24"/>
              </w:rPr>
              <w:t>根据《河南省人民政府办公厅关于印发河南省乡镇集中式饮用水水源保护区划的通知》（豫政办[2016]23 号），蒲山镇饮用水源保护区规划内容如下：</w:t>
            </w:r>
          </w:p>
          <w:p>
            <w:pPr>
              <w:tabs>
                <w:tab w:val="left" w:pos="1081"/>
              </w:tabs>
              <w:adjustRightInd w:val="0"/>
              <w:snapToGrid w:val="0"/>
              <w:spacing w:line="360" w:lineRule="auto"/>
              <w:ind w:firstLine="480" w:firstLineChars="200"/>
              <w:rPr>
                <w:bCs/>
                <w:color w:val="000000"/>
                <w:kern w:val="0"/>
                <w:sz w:val="24"/>
              </w:rPr>
            </w:pPr>
            <w:r>
              <w:rPr>
                <w:rFonts w:hint="eastAsia"/>
                <w:bCs/>
                <w:color w:val="000000"/>
                <w:kern w:val="0"/>
                <w:sz w:val="24"/>
              </w:rPr>
              <w:t>（1）南阳市卧龙区蒲山镇自来水厂地下水井群（共8眼井）</w:t>
            </w:r>
          </w:p>
          <w:p>
            <w:pPr>
              <w:tabs>
                <w:tab w:val="left" w:pos="1081"/>
              </w:tabs>
              <w:adjustRightInd w:val="0"/>
              <w:snapToGrid w:val="0"/>
              <w:spacing w:line="360" w:lineRule="auto"/>
              <w:ind w:firstLine="480" w:firstLineChars="200"/>
              <w:rPr>
                <w:bCs/>
                <w:color w:val="000000"/>
                <w:kern w:val="0"/>
                <w:sz w:val="24"/>
              </w:rPr>
            </w:pPr>
            <w:r>
              <w:rPr>
                <w:rFonts w:hint="eastAsia"/>
                <w:bCs/>
                <w:color w:val="000000"/>
                <w:kern w:val="0"/>
                <w:sz w:val="24"/>
              </w:rPr>
              <w:t>一级保护区范围：井群外包线外围50米的区域。</w:t>
            </w:r>
          </w:p>
          <w:p>
            <w:pPr>
              <w:tabs>
                <w:tab w:val="left" w:pos="1081"/>
              </w:tabs>
              <w:adjustRightInd w:val="0"/>
              <w:snapToGrid w:val="0"/>
              <w:spacing w:line="360" w:lineRule="auto"/>
              <w:ind w:firstLine="480" w:firstLineChars="200"/>
              <w:rPr>
                <w:bCs/>
                <w:color w:val="000000"/>
                <w:kern w:val="0"/>
                <w:sz w:val="24"/>
              </w:rPr>
            </w:pPr>
            <w:r>
              <w:rPr>
                <w:rFonts w:hint="eastAsia"/>
                <w:bCs/>
                <w:color w:val="000000"/>
                <w:kern w:val="0"/>
                <w:sz w:val="24"/>
              </w:rPr>
              <w:t>二级保护区范围：白河沿取水口上游2000米至下游200米的10年一遇洪水的水域和两侧100米的陆域。（包含在已划定的南阳市白河地下水水源地的二级保护区内）。</w:t>
            </w:r>
          </w:p>
          <w:p>
            <w:pPr>
              <w:tabs>
                <w:tab w:val="left" w:pos="1081"/>
              </w:tabs>
              <w:adjustRightInd w:val="0"/>
              <w:snapToGrid w:val="0"/>
              <w:spacing w:line="360" w:lineRule="auto"/>
              <w:ind w:firstLine="482" w:firstLineChars="200"/>
              <w:rPr>
                <w:b/>
                <w:bCs/>
                <w:color w:val="000000"/>
                <w:kern w:val="0"/>
                <w:sz w:val="24"/>
              </w:rPr>
            </w:pPr>
            <w:r>
              <w:rPr>
                <w:rFonts w:hint="eastAsia"/>
                <w:b/>
                <w:bCs/>
                <w:color w:val="000000"/>
                <w:kern w:val="0"/>
                <w:sz w:val="24"/>
              </w:rPr>
              <w:t>6.2相符性分析</w:t>
            </w:r>
          </w:p>
          <w:p>
            <w:pPr>
              <w:tabs>
                <w:tab w:val="left" w:pos="1081"/>
              </w:tabs>
              <w:adjustRightInd w:val="0"/>
              <w:snapToGrid w:val="0"/>
              <w:spacing w:line="360" w:lineRule="auto"/>
              <w:ind w:firstLine="480" w:firstLineChars="200"/>
              <w:rPr>
                <w:bCs/>
                <w:color w:val="000000"/>
                <w:kern w:val="0"/>
                <w:sz w:val="24"/>
              </w:rPr>
            </w:pPr>
            <w:r>
              <w:rPr>
                <w:rFonts w:hint="eastAsia"/>
                <w:bCs/>
                <w:color w:val="000000"/>
                <w:kern w:val="0"/>
                <w:sz w:val="24"/>
              </w:rPr>
              <w:t>本项目位于</w:t>
            </w:r>
            <w:r>
              <w:rPr>
                <w:sz w:val="24"/>
                <w:szCs w:val="24"/>
              </w:rPr>
              <w:t>南阳市卧龙区蒲山镇棉花库路口向西20米路北</w:t>
            </w:r>
            <w:r>
              <w:rPr>
                <w:rFonts w:hint="eastAsia"/>
                <w:bCs/>
                <w:color w:val="000000"/>
                <w:kern w:val="0"/>
                <w:sz w:val="24"/>
              </w:rPr>
              <w:t>，经对照饮用水源保护区规划，项目东距蒲山镇饮用水源二级保护区边界最近直线距离约2.4km，不在蒲山镇饮用水源保护区范围内。本项目营运期职工生活污水经化粪池处理后用于周围农田施肥，不外排。因此，项目建设对蒲山镇饮用水源保护区影响较小。</w:t>
            </w:r>
          </w:p>
          <w:p>
            <w:pPr>
              <w:widowControl/>
              <w:snapToGrid w:val="0"/>
              <w:spacing w:line="360" w:lineRule="auto"/>
              <w:ind w:firstLine="482" w:firstLineChars="200"/>
              <w:rPr>
                <w:b/>
                <w:color w:val="000000" w:themeColor="text1"/>
                <w:sz w:val="24"/>
                <w:szCs w:val="24"/>
              </w:rPr>
            </w:pPr>
            <w:r>
              <w:rPr>
                <w:rFonts w:hint="eastAsia"/>
                <w:b/>
                <w:color w:val="000000" w:themeColor="text1"/>
                <w:sz w:val="24"/>
                <w:szCs w:val="24"/>
              </w:rPr>
              <w:t>7、项目建设与河南南阳白河国家级湿地公园总体规划（2013-2020）的相符性分析</w:t>
            </w:r>
          </w:p>
          <w:p>
            <w:pPr>
              <w:tabs>
                <w:tab w:val="left" w:pos="1081"/>
              </w:tabs>
              <w:adjustRightInd w:val="0"/>
              <w:snapToGrid w:val="0"/>
              <w:spacing w:line="360" w:lineRule="auto"/>
              <w:ind w:firstLine="482" w:firstLineChars="200"/>
              <w:rPr>
                <w:b/>
                <w:bCs/>
                <w:color w:val="000000"/>
                <w:kern w:val="0"/>
                <w:sz w:val="24"/>
              </w:rPr>
            </w:pPr>
            <w:r>
              <w:rPr>
                <w:rFonts w:hint="eastAsia"/>
                <w:b/>
                <w:bCs/>
                <w:color w:val="000000"/>
                <w:kern w:val="0"/>
                <w:sz w:val="24"/>
              </w:rPr>
              <w:t>7.1规划内容</w:t>
            </w:r>
          </w:p>
          <w:p>
            <w:pPr>
              <w:tabs>
                <w:tab w:val="left" w:pos="1081"/>
              </w:tabs>
              <w:adjustRightInd w:val="0"/>
              <w:snapToGrid w:val="0"/>
              <w:spacing w:line="360" w:lineRule="auto"/>
              <w:ind w:firstLine="480" w:firstLineChars="200"/>
              <w:rPr>
                <w:bCs/>
                <w:color w:val="000000"/>
                <w:kern w:val="0"/>
                <w:sz w:val="24"/>
              </w:rPr>
            </w:pPr>
            <w:r>
              <w:rPr>
                <w:rFonts w:hint="eastAsia"/>
                <w:bCs/>
                <w:color w:val="000000"/>
                <w:kern w:val="0"/>
                <w:sz w:val="24"/>
              </w:rPr>
              <w:t>（1）红线范围</w:t>
            </w:r>
          </w:p>
          <w:p>
            <w:pPr>
              <w:tabs>
                <w:tab w:val="left" w:pos="1081"/>
              </w:tabs>
              <w:adjustRightInd w:val="0"/>
              <w:snapToGrid w:val="0"/>
              <w:spacing w:line="360" w:lineRule="auto"/>
              <w:ind w:firstLine="480" w:firstLineChars="200"/>
              <w:rPr>
                <w:bCs/>
                <w:color w:val="000000"/>
                <w:kern w:val="0"/>
                <w:sz w:val="24"/>
              </w:rPr>
            </w:pPr>
            <w:r>
              <w:rPr>
                <w:rFonts w:hint="eastAsia"/>
                <w:bCs/>
                <w:color w:val="000000"/>
                <w:kern w:val="0"/>
                <w:sz w:val="24"/>
              </w:rPr>
              <w:t>河南南阳白河国家湿地公园地处南阳市中北部，跨南召县、方城县、宛城区、卧龙区、南阳新区和鸭河工区，由北向南呈片带状（片指鸭河口水库宽广水面，带指白河河流带状廊道）走向，主要包括鸭河口水库及其下游的白河至S8311南阳北绕城高速段以及周边一定区域。地理坐标大致为：东经112°24′55"～112°40′50"，北纬33°4′29"～33°24′54"。湿地公园规划总面积17276.2hm</w:t>
            </w:r>
            <w:r>
              <w:rPr>
                <w:rFonts w:hint="eastAsia"/>
                <w:bCs/>
                <w:color w:val="000000"/>
                <w:kern w:val="0"/>
                <w:sz w:val="24"/>
                <w:vertAlign w:val="superscript"/>
              </w:rPr>
              <w:t>2</w:t>
            </w:r>
            <w:r>
              <w:rPr>
                <w:rFonts w:hint="eastAsia"/>
                <w:bCs/>
                <w:color w:val="000000"/>
                <w:kern w:val="0"/>
                <w:sz w:val="24"/>
              </w:rPr>
              <w:t>。</w:t>
            </w:r>
          </w:p>
          <w:p>
            <w:pPr>
              <w:tabs>
                <w:tab w:val="left" w:pos="1081"/>
              </w:tabs>
              <w:adjustRightInd w:val="0"/>
              <w:snapToGrid w:val="0"/>
              <w:spacing w:line="360" w:lineRule="auto"/>
              <w:ind w:firstLine="480" w:firstLineChars="200"/>
              <w:rPr>
                <w:bCs/>
                <w:color w:val="000000"/>
                <w:kern w:val="0"/>
                <w:sz w:val="24"/>
              </w:rPr>
            </w:pPr>
            <w:r>
              <w:rPr>
                <w:rFonts w:hint="eastAsia"/>
                <w:bCs/>
                <w:color w:val="000000"/>
                <w:kern w:val="0"/>
                <w:sz w:val="24"/>
              </w:rPr>
              <w:t>（2）湿地类型</w:t>
            </w:r>
          </w:p>
          <w:p>
            <w:pPr>
              <w:tabs>
                <w:tab w:val="left" w:pos="1081"/>
              </w:tabs>
              <w:adjustRightInd w:val="0"/>
              <w:snapToGrid w:val="0"/>
              <w:spacing w:line="360" w:lineRule="auto"/>
              <w:ind w:firstLine="480" w:firstLineChars="200"/>
              <w:rPr>
                <w:bCs/>
                <w:color w:val="000000"/>
                <w:kern w:val="0"/>
                <w:sz w:val="24"/>
              </w:rPr>
            </w:pPr>
            <w:r>
              <w:rPr>
                <w:rFonts w:hint="eastAsia"/>
                <w:bCs/>
                <w:color w:val="000000"/>
                <w:kern w:val="0"/>
                <w:sz w:val="24"/>
              </w:rPr>
              <w:t>湿地公园中湿地总面积为13076.5公顷，占土地总面积的75.7%。湿地公园内湿地分为河流湿地和人工湿地两大湿地类；永久性河流、洪泛平原湿地、库塘和运河/输水河四大湿地型，这种复合湿地生态系统在我国亚热带和暖温带过渡区域具有较强的典型性和代表性，在河南省和我国中原地区具有较强的独特性。</w:t>
            </w:r>
          </w:p>
          <w:p>
            <w:pPr>
              <w:tabs>
                <w:tab w:val="left" w:pos="1081"/>
              </w:tabs>
              <w:adjustRightInd w:val="0"/>
              <w:snapToGrid w:val="0"/>
              <w:spacing w:line="360" w:lineRule="auto"/>
              <w:ind w:firstLine="480" w:firstLineChars="200"/>
              <w:rPr>
                <w:bCs/>
                <w:color w:val="000000"/>
                <w:kern w:val="0"/>
                <w:sz w:val="24"/>
              </w:rPr>
            </w:pPr>
            <w:r>
              <w:rPr>
                <w:rFonts w:hint="eastAsia"/>
                <w:bCs/>
                <w:color w:val="000000"/>
                <w:kern w:val="0"/>
                <w:sz w:val="24"/>
              </w:rPr>
              <w:t>①河流湿地</w:t>
            </w:r>
          </w:p>
          <w:p>
            <w:pPr>
              <w:tabs>
                <w:tab w:val="left" w:pos="1081"/>
              </w:tabs>
              <w:adjustRightInd w:val="0"/>
              <w:snapToGrid w:val="0"/>
              <w:spacing w:line="360" w:lineRule="auto"/>
              <w:ind w:firstLine="480" w:firstLineChars="200"/>
              <w:rPr>
                <w:bCs/>
                <w:color w:val="000000"/>
                <w:kern w:val="0"/>
                <w:sz w:val="24"/>
              </w:rPr>
            </w:pPr>
            <w:r>
              <w:rPr>
                <w:rFonts w:hint="eastAsia"/>
                <w:bCs/>
                <w:color w:val="000000"/>
                <w:kern w:val="0"/>
                <w:sz w:val="24"/>
              </w:rPr>
              <w:t>河流湿地包括永久性河流和洪泛平原湿地两个湿地型。永久性河流主要指白河及其支流以及鸭河口水库汇水支流，洪泛</w:t>
            </w:r>
          </w:p>
          <w:p>
            <w:pPr>
              <w:tabs>
                <w:tab w:val="left" w:pos="1081"/>
              </w:tabs>
              <w:adjustRightInd w:val="0"/>
              <w:snapToGrid w:val="0"/>
              <w:spacing w:line="360" w:lineRule="auto"/>
              <w:ind w:firstLine="480" w:firstLineChars="200"/>
              <w:rPr>
                <w:bCs/>
                <w:color w:val="000000"/>
                <w:kern w:val="0"/>
                <w:sz w:val="24"/>
              </w:rPr>
            </w:pPr>
            <w:r>
              <w:rPr>
                <w:rFonts w:hint="eastAsia"/>
                <w:bCs/>
                <w:color w:val="000000"/>
                <w:kern w:val="0"/>
                <w:sz w:val="24"/>
              </w:rPr>
              <w:t>平原湿地主要指白河洲滩湿地。</w:t>
            </w:r>
          </w:p>
          <w:p>
            <w:pPr>
              <w:tabs>
                <w:tab w:val="left" w:pos="1081"/>
              </w:tabs>
              <w:adjustRightInd w:val="0"/>
              <w:snapToGrid w:val="0"/>
              <w:spacing w:line="360" w:lineRule="auto"/>
              <w:ind w:firstLine="480" w:firstLineChars="200"/>
              <w:rPr>
                <w:bCs/>
                <w:color w:val="000000"/>
                <w:kern w:val="0"/>
                <w:sz w:val="24"/>
              </w:rPr>
            </w:pPr>
            <w:r>
              <w:rPr>
                <w:rFonts w:hint="eastAsia"/>
                <w:bCs/>
                <w:color w:val="000000"/>
                <w:kern w:val="0"/>
                <w:sz w:val="24"/>
              </w:rPr>
              <w:t>②人工湿地</w:t>
            </w:r>
          </w:p>
          <w:p>
            <w:pPr>
              <w:tabs>
                <w:tab w:val="left" w:pos="1081"/>
              </w:tabs>
              <w:adjustRightInd w:val="0"/>
              <w:snapToGrid w:val="0"/>
              <w:spacing w:line="360" w:lineRule="auto"/>
              <w:ind w:firstLine="480" w:firstLineChars="200"/>
              <w:rPr>
                <w:bCs/>
                <w:color w:val="000000"/>
                <w:kern w:val="0"/>
                <w:sz w:val="24"/>
              </w:rPr>
            </w:pPr>
            <w:r>
              <w:rPr>
                <w:rFonts w:hint="eastAsia"/>
                <w:bCs/>
                <w:color w:val="000000"/>
                <w:kern w:val="0"/>
                <w:sz w:val="24"/>
              </w:rPr>
              <w:t>人工湿地包括库塘和运河/输水河两个湿地型。库塘主要是指鸭河口水库，运河/输水河主要指鸭河口水库的溢洪道。</w:t>
            </w:r>
          </w:p>
          <w:p>
            <w:pPr>
              <w:tabs>
                <w:tab w:val="left" w:pos="1081"/>
              </w:tabs>
              <w:adjustRightInd w:val="0"/>
              <w:snapToGrid w:val="0"/>
              <w:spacing w:line="360" w:lineRule="auto"/>
              <w:ind w:firstLine="480" w:firstLineChars="200"/>
              <w:rPr>
                <w:bCs/>
                <w:color w:val="000000"/>
                <w:kern w:val="0"/>
                <w:sz w:val="24"/>
              </w:rPr>
            </w:pPr>
            <w:r>
              <w:rPr>
                <w:rFonts w:hint="eastAsia"/>
                <w:bCs/>
                <w:color w:val="000000"/>
                <w:kern w:val="0"/>
                <w:sz w:val="24"/>
              </w:rPr>
              <w:t>（3）功能分区</w:t>
            </w:r>
          </w:p>
          <w:p>
            <w:pPr>
              <w:tabs>
                <w:tab w:val="left" w:pos="1081"/>
              </w:tabs>
              <w:adjustRightInd w:val="0"/>
              <w:snapToGrid w:val="0"/>
              <w:spacing w:line="360" w:lineRule="auto"/>
              <w:ind w:firstLine="480" w:firstLineChars="200"/>
              <w:rPr>
                <w:bCs/>
                <w:color w:val="000000"/>
                <w:kern w:val="0"/>
                <w:sz w:val="24"/>
              </w:rPr>
            </w:pPr>
            <w:r>
              <w:rPr>
                <w:rFonts w:hint="eastAsia"/>
                <w:bCs/>
                <w:color w:val="000000"/>
                <w:kern w:val="0"/>
                <w:sz w:val="24"/>
              </w:rPr>
              <w:t>河南南阳白河国家湿地公园分为生态保护保育区、恢复重建区、宣教展示区和管理服务区4个功能区。生态保护保育区是开展保护、监测等必需的保护管理活动的区域，不进行任何与湿地生态系统保护和管理无关的其他活动，区内以保护措施为主，一般维持其自然的原始风貌；恢复重建区以人工促进为主的方式恢复和重建白河河流湿地生态系统结构、过程和功能，恢复良好的水文条件，打造健康的河流廊道生态系统，改善和提高水禽栖息地质量，扩大水禽栖息地面积，让水禽重新回归栖息乐园，并开展相应的科研监测和科普宣教活动；宣教展示区是开展湿地服务功能展示、宣传教育活动的区域；管理服务区可供湿地公园管理者开展管理和服务活动。保护保育区面积为16196.7hm</w:t>
            </w:r>
            <w:r>
              <w:rPr>
                <w:rFonts w:hint="eastAsia"/>
                <w:bCs/>
                <w:color w:val="000000"/>
                <w:kern w:val="0"/>
                <w:sz w:val="24"/>
                <w:vertAlign w:val="superscript"/>
              </w:rPr>
              <w:t>2</w:t>
            </w:r>
            <w:r>
              <w:rPr>
                <w:rFonts w:hint="eastAsia"/>
                <w:bCs/>
                <w:color w:val="000000"/>
                <w:kern w:val="0"/>
                <w:sz w:val="24"/>
              </w:rPr>
              <w:t>，占河南南阳白河国家湿地公园总面积的93.8%，是湿地公园的绝对主体。</w:t>
            </w:r>
          </w:p>
          <w:p>
            <w:pPr>
              <w:numPr>
                <w:ilvl w:val="0"/>
                <w:numId w:val="2"/>
              </w:numPr>
              <w:autoSpaceDE w:val="0"/>
              <w:autoSpaceDN w:val="0"/>
              <w:adjustRightInd w:val="0"/>
              <w:snapToGrid w:val="0"/>
              <w:jc w:val="center"/>
              <w:rPr>
                <w:b/>
                <w:color w:val="000000"/>
                <w:sz w:val="24"/>
              </w:rPr>
            </w:pPr>
            <w:r>
              <w:rPr>
                <w:rFonts w:hint="eastAsia"/>
                <w:b/>
                <w:color w:val="000000"/>
                <w:sz w:val="24"/>
              </w:rPr>
              <w:t xml:space="preserve"> 河南阳白国家湿地公园功能分区表</w:t>
            </w:r>
          </w:p>
          <w:tbl>
            <w:tblPr>
              <w:tblStyle w:val="27"/>
              <w:tblW w:w="6927"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36"/>
              <w:gridCol w:w="1984"/>
              <w:gridCol w:w="1435"/>
              <w:gridCol w:w="1386"/>
              <w:gridCol w:w="138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736" w:type="dxa"/>
                  <w:vAlign w:val="center"/>
                </w:tcPr>
                <w:p>
                  <w:pPr>
                    <w:jc w:val="center"/>
                    <w:rPr>
                      <w:rFonts w:eastAsiaTheme="majorEastAsia"/>
                    </w:rPr>
                  </w:pPr>
                  <w:r>
                    <w:rPr>
                      <w:rFonts w:hint="eastAsia" w:eastAsiaTheme="majorEastAsia"/>
                    </w:rPr>
                    <w:t>分区</w:t>
                  </w:r>
                </w:p>
              </w:tc>
              <w:tc>
                <w:tcPr>
                  <w:tcW w:w="1984" w:type="dxa"/>
                  <w:vAlign w:val="center"/>
                </w:tcPr>
                <w:p>
                  <w:pPr>
                    <w:jc w:val="center"/>
                    <w:rPr>
                      <w:rFonts w:eastAsiaTheme="majorEastAsia"/>
                    </w:rPr>
                  </w:pPr>
                  <w:r>
                    <w:rPr>
                      <w:rFonts w:hint="eastAsia" w:eastAsiaTheme="majorEastAsia"/>
                    </w:rPr>
                    <w:t>小区</w:t>
                  </w:r>
                </w:p>
              </w:tc>
              <w:tc>
                <w:tcPr>
                  <w:tcW w:w="1435" w:type="dxa"/>
                  <w:vAlign w:val="center"/>
                </w:tcPr>
                <w:p>
                  <w:pPr>
                    <w:jc w:val="center"/>
                    <w:rPr>
                      <w:rFonts w:eastAsiaTheme="majorEastAsia"/>
                    </w:rPr>
                  </w:pPr>
                  <w:r>
                    <w:rPr>
                      <w:rFonts w:hint="eastAsia" w:eastAsiaTheme="majorEastAsia"/>
                    </w:rPr>
                    <w:t>面积（公顷）</w:t>
                  </w:r>
                </w:p>
              </w:tc>
              <w:tc>
                <w:tcPr>
                  <w:tcW w:w="1386" w:type="dxa"/>
                  <w:vAlign w:val="center"/>
                </w:tcPr>
                <w:p>
                  <w:pPr>
                    <w:jc w:val="center"/>
                    <w:rPr>
                      <w:rFonts w:eastAsiaTheme="majorEastAsia"/>
                    </w:rPr>
                  </w:pPr>
                  <w:r>
                    <w:rPr>
                      <w:rFonts w:hint="eastAsia" w:eastAsiaTheme="majorEastAsia"/>
                    </w:rPr>
                    <w:t>比例（%）</w:t>
                  </w:r>
                </w:p>
              </w:tc>
              <w:tc>
                <w:tcPr>
                  <w:tcW w:w="1386" w:type="dxa"/>
                  <w:vAlign w:val="center"/>
                </w:tcPr>
                <w:p>
                  <w:pPr>
                    <w:jc w:val="center"/>
                    <w:rPr>
                      <w:rFonts w:eastAsiaTheme="majorEastAsia"/>
                    </w:rPr>
                  </w:pPr>
                  <w:r>
                    <w:rPr>
                      <w:rFonts w:hint="eastAsia" w:eastAsiaTheme="majorEastAsia"/>
                    </w:rPr>
                    <w:t>主导功能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736" w:type="dxa"/>
                  <w:vMerge w:val="restart"/>
                  <w:vAlign w:val="center"/>
                </w:tcPr>
                <w:p>
                  <w:pPr>
                    <w:jc w:val="center"/>
                    <w:rPr>
                      <w:rFonts w:eastAsiaTheme="majorEastAsia"/>
                    </w:rPr>
                  </w:pPr>
                  <w:r>
                    <w:rPr>
                      <w:rFonts w:hint="eastAsia" w:eastAsiaTheme="majorEastAsia"/>
                    </w:rPr>
                    <w:t>保护保育区</w:t>
                  </w:r>
                </w:p>
              </w:tc>
              <w:tc>
                <w:tcPr>
                  <w:tcW w:w="1984" w:type="dxa"/>
                  <w:vAlign w:val="center"/>
                </w:tcPr>
                <w:p>
                  <w:pPr>
                    <w:jc w:val="center"/>
                    <w:rPr>
                      <w:rFonts w:eastAsiaTheme="majorEastAsia"/>
                    </w:rPr>
                  </w:pPr>
                  <w:r>
                    <w:rPr>
                      <w:rFonts w:hint="eastAsia" w:eastAsiaTheme="majorEastAsia"/>
                    </w:rPr>
                    <w:t>鸭河口水库水源和游禽类栖息地保护保育小区</w:t>
                  </w:r>
                </w:p>
              </w:tc>
              <w:tc>
                <w:tcPr>
                  <w:tcW w:w="1435" w:type="dxa"/>
                  <w:vAlign w:val="center"/>
                </w:tcPr>
                <w:p>
                  <w:pPr>
                    <w:jc w:val="center"/>
                    <w:rPr>
                      <w:rFonts w:eastAsiaTheme="majorEastAsia"/>
                    </w:rPr>
                  </w:pPr>
                  <w:r>
                    <w:rPr>
                      <w:rFonts w:hint="eastAsia" w:eastAsiaTheme="majorEastAsia"/>
                    </w:rPr>
                    <w:t>9186.6</w:t>
                  </w:r>
                </w:p>
              </w:tc>
              <w:tc>
                <w:tcPr>
                  <w:tcW w:w="1386" w:type="dxa"/>
                  <w:vAlign w:val="center"/>
                </w:tcPr>
                <w:p>
                  <w:pPr>
                    <w:jc w:val="center"/>
                    <w:rPr>
                      <w:rFonts w:eastAsiaTheme="majorEastAsia"/>
                    </w:rPr>
                  </w:pPr>
                  <w:r>
                    <w:rPr>
                      <w:rFonts w:hint="eastAsia" w:eastAsiaTheme="majorEastAsia"/>
                    </w:rPr>
                    <w:t>53.2</w:t>
                  </w:r>
                </w:p>
              </w:tc>
              <w:tc>
                <w:tcPr>
                  <w:tcW w:w="1386" w:type="dxa"/>
                  <w:vAlign w:val="center"/>
                </w:tcPr>
                <w:p>
                  <w:pPr>
                    <w:jc w:val="center"/>
                    <w:rPr>
                      <w:rFonts w:eastAsiaTheme="majorEastAsia"/>
                    </w:rPr>
                  </w:pPr>
                  <w:r>
                    <w:rPr>
                      <w:rFonts w:hint="eastAsia" w:eastAsiaTheme="majorEastAsia"/>
                    </w:rPr>
                    <w:t>保护、提高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736" w:type="dxa"/>
                  <w:vMerge w:val="continue"/>
                  <w:vAlign w:val="center"/>
                </w:tcPr>
                <w:p>
                  <w:pPr>
                    <w:jc w:val="center"/>
                    <w:rPr>
                      <w:rFonts w:eastAsiaTheme="majorEastAsia"/>
                    </w:rPr>
                  </w:pPr>
                </w:p>
              </w:tc>
              <w:tc>
                <w:tcPr>
                  <w:tcW w:w="1984" w:type="dxa"/>
                  <w:vAlign w:val="center"/>
                </w:tcPr>
                <w:p>
                  <w:pPr>
                    <w:jc w:val="center"/>
                    <w:rPr>
                      <w:rFonts w:eastAsiaTheme="majorEastAsia"/>
                    </w:rPr>
                  </w:pPr>
                  <w:r>
                    <w:rPr>
                      <w:rFonts w:hint="eastAsia" w:eastAsiaTheme="majorEastAsia"/>
                    </w:rPr>
                    <w:t>库塘浅水区水禽栖息地保护保育小区</w:t>
                  </w:r>
                </w:p>
              </w:tc>
              <w:tc>
                <w:tcPr>
                  <w:tcW w:w="1435" w:type="dxa"/>
                  <w:vAlign w:val="center"/>
                </w:tcPr>
                <w:p>
                  <w:pPr>
                    <w:jc w:val="center"/>
                    <w:rPr>
                      <w:rFonts w:eastAsiaTheme="majorEastAsia"/>
                    </w:rPr>
                  </w:pPr>
                  <w:r>
                    <w:rPr>
                      <w:rFonts w:hint="eastAsia" w:eastAsiaTheme="majorEastAsia"/>
                    </w:rPr>
                    <w:t>2314.3</w:t>
                  </w:r>
                </w:p>
              </w:tc>
              <w:tc>
                <w:tcPr>
                  <w:tcW w:w="1386" w:type="dxa"/>
                  <w:vAlign w:val="center"/>
                </w:tcPr>
                <w:p>
                  <w:pPr>
                    <w:jc w:val="center"/>
                    <w:rPr>
                      <w:rFonts w:eastAsiaTheme="majorEastAsia"/>
                    </w:rPr>
                  </w:pPr>
                  <w:r>
                    <w:rPr>
                      <w:rFonts w:hint="eastAsia" w:eastAsiaTheme="majorEastAsia"/>
                    </w:rPr>
                    <w:t>13.4</w:t>
                  </w:r>
                </w:p>
              </w:tc>
              <w:tc>
                <w:tcPr>
                  <w:tcW w:w="1386" w:type="dxa"/>
                  <w:vAlign w:val="center"/>
                </w:tcPr>
                <w:p>
                  <w:pPr>
                    <w:jc w:val="center"/>
                    <w:rPr>
                      <w:rFonts w:eastAsiaTheme="majorEastAsia"/>
                    </w:rPr>
                  </w:pPr>
                  <w:r>
                    <w:rPr>
                      <w:rFonts w:hint="eastAsia" w:eastAsiaTheme="majorEastAsia"/>
                    </w:rPr>
                    <w:t>保护、提高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736" w:type="dxa"/>
                  <w:vMerge w:val="continue"/>
                  <w:vAlign w:val="center"/>
                </w:tcPr>
                <w:p>
                  <w:pPr>
                    <w:jc w:val="center"/>
                    <w:rPr>
                      <w:rFonts w:eastAsiaTheme="majorEastAsia"/>
                    </w:rPr>
                  </w:pPr>
                </w:p>
              </w:tc>
              <w:tc>
                <w:tcPr>
                  <w:tcW w:w="1984" w:type="dxa"/>
                  <w:vAlign w:val="center"/>
                </w:tcPr>
                <w:p>
                  <w:pPr>
                    <w:jc w:val="center"/>
                    <w:rPr>
                      <w:rFonts w:eastAsiaTheme="majorEastAsia"/>
                    </w:rPr>
                  </w:pPr>
                  <w:r>
                    <w:rPr>
                      <w:rFonts w:hint="eastAsia" w:eastAsiaTheme="majorEastAsia"/>
                    </w:rPr>
                    <w:t>环库水源涵养林保护保育小区</w:t>
                  </w:r>
                </w:p>
              </w:tc>
              <w:tc>
                <w:tcPr>
                  <w:tcW w:w="1435" w:type="dxa"/>
                  <w:vAlign w:val="center"/>
                </w:tcPr>
                <w:p>
                  <w:pPr>
                    <w:jc w:val="center"/>
                    <w:rPr>
                      <w:rFonts w:eastAsiaTheme="majorEastAsia"/>
                    </w:rPr>
                  </w:pPr>
                  <w:r>
                    <w:rPr>
                      <w:rFonts w:hint="eastAsia" w:eastAsiaTheme="majorEastAsia"/>
                    </w:rPr>
                    <w:t>3359.5</w:t>
                  </w:r>
                </w:p>
              </w:tc>
              <w:tc>
                <w:tcPr>
                  <w:tcW w:w="1386" w:type="dxa"/>
                  <w:vAlign w:val="center"/>
                </w:tcPr>
                <w:p>
                  <w:pPr>
                    <w:jc w:val="center"/>
                    <w:rPr>
                      <w:rFonts w:eastAsiaTheme="majorEastAsia"/>
                    </w:rPr>
                  </w:pPr>
                  <w:r>
                    <w:rPr>
                      <w:rFonts w:hint="eastAsia" w:eastAsiaTheme="majorEastAsia"/>
                    </w:rPr>
                    <w:t>19.4</w:t>
                  </w:r>
                </w:p>
              </w:tc>
              <w:tc>
                <w:tcPr>
                  <w:tcW w:w="1386" w:type="dxa"/>
                  <w:vAlign w:val="center"/>
                </w:tcPr>
                <w:p>
                  <w:pPr>
                    <w:jc w:val="center"/>
                    <w:rPr>
                      <w:rFonts w:eastAsiaTheme="majorEastAsia"/>
                    </w:rPr>
                  </w:pPr>
                  <w:r>
                    <w:rPr>
                      <w:rFonts w:hint="eastAsia" w:eastAsiaTheme="majorEastAsia"/>
                    </w:rPr>
                    <w:t>保护、提高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736" w:type="dxa"/>
                  <w:vMerge w:val="continue"/>
                  <w:vAlign w:val="center"/>
                </w:tcPr>
                <w:p>
                  <w:pPr>
                    <w:jc w:val="center"/>
                    <w:rPr>
                      <w:rFonts w:eastAsiaTheme="majorEastAsia"/>
                    </w:rPr>
                  </w:pPr>
                </w:p>
              </w:tc>
              <w:tc>
                <w:tcPr>
                  <w:tcW w:w="1984" w:type="dxa"/>
                  <w:vAlign w:val="center"/>
                </w:tcPr>
                <w:p>
                  <w:pPr>
                    <w:jc w:val="center"/>
                    <w:rPr>
                      <w:rFonts w:eastAsiaTheme="majorEastAsia"/>
                    </w:rPr>
                  </w:pPr>
                  <w:r>
                    <w:rPr>
                      <w:rFonts w:hint="eastAsia" w:eastAsiaTheme="majorEastAsia"/>
                    </w:rPr>
                    <w:t>白河河流水禽栖息地保护保育小区</w:t>
                  </w:r>
                </w:p>
              </w:tc>
              <w:tc>
                <w:tcPr>
                  <w:tcW w:w="1435" w:type="dxa"/>
                  <w:vAlign w:val="center"/>
                </w:tcPr>
                <w:p>
                  <w:pPr>
                    <w:jc w:val="center"/>
                    <w:rPr>
                      <w:rFonts w:eastAsiaTheme="majorEastAsia"/>
                    </w:rPr>
                  </w:pPr>
                  <w:r>
                    <w:rPr>
                      <w:rFonts w:hint="eastAsia" w:eastAsiaTheme="majorEastAsia"/>
                    </w:rPr>
                    <w:t>1336.3</w:t>
                  </w:r>
                </w:p>
              </w:tc>
              <w:tc>
                <w:tcPr>
                  <w:tcW w:w="1386" w:type="dxa"/>
                  <w:vAlign w:val="center"/>
                </w:tcPr>
                <w:p>
                  <w:pPr>
                    <w:jc w:val="center"/>
                    <w:rPr>
                      <w:rFonts w:eastAsiaTheme="majorEastAsia"/>
                    </w:rPr>
                  </w:pPr>
                  <w:r>
                    <w:rPr>
                      <w:rFonts w:hint="eastAsia" w:eastAsiaTheme="majorEastAsia"/>
                    </w:rPr>
                    <w:t>7.8</w:t>
                  </w:r>
                </w:p>
              </w:tc>
              <w:tc>
                <w:tcPr>
                  <w:tcW w:w="1386" w:type="dxa"/>
                  <w:vAlign w:val="center"/>
                </w:tcPr>
                <w:p>
                  <w:pPr>
                    <w:jc w:val="center"/>
                    <w:rPr>
                      <w:rFonts w:eastAsiaTheme="majorEastAsia"/>
                    </w:rPr>
                  </w:pPr>
                  <w:r>
                    <w:rPr>
                      <w:rFonts w:hint="eastAsia" w:eastAsiaTheme="majorEastAsia"/>
                    </w:rPr>
                    <w:t>保护、提高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736" w:type="dxa"/>
                  <w:vMerge w:val="continue"/>
                  <w:vAlign w:val="center"/>
                </w:tcPr>
                <w:p>
                  <w:pPr>
                    <w:jc w:val="center"/>
                    <w:rPr>
                      <w:rFonts w:eastAsiaTheme="majorEastAsia"/>
                    </w:rPr>
                  </w:pPr>
                </w:p>
              </w:tc>
              <w:tc>
                <w:tcPr>
                  <w:tcW w:w="1984" w:type="dxa"/>
                  <w:vAlign w:val="center"/>
                </w:tcPr>
                <w:p>
                  <w:pPr>
                    <w:jc w:val="center"/>
                    <w:rPr>
                      <w:rFonts w:eastAsiaTheme="majorEastAsia"/>
                    </w:rPr>
                  </w:pPr>
                  <w:r>
                    <w:rPr>
                      <w:rFonts w:hint="eastAsia" w:eastAsiaTheme="majorEastAsia"/>
                    </w:rPr>
                    <w:t>小计</w:t>
                  </w:r>
                </w:p>
              </w:tc>
              <w:tc>
                <w:tcPr>
                  <w:tcW w:w="1435" w:type="dxa"/>
                  <w:vAlign w:val="center"/>
                </w:tcPr>
                <w:p>
                  <w:pPr>
                    <w:jc w:val="center"/>
                    <w:rPr>
                      <w:rFonts w:eastAsiaTheme="majorEastAsia"/>
                    </w:rPr>
                  </w:pPr>
                  <w:r>
                    <w:rPr>
                      <w:rFonts w:hint="eastAsia" w:eastAsiaTheme="majorEastAsia"/>
                    </w:rPr>
                    <w:t>16196.7</w:t>
                  </w:r>
                </w:p>
              </w:tc>
              <w:tc>
                <w:tcPr>
                  <w:tcW w:w="1386" w:type="dxa"/>
                  <w:vAlign w:val="center"/>
                </w:tcPr>
                <w:p>
                  <w:pPr>
                    <w:jc w:val="center"/>
                    <w:rPr>
                      <w:rFonts w:eastAsiaTheme="majorEastAsia"/>
                    </w:rPr>
                  </w:pPr>
                  <w:r>
                    <w:rPr>
                      <w:rFonts w:hint="eastAsia" w:eastAsiaTheme="majorEastAsia"/>
                    </w:rPr>
                    <w:t>93.8</w:t>
                  </w:r>
                </w:p>
              </w:tc>
              <w:tc>
                <w:tcPr>
                  <w:tcW w:w="1386" w:type="dxa"/>
                  <w:vAlign w:val="center"/>
                </w:tcPr>
                <w:p>
                  <w:pPr>
                    <w:jc w:val="center"/>
                    <w:rPr>
                      <w:rFonts w:eastAsiaTheme="majorEastAsia"/>
                    </w:rPr>
                  </w:pPr>
                  <w:r>
                    <w:rPr>
                      <w:rFonts w:hint="eastAsia" w:eastAsiaTheme="majorEastAsia"/>
                    </w:rPr>
                    <w:t>保护、提高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720" w:type="dxa"/>
                  <w:gridSpan w:val="2"/>
                  <w:vAlign w:val="center"/>
                </w:tcPr>
                <w:p>
                  <w:pPr>
                    <w:jc w:val="center"/>
                    <w:rPr>
                      <w:rFonts w:eastAsiaTheme="majorEastAsia"/>
                    </w:rPr>
                  </w:pPr>
                  <w:r>
                    <w:rPr>
                      <w:rFonts w:hint="eastAsia" w:eastAsiaTheme="majorEastAsia"/>
                    </w:rPr>
                    <w:t>恢复重建区</w:t>
                  </w:r>
                </w:p>
              </w:tc>
              <w:tc>
                <w:tcPr>
                  <w:tcW w:w="1435" w:type="dxa"/>
                  <w:vAlign w:val="center"/>
                </w:tcPr>
                <w:p>
                  <w:pPr>
                    <w:jc w:val="center"/>
                    <w:rPr>
                      <w:rFonts w:eastAsiaTheme="majorEastAsia"/>
                    </w:rPr>
                  </w:pPr>
                  <w:r>
                    <w:rPr>
                      <w:rFonts w:hint="eastAsia" w:eastAsiaTheme="majorEastAsia"/>
                    </w:rPr>
                    <w:t>706.6</w:t>
                  </w:r>
                </w:p>
              </w:tc>
              <w:tc>
                <w:tcPr>
                  <w:tcW w:w="1386" w:type="dxa"/>
                  <w:vAlign w:val="center"/>
                </w:tcPr>
                <w:p>
                  <w:pPr>
                    <w:jc w:val="center"/>
                    <w:rPr>
                      <w:rFonts w:eastAsiaTheme="majorEastAsia"/>
                    </w:rPr>
                  </w:pPr>
                  <w:r>
                    <w:rPr>
                      <w:rFonts w:hint="eastAsia" w:eastAsiaTheme="majorEastAsia"/>
                    </w:rPr>
                    <w:t>4.1</w:t>
                  </w:r>
                </w:p>
              </w:tc>
              <w:tc>
                <w:tcPr>
                  <w:tcW w:w="1386" w:type="dxa"/>
                  <w:vAlign w:val="center"/>
                </w:tcPr>
                <w:p>
                  <w:pPr>
                    <w:jc w:val="center"/>
                    <w:rPr>
                      <w:rFonts w:eastAsiaTheme="majorEastAsia"/>
                    </w:rPr>
                  </w:pPr>
                  <w:r>
                    <w:rPr>
                      <w:rFonts w:hint="eastAsia" w:eastAsiaTheme="majorEastAsia"/>
                    </w:rPr>
                    <w:t>保护、提高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720" w:type="dxa"/>
                  <w:gridSpan w:val="2"/>
                  <w:vAlign w:val="center"/>
                </w:tcPr>
                <w:p>
                  <w:pPr>
                    <w:jc w:val="center"/>
                    <w:rPr>
                      <w:rFonts w:eastAsiaTheme="majorEastAsia"/>
                    </w:rPr>
                  </w:pPr>
                  <w:r>
                    <w:rPr>
                      <w:rFonts w:hint="eastAsia" w:eastAsiaTheme="majorEastAsia"/>
                    </w:rPr>
                    <w:t>宣教展示区</w:t>
                  </w:r>
                </w:p>
              </w:tc>
              <w:tc>
                <w:tcPr>
                  <w:tcW w:w="1435" w:type="dxa"/>
                  <w:vAlign w:val="center"/>
                </w:tcPr>
                <w:p>
                  <w:pPr>
                    <w:jc w:val="center"/>
                    <w:rPr>
                      <w:rFonts w:eastAsiaTheme="majorEastAsia"/>
                    </w:rPr>
                  </w:pPr>
                  <w:r>
                    <w:rPr>
                      <w:rFonts w:hint="eastAsia" w:eastAsiaTheme="majorEastAsia"/>
                    </w:rPr>
                    <w:t>351.8</w:t>
                  </w:r>
                </w:p>
              </w:tc>
              <w:tc>
                <w:tcPr>
                  <w:tcW w:w="1386" w:type="dxa"/>
                  <w:vAlign w:val="center"/>
                </w:tcPr>
                <w:p>
                  <w:pPr>
                    <w:jc w:val="center"/>
                    <w:rPr>
                      <w:rFonts w:eastAsiaTheme="majorEastAsia"/>
                    </w:rPr>
                  </w:pPr>
                  <w:r>
                    <w:rPr>
                      <w:rFonts w:hint="eastAsia" w:eastAsiaTheme="majorEastAsia"/>
                    </w:rPr>
                    <w:t>2.0</w:t>
                  </w:r>
                </w:p>
              </w:tc>
              <w:tc>
                <w:tcPr>
                  <w:tcW w:w="1386" w:type="dxa"/>
                  <w:vAlign w:val="center"/>
                </w:tcPr>
                <w:p>
                  <w:pPr>
                    <w:jc w:val="center"/>
                    <w:rPr>
                      <w:rFonts w:eastAsiaTheme="majorEastAsia"/>
                    </w:rPr>
                  </w:pPr>
                  <w:r>
                    <w:rPr>
                      <w:rFonts w:hint="eastAsia" w:eastAsiaTheme="majorEastAsia"/>
                    </w:rPr>
                    <w:t>保护、利用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720" w:type="dxa"/>
                  <w:gridSpan w:val="2"/>
                  <w:vAlign w:val="center"/>
                </w:tcPr>
                <w:p>
                  <w:pPr>
                    <w:jc w:val="center"/>
                    <w:rPr>
                      <w:rFonts w:eastAsiaTheme="majorEastAsia"/>
                    </w:rPr>
                  </w:pPr>
                  <w:r>
                    <w:rPr>
                      <w:rFonts w:hint="eastAsia" w:eastAsiaTheme="majorEastAsia"/>
                    </w:rPr>
                    <w:t>管理服务区</w:t>
                  </w:r>
                </w:p>
              </w:tc>
              <w:tc>
                <w:tcPr>
                  <w:tcW w:w="1435" w:type="dxa"/>
                  <w:vAlign w:val="center"/>
                </w:tcPr>
                <w:p>
                  <w:pPr>
                    <w:jc w:val="center"/>
                    <w:rPr>
                      <w:rFonts w:eastAsiaTheme="majorEastAsia"/>
                    </w:rPr>
                  </w:pPr>
                  <w:r>
                    <w:rPr>
                      <w:rFonts w:hint="eastAsia" w:eastAsiaTheme="majorEastAsia"/>
                    </w:rPr>
                    <w:t>21.1</w:t>
                  </w:r>
                </w:p>
              </w:tc>
              <w:tc>
                <w:tcPr>
                  <w:tcW w:w="1386" w:type="dxa"/>
                  <w:vAlign w:val="center"/>
                </w:tcPr>
                <w:p>
                  <w:pPr>
                    <w:jc w:val="center"/>
                    <w:rPr>
                      <w:rFonts w:eastAsiaTheme="majorEastAsia"/>
                    </w:rPr>
                  </w:pPr>
                  <w:r>
                    <w:rPr>
                      <w:rFonts w:hint="eastAsia" w:eastAsiaTheme="majorEastAsia"/>
                    </w:rPr>
                    <w:t>0.1</w:t>
                  </w:r>
                </w:p>
              </w:tc>
              <w:tc>
                <w:tcPr>
                  <w:tcW w:w="1386" w:type="dxa"/>
                  <w:vAlign w:val="center"/>
                </w:tcPr>
                <w:p>
                  <w:pPr>
                    <w:jc w:val="center"/>
                    <w:rPr>
                      <w:rFonts w:eastAsiaTheme="majorEastAsia"/>
                    </w:rPr>
                  </w:pPr>
                  <w:r>
                    <w:rPr>
                      <w:rFonts w:hint="eastAsia" w:eastAsiaTheme="majorEastAsia"/>
                    </w:rPr>
                    <w:t>保护、提高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720" w:type="dxa"/>
                  <w:gridSpan w:val="2"/>
                  <w:vAlign w:val="center"/>
                </w:tcPr>
                <w:p>
                  <w:pPr>
                    <w:jc w:val="center"/>
                    <w:rPr>
                      <w:rFonts w:eastAsiaTheme="majorEastAsia"/>
                    </w:rPr>
                  </w:pPr>
                  <w:r>
                    <w:rPr>
                      <w:rFonts w:hint="eastAsia" w:eastAsiaTheme="majorEastAsia"/>
                    </w:rPr>
                    <w:t>合计</w:t>
                  </w:r>
                </w:p>
              </w:tc>
              <w:tc>
                <w:tcPr>
                  <w:tcW w:w="1435" w:type="dxa"/>
                  <w:vAlign w:val="center"/>
                </w:tcPr>
                <w:p>
                  <w:pPr>
                    <w:jc w:val="center"/>
                    <w:rPr>
                      <w:rFonts w:eastAsiaTheme="majorEastAsia"/>
                    </w:rPr>
                  </w:pPr>
                  <w:r>
                    <w:rPr>
                      <w:rFonts w:hint="eastAsia" w:eastAsiaTheme="majorEastAsia"/>
                    </w:rPr>
                    <w:t>17276.2</w:t>
                  </w:r>
                </w:p>
              </w:tc>
              <w:tc>
                <w:tcPr>
                  <w:tcW w:w="1386" w:type="dxa"/>
                  <w:vAlign w:val="center"/>
                </w:tcPr>
                <w:p>
                  <w:pPr>
                    <w:jc w:val="center"/>
                    <w:rPr>
                      <w:rFonts w:eastAsiaTheme="majorEastAsia"/>
                    </w:rPr>
                  </w:pPr>
                  <w:r>
                    <w:rPr>
                      <w:rFonts w:hint="eastAsia" w:eastAsiaTheme="majorEastAsia"/>
                    </w:rPr>
                    <w:t>100.0</w:t>
                  </w:r>
                </w:p>
              </w:tc>
              <w:tc>
                <w:tcPr>
                  <w:tcW w:w="1386" w:type="dxa"/>
                  <w:vAlign w:val="center"/>
                </w:tcPr>
                <w:p>
                  <w:pPr>
                    <w:jc w:val="center"/>
                    <w:rPr>
                      <w:rFonts w:eastAsiaTheme="majorEastAsia"/>
                    </w:rPr>
                  </w:pPr>
                </w:p>
              </w:tc>
            </w:tr>
          </w:tbl>
          <w:p>
            <w:pPr>
              <w:tabs>
                <w:tab w:val="left" w:pos="1081"/>
              </w:tabs>
              <w:adjustRightInd w:val="0"/>
              <w:snapToGrid w:val="0"/>
              <w:spacing w:line="360" w:lineRule="auto"/>
              <w:ind w:firstLine="482" w:firstLineChars="200"/>
              <w:rPr>
                <w:b/>
                <w:bCs/>
                <w:color w:val="000000"/>
                <w:kern w:val="0"/>
                <w:sz w:val="24"/>
              </w:rPr>
            </w:pPr>
            <w:r>
              <w:rPr>
                <w:rFonts w:hint="eastAsia"/>
                <w:b/>
                <w:bCs/>
                <w:color w:val="000000"/>
                <w:kern w:val="0"/>
                <w:sz w:val="24"/>
              </w:rPr>
              <w:t>7.2项目建设与河南南阳白河国家级湿地公园总体规划（2013-2020）的相符性分析</w:t>
            </w:r>
          </w:p>
          <w:p>
            <w:pPr>
              <w:tabs>
                <w:tab w:val="left" w:pos="1081"/>
              </w:tabs>
              <w:adjustRightInd w:val="0"/>
              <w:snapToGrid w:val="0"/>
              <w:spacing w:line="360" w:lineRule="auto"/>
              <w:ind w:firstLine="480" w:firstLineChars="200"/>
              <w:rPr>
                <w:bCs/>
                <w:color w:val="000000"/>
                <w:kern w:val="0"/>
                <w:sz w:val="24"/>
              </w:rPr>
            </w:pPr>
            <w:r>
              <w:rPr>
                <w:rFonts w:hint="eastAsia"/>
                <w:bCs/>
                <w:color w:val="000000"/>
                <w:kern w:val="0"/>
                <w:sz w:val="24"/>
              </w:rPr>
              <w:t>本项目选址位于</w:t>
            </w:r>
            <w:r>
              <w:rPr>
                <w:sz w:val="24"/>
                <w:szCs w:val="24"/>
              </w:rPr>
              <w:t>南阳市卧龙区蒲山镇棉花库路口向西20米路北</w:t>
            </w:r>
            <w:r>
              <w:rPr>
                <w:rFonts w:hint="eastAsia"/>
                <w:bCs/>
                <w:color w:val="000000"/>
                <w:kern w:val="0"/>
                <w:sz w:val="24"/>
              </w:rPr>
              <w:t>，东距白河湿地公园的最近直线距离约为3.071km，经比对南阳白河国家级湿地公园总体规划，项目选址不在其规划范围内。</w:t>
            </w:r>
          </w:p>
          <w:p>
            <w:pPr>
              <w:widowControl/>
              <w:snapToGrid w:val="0"/>
              <w:spacing w:line="360" w:lineRule="auto"/>
              <w:ind w:firstLine="482" w:firstLineChars="200"/>
              <w:rPr>
                <w:b/>
                <w:color w:val="000000" w:themeColor="text1"/>
                <w:sz w:val="24"/>
                <w:szCs w:val="24"/>
              </w:rPr>
            </w:pPr>
            <w:r>
              <w:rPr>
                <w:rFonts w:hint="eastAsia"/>
                <w:b/>
                <w:color w:val="000000" w:themeColor="text1"/>
                <w:sz w:val="24"/>
                <w:szCs w:val="24"/>
              </w:rPr>
              <w:t>8、</w:t>
            </w:r>
            <w:r>
              <w:rPr>
                <w:rFonts w:hint="eastAsia"/>
                <w:b/>
                <w:bCs/>
                <w:kern w:val="0"/>
                <w:sz w:val="24"/>
                <w:szCs w:val="21"/>
              </w:rPr>
              <w:t>项目与《南阳市2024年蓝天保卫战实施方案》（宛环委办[2024]21号）、《南阳市2024年碧水保卫战实施方案》《南阳市2024碧水保卫战实施方案》《南阳市2024年净土保卫战实施方案》《南阳市2024年柴油货车污染治理攻坚战实施方案》（宛环委[2024]22号）相符性分析</w:t>
            </w:r>
          </w:p>
          <w:p>
            <w:pPr>
              <w:numPr>
                <w:ilvl w:val="0"/>
                <w:numId w:val="2"/>
              </w:numPr>
              <w:autoSpaceDE w:val="0"/>
              <w:autoSpaceDN w:val="0"/>
              <w:adjustRightInd w:val="0"/>
              <w:snapToGrid w:val="0"/>
              <w:jc w:val="center"/>
              <w:rPr>
                <w:b/>
                <w:color w:val="000000"/>
                <w:sz w:val="24"/>
              </w:rPr>
            </w:pPr>
            <w:r>
              <w:rPr>
                <w:rFonts w:hint="eastAsia"/>
                <w:b/>
                <w:color w:val="000000"/>
                <w:sz w:val="24"/>
              </w:rPr>
              <w:t>项目与南阳市蓝天、碧水、净土保卫战、柴油货车污染治理攻坚战实施方案（节选）相符性分析一览表</w:t>
            </w:r>
          </w:p>
          <w:tbl>
            <w:tblPr>
              <w:tblStyle w:val="26"/>
              <w:tblW w:w="6926"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3904"/>
              <w:gridCol w:w="2284"/>
              <w:gridCol w:w="73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246" w:hRule="atLeast"/>
                <w:jc w:val="center"/>
              </w:trPr>
              <w:tc>
                <w:tcPr>
                  <w:tcW w:w="3904" w:type="dxa"/>
                  <w:vAlign w:val="center"/>
                </w:tcPr>
                <w:p>
                  <w:pPr>
                    <w:snapToGrid w:val="0"/>
                    <w:jc w:val="center"/>
                    <w:rPr>
                      <w:rFonts w:ascii="宋体" w:hAnsi="宋体" w:cs="宋体"/>
                      <w:bCs/>
                      <w:kern w:val="0"/>
                      <w:szCs w:val="21"/>
                    </w:rPr>
                  </w:pPr>
                  <w:r>
                    <w:rPr>
                      <w:rFonts w:hint="eastAsia" w:ascii="宋体" w:hAnsi="宋体" w:cs="宋体"/>
                      <w:bCs/>
                      <w:kern w:val="0"/>
                      <w:szCs w:val="21"/>
                    </w:rPr>
                    <w:t>实施方案内容</w:t>
                  </w:r>
                </w:p>
              </w:tc>
              <w:tc>
                <w:tcPr>
                  <w:tcW w:w="2284" w:type="dxa"/>
                  <w:vAlign w:val="center"/>
                </w:tcPr>
                <w:p>
                  <w:pPr>
                    <w:snapToGrid w:val="0"/>
                    <w:jc w:val="center"/>
                    <w:rPr>
                      <w:rFonts w:ascii="宋体" w:hAnsi="宋体" w:cs="宋体"/>
                      <w:bCs/>
                      <w:kern w:val="0"/>
                      <w:szCs w:val="21"/>
                    </w:rPr>
                  </w:pPr>
                  <w:r>
                    <w:rPr>
                      <w:rFonts w:hint="eastAsia" w:ascii="宋体" w:hAnsi="宋体" w:cs="宋体"/>
                      <w:bCs/>
                      <w:kern w:val="0"/>
                      <w:szCs w:val="21"/>
                    </w:rPr>
                    <w:t>本项目情况</w:t>
                  </w:r>
                </w:p>
              </w:tc>
              <w:tc>
                <w:tcPr>
                  <w:tcW w:w="738" w:type="dxa"/>
                  <w:vAlign w:val="center"/>
                </w:tcPr>
                <w:p>
                  <w:pPr>
                    <w:snapToGrid w:val="0"/>
                    <w:jc w:val="center"/>
                    <w:rPr>
                      <w:rFonts w:ascii="宋体" w:hAnsi="宋体" w:cs="宋体"/>
                      <w:bCs/>
                      <w:kern w:val="0"/>
                      <w:szCs w:val="21"/>
                    </w:rPr>
                  </w:pPr>
                  <w:r>
                    <w:rPr>
                      <w:rFonts w:hint="eastAsia" w:ascii="宋体" w:hAnsi="宋体" w:cs="宋体"/>
                      <w:bCs/>
                      <w:kern w:val="0"/>
                      <w:szCs w:val="21"/>
                    </w:rPr>
                    <w:t>相符性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164" w:hRule="atLeast"/>
                <w:jc w:val="center"/>
              </w:trPr>
              <w:tc>
                <w:tcPr>
                  <w:tcW w:w="6926" w:type="dxa"/>
                  <w:gridSpan w:val="3"/>
                  <w:vAlign w:val="center"/>
                </w:tcPr>
                <w:p>
                  <w:pPr>
                    <w:snapToGrid w:val="0"/>
                    <w:jc w:val="center"/>
                    <w:rPr>
                      <w:rFonts w:ascii="宋体" w:hAnsi="宋体" w:cs="宋体"/>
                      <w:bCs/>
                      <w:kern w:val="0"/>
                      <w:szCs w:val="21"/>
                    </w:rPr>
                  </w:pPr>
                  <w:r>
                    <w:rPr>
                      <w:rFonts w:hint="eastAsia"/>
                      <w:bCs/>
                      <w:kern w:val="0"/>
                      <w:szCs w:val="21"/>
                    </w:rPr>
                    <w:t>南阳市2024年蓝天保卫战实施方案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241" w:hRule="atLeast"/>
                <w:jc w:val="center"/>
              </w:trPr>
              <w:tc>
                <w:tcPr>
                  <w:tcW w:w="3904" w:type="dxa"/>
                  <w:vAlign w:val="center"/>
                </w:tcPr>
                <w:p>
                  <w:pPr>
                    <w:rPr>
                      <w:szCs w:val="21"/>
                    </w:rPr>
                  </w:pPr>
                  <w:r>
                    <w:rPr>
                      <w:rFonts w:hint="eastAsia"/>
                      <w:szCs w:val="21"/>
                    </w:rPr>
                    <w:t>1.依法依规淘汰落后产能。制定年度落后产能退出工作方案，2024年5月底前，排查建立落后产能淘汰任务台账,明确淘汰退出时限及责任单位。2024年年底前，钢铁冶炼企业1200立方米以下炼铁高炉、100吨以下炼钢转炉、100吨以下炼钢电弧炉（50吨以下合金钢电弧炉）原则上有序退出或完成装备大型化改造，烧结砖瓦窑企业集中县（市、区）制定烧结砖瓦行业整合提升方案，推动6000万标砖/年以下和城市规划区内的烧结砖及烧结空心砌块生产线有序退出。对烧结砖瓦企业关停退出实施逐年递减的资金奖补方式，对2025年之后完成的，不再给予资金奖补。淘汰2蒸吨/小时及以下生物质锅炉。</w:t>
                  </w:r>
                </w:p>
              </w:tc>
              <w:tc>
                <w:tcPr>
                  <w:tcW w:w="2284" w:type="dxa"/>
                  <w:vAlign w:val="center"/>
                </w:tcPr>
                <w:p>
                  <w:pPr>
                    <w:snapToGrid w:val="0"/>
                    <w:rPr>
                      <w:szCs w:val="22"/>
                    </w:rPr>
                  </w:pPr>
                  <w:r>
                    <w:rPr>
                      <w:rFonts w:hint="eastAsia"/>
                      <w:szCs w:val="22"/>
                    </w:rPr>
                    <w:t>本项目为卫生材料及医药用品制造业，不属于淘汰类落后产能。</w:t>
                  </w:r>
                </w:p>
              </w:tc>
              <w:tc>
                <w:tcPr>
                  <w:tcW w:w="738" w:type="dxa"/>
                  <w:vAlign w:val="center"/>
                </w:tcPr>
                <w:p>
                  <w:pPr>
                    <w:snapToGrid w:val="0"/>
                    <w:jc w:val="center"/>
                    <w:rPr>
                      <w:rFonts w:ascii="宋体" w:hAnsi="宋体" w:cs="宋体"/>
                      <w:bCs/>
                      <w:kern w:val="0"/>
                      <w:szCs w:val="21"/>
                    </w:rPr>
                  </w:pPr>
                  <w:r>
                    <w:rPr>
                      <w:rFonts w:hint="eastAsia" w:ascii="宋体" w:hAnsi="宋体" w:cs="宋体"/>
                      <w:bCs/>
                      <w:kern w:val="0"/>
                      <w:szCs w:val="21"/>
                    </w:rPr>
                    <w:t>相符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69" w:hRule="atLeast"/>
                <w:jc w:val="center"/>
              </w:trPr>
              <w:tc>
                <w:tcPr>
                  <w:tcW w:w="3904" w:type="dxa"/>
                  <w:vAlign w:val="center"/>
                </w:tcPr>
                <w:p>
                  <w:pPr>
                    <w:snapToGrid w:val="0"/>
                    <w:rPr>
                      <w:bCs/>
                      <w:kern w:val="0"/>
                      <w:szCs w:val="21"/>
                    </w:rPr>
                  </w:pPr>
                  <w:r>
                    <w:rPr>
                      <w:rFonts w:hint="eastAsia"/>
                      <w:bCs/>
                      <w:kern w:val="0"/>
                      <w:szCs w:val="21"/>
                    </w:rPr>
                    <w:t>4.实施工业炉窑清洁能源替代。不再新增燃料类煤气发生炉，新改扩建加热炉、热处理炉、干燥炉、熔化炉原则上采用清洁低碳能源。2024年年底前，完成陶瓷、玻璃、碳素、冶金辅料等行业18座分散建设的燃料类煤气发生炉清洁能源替代，或者园区（集群）集中供气、分散使用；推进6座使用高污染燃料的加热炉、热处理炉、干燥炉、熔化炉等工业炉窑改用清洁低碳能源，淘汰不能稳定达标的燃煤锅炉、燃煤热风炉和以煤、石油焦、渣油、重油等为燃料的工业窑炉。</w:t>
                  </w:r>
                </w:p>
              </w:tc>
              <w:tc>
                <w:tcPr>
                  <w:tcW w:w="2284" w:type="dxa"/>
                  <w:vAlign w:val="center"/>
                </w:tcPr>
                <w:p>
                  <w:pPr>
                    <w:rPr>
                      <w:szCs w:val="22"/>
                    </w:rPr>
                  </w:pPr>
                  <w:r>
                    <w:rPr>
                      <w:rFonts w:hint="eastAsia"/>
                      <w:szCs w:val="22"/>
                    </w:rPr>
                    <w:t>本项目运营过程中不涉及工业炉窑。</w:t>
                  </w:r>
                </w:p>
              </w:tc>
              <w:tc>
                <w:tcPr>
                  <w:tcW w:w="738" w:type="dxa"/>
                  <w:vAlign w:val="center"/>
                </w:tcPr>
                <w:p>
                  <w:pPr>
                    <w:snapToGrid w:val="0"/>
                    <w:jc w:val="center"/>
                    <w:rPr>
                      <w:rFonts w:ascii="宋体" w:hAnsi="宋体" w:cs="宋体"/>
                      <w:bCs/>
                      <w:kern w:val="0"/>
                      <w:szCs w:val="21"/>
                    </w:rPr>
                  </w:pPr>
                  <w:r>
                    <w:rPr>
                      <w:rFonts w:hint="eastAsia" w:ascii="宋体" w:hAnsi="宋体" w:cs="宋体"/>
                      <w:bCs/>
                      <w:kern w:val="0"/>
                      <w:szCs w:val="21"/>
                    </w:rPr>
                    <w:t>相符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jc w:val="center"/>
              </w:trPr>
              <w:tc>
                <w:tcPr>
                  <w:tcW w:w="3904" w:type="dxa"/>
                  <w:tcBorders>
                    <w:top w:val="single" w:color="auto" w:sz="4" w:space="0"/>
                    <w:bottom w:val="single" w:color="auto" w:sz="4" w:space="0"/>
                  </w:tcBorders>
                  <w:vAlign w:val="center"/>
                </w:tcPr>
                <w:p>
                  <w:pPr>
                    <w:snapToGrid w:val="0"/>
                    <w:rPr>
                      <w:bCs/>
                      <w:kern w:val="0"/>
                      <w:szCs w:val="21"/>
                    </w:rPr>
                  </w:pPr>
                  <w:r>
                    <w:rPr>
                      <w:rFonts w:hint="eastAsia"/>
                      <w:bCs/>
                      <w:kern w:val="0"/>
                      <w:szCs w:val="21"/>
                    </w:rPr>
                    <w:t>7.大力推广新能源汽车。加快新能源汽车产业发展，制定新能源汽车替代激励政策，鼓励“以旧换新”。除应急车辆外，中心城区每年新增的公交车、出租车、渣土运输车、邮政用车、网约出租车、市政环卫车辆全部使用新能源汽车，更新或新增的巡游出租车和接入平台的网约出租车全部使用新能源汽车。加快推进全市公交车、巡游出租车和城市建成区的载货汽车（含渣土运输车、水泥罐车、物流车）、邮政用车、市政环卫用车、网约出租车新能源化替代，自2024年起，每年党政机关新增公务用车全部采购新能源汽车，全市更新城市公共领域新能源车辆1500辆以上。加快淘汰国三及以下排放标准柴油货车和采用稀薄燃烧技术的老旧燃气车辆，加强报废机动车回收拆解监管。加快高速公路服务区充电桩建设，实现高速服务区快充站全覆盖。</w:t>
                  </w:r>
                </w:p>
              </w:tc>
              <w:tc>
                <w:tcPr>
                  <w:tcW w:w="2284" w:type="dxa"/>
                  <w:vAlign w:val="center"/>
                </w:tcPr>
                <w:p>
                  <w:pPr>
                    <w:snapToGrid w:val="0"/>
                    <w:rPr>
                      <w:szCs w:val="22"/>
                    </w:rPr>
                  </w:pPr>
                  <w:r>
                    <w:rPr>
                      <w:rFonts w:hint="eastAsia"/>
                      <w:szCs w:val="22"/>
                    </w:rPr>
                    <w:t>本项目营运期使用符合排放要求的车辆。</w:t>
                  </w:r>
                </w:p>
              </w:tc>
              <w:tc>
                <w:tcPr>
                  <w:tcW w:w="738" w:type="dxa"/>
                  <w:vAlign w:val="center"/>
                </w:tcPr>
                <w:p>
                  <w:pPr>
                    <w:snapToGrid w:val="0"/>
                    <w:jc w:val="center"/>
                    <w:rPr>
                      <w:rFonts w:ascii="宋体" w:hAnsi="宋体" w:cs="宋体"/>
                      <w:bCs/>
                      <w:kern w:val="0"/>
                      <w:szCs w:val="21"/>
                    </w:rPr>
                  </w:pPr>
                  <w:r>
                    <w:rPr>
                      <w:rFonts w:hint="eastAsia" w:ascii="宋体" w:hAnsi="宋体" w:cs="宋体"/>
                      <w:bCs/>
                      <w:kern w:val="0"/>
                      <w:szCs w:val="21"/>
                    </w:rPr>
                    <w:t>相符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jc w:val="center"/>
              </w:trPr>
              <w:tc>
                <w:tcPr>
                  <w:tcW w:w="3904" w:type="dxa"/>
                  <w:tcBorders>
                    <w:top w:val="single" w:color="auto" w:sz="4" w:space="0"/>
                    <w:bottom w:val="single" w:color="auto" w:sz="4" w:space="0"/>
                  </w:tcBorders>
                  <w:vAlign w:val="center"/>
                </w:tcPr>
                <w:p>
                  <w:pPr>
                    <w:snapToGrid w:val="0"/>
                    <w:rPr>
                      <w:bCs/>
                      <w:kern w:val="0"/>
                      <w:szCs w:val="21"/>
                    </w:rPr>
                  </w:pPr>
                  <w:r>
                    <w:rPr>
                      <w:rFonts w:hint="eastAsia"/>
                      <w:bCs/>
                      <w:kern w:val="0"/>
                      <w:szCs w:val="21"/>
                    </w:rPr>
                    <w:t>9.加快工业炉窑和锅炉深度治理。加强燃煤锅炉、生物质锅炉除尘、脱硫、脱硝设施运行管理，推进燃气锅炉低氮改造，强</w:t>
                  </w:r>
                </w:p>
                <w:p>
                  <w:pPr>
                    <w:snapToGrid w:val="0"/>
                    <w:rPr>
                      <w:bCs/>
                      <w:kern w:val="0"/>
                      <w:szCs w:val="21"/>
                    </w:rPr>
                  </w:pPr>
                  <w:r>
                    <w:rPr>
                      <w:rFonts w:hint="eastAsia"/>
                      <w:bCs/>
                      <w:kern w:val="0"/>
                      <w:szCs w:val="21"/>
                    </w:rPr>
                    <w:t>化全过程排放控制和监管力度，对于污染物无法稳定达标排放的，依法依规实施整治。2024年10月底前，完成玻璃、耐火材料、有色、铸造、炭素、石灰、砖瓦等重点行业11家企业治理设施升级改造；完成10座燃气锅炉低氮燃烧改造，取消烟气再循环系统开关阀，确有必要保留的，在保证安全的前提下实施电动阀设置、气动阀或铅封等监管设施改造；推进生物质锅炉污染治理设施升级改造，保留及现有生物质锅炉采用专用炉具，严禁掺烧煤炭、垃圾、工业固体废物等其他物料，邓州市锦桥纸制品有限公司等4家公司锅炉应安装在线监控设施并联网；垃圾焚烧发电企业年底前要完成提标改造，确保稳定达标排放。</w:t>
                  </w:r>
                </w:p>
              </w:tc>
              <w:tc>
                <w:tcPr>
                  <w:tcW w:w="2284" w:type="dxa"/>
                  <w:vAlign w:val="center"/>
                </w:tcPr>
                <w:p>
                  <w:pPr>
                    <w:snapToGrid w:val="0"/>
                    <w:rPr>
                      <w:szCs w:val="22"/>
                    </w:rPr>
                  </w:pPr>
                  <w:r>
                    <w:rPr>
                      <w:rFonts w:hint="eastAsia"/>
                      <w:szCs w:val="22"/>
                    </w:rPr>
                    <w:t>本项目不涉及工业炉窑及锅炉。</w:t>
                  </w:r>
                </w:p>
              </w:tc>
              <w:tc>
                <w:tcPr>
                  <w:tcW w:w="738" w:type="dxa"/>
                  <w:vAlign w:val="center"/>
                </w:tcPr>
                <w:p>
                  <w:pPr>
                    <w:snapToGrid w:val="0"/>
                    <w:jc w:val="center"/>
                    <w:rPr>
                      <w:rFonts w:ascii="宋体" w:hAnsi="宋体" w:cs="宋体"/>
                      <w:bCs/>
                      <w:kern w:val="0"/>
                      <w:szCs w:val="21"/>
                    </w:rPr>
                  </w:pPr>
                  <w:r>
                    <w:rPr>
                      <w:rFonts w:hint="eastAsia" w:ascii="宋体" w:hAnsi="宋体" w:cs="宋体"/>
                      <w:bCs/>
                      <w:kern w:val="0"/>
                      <w:szCs w:val="21"/>
                    </w:rPr>
                    <w:t>相符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jc w:val="center"/>
              </w:trPr>
              <w:tc>
                <w:tcPr>
                  <w:tcW w:w="6926" w:type="dxa"/>
                  <w:gridSpan w:val="3"/>
                  <w:tcBorders>
                    <w:top w:val="single" w:color="auto" w:sz="4" w:space="0"/>
                    <w:bottom w:val="single" w:color="auto" w:sz="4" w:space="0"/>
                  </w:tcBorders>
                  <w:vAlign w:val="center"/>
                </w:tcPr>
                <w:p>
                  <w:pPr>
                    <w:snapToGrid w:val="0"/>
                    <w:jc w:val="center"/>
                    <w:rPr>
                      <w:rFonts w:ascii="宋体" w:hAnsi="宋体" w:cs="宋体"/>
                      <w:bCs/>
                      <w:kern w:val="0"/>
                      <w:szCs w:val="21"/>
                    </w:rPr>
                  </w:pPr>
                  <w:r>
                    <w:rPr>
                      <w:rFonts w:hint="eastAsia"/>
                      <w:bCs/>
                      <w:kern w:val="0"/>
                      <w:szCs w:val="21"/>
                    </w:rPr>
                    <w:t>南阳市2024年碧水保卫战实施方案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jc w:val="center"/>
              </w:trPr>
              <w:tc>
                <w:tcPr>
                  <w:tcW w:w="3904" w:type="dxa"/>
                  <w:tcBorders>
                    <w:top w:val="single" w:color="auto" w:sz="4" w:space="0"/>
                    <w:bottom w:val="single" w:color="auto" w:sz="4" w:space="0"/>
                  </w:tcBorders>
                  <w:vAlign w:val="center"/>
                </w:tcPr>
                <w:p>
                  <w:pPr>
                    <w:snapToGrid w:val="0"/>
                    <w:rPr>
                      <w:bCs/>
                      <w:kern w:val="0"/>
                      <w:szCs w:val="21"/>
                    </w:rPr>
                  </w:pPr>
                  <w:r>
                    <w:rPr>
                      <w:rFonts w:hint="eastAsia"/>
                      <w:bCs/>
                      <w:kern w:val="0"/>
                      <w:szCs w:val="21"/>
                    </w:rPr>
                    <w:t>6.强化重点流域水环境治理。以“四点一线”（四点：白河上范营、排子河邓州市、白河翟湾、淮河出山大桥断面；一线：唐河干流沿线国控市控断面）为重点，制定“一断面一达标措施”，每周监测溯源排查，推进污染综合治理，保障河流生态流量，确保水质稳定达标。2024年5月30日前，新野县、唐河县、桐柏县、邓州市将超标断面水质达标提升方案报市生态环境保护委员会办公室（以下简称“市环委办”）备案；自6月份开始，每月5日前上报上月断面水质达标提升情况。</w:t>
                  </w:r>
                </w:p>
              </w:tc>
              <w:tc>
                <w:tcPr>
                  <w:tcW w:w="2284" w:type="dxa"/>
                  <w:vAlign w:val="center"/>
                </w:tcPr>
                <w:p>
                  <w:pPr>
                    <w:snapToGrid w:val="0"/>
                    <w:rPr>
                      <w:szCs w:val="21"/>
                    </w:rPr>
                  </w:pPr>
                  <w:r>
                    <w:rPr>
                      <w:rFonts w:hint="eastAsia"/>
                      <w:szCs w:val="22"/>
                    </w:rPr>
                    <w:t>本项目运营期无生产废水产生，生活废水经化粪池处理后用于周围农田施肥，因此对周围地表水体影响较小。</w:t>
                  </w:r>
                </w:p>
              </w:tc>
              <w:tc>
                <w:tcPr>
                  <w:tcW w:w="738" w:type="dxa"/>
                  <w:vAlign w:val="center"/>
                </w:tcPr>
                <w:p>
                  <w:pPr>
                    <w:snapToGrid w:val="0"/>
                    <w:jc w:val="center"/>
                    <w:rPr>
                      <w:rFonts w:ascii="宋体" w:hAnsi="宋体" w:cs="宋体"/>
                      <w:bCs/>
                      <w:kern w:val="0"/>
                      <w:szCs w:val="21"/>
                    </w:rPr>
                  </w:pPr>
                  <w:r>
                    <w:rPr>
                      <w:rFonts w:hint="eastAsia" w:ascii="宋体" w:hAnsi="宋体" w:cs="宋体"/>
                      <w:bCs/>
                      <w:kern w:val="0"/>
                      <w:szCs w:val="21"/>
                    </w:rPr>
                    <w:t>相符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jc w:val="center"/>
              </w:trPr>
              <w:tc>
                <w:tcPr>
                  <w:tcW w:w="3904" w:type="dxa"/>
                  <w:tcBorders>
                    <w:top w:val="single" w:color="auto" w:sz="4" w:space="0"/>
                    <w:bottom w:val="single" w:color="auto" w:sz="4" w:space="0"/>
                  </w:tcBorders>
                  <w:vAlign w:val="center"/>
                </w:tcPr>
                <w:p>
                  <w:pPr>
                    <w:snapToGrid w:val="0"/>
                    <w:rPr>
                      <w:bCs/>
                      <w:kern w:val="0"/>
                      <w:szCs w:val="21"/>
                    </w:rPr>
                  </w:pPr>
                  <w:r>
                    <w:rPr>
                      <w:rFonts w:hint="eastAsia"/>
                      <w:bCs/>
                      <w:kern w:val="0"/>
                      <w:szCs w:val="22"/>
                    </w:rPr>
                    <w:t>30. 防范水生态环境风险防控。以涉危涉重企业、工业园区为重点，强化环境应急设施建设。严格新（改、扩）建尾矿库环境准入，健全尾矿库环境监管清单，加强尾矿库分类分级环境监管。加强通航河段港口、码头、船舶运输以及“一废一品一库”风险调查。完善上、下游及部门信息共享、联防联控机制。加强重点饮用水水源地河流、跨界河流以及其他敏感水体风险防控，推进“一河一策一图”全覆盖。做好丹江口水库、鸭河口水库水华应急防控工作。加强汛期部门联防联控，防范汛期水环境风险。</w:t>
                  </w:r>
                </w:p>
              </w:tc>
              <w:tc>
                <w:tcPr>
                  <w:tcW w:w="2284" w:type="dxa"/>
                  <w:vAlign w:val="center"/>
                </w:tcPr>
                <w:p>
                  <w:pPr>
                    <w:snapToGrid w:val="0"/>
                    <w:rPr>
                      <w:szCs w:val="21"/>
                    </w:rPr>
                  </w:pPr>
                  <w:r>
                    <w:rPr>
                      <w:rFonts w:hint="eastAsia"/>
                      <w:szCs w:val="21"/>
                    </w:rPr>
                    <w:t>本项目运营期建立环境风险管控体系，提升风险环境管控能力。</w:t>
                  </w:r>
                </w:p>
              </w:tc>
              <w:tc>
                <w:tcPr>
                  <w:tcW w:w="738" w:type="dxa"/>
                  <w:vAlign w:val="center"/>
                </w:tcPr>
                <w:p>
                  <w:pPr>
                    <w:snapToGrid w:val="0"/>
                    <w:jc w:val="center"/>
                    <w:rPr>
                      <w:rFonts w:ascii="宋体" w:hAnsi="宋体"/>
                      <w:bCs/>
                      <w:kern w:val="0"/>
                      <w:szCs w:val="21"/>
                    </w:rPr>
                  </w:pPr>
                  <w:r>
                    <w:rPr>
                      <w:rFonts w:hint="eastAsia" w:ascii="宋体" w:hAnsi="宋体"/>
                      <w:bCs/>
                      <w:kern w:val="0"/>
                      <w:szCs w:val="22"/>
                    </w:rPr>
                    <w:t>相符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jc w:val="center"/>
              </w:trPr>
              <w:tc>
                <w:tcPr>
                  <w:tcW w:w="6926" w:type="dxa"/>
                  <w:gridSpan w:val="3"/>
                  <w:tcBorders>
                    <w:top w:val="single" w:color="auto" w:sz="4" w:space="0"/>
                    <w:bottom w:val="single" w:color="auto" w:sz="4" w:space="0"/>
                  </w:tcBorders>
                  <w:vAlign w:val="center"/>
                </w:tcPr>
                <w:p>
                  <w:pPr>
                    <w:snapToGrid w:val="0"/>
                    <w:jc w:val="center"/>
                    <w:rPr>
                      <w:rFonts w:ascii="宋体" w:hAnsi="宋体" w:cs="宋体"/>
                      <w:bCs/>
                      <w:kern w:val="0"/>
                      <w:szCs w:val="21"/>
                      <w:highlight w:val="yellow"/>
                    </w:rPr>
                  </w:pPr>
                  <w:r>
                    <w:rPr>
                      <w:rFonts w:hint="eastAsia"/>
                      <w:bCs/>
                      <w:kern w:val="0"/>
                      <w:szCs w:val="21"/>
                    </w:rPr>
                    <w:t>南阳市2024年净土保卫战实施方案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jc w:val="center"/>
              </w:trPr>
              <w:tc>
                <w:tcPr>
                  <w:tcW w:w="3904" w:type="dxa"/>
                  <w:tcBorders>
                    <w:top w:val="single" w:color="auto" w:sz="4" w:space="0"/>
                    <w:bottom w:val="single" w:color="auto" w:sz="4" w:space="0"/>
                  </w:tcBorders>
                  <w:vAlign w:val="center"/>
                </w:tcPr>
                <w:p>
                  <w:pPr>
                    <w:snapToGrid w:val="0"/>
                    <w:rPr>
                      <w:bCs/>
                      <w:kern w:val="0"/>
                      <w:szCs w:val="21"/>
                      <w:highlight w:val="yellow"/>
                    </w:rPr>
                  </w:pPr>
                  <w:r>
                    <w:rPr>
                      <w:rFonts w:hint="eastAsia"/>
                      <w:bCs/>
                      <w:kern w:val="0"/>
                      <w:szCs w:val="21"/>
                    </w:rPr>
                    <w:t>7.有序推进土壤污染风险管控和修复。从严管控农药、化工等行业的重度污染地块规划用途，确需开发利用的，鼓励用于拓展生态空间。强化风险管控和修复工程监管，污染土壤转运实施联单制管理，严禁非法转运处置污染土壤，防止污染地块风险管控和修复过程中异味等二次污染。</w:t>
                  </w:r>
                </w:p>
              </w:tc>
              <w:tc>
                <w:tcPr>
                  <w:tcW w:w="2284" w:type="dxa"/>
                  <w:vAlign w:val="center"/>
                </w:tcPr>
                <w:p>
                  <w:pPr>
                    <w:snapToGrid w:val="0"/>
                    <w:rPr>
                      <w:szCs w:val="22"/>
                    </w:rPr>
                  </w:pPr>
                  <w:r>
                    <w:rPr>
                      <w:rFonts w:hint="eastAsia"/>
                      <w:szCs w:val="22"/>
                    </w:rPr>
                    <w:t>本项目污染因素简单，不属于相关严管项目，项目利用地块不属于重度污染地块。</w:t>
                  </w:r>
                </w:p>
              </w:tc>
              <w:tc>
                <w:tcPr>
                  <w:tcW w:w="738" w:type="dxa"/>
                  <w:vAlign w:val="center"/>
                </w:tcPr>
                <w:p>
                  <w:pPr>
                    <w:snapToGrid w:val="0"/>
                    <w:jc w:val="center"/>
                    <w:rPr>
                      <w:rFonts w:ascii="宋体" w:hAnsi="宋体" w:cs="宋体"/>
                      <w:bCs/>
                      <w:kern w:val="0"/>
                      <w:szCs w:val="21"/>
                    </w:rPr>
                  </w:pPr>
                  <w:r>
                    <w:rPr>
                      <w:rFonts w:hint="eastAsia" w:ascii="宋体" w:hAnsi="宋体" w:cs="宋体"/>
                      <w:bCs/>
                      <w:kern w:val="0"/>
                      <w:szCs w:val="21"/>
                    </w:rPr>
                    <w:t>相符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jc w:val="center"/>
              </w:trPr>
              <w:tc>
                <w:tcPr>
                  <w:tcW w:w="3904" w:type="dxa"/>
                  <w:tcBorders>
                    <w:top w:val="single" w:color="auto" w:sz="4" w:space="0"/>
                    <w:bottom w:val="single" w:color="auto" w:sz="4" w:space="0"/>
                  </w:tcBorders>
                  <w:vAlign w:val="center"/>
                </w:tcPr>
                <w:p>
                  <w:pPr>
                    <w:snapToGrid w:val="0"/>
                    <w:rPr>
                      <w:bCs/>
                      <w:kern w:val="0"/>
                      <w:szCs w:val="21"/>
                    </w:rPr>
                  </w:pPr>
                  <w:r>
                    <w:rPr>
                      <w:rFonts w:hint="eastAsia"/>
                      <w:bCs/>
                      <w:kern w:val="0"/>
                      <w:szCs w:val="21"/>
                    </w:rPr>
                    <w:t>19.推动实施重金属总量减排。加强重点区域、重点行业和重点企业重金属污染防治，严格落实重金属排放“减量替代”要求。深入挖掘减排潜力，加快重金属提标改造项目的实施，削减污染“存量”，对“十四五”减排情况进行全面核查核算。</w:t>
                  </w:r>
                </w:p>
              </w:tc>
              <w:tc>
                <w:tcPr>
                  <w:tcW w:w="2284" w:type="dxa"/>
                  <w:vAlign w:val="center"/>
                </w:tcPr>
                <w:p>
                  <w:pPr>
                    <w:snapToGrid w:val="0"/>
                    <w:rPr>
                      <w:szCs w:val="22"/>
                    </w:rPr>
                  </w:pPr>
                  <w:r>
                    <w:rPr>
                      <w:rFonts w:hint="eastAsia"/>
                      <w:szCs w:val="22"/>
                    </w:rPr>
                    <w:t>本项目不涉及重金属。</w:t>
                  </w:r>
                </w:p>
              </w:tc>
              <w:tc>
                <w:tcPr>
                  <w:tcW w:w="738" w:type="dxa"/>
                  <w:vAlign w:val="center"/>
                </w:tcPr>
                <w:p>
                  <w:pPr>
                    <w:snapToGrid w:val="0"/>
                    <w:jc w:val="center"/>
                    <w:rPr>
                      <w:rFonts w:ascii="宋体" w:hAnsi="宋体" w:cs="宋体"/>
                      <w:bCs/>
                      <w:kern w:val="0"/>
                      <w:szCs w:val="21"/>
                    </w:rPr>
                  </w:pPr>
                  <w:r>
                    <w:rPr>
                      <w:rFonts w:hint="eastAsia" w:ascii="宋体" w:hAnsi="宋体" w:cs="宋体"/>
                      <w:bCs/>
                      <w:kern w:val="0"/>
                      <w:szCs w:val="21"/>
                    </w:rPr>
                    <w:t>相符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jc w:val="center"/>
              </w:trPr>
              <w:tc>
                <w:tcPr>
                  <w:tcW w:w="6926" w:type="dxa"/>
                  <w:gridSpan w:val="3"/>
                  <w:tcBorders>
                    <w:top w:val="single" w:color="auto" w:sz="4" w:space="0"/>
                    <w:bottom w:val="single" w:color="auto" w:sz="4" w:space="0"/>
                  </w:tcBorders>
                  <w:vAlign w:val="center"/>
                </w:tcPr>
                <w:p>
                  <w:pPr>
                    <w:snapToGrid w:val="0"/>
                    <w:jc w:val="center"/>
                    <w:rPr>
                      <w:bCs/>
                      <w:kern w:val="0"/>
                      <w:szCs w:val="21"/>
                    </w:rPr>
                  </w:pPr>
                  <w:r>
                    <w:rPr>
                      <w:rFonts w:hAnsi="宋体"/>
                      <w:bCs/>
                      <w:kern w:val="0"/>
                      <w:szCs w:val="21"/>
                    </w:rPr>
                    <w:t>南阳市</w:t>
                  </w:r>
                  <w:r>
                    <w:rPr>
                      <w:bCs/>
                      <w:kern w:val="0"/>
                      <w:szCs w:val="21"/>
                    </w:rPr>
                    <w:t>2024</w:t>
                  </w:r>
                  <w:r>
                    <w:rPr>
                      <w:rFonts w:hAnsi="宋体"/>
                      <w:bCs/>
                      <w:kern w:val="0"/>
                      <w:szCs w:val="21"/>
                    </w:rPr>
                    <w:t>年柴油货车污染治理攻坚战实施方案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jc w:val="center"/>
              </w:trPr>
              <w:tc>
                <w:tcPr>
                  <w:tcW w:w="3904" w:type="dxa"/>
                  <w:tcBorders>
                    <w:top w:val="single" w:color="auto" w:sz="4" w:space="0"/>
                    <w:bottom w:val="single" w:color="auto" w:sz="4" w:space="0"/>
                  </w:tcBorders>
                  <w:vAlign w:val="center"/>
                </w:tcPr>
                <w:p>
                  <w:pPr>
                    <w:snapToGrid w:val="0"/>
                    <w:rPr>
                      <w:bCs/>
                      <w:kern w:val="0"/>
                      <w:szCs w:val="21"/>
                    </w:rPr>
                  </w:pPr>
                  <w:r>
                    <w:rPr>
                      <w:rFonts w:hint="eastAsia"/>
                      <w:bCs/>
                      <w:kern w:val="0"/>
                      <w:szCs w:val="21"/>
                    </w:rPr>
                    <w:t>2. 提升重点行业清洁运输比例 。推进重点行业企业使用铁路、水路、管道或新能源汽车等方式运输，大力提升火电、钢铁、煤炭、化工、焦化、有色等行业清洁运输比例，2024年年底前，力争火电、钢铁、煤炭、焦化行业大宗货物清洁运输比例达到80%。加快推进建材（含砂石骨料）行业使用清洁方式运输。鼓励工矿企业等用车单位与运输企业（个人）签订合作协议等方式，推进内部转运车辆和外部运输车辆全部使用新能源货车。</w:t>
                  </w:r>
                </w:p>
              </w:tc>
              <w:tc>
                <w:tcPr>
                  <w:tcW w:w="2284" w:type="dxa"/>
                  <w:vAlign w:val="center"/>
                </w:tcPr>
                <w:p>
                  <w:pPr>
                    <w:snapToGrid w:val="0"/>
                    <w:rPr>
                      <w:szCs w:val="22"/>
                    </w:rPr>
                  </w:pPr>
                  <w:r>
                    <w:rPr>
                      <w:rFonts w:hint="eastAsia"/>
                      <w:szCs w:val="22"/>
                    </w:rPr>
                    <w:t>本项目营运期使用满足要求的运输车辆。</w:t>
                  </w:r>
                </w:p>
              </w:tc>
              <w:tc>
                <w:tcPr>
                  <w:tcW w:w="738" w:type="dxa"/>
                  <w:vAlign w:val="center"/>
                </w:tcPr>
                <w:p>
                  <w:pPr>
                    <w:snapToGrid w:val="0"/>
                    <w:jc w:val="center"/>
                    <w:rPr>
                      <w:rFonts w:ascii="宋体" w:hAnsi="宋体" w:cs="宋体"/>
                      <w:bCs/>
                      <w:kern w:val="0"/>
                      <w:szCs w:val="21"/>
                    </w:rPr>
                  </w:pPr>
                  <w:r>
                    <w:rPr>
                      <w:rFonts w:hint="eastAsia" w:ascii="宋体" w:hAnsi="宋体" w:cs="宋体"/>
                      <w:bCs/>
                      <w:kern w:val="0"/>
                      <w:szCs w:val="21"/>
                    </w:rPr>
                    <w:t>相符</w:t>
                  </w:r>
                </w:p>
              </w:tc>
            </w:tr>
          </w:tbl>
          <w:p>
            <w:pPr>
              <w:pStyle w:val="57"/>
              <w:snapToGrid w:val="0"/>
              <w:ind w:firstLine="420"/>
              <w:rPr>
                <w:rFonts w:ascii="Times New Roman"/>
                <w:color w:val="000000" w:themeColor="text1"/>
              </w:rPr>
            </w:pPr>
            <w:r>
              <w:rPr>
                <w:rFonts w:ascii="Times New Roman"/>
                <w:color w:val="000000" w:themeColor="text1"/>
              </w:rPr>
              <w:t>由上表分析可知，本项目建设与</w:t>
            </w:r>
            <w:r>
              <w:rPr>
                <w:rFonts w:hint="eastAsia" w:ascii="Times New Roman"/>
                <w:color w:val="000000" w:themeColor="text1"/>
              </w:rPr>
              <w:t>南阳市蓝天、碧水、净土保卫战、柴油货车污染治理攻坚战实施方案</w:t>
            </w:r>
            <w:r>
              <w:rPr>
                <w:rFonts w:ascii="Times New Roman"/>
                <w:color w:val="000000" w:themeColor="text1"/>
              </w:rPr>
              <w:t>中相关要求相符。</w:t>
            </w:r>
          </w:p>
          <w:p>
            <w:pPr>
              <w:pStyle w:val="57"/>
              <w:snapToGrid w:val="0"/>
              <w:ind w:firstLine="482"/>
              <w:rPr>
                <w:rFonts w:ascii="Times New Roman"/>
                <w:b/>
                <w:color w:val="000000" w:themeColor="text1"/>
              </w:rPr>
            </w:pPr>
            <w:r>
              <w:rPr>
                <w:rFonts w:hint="eastAsia" w:ascii="Times New Roman"/>
                <w:b/>
                <w:color w:val="000000" w:themeColor="text1"/>
              </w:rPr>
              <w:t>9、《河南省人民政府关于印发河南省空气质量持续改善行动计划的通知》（豫政[2024]12号）</w:t>
            </w:r>
          </w:p>
          <w:p>
            <w:pPr>
              <w:pStyle w:val="57"/>
              <w:snapToGrid w:val="0"/>
              <w:ind w:firstLine="420"/>
              <w:rPr>
                <w:rFonts w:ascii="Times New Roman"/>
                <w:color w:val="000000" w:themeColor="text1"/>
              </w:rPr>
            </w:pPr>
            <w:r>
              <w:rPr>
                <w:rFonts w:hint="eastAsia" w:ascii="Times New Roman"/>
                <w:color w:val="000000" w:themeColor="text1"/>
              </w:rPr>
              <w:t>2024年3月23日，河南省人民政府印发了《河南省人民政府关于印发河南省空气质量持续改善行动计划的通知》（豫政[2024]12号）。与该文件中涉及本项目情况的相关内容对比及相符性分析见下表。</w:t>
            </w:r>
          </w:p>
          <w:p>
            <w:pPr>
              <w:numPr>
                <w:ilvl w:val="0"/>
                <w:numId w:val="2"/>
              </w:numPr>
              <w:autoSpaceDE w:val="0"/>
              <w:autoSpaceDN w:val="0"/>
              <w:adjustRightInd w:val="0"/>
              <w:snapToGrid w:val="0"/>
              <w:jc w:val="center"/>
              <w:rPr>
                <w:b/>
                <w:color w:val="000000"/>
                <w:sz w:val="24"/>
              </w:rPr>
            </w:pPr>
            <w:r>
              <w:rPr>
                <w:rFonts w:hint="eastAsia"/>
                <w:b/>
                <w:color w:val="000000"/>
                <w:sz w:val="24"/>
              </w:rPr>
              <w:t>项目与《河南省人民政府关于印发河南省空气质量持续改善行动计划的通知》（豫政[2024]12号）相符性分析一览表</w:t>
            </w:r>
          </w:p>
          <w:tbl>
            <w:tblPr>
              <w:tblStyle w:val="26"/>
              <w:tblW w:w="6922" w:type="dxa"/>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3308"/>
              <w:gridCol w:w="2911"/>
              <w:gridCol w:w="703"/>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44" w:hRule="atLeast"/>
                <w:tblHeader/>
              </w:trPr>
              <w:tc>
                <w:tcPr>
                  <w:tcW w:w="3308" w:type="dxa"/>
                  <w:vAlign w:val="center"/>
                </w:tcPr>
                <w:p>
                  <w:pPr>
                    <w:snapToGrid w:val="0"/>
                    <w:jc w:val="center"/>
                    <w:rPr>
                      <w:rFonts w:ascii="宋体" w:hAnsi="宋体" w:cs="宋体"/>
                      <w:bCs/>
                      <w:color w:val="000000"/>
                      <w:kern w:val="0"/>
                      <w:szCs w:val="21"/>
                    </w:rPr>
                  </w:pPr>
                  <w:r>
                    <w:rPr>
                      <w:rFonts w:hint="eastAsia" w:ascii="宋体" w:hAnsi="宋体" w:cs="宋体"/>
                      <w:bCs/>
                      <w:color w:val="000000"/>
                      <w:kern w:val="0"/>
                      <w:szCs w:val="21"/>
                    </w:rPr>
                    <w:t>行动计划相关要求</w:t>
                  </w:r>
                </w:p>
              </w:tc>
              <w:tc>
                <w:tcPr>
                  <w:tcW w:w="2911" w:type="dxa"/>
                  <w:vAlign w:val="center"/>
                </w:tcPr>
                <w:p>
                  <w:pPr>
                    <w:snapToGrid w:val="0"/>
                    <w:jc w:val="center"/>
                    <w:rPr>
                      <w:rFonts w:ascii="宋体" w:hAnsi="宋体" w:cs="宋体"/>
                      <w:bCs/>
                      <w:color w:val="000000"/>
                      <w:kern w:val="0"/>
                      <w:szCs w:val="21"/>
                    </w:rPr>
                  </w:pPr>
                  <w:r>
                    <w:rPr>
                      <w:rFonts w:hint="eastAsia" w:ascii="宋体" w:hAnsi="宋体" w:cs="宋体"/>
                      <w:bCs/>
                      <w:color w:val="000000"/>
                      <w:kern w:val="0"/>
                      <w:szCs w:val="21"/>
                    </w:rPr>
                    <w:t>本项目</w:t>
                  </w:r>
                </w:p>
              </w:tc>
              <w:tc>
                <w:tcPr>
                  <w:tcW w:w="703" w:type="dxa"/>
                  <w:vAlign w:val="center"/>
                </w:tcPr>
                <w:p>
                  <w:pPr>
                    <w:snapToGrid w:val="0"/>
                    <w:jc w:val="center"/>
                    <w:rPr>
                      <w:rFonts w:ascii="宋体" w:hAnsi="宋体" w:cs="宋体"/>
                      <w:bCs/>
                      <w:color w:val="000000"/>
                      <w:kern w:val="0"/>
                      <w:szCs w:val="21"/>
                    </w:rPr>
                  </w:pPr>
                  <w:r>
                    <w:rPr>
                      <w:rFonts w:hint="eastAsia" w:ascii="宋体" w:hAnsi="宋体" w:cs="宋体"/>
                      <w:bCs/>
                      <w:color w:val="000000"/>
                      <w:kern w:val="0"/>
                      <w:szCs w:val="21"/>
                    </w:rPr>
                    <w:t>相符性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6922" w:type="dxa"/>
                  <w:gridSpan w:val="3"/>
                  <w:vAlign w:val="center"/>
                </w:tcPr>
                <w:p>
                  <w:pPr>
                    <w:snapToGrid w:val="0"/>
                    <w:jc w:val="center"/>
                    <w:rPr>
                      <w:color w:val="000000"/>
                      <w:kern w:val="0"/>
                      <w:szCs w:val="21"/>
                    </w:rPr>
                  </w:pPr>
                  <w:r>
                    <w:rPr>
                      <w:rFonts w:hint="eastAsia" w:hAnsi="宋体"/>
                      <w:color w:val="000000"/>
                      <w:kern w:val="0"/>
                      <w:szCs w:val="21"/>
                    </w:rPr>
                    <w:t>二、优化产业结构，促进产业绿色发展</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3308" w:type="dxa"/>
                  <w:vAlign w:val="center"/>
                </w:tcPr>
                <w:p>
                  <w:pPr>
                    <w:snapToGrid w:val="0"/>
                    <w:rPr>
                      <w:bCs/>
                      <w:color w:val="000000"/>
                      <w:kern w:val="0"/>
                      <w:szCs w:val="21"/>
                    </w:rPr>
                  </w:pPr>
                  <w:r>
                    <w:rPr>
                      <w:rFonts w:hint="eastAsia"/>
                      <w:bCs/>
                      <w:color w:val="000000"/>
                      <w:kern w:val="0"/>
                      <w:szCs w:val="21"/>
                    </w:rPr>
                    <w:t>（一）严把“两高”项目准入关口。严格落实国家和我省“两高”项目相关要求，严禁新增钢铁产能。严格执行有关行业产能置换政策，被置换产能及其配套设施关停后，新建项目方可投产。国家、省绩效分级重点行业以及涉及锅炉炉窑的其他行业，新（改、扩）建项目原则上达到环境绩效A级或国内清洁生产先进水平。推进钢铁、焦化、烧结一体化布局，大幅减少独立烧结、球团和热轧企业及工序，推动高炉—转炉长流程炼钢转型为电炉短流程炼钢，淘汰落后煤炭洗选产能。统筹落实国家“以钢定焦”有关要求，研究制定焦化行业产能退出实施方案。到2025年，全省短流程炼钢产量占比达15%以上，郑州市钢铁企业全部退出。</w:t>
                  </w:r>
                </w:p>
              </w:tc>
              <w:tc>
                <w:tcPr>
                  <w:tcW w:w="2911" w:type="dxa"/>
                  <w:vAlign w:val="center"/>
                </w:tcPr>
                <w:p>
                  <w:pPr>
                    <w:snapToGrid w:val="0"/>
                    <w:jc w:val="center"/>
                    <w:rPr>
                      <w:color w:val="000000"/>
                      <w:kern w:val="0"/>
                      <w:szCs w:val="21"/>
                    </w:rPr>
                  </w:pPr>
                  <w:r>
                    <w:rPr>
                      <w:rFonts w:hint="eastAsia"/>
                      <w:color w:val="000000"/>
                      <w:kern w:val="0"/>
                      <w:szCs w:val="21"/>
                    </w:rPr>
                    <w:t>项目不属于“两高”项目。项目建设符合《河南省重污染天气通用行业应急减排措施制定技术指南（2024年修订稿）》涉PM企业绩效引领性指标管控要求。</w:t>
                  </w:r>
                </w:p>
              </w:tc>
              <w:tc>
                <w:tcPr>
                  <w:tcW w:w="703" w:type="dxa"/>
                  <w:vAlign w:val="center"/>
                </w:tcPr>
                <w:p>
                  <w:pPr>
                    <w:snapToGrid w:val="0"/>
                    <w:jc w:val="center"/>
                    <w:rPr>
                      <w:rFonts w:ascii="宋体" w:hAnsi="宋体" w:cs="宋体"/>
                      <w:color w:val="000000"/>
                      <w:kern w:val="0"/>
                      <w:szCs w:val="21"/>
                    </w:rPr>
                  </w:pPr>
                  <w:r>
                    <w:rPr>
                      <w:rFonts w:hint="eastAsia" w:ascii="宋体" w:hAnsi="宋体" w:cs="宋体"/>
                      <w:color w:val="000000"/>
                      <w:kern w:val="0"/>
                      <w:szCs w:val="21"/>
                    </w:rPr>
                    <w:t>相符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6922" w:type="dxa"/>
                  <w:gridSpan w:val="3"/>
                  <w:vAlign w:val="center"/>
                </w:tcPr>
                <w:p>
                  <w:pPr>
                    <w:snapToGrid w:val="0"/>
                    <w:jc w:val="center"/>
                    <w:rPr>
                      <w:rFonts w:ascii="宋体" w:hAnsi="宋体" w:cs="宋体"/>
                      <w:color w:val="000000"/>
                      <w:kern w:val="0"/>
                      <w:szCs w:val="21"/>
                    </w:rPr>
                  </w:pPr>
                  <w:r>
                    <w:rPr>
                      <w:rFonts w:hint="eastAsia" w:ascii="宋体" w:hAnsi="宋体" w:cs="宋体"/>
                      <w:color w:val="000000"/>
                      <w:kern w:val="0"/>
                      <w:szCs w:val="21"/>
                    </w:rPr>
                    <w:t>三、强化面源污染治理，提升精细化管理水平</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3308" w:type="dxa"/>
                  <w:vAlign w:val="center"/>
                </w:tcPr>
                <w:p>
                  <w:pPr>
                    <w:snapToGrid w:val="0"/>
                    <w:rPr>
                      <w:bCs/>
                      <w:color w:val="000000"/>
                      <w:kern w:val="0"/>
                      <w:szCs w:val="21"/>
                    </w:rPr>
                  </w:pPr>
                  <w:r>
                    <w:rPr>
                      <w:rFonts w:hint="eastAsia"/>
                      <w:bCs/>
                      <w:color w:val="000000"/>
                      <w:kern w:val="0"/>
                      <w:szCs w:val="21"/>
                    </w:rPr>
                    <w:t>（一）深化扬尘污染综合治理。严格落实扬尘治理“两个标准”要求，加强施工围挡、车辆冲洗、湿法作业、密闭运输、地面硬化、物料覆盖等精细化管理，鼓励建筑项目积极采用装配式建造等绿色施工技术。</w:t>
                  </w:r>
                </w:p>
              </w:tc>
              <w:tc>
                <w:tcPr>
                  <w:tcW w:w="2911" w:type="dxa"/>
                  <w:vAlign w:val="center"/>
                </w:tcPr>
                <w:p>
                  <w:pPr>
                    <w:snapToGrid w:val="0"/>
                    <w:jc w:val="center"/>
                    <w:rPr>
                      <w:color w:val="000000"/>
                      <w:kern w:val="0"/>
                      <w:szCs w:val="21"/>
                    </w:rPr>
                  </w:pPr>
                  <w:r>
                    <w:rPr>
                      <w:rFonts w:hint="eastAsia"/>
                      <w:color w:val="000000"/>
                      <w:kern w:val="0"/>
                      <w:szCs w:val="21"/>
                    </w:rPr>
                    <w:t>项目施工期工程内容主要为大棚加高、设备安装，</w:t>
                  </w:r>
                  <w:r>
                    <w:rPr>
                      <w:rFonts w:hint="eastAsia"/>
                      <w:bCs/>
                      <w:color w:val="000000"/>
                      <w:kern w:val="0"/>
                      <w:szCs w:val="21"/>
                    </w:rPr>
                    <w:t>施工期对周围大气环境影响较小</w:t>
                  </w:r>
                  <w:r>
                    <w:rPr>
                      <w:rFonts w:hint="eastAsia"/>
                      <w:color w:val="000000"/>
                      <w:kern w:val="0"/>
                      <w:szCs w:val="21"/>
                    </w:rPr>
                    <w:t>。</w:t>
                  </w:r>
                </w:p>
              </w:tc>
              <w:tc>
                <w:tcPr>
                  <w:tcW w:w="703" w:type="dxa"/>
                  <w:vAlign w:val="center"/>
                </w:tcPr>
                <w:p>
                  <w:pPr>
                    <w:snapToGrid w:val="0"/>
                    <w:jc w:val="center"/>
                    <w:rPr>
                      <w:rFonts w:ascii="宋体" w:hAnsi="宋体" w:cs="宋体"/>
                      <w:color w:val="000000"/>
                      <w:kern w:val="0"/>
                      <w:szCs w:val="21"/>
                    </w:rPr>
                  </w:pPr>
                  <w:r>
                    <w:rPr>
                      <w:rFonts w:hint="eastAsia" w:ascii="宋体" w:hAnsi="宋体" w:cs="宋体"/>
                      <w:color w:val="000000"/>
                      <w:kern w:val="0"/>
                      <w:szCs w:val="21"/>
                    </w:rPr>
                    <w:t>相符</w:t>
                  </w:r>
                </w:p>
              </w:tc>
            </w:tr>
          </w:tbl>
          <w:p>
            <w:pPr>
              <w:pStyle w:val="57"/>
              <w:snapToGrid w:val="0"/>
              <w:ind w:firstLine="482"/>
              <w:rPr>
                <w:rFonts w:ascii="Times New Roman"/>
                <w:b/>
                <w:color w:val="000000" w:themeColor="text1"/>
              </w:rPr>
            </w:pPr>
            <w:r>
              <w:rPr>
                <w:rFonts w:hint="eastAsia" w:ascii="Times New Roman"/>
                <w:b/>
                <w:color w:val="000000" w:themeColor="text1"/>
              </w:rPr>
              <w:t>10、与《南阳市人民政府关于印发南阳市空气质量持续改善行动实施方案的通知》（宛政【2024】6号）相符性分析</w:t>
            </w:r>
          </w:p>
          <w:p>
            <w:pPr>
              <w:pStyle w:val="57"/>
              <w:snapToGrid w:val="0"/>
              <w:ind w:firstLine="420"/>
              <w:rPr>
                <w:rFonts w:ascii="Times New Roman"/>
                <w:color w:val="000000" w:themeColor="text1"/>
              </w:rPr>
            </w:pPr>
            <w:r>
              <w:rPr>
                <w:rFonts w:hint="eastAsia" w:ascii="Times New Roman"/>
                <w:color w:val="000000" w:themeColor="text1"/>
              </w:rPr>
              <w:t>项目建设满足南阳市空气质量持续改善行动实施方案要求，项目与宛政〔2024〕6号文件相关内容相符性分析详见下表。</w:t>
            </w:r>
          </w:p>
          <w:p>
            <w:pPr>
              <w:numPr>
                <w:ilvl w:val="0"/>
                <w:numId w:val="2"/>
              </w:numPr>
              <w:autoSpaceDE w:val="0"/>
              <w:autoSpaceDN w:val="0"/>
              <w:adjustRightInd w:val="0"/>
              <w:snapToGrid w:val="0"/>
              <w:jc w:val="center"/>
              <w:rPr>
                <w:b/>
                <w:color w:val="000000"/>
                <w:sz w:val="24"/>
              </w:rPr>
            </w:pPr>
            <w:r>
              <w:rPr>
                <w:rFonts w:hint="eastAsia"/>
                <w:b/>
                <w:color w:val="000000"/>
                <w:sz w:val="24"/>
              </w:rPr>
              <w:t>项目与宛政【2024】6号相符性分析一览表</w:t>
            </w:r>
          </w:p>
          <w:tbl>
            <w:tblPr>
              <w:tblStyle w:val="26"/>
              <w:tblW w:w="6922" w:type="dxa"/>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3314"/>
              <w:gridCol w:w="2916"/>
              <w:gridCol w:w="692"/>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44" w:hRule="atLeast"/>
                <w:tblHeader/>
              </w:trPr>
              <w:tc>
                <w:tcPr>
                  <w:tcW w:w="3314" w:type="dxa"/>
                  <w:vAlign w:val="center"/>
                </w:tcPr>
                <w:p>
                  <w:pPr>
                    <w:snapToGrid w:val="0"/>
                    <w:jc w:val="center"/>
                    <w:rPr>
                      <w:rFonts w:ascii="宋体" w:hAnsi="宋体" w:cs="宋体"/>
                      <w:b/>
                      <w:bCs/>
                      <w:color w:val="000000"/>
                      <w:kern w:val="0"/>
                      <w:szCs w:val="21"/>
                    </w:rPr>
                  </w:pPr>
                  <w:r>
                    <w:rPr>
                      <w:rFonts w:hint="eastAsia" w:ascii="宋体" w:hAnsi="宋体" w:cs="宋体"/>
                      <w:b/>
                      <w:bCs/>
                      <w:color w:val="000000"/>
                      <w:kern w:val="0"/>
                      <w:szCs w:val="21"/>
                    </w:rPr>
                    <w:t>行动计划相关要求</w:t>
                  </w:r>
                </w:p>
              </w:tc>
              <w:tc>
                <w:tcPr>
                  <w:tcW w:w="2916" w:type="dxa"/>
                  <w:vAlign w:val="center"/>
                </w:tcPr>
                <w:p>
                  <w:pPr>
                    <w:snapToGrid w:val="0"/>
                    <w:jc w:val="center"/>
                    <w:rPr>
                      <w:rFonts w:ascii="宋体" w:hAnsi="宋体" w:cs="宋体"/>
                      <w:b/>
                      <w:bCs/>
                      <w:color w:val="000000"/>
                      <w:kern w:val="0"/>
                      <w:szCs w:val="21"/>
                    </w:rPr>
                  </w:pPr>
                  <w:r>
                    <w:rPr>
                      <w:rFonts w:hint="eastAsia" w:ascii="宋体" w:hAnsi="宋体" w:cs="宋体"/>
                      <w:b/>
                      <w:bCs/>
                      <w:color w:val="000000"/>
                      <w:kern w:val="0"/>
                      <w:szCs w:val="21"/>
                    </w:rPr>
                    <w:t>本项目</w:t>
                  </w:r>
                </w:p>
              </w:tc>
              <w:tc>
                <w:tcPr>
                  <w:tcW w:w="692" w:type="dxa"/>
                  <w:vAlign w:val="center"/>
                </w:tcPr>
                <w:p>
                  <w:pPr>
                    <w:snapToGrid w:val="0"/>
                    <w:jc w:val="center"/>
                    <w:rPr>
                      <w:rFonts w:ascii="宋体" w:hAnsi="宋体" w:cs="宋体"/>
                      <w:b/>
                      <w:bCs/>
                      <w:color w:val="000000"/>
                      <w:kern w:val="0"/>
                      <w:szCs w:val="21"/>
                    </w:rPr>
                  </w:pPr>
                  <w:r>
                    <w:rPr>
                      <w:rFonts w:hint="eastAsia" w:ascii="宋体" w:hAnsi="宋体" w:cs="宋体"/>
                      <w:b/>
                      <w:bCs/>
                      <w:color w:val="000000"/>
                      <w:kern w:val="0"/>
                      <w:szCs w:val="21"/>
                    </w:rPr>
                    <w:t>相符性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6922" w:type="dxa"/>
                  <w:gridSpan w:val="3"/>
                  <w:vAlign w:val="center"/>
                </w:tcPr>
                <w:p>
                  <w:pPr>
                    <w:snapToGrid w:val="0"/>
                    <w:jc w:val="center"/>
                    <w:rPr>
                      <w:color w:val="000000"/>
                      <w:kern w:val="0"/>
                      <w:szCs w:val="21"/>
                    </w:rPr>
                  </w:pPr>
                  <w:r>
                    <w:rPr>
                      <w:rFonts w:hint="eastAsia" w:hAnsi="宋体"/>
                      <w:color w:val="000000"/>
                      <w:kern w:val="0"/>
                      <w:szCs w:val="21"/>
                    </w:rPr>
                    <w:t>二、优化产业结构，促进产业绿色发展</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3314" w:type="dxa"/>
                  <w:vAlign w:val="center"/>
                </w:tcPr>
                <w:p>
                  <w:pPr>
                    <w:snapToGrid w:val="0"/>
                    <w:rPr>
                      <w:bCs/>
                      <w:color w:val="000000"/>
                      <w:kern w:val="0"/>
                      <w:szCs w:val="21"/>
                    </w:rPr>
                  </w:pPr>
                  <w:r>
                    <w:rPr>
                      <w:rFonts w:hint="eastAsia"/>
                      <w:bCs/>
                      <w:color w:val="000000"/>
                      <w:kern w:val="0"/>
                      <w:szCs w:val="21"/>
                    </w:rPr>
                    <w:t>(一)严把“两高”项目准入关口。严格落实国家、省“两高”项目相关要求,严禁新增钢铁产能。严格执行有关行业产能置换政策,被置换产能及其配套设施关停后,新建项目方可投产。国家、省绩效分级重点行业以及涉及锅炉炉窑的其他行业,新(改、扩)建项目原则上达到环境绩效A级或国内清洁生产先进水平。</w:t>
                  </w:r>
                </w:p>
              </w:tc>
              <w:tc>
                <w:tcPr>
                  <w:tcW w:w="2916" w:type="dxa"/>
                  <w:vAlign w:val="center"/>
                </w:tcPr>
                <w:p>
                  <w:pPr>
                    <w:snapToGrid w:val="0"/>
                    <w:jc w:val="center"/>
                    <w:rPr>
                      <w:color w:val="000000"/>
                      <w:kern w:val="0"/>
                      <w:szCs w:val="21"/>
                    </w:rPr>
                  </w:pPr>
                  <w:r>
                    <w:rPr>
                      <w:rFonts w:hint="eastAsia"/>
                      <w:color w:val="000000"/>
                      <w:kern w:val="0"/>
                      <w:szCs w:val="21"/>
                    </w:rPr>
                    <w:t>项目不属于“两高”项目。项目建设符合《河南省重污染天气通用行业应急减排措施制定技术指南（2024年修订稿）》涉PM企业绩效引领性指标管控要求。</w:t>
                  </w:r>
                </w:p>
              </w:tc>
              <w:tc>
                <w:tcPr>
                  <w:tcW w:w="692" w:type="dxa"/>
                  <w:vAlign w:val="center"/>
                </w:tcPr>
                <w:p>
                  <w:pPr>
                    <w:snapToGrid w:val="0"/>
                    <w:jc w:val="center"/>
                    <w:rPr>
                      <w:rFonts w:ascii="宋体" w:hAnsi="宋体" w:cs="宋体"/>
                      <w:color w:val="000000"/>
                      <w:kern w:val="0"/>
                      <w:szCs w:val="21"/>
                    </w:rPr>
                  </w:pPr>
                  <w:r>
                    <w:rPr>
                      <w:rFonts w:hint="eastAsia" w:ascii="宋体" w:hAnsi="宋体" w:cs="宋体"/>
                      <w:color w:val="000000"/>
                      <w:kern w:val="0"/>
                      <w:szCs w:val="21"/>
                    </w:rPr>
                    <w:t>相符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3314" w:type="dxa"/>
                  <w:vAlign w:val="center"/>
                </w:tcPr>
                <w:p>
                  <w:pPr>
                    <w:snapToGrid w:val="0"/>
                    <w:rPr>
                      <w:bCs/>
                      <w:color w:val="000000"/>
                      <w:kern w:val="0"/>
                      <w:szCs w:val="21"/>
                    </w:rPr>
                  </w:pPr>
                  <w:r>
                    <w:rPr>
                      <w:rFonts w:hint="eastAsia"/>
                      <w:bCs/>
                      <w:color w:val="000000"/>
                      <w:kern w:val="0"/>
                      <w:szCs w:val="21"/>
                    </w:rPr>
                    <w:t>(二)加快淘汰落后低效产能。落实国家产业政策,进一步提高落后产能能耗、环保、质量、安全、技术等要求,将大气污染物排放强度高、清洁生产水平低、治理难度大以及产能过剩行业的工艺和装备纳入淘汰范围,逐步退出限制类涉气行业工艺和装备;加快淘汰步进式烧结机、球团竖炉、独立烧结、独立球团、独立热轧工序以及半封闭式硅锰合金、镍铁、高碳铬铁、高碳锰铁电炉;推动6000万标砖/年以下和城市规划区内的烧结砖及烧结空心砌块生产线有序退出。</w:t>
                  </w:r>
                </w:p>
              </w:tc>
              <w:tc>
                <w:tcPr>
                  <w:tcW w:w="2916" w:type="dxa"/>
                  <w:vAlign w:val="center"/>
                </w:tcPr>
                <w:p>
                  <w:pPr>
                    <w:snapToGrid w:val="0"/>
                    <w:jc w:val="center"/>
                    <w:rPr>
                      <w:color w:val="000000"/>
                      <w:kern w:val="0"/>
                      <w:szCs w:val="21"/>
                    </w:rPr>
                  </w:pPr>
                  <w:r>
                    <w:rPr>
                      <w:rFonts w:hint="eastAsia"/>
                      <w:color w:val="000000"/>
                      <w:kern w:val="0"/>
                      <w:szCs w:val="21"/>
                    </w:rPr>
                    <w:t>根据《产业结构调整指导目录（2024年本）》，项目属于允许类，项目不属于落后低效产能，且项目已取得卧龙区发改委备案证明，项目代码为</w:t>
                  </w:r>
                  <w:r>
                    <w:rPr>
                      <w:color w:val="000000"/>
                      <w:kern w:val="0"/>
                      <w:szCs w:val="21"/>
                    </w:rPr>
                    <w:t>2410-411303-04-01-128447</w:t>
                  </w:r>
                  <w:r>
                    <w:rPr>
                      <w:rFonts w:hint="eastAsia"/>
                      <w:color w:val="000000"/>
                      <w:kern w:val="0"/>
                      <w:szCs w:val="21"/>
                    </w:rPr>
                    <w:t>。</w:t>
                  </w:r>
                </w:p>
              </w:tc>
              <w:tc>
                <w:tcPr>
                  <w:tcW w:w="692" w:type="dxa"/>
                  <w:vAlign w:val="center"/>
                </w:tcPr>
                <w:p>
                  <w:pPr>
                    <w:snapToGrid w:val="0"/>
                    <w:jc w:val="center"/>
                    <w:rPr>
                      <w:rFonts w:ascii="宋体" w:hAnsi="宋体" w:cs="宋体"/>
                      <w:color w:val="000000"/>
                      <w:kern w:val="0"/>
                      <w:szCs w:val="21"/>
                    </w:rPr>
                  </w:pPr>
                  <w:r>
                    <w:rPr>
                      <w:rFonts w:hint="eastAsia" w:ascii="宋体" w:hAnsi="宋体" w:cs="宋体"/>
                      <w:color w:val="000000"/>
                      <w:kern w:val="0"/>
                      <w:szCs w:val="21"/>
                    </w:rPr>
                    <w:t>相符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6922" w:type="dxa"/>
                  <w:gridSpan w:val="3"/>
                  <w:vAlign w:val="center"/>
                </w:tcPr>
                <w:p>
                  <w:pPr>
                    <w:snapToGrid w:val="0"/>
                    <w:jc w:val="center"/>
                    <w:rPr>
                      <w:rFonts w:ascii="宋体" w:hAnsi="宋体" w:cs="宋体"/>
                      <w:color w:val="000000"/>
                      <w:kern w:val="0"/>
                      <w:szCs w:val="21"/>
                    </w:rPr>
                  </w:pPr>
                  <w:r>
                    <w:rPr>
                      <w:rFonts w:hint="eastAsia" w:ascii="宋体" w:hAnsi="宋体" w:cs="宋体"/>
                      <w:color w:val="000000"/>
                      <w:kern w:val="0"/>
                      <w:szCs w:val="21"/>
                    </w:rPr>
                    <w:t>三、优化能源结构,加快能源绿色低碳发展</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3314" w:type="dxa"/>
                  <w:vAlign w:val="center"/>
                </w:tcPr>
                <w:p>
                  <w:pPr>
                    <w:snapToGrid w:val="0"/>
                    <w:rPr>
                      <w:bCs/>
                      <w:color w:val="000000"/>
                      <w:kern w:val="0"/>
                      <w:szCs w:val="21"/>
                    </w:rPr>
                  </w:pPr>
                  <w:r>
                    <w:rPr>
                      <w:rFonts w:hint="eastAsia"/>
                      <w:bCs/>
                      <w:color w:val="000000"/>
                      <w:kern w:val="0"/>
                      <w:szCs w:val="21"/>
                    </w:rPr>
                    <w:t>(二)严格合理控制煤炭消费总量。实施煤炭消费总量控制行动,重点压减非电行业煤炭消费,煤矸石、原料用煤不纳入煤炭消费总量考核内容。对新(改、扩)建用煤项目实施煤炭等量或减量替代,替代方案不完善的不予审批,不得将使用石油焦、焦炭、兰炭等高污染燃料作为煤炭减量替代措施。</w:t>
                  </w:r>
                </w:p>
              </w:tc>
              <w:tc>
                <w:tcPr>
                  <w:tcW w:w="2916" w:type="dxa"/>
                  <w:vAlign w:val="center"/>
                </w:tcPr>
                <w:p>
                  <w:pPr>
                    <w:snapToGrid w:val="0"/>
                    <w:jc w:val="center"/>
                    <w:rPr>
                      <w:color w:val="000000"/>
                      <w:kern w:val="0"/>
                      <w:szCs w:val="21"/>
                    </w:rPr>
                  </w:pPr>
                  <w:r>
                    <w:rPr>
                      <w:rFonts w:hint="eastAsia"/>
                      <w:color w:val="000000"/>
                      <w:kern w:val="0"/>
                      <w:szCs w:val="21"/>
                    </w:rPr>
                    <w:t>项目能源为电，不涉及煤炭。</w:t>
                  </w:r>
                </w:p>
              </w:tc>
              <w:tc>
                <w:tcPr>
                  <w:tcW w:w="692" w:type="dxa"/>
                  <w:vAlign w:val="center"/>
                </w:tcPr>
                <w:p>
                  <w:pPr>
                    <w:snapToGrid w:val="0"/>
                    <w:jc w:val="center"/>
                    <w:rPr>
                      <w:rFonts w:ascii="宋体" w:hAnsi="宋体" w:cs="宋体"/>
                      <w:color w:val="000000"/>
                      <w:kern w:val="0"/>
                      <w:szCs w:val="21"/>
                    </w:rPr>
                  </w:pPr>
                  <w:r>
                    <w:rPr>
                      <w:rFonts w:hint="eastAsia" w:ascii="宋体" w:hAnsi="宋体" w:cs="宋体"/>
                      <w:color w:val="000000"/>
                      <w:kern w:val="0"/>
                      <w:szCs w:val="21"/>
                    </w:rPr>
                    <w:t>相符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6922" w:type="dxa"/>
                  <w:gridSpan w:val="3"/>
                  <w:vAlign w:val="center"/>
                </w:tcPr>
                <w:p>
                  <w:pPr>
                    <w:snapToGrid w:val="0"/>
                    <w:jc w:val="center"/>
                    <w:rPr>
                      <w:rFonts w:ascii="宋体" w:hAnsi="宋体" w:cs="宋体"/>
                      <w:color w:val="000000"/>
                      <w:kern w:val="0"/>
                      <w:szCs w:val="21"/>
                    </w:rPr>
                  </w:pPr>
                  <w:r>
                    <w:rPr>
                      <w:rFonts w:hint="eastAsia" w:ascii="宋体" w:hAnsi="宋体" w:cs="宋体"/>
                      <w:color w:val="000000"/>
                      <w:kern w:val="0"/>
                      <w:szCs w:val="21"/>
                    </w:rPr>
                    <w:t>五、强化面源污染治理,提升精细化管理水平</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3314" w:type="dxa"/>
                  <w:vAlign w:val="center"/>
                </w:tcPr>
                <w:p>
                  <w:pPr>
                    <w:snapToGrid w:val="0"/>
                    <w:rPr>
                      <w:bCs/>
                      <w:color w:val="000000"/>
                      <w:kern w:val="0"/>
                      <w:szCs w:val="21"/>
                    </w:rPr>
                  </w:pPr>
                  <w:r>
                    <w:rPr>
                      <w:rFonts w:hint="eastAsia"/>
                      <w:bCs/>
                      <w:color w:val="000000"/>
                      <w:kern w:val="0"/>
                      <w:szCs w:val="21"/>
                    </w:rPr>
                    <w:t>(一)深化扬尘污染综合治理。严格落实扬尘治理“两个标准”要求,加强施工围挡、车辆冲洗、湿法作业、密闭运输、地面硬化、物料覆盖等精细化管理,鼓励建筑项目积极采用装配式建造等绿色施工技术。市政道路、水务等长距离线性工程实行分段施工,逐步推动5000平方米以上建筑工地安装在线监测和视频监控设施并接入监管平台。将防治扬尘污染费用纳入工程造价。持续开展城市清洁行动,强化道路扬尘综合整治,对长期未开发的建设裸地进行排查整治。到2025年,城市建成区主次干道机械化清扫率达到90%以上。</w:t>
                  </w:r>
                </w:p>
              </w:tc>
              <w:tc>
                <w:tcPr>
                  <w:tcW w:w="2916" w:type="dxa"/>
                  <w:vAlign w:val="center"/>
                </w:tcPr>
                <w:p>
                  <w:pPr>
                    <w:snapToGrid w:val="0"/>
                    <w:jc w:val="center"/>
                    <w:rPr>
                      <w:color w:val="000000"/>
                      <w:kern w:val="0"/>
                      <w:szCs w:val="21"/>
                    </w:rPr>
                  </w:pPr>
                  <w:r>
                    <w:rPr>
                      <w:rFonts w:hint="eastAsia"/>
                      <w:color w:val="000000"/>
                      <w:kern w:val="0"/>
                      <w:szCs w:val="21"/>
                    </w:rPr>
                    <w:t>项目施工期工程内容主要为设备安装，</w:t>
                  </w:r>
                  <w:r>
                    <w:rPr>
                      <w:rFonts w:hint="eastAsia"/>
                      <w:bCs/>
                      <w:color w:val="000000"/>
                      <w:kern w:val="0"/>
                      <w:szCs w:val="21"/>
                    </w:rPr>
                    <w:t>施工期对周围大气环境影响较小</w:t>
                  </w:r>
                  <w:r>
                    <w:rPr>
                      <w:rFonts w:hint="eastAsia"/>
                      <w:color w:val="000000"/>
                      <w:kern w:val="0"/>
                      <w:szCs w:val="21"/>
                    </w:rPr>
                    <w:t>。</w:t>
                  </w:r>
                </w:p>
              </w:tc>
              <w:tc>
                <w:tcPr>
                  <w:tcW w:w="692" w:type="dxa"/>
                  <w:vAlign w:val="center"/>
                </w:tcPr>
                <w:p>
                  <w:pPr>
                    <w:snapToGrid w:val="0"/>
                    <w:jc w:val="center"/>
                    <w:rPr>
                      <w:rFonts w:ascii="宋体" w:hAnsi="宋体" w:cs="宋体"/>
                      <w:color w:val="000000"/>
                      <w:kern w:val="0"/>
                      <w:szCs w:val="21"/>
                    </w:rPr>
                  </w:pPr>
                  <w:r>
                    <w:rPr>
                      <w:rFonts w:hint="eastAsia" w:ascii="宋体" w:hAnsi="宋体" w:cs="宋体"/>
                      <w:color w:val="000000"/>
                      <w:kern w:val="0"/>
                      <w:szCs w:val="21"/>
                    </w:rPr>
                    <w:t>相符</w:t>
                  </w:r>
                </w:p>
              </w:tc>
            </w:tr>
          </w:tbl>
          <w:p>
            <w:pPr>
              <w:pStyle w:val="57"/>
              <w:snapToGrid w:val="0"/>
              <w:ind w:firstLine="482"/>
              <w:rPr>
                <w:rFonts w:ascii="Times New Roman"/>
                <w:b/>
                <w:color w:val="000000" w:themeColor="text1"/>
              </w:rPr>
            </w:pPr>
            <w:r>
              <w:rPr>
                <w:rFonts w:hint="eastAsia" w:ascii="Times New Roman"/>
                <w:b/>
                <w:color w:val="000000" w:themeColor="text1"/>
              </w:rPr>
              <w:t>11、《南阳市人民政府办公室关于印发南阳市环境空气质量限期达标行动实施方案（2024-2025年）的通知》（宛政办【2024】3号）相符性分析</w:t>
            </w:r>
          </w:p>
          <w:p>
            <w:pPr>
              <w:tabs>
                <w:tab w:val="left" w:pos="1081"/>
              </w:tabs>
              <w:adjustRightInd w:val="0"/>
              <w:snapToGrid w:val="0"/>
              <w:spacing w:line="360" w:lineRule="auto"/>
              <w:ind w:firstLine="480" w:firstLineChars="200"/>
              <w:rPr>
                <w:sz w:val="24"/>
                <w:szCs w:val="24"/>
              </w:rPr>
            </w:pPr>
            <w:r>
              <w:rPr>
                <w:rFonts w:hint="eastAsia"/>
                <w:sz w:val="24"/>
                <w:szCs w:val="24"/>
              </w:rPr>
              <w:t>项目建设满足南阳市环境空气质量限期达标行动实施方案（2024-2025年）要求，项目与宛政办〔2024〕3号文件相关内容相符性分析详见下表。</w:t>
            </w:r>
          </w:p>
          <w:p>
            <w:pPr>
              <w:numPr>
                <w:ilvl w:val="0"/>
                <w:numId w:val="2"/>
              </w:numPr>
              <w:autoSpaceDE w:val="0"/>
              <w:autoSpaceDN w:val="0"/>
              <w:adjustRightInd w:val="0"/>
              <w:snapToGrid w:val="0"/>
              <w:jc w:val="center"/>
              <w:rPr>
                <w:b/>
                <w:color w:val="000000"/>
                <w:sz w:val="24"/>
              </w:rPr>
            </w:pPr>
            <w:r>
              <w:rPr>
                <w:rFonts w:hint="eastAsia"/>
                <w:b/>
                <w:color w:val="000000"/>
                <w:sz w:val="24"/>
              </w:rPr>
              <w:t>项目与宛政办【2024】3号相符性分析一览表</w:t>
            </w:r>
          </w:p>
          <w:tbl>
            <w:tblPr>
              <w:tblStyle w:val="26"/>
              <w:tblW w:w="6922" w:type="dxa"/>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3303"/>
              <w:gridCol w:w="2916"/>
              <w:gridCol w:w="703"/>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44" w:hRule="atLeast"/>
                <w:tblHeader/>
              </w:trPr>
              <w:tc>
                <w:tcPr>
                  <w:tcW w:w="3303" w:type="dxa"/>
                  <w:vAlign w:val="center"/>
                </w:tcPr>
                <w:p>
                  <w:pPr>
                    <w:snapToGrid w:val="0"/>
                    <w:jc w:val="center"/>
                    <w:rPr>
                      <w:rFonts w:ascii="宋体" w:hAnsi="宋体" w:cs="宋体"/>
                      <w:b/>
                      <w:bCs/>
                      <w:color w:val="000000"/>
                      <w:kern w:val="0"/>
                      <w:szCs w:val="21"/>
                    </w:rPr>
                  </w:pPr>
                  <w:r>
                    <w:rPr>
                      <w:rFonts w:hint="eastAsia" w:ascii="宋体" w:hAnsi="宋体" w:cs="宋体"/>
                      <w:b/>
                      <w:bCs/>
                      <w:color w:val="000000"/>
                      <w:kern w:val="0"/>
                      <w:szCs w:val="21"/>
                    </w:rPr>
                    <w:t>实施方案相关要求</w:t>
                  </w:r>
                </w:p>
              </w:tc>
              <w:tc>
                <w:tcPr>
                  <w:tcW w:w="2916" w:type="dxa"/>
                  <w:vAlign w:val="center"/>
                </w:tcPr>
                <w:p>
                  <w:pPr>
                    <w:snapToGrid w:val="0"/>
                    <w:jc w:val="center"/>
                    <w:rPr>
                      <w:rFonts w:ascii="宋体" w:hAnsi="宋体" w:cs="宋体"/>
                      <w:b/>
                      <w:bCs/>
                      <w:color w:val="000000"/>
                      <w:kern w:val="0"/>
                      <w:szCs w:val="21"/>
                    </w:rPr>
                  </w:pPr>
                  <w:r>
                    <w:rPr>
                      <w:rFonts w:hint="eastAsia" w:ascii="宋体" w:hAnsi="宋体" w:cs="宋体"/>
                      <w:b/>
                      <w:bCs/>
                      <w:color w:val="000000"/>
                      <w:kern w:val="0"/>
                      <w:szCs w:val="21"/>
                    </w:rPr>
                    <w:t>本项目</w:t>
                  </w:r>
                </w:p>
              </w:tc>
              <w:tc>
                <w:tcPr>
                  <w:tcW w:w="703" w:type="dxa"/>
                  <w:vAlign w:val="center"/>
                </w:tcPr>
                <w:p>
                  <w:pPr>
                    <w:snapToGrid w:val="0"/>
                    <w:jc w:val="center"/>
                    <w:rPr>
                      <w:rFonts w:ascii="宋体" w:hAnsi="宋体" w:cs="宋体"/>
                      <w:b/>
                      <w:bCs/>
                      <w:color w:val="000000"/>
                      <w:kern w:val="0"/>
                      <w:szCs w:val="21"/>
                    </w:rPr>
                  </w:pPr>
                  <w:r>
                    <w:rPr>
                      <w:rFonts w:hint="eastAsia" w:ascii="宋体" w:hAnsi="宋体" w:cs="宋体"/>
                      <w:b/>
                      <w:bCs/>
                      <w:color w:val="000000"/>
                      <w:kern w:val="0"/>
                      <w:szCs w:val="21"/>
                    </w:rPr>
                    <w:t>相符性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3303" w:type="dxa"/>
                  <w:vAlign w:val="center"/>
                </w:tcPr>
                <w:p>
                  <w:pPr>
                    <w:snapToGrid w:val="0"/>
                    <w:rPr>
                      <w:bCs/>
                      <w:color w:val="000000"/>
                      <w:kern w:val="0"/>
                      <w:szCs w:val="21"/>
                    </w:rPr>
                  </w:pPr>
                  <w:r>
                    <w:rPr>
                      <w:rFonts w:hint="eastAsia"/>
                      <w:bCs/>
                      <w:color w:val="000000"/>
                      <w:kern w:val="0"/>
                      <w:szCs w:val="21"/>
                    </w:rPr>
                    <w:t>1.加快淘汰落后低效产能。研究制定落后产能淘汰退出工作方案，明确目标任务、时间节点、工作措施和责任单位。依据国家《产业结构调整指导目录》及《河南省淘汰落后产能综合标准体系》要求，严格强制性标准实施，落实属地责任，促使一批达不到标准体系要求和生产不合格产品或淘汰类产能等落后产能，依法依规严格关停退出。</w:t>
                  </w:r>
                </w:p>
              </w:tc>
              <w:tc>
                <w:tcPr>
                  <w:tcW w:w="2916" w:type="dxa"/>
                  <w:vAlign w:val="center"/>
                </w:tcPr>
                <w:p>
                  <w:pPr>
                    <w:snapToGrid w:val="0"/>
                    <w:jc w:val="center"/>
                    <w:rPr>
                      <w:color w:val="000000"/>
                      <w:kern w:val="0"/>
                      <w:szCs w:val="21"/>
                    </w:rPr>
                  </w:pPr>
                  <w:r>
                    <w:rPr>
                      <w:rFonts w:hint="eastAsia"/>
                      <w:color w:val="000000"/>
                      <w:kern w:val="0"/>
                      <w:szCs w:val="21"/>
                    </w:rPr>
                    <w:t>根据《产业结构调整指导目录（2024年本）》，项目属于允许类，项目不属于落后低效产能，且项目已取得卧龙区发改委备案证明，项目代码为</w:t>
                  </w:r>
                  <w:r>
                    <w:rPr>
                      <w:color w:val="000000"/>
                      <w:kern w:val="0"/>
                      <w:szCs w:val="21"/>
                    </w:rPr>
                    <w:t>2410-411303-04-01-128447</w:t>
                  </w:r>
                  <w:r>
                    <w:rPr>
                      <w:rFonts w:hint="eastAsia"/>
                      <w:color w:val="000000"/>
                      <w:kern w:val="0"/>
                      <w:szCs w:val="21"/>
                    </w:rPr>
                    <w:t>。</w:t>
                  </w:r>
                </w:p>
              </w:tc>
              <w:tc>
                <w:tcPr>
                  <w:tcW w:w="703" w:type="dxa"/>
                  <w:vAlign w:val="center"/>
                </w:tcPr>
                <w:p>
                  <w:pPr>
                    <w:snapToGrid w:val="0"/>
                    <w:jc w:val="center"/>
                    <w:rPr>
                      <w:rFonts w:ascii="宋体" w:hAnsi="宋体" w:cs="宋体"/>
                      <w:color w:val="000000"/>
                      <w:kern w:val="0"/>
                      <w:szCs w:val="21"/>
                    </w:rPr>
                  </w:pPr>
                  <w:r>
                    <w:rPr>
                      <w:rFonts w:hint="eastAsia" w:ascii="宋体" w:hAnsi="宋体" w:cs="宋体"/>
                      <w:color w:val="000000"/>
                      <w:kern w:val="0"/>
                      <w:szCs w:val="21"/>
                    </w:rPr>
                    <w:t>相符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3303" w:type="dxa"/>
                  <w:vAlign w:val="center"/>
                </w:tcPr>
                <w:p>
                  <w:pPr>
                    <w:snapToGrid w:val="0"/>
                    <w:rPr>
                      <w:bCs/>
                      <w:color w:val="000000"/>
                      <w:kern w:val="0"/>
                      <w:szCs w:val="21"/>
                    </w:rPr>
                  </w:pPr>
                  <w:r>
                    <w:rPr>
                      <w:rFonts w:hint="eastAsia"/>
                      <w:bCs/>
                      <w:color w:val="000000"/>
                      <w:kern w:val="0"/>
                      <w:szCs w:val="21"/>
                    </w:rPr>
                    <w:t>2.坚决遏制两高项目盲目发展。严格落实国家和省、市产业规划、产业政策、“三线一单”、规划环评，以及产能置换、煤炭消费减量替代、区域污染物削减等要求，严把高耗能、高排放、低水平项目准入关口。</w:t>
                  </w:r>
                </w:p>
              </w:tc>
              <w:tc>
                <w:tcPr>
                  <w:tcW w:w="2916" w:type="dxa"/>
                  <w:vAlign w:val="center"/>
                </w:tcPr>
                <w:p>
                  <w:pPr>
                    <w:snapToGrid w:val="0"/>
                    <w:jc w:val="center"/>
                    <w:rPr>
                      <w:color w:val="000000"/>
                      <w:kern w:val="0"/>
                      <w:szCs w:val="21"/>
                    </w:rPr>
                  </w:pPr>
                  <w:r>
                    <w:rPr>
                      <w:rFonts w:hint="eastAsia"/>
                      <w:color w:val="000000"/>
                      <w:kern w:val="0"/>
                      <w:szCs w:val="21"/>
                    </w:rPr>
                    <w:t>项目不属于“两高”项目。项目建设符合规划要求，符合规划环评及审查意见意见，符合“三线一单”生态环境分区管控要求。</w:t>
                  </w:r>
                </w:p>
              </w:tc>
              <w:tc>
                <w:tcPr>
                  <w:tcW w:w="703" w:type="dxa"/>
                  <w:vAlign w:val="center"/>
                </w:tcPr>
                <w:p>
                  <w:pPr>
                    <w:snapToGrid w:val="0"/>
                    <w:jc w:val="center"/>
                    <w:rPr>
                      <w:rFonts w:ascii="宋体" w:hAnsi="宋体" w:cs="宋体"/>
                      <w:color w:val="000000"/>
                      <w:kern w:val="0"/>
                      <w:szCs w:val="21"/>
                    </w:rPr>
                  </w:pPr>
                  <w:r>
                    <w:rPr>
                      <w:rFonts w:hint="eastAsia" w:ascii="宋体" w:hAnsi="宋体" w:cs="宋体"/>
                      <w:color w:val="000000"/>
                      <w:kern w:val="0"/>
                      <w:szCs w:val="21"/>
                    </w:rPr>
                    <w:t>相符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3303" w:type="dxa"/>
                  <w:vAlign w:val="center"/>
                </w:tcPr>
                <w:p>
                  <w:pPr>
                    <w:snapToGrid w:val="0"/>
                    <w:rPr>
                      <w:bCs/>
                      <w:color w:val="000000"/>
                      <w:kern w:val="0"/>
                      <w:szCs w:val="21"/>
                    </w:rPr>
                  </w:pPr>
                  <w:r>
                    <w:rPr>
                      <w:rFonts w:hint="eastAsia"/>
                      <w:bCs/>
                      <w:color w:val="000000"/>
                      <w:kern w:val="0"/>
                      <w:szCs w:val="21"/>
                    </w:rPr>
                    <w:t>3.强化项目环评及“三同时”管理。国家、省绩效分级重点行业以及涉及锅炉炉窑的其他行业，新建、扩建项目污染物排放限值、污染治理措施、无组织排放控制水平、运输方式等达到A级绩效水平；改建项目污染物排放限值、污染治理措施、无组织排放控制水平、运输方式等达到B级以上绩效水平；新建、改建、扩建项目大宗货物年货运量150万吨及以上的，原则上要接入铁路专用线或管道；具有铁路专用线的，大宗货物铁路运输比例应达到80%以上。</w:t>
                  </w:r>
                </w:p>
              </w:tc>
              <w:tc>
                <w:tcPr>
                  <w:tcW w:w="2916" w:type="dxa"/>
                  <w:vAlign w:val="center"/>
                </w:tcPr>
                <w:p>
                  <w:pPr>
                    <w:snapToGrid w:val="0"/>
                    <w:jc w:val="center"/>
                    <w:rPr>
                      <w:color w:val="000000"/>
                      <w:kern w:val="0"/>
                      <w:szCs w:val="21"/>
                    </w:rPr>
                  </w:pPr>
                  <w:r>
                    <w:rPr>
                      <w:rFonts w:hint="eastAsia"/>
                      <w:color w:val="000000"/>
                      <w:kern w:val="0"/>
                      <w:szCs w:val="21"/>
                    </w:rPr>
                    <w:t>项目不属于“两高”项目。项目建设符合《河南省重污染天气通用行业应急减排措施制定技术指南（2024年修订稿）》涉PM企业绩效引领性指标管控要求。</w:t>
                  </w:r>
                </w:p>
              </w:tc>
              <w:tc>
                <w:tcPr>
                  <w:tcW w:w="703" w:type="dxa"/>
                  <w:vAlign w:val="center"/>
                </w:tcPr>
                <w:p>
                  <w:pPr>
                    <w:snapToGrid w:val="0"/>
                    <w:jc w:val="center"/>
                    <w:rPr>
                      <w:rFonts w:ascii="宋体" w:hAnsi="宋体" w:cs="宋体"/>
                      <w:color w:val="000000"/>
                      <w:kern w:val="0"/>
                      <w:szCs w:val="21"/>
                    </w:rPr>
                  </w:pPr>
                  <w:r>
                    <w:rPr>
                      <w:rFonts w:hint="eastAsia" w:ascii="宋体" w:hAnsi="宋体" w:cs="宋体"/>
                      <w:color w:val="000000"/>
                      <w:kern w:val="0"/>
                      <w:szCs w:val="21"/>
                    </w:rPr>
                    <w:t>相符</w:t>
                  </w:r>
                </w:p>
              </w:tc>
            </w:tr>
          </w:tbl>
          <w:p>
            <w:pPr>
              <w:pStyle w:val="57"/>
              <w:snapToGrid w:val="0"/>
              <w:ind w:firstLine="482"/>
              <w:rPr>
                <w:rFonts w:ascii="Times New Roman"/>
                <w:color w:val="000000" w:themeColor="text1"/>
              </w:rPr>
            </w:pPr>
            <w:r>
              <w:rPr>
                <w:rFonts w:hint="eastAsia" w:ascii="Times New Roman"/>
                <w:b/>
                <w:color w:val="000000" w:themeColor="text1"/>
              </w:rPr>
              <w:t>12、</w:t>
            </w:r>
            <w:r>
              <w:rPr>
                <w:rFonts w:ascii="Times New Roman"/>
                <w:b/>
                <w:color w:val="000000" w:themeColor="text1"/>
              </w:rPr>
              <w:t>项目建设与《河南省重污染天气通用行业应急减排措施制定技术指南》（2024年修订稿）的相符性</w:t>
            </w:r>
          </w:p>
          <w:p>
            <w:pPr>
              <w:pStyle w:val="57"/>
              <w:snapToGrid w:val="0"/>
              <w:ind w:firstLine="482"/>
              <w:rPr>
                <w:rFonts w:ascii="Times New Roman"/>
                <w:color w:val="000000" w:themeColor="text1"/>
              </w:rPr>
            </w:pPr>
            <w:r>
              <w:rPr>
                <w:rFonts w:hint="eastAsia" w:ascii="Times New Roman"/>
                <w:color w:val="000000" w:themeColor="text1"/>
              </w:rPr>
              <w:t>本项目主要进行卫生材料生产，属于医药制造业，经比对重污染天气重点行业应急减排措施制定技术指南（2020修订版）及《河南省重污染天气重点行业应急减排措施制定技术指南》（2024年修订稿），本项目不属于指南中划定的重点行业，但本项目企业涉及PM，应急减排措施应达到《河南省重污染天气通用行业应急减排措施制定技术指南》（2024年修订稿）中涉PM企业绩效引领性要求，项目与通用行业应急减排措施绩效引领性要求的相符性分析见表1-6。</w:t>
            </w:r>
          </w:p>
          <w:p>
            <w:pPr>
              <w:numPr>
                <w:ilvl w:val="0"/>
                <w:numId w:val="2"/>
              </w:numPr>
              <w:autoSpaceDE w:val="0"/>
              <w:autoSpaceDN w:val="0"/>
              <w:adjustRightInd w:val="0"/>
              <w:snapToGrid w:val="0"/>
              <w:jc w:val="center"/>
              <w:rPr>
                <w:b/>
                <w:color w:val="000000"/>
                <w:sz w:val="24"/>
              </w:rPr>
            </w:pPr>
            <w:r>
              <w:rPr>
                <w:rFonts w:hint="eastAsia"/>
                <w:b/>
                <w:color w:val="000000"/>
                <w:sz w:val="24"/>
              </w:rPr>
              <w:t xml:space="preserve"> 项目与《河南省重污染天气通用行业应急减排措施制定技术指南》（2024年修订稿）中涉PM企业绩效引领性要求的相符性分析一览表</w:t>
            </w:r>
          </w:p>
          <w:tbl>
            <w:tblPr>
              <w:tblStyle w:val="26"/>
              <w:tblW w:w="69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426"/>
              <w:gridCol w:w="2572"/>
              <w:gridCol w:w="2806"/>
              <w:gridCol w:w="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 w:type="dxa"/>
                  <w:gridSpan w:val="2"/>
                  <w:shd w:val="clear" w:color="auto" w:fill="auto"/>
                  <w:vAlign w:val="center"/>
                </w:tcPr>
                <w:p>
                  <w:pPr>
                    <w:jc w:val="center"/>
                    <w:rPr>
                      <w:color w:val="000000"/>
                      <w:szCs w:val="21"/>
                    </w:rPr>
                  </w:pPr>
                  <w:r>
                    <w:rPr>
                      <w:rFonts w:hint="eastAsia"/>
                      <w:color w:val="000000"/>
                      <w:szCs w:val="21"/>
                    </w:rPr>
                    <w:t>分类</w:t>
                  </w:r>
                </w:p>
              </w:tc>
              <w:tc>
                <w:tcPr>
                  <w:tcW w:w="2572" w:type="dxa"/>
                  <w:shd w:val="clear" w:color="auto" w:fill="auto"/>
                  <w:vAlign w:val="center"/>
                </w:tcPr>
                <w:p>
                  <w:pPr>
                    <w:jc w:val="center"/>
                    <w:rPr>
                      <w:color w:val="000000"/>
                      <w:szCs w:val="21"/>
                    </w:rPr>
                  </w:pPr>
                  <w:r>
                    <w:rPr>
                      <w:rFonts w:hint="eastAsia"/>
                      <w:color w:val="000000"/>
                      <w:szCs w:val="21"/>
                    </w:rPr>
                    <w:t>引领性指标</w:t>
                  </w:r>
                </w:p>
              </w:tc>
              <w:tc>
                <w:tcPr>
                  <w:tcW w:w="2806" w:type="dxa"/>
                  <w:shd w:val="clear" w:color="auto" w:fill="auto"/>
                  <w:vAlign w:val="center"/>
                </w:tcPr>
                <w:p>
                  <w:pPr>
                    <w:jc w:val="center"/>
                    <w:rPr>
                      <w:color w:val="000000"/>
                      <w:szCs w:val="21"/>
                    </w:rPr>
                  </w:pPr>
                  <w:r>
                    <w:rPr>
                      <w:color w:val="000000"/>
                      <w:szCs w:val="21"/>
                    </w:rPr>
                    <w:t>本项目建设</w:t>
                  </w:r>
                  <w:r>
                    <w:rPr>
                      <w:color w:val="000000"/>
                      <w:kern w:val="0"/>
                      <w:szCs w:val="21"/>
                    </w:rPr>
                    <w:t>情况</w:t>
                  </w:r>
                </w:p>
              </w:tc>
              <w:tc>
                <w:tcPr>
                  <w:tcW w:w="702" w:type="dxa"/>
                  <w:shd w:val="clear" w:color="auto" w:fill="auto"/>
                  <w:vAlign w:val="center"/>
                </w:tcPr>
                <w:p>
                  <w:pPr>
                    <w:jc w:val="center"/>
                    <w:rPr>
                      <w:color w:val="000000"/>
                      <w:szCs w:val="21"/>
                    </w:rPr>
                  </w:pPr>
                  <w:r>
                    <w:rPr>
                      <w:color w:val="000000"/>
                      <w:szCs w:val="21"/>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 w:type="dxa"/>
                  <w:gridSpan w:val="2"/>
                  <w:shd w:val="clear" w:color="auto" w:fill="auto"/>
                  <w:vAlign w:val="center"/>
                </w:tcPr>
                <w:p>
                  <w:pPr>
                    <w:jc w:val="center"/>
                    <w:rPr>
                      <w:color w:val="000000"/>
                      <w:szCs w:val="21"/>
                    </w:rPr>
                  </w:pPr>
                  <w:r>
                    <w:rPr>
                      <w:rFonts w:hint="eastAsia"/>
                      <w:color w:val="000000"/>
                      <w:szCs w:val="21"/>
                    </w:rPr>
                    <w:t>生产工艺和装备</w:t>
                  </w:r>
                </w:p>
              </w:tc>
              <w:tc>
                <w:tcPr>
                  <w:tcW w:w="2572" w:type="dxa"/>
                  <w:shd w:val="clear" w:color="auto" w:fill="auto"/>
                  <w:vAlign w:val="center"/>
                </w:tcPr>
                <w:p>
                  <w:pPr>
                    <w:jc w:val="center"/>
                    <w:rPr>
                      <w:color w:val="000000"/>
                      <w:szCs w:val="21"/>
                    </w:rPr>
                  </w:pPr>
                  <w:r>
                    <w:rPr>
                      <w:rFonts w:hint="eastAsia"/>
                      <w:color w:val="000000"/>
                      <w:szCs w:val="21"/>
                    </w:rPr>
                    <w:t>不属于《产业结构调整指导目录（2024年版）》淘汰类，不属于省级和市级政府部门明确列入已经限期淘汰类项目。</w:t>
                  </w:r>
                </w:p>
              </w:tc>
              <w:tc>
                <w:tcPr>
                  <w:tcW w:w="2806" w:type="dxa"/>
                  <w:shd w:val="clear" w:color="auto" w:fill="auto"/>
                  <w:vAlign w:val="center"/>
                </w:tcPr>
                <w:p>
                  <w:pPr>
                    <w:snapToGrid w:val="0"/>
                    <w:jc w:val="center"/>
                    <w:rPr>
                      <w:color w:val="000000"/>
                      <w:kern w:val="0"/>
                      <w:szCs w:val="21"/>
                    </w:rPr>
                  </w:pPr>
                  <w:r>
                    <w:rPr>
                      <w:rFonts w:hint="eastAsia"/>
                      <w:color w:val="000000"/>
                      <w:kern w:val="0"/>
                      <w:szCs w:val="21"/>
                    </w:rPr>
                    <w:t>根据《产业结构调整指导目录（2024年本）》，项目属于允许类，项目不属于落后低效产能，且项目已取得卧龙区发改委备案证明，项目代码为</w:t>
                  </w:r>
                  <w:r>
                    <w:rPr>
                      <w:color w:val="000000"/>
                      <w:kern w:val="0"/>
                      <w:szCs w:val="21"/>
                    </w:rPr>
                    <w:t>2410-411303-04-01-128447</w:t>
                  </w:r>
                  <w:r>
                    <w:rPr>
                      <w:rFonts w:hint="eastAsia"/>
                      <w:color w:val="000000"/>
                      <w:kern w:val="0"/>
                      <w:szCs w:val="21"/>
                    </w:rPr>
                    <w:t>。</w:t>
                  </w:r>
                </w:p>
              </w:tc>
              <w:tc>
                <w:tcPr>
                  <w:tcW w:w="702" w:type="dxa"/>
                  <w:shd w:val="clear" w:color="auto" w:fill="auto"/>
                  <w:vAlign w:val="center"/>
                </w:tcPr>
                <w:p>
                  <w:pPr>
                    <w:jc w:val="center"/>
                    <w:rPr>
                      <w:color w:val="000000"/>
                      <w:szCs w:val="21"/>
                    </w:rPr>
                  </w:pPr>
                  <w:r>
                    <w:rPr>
                      <w:rFonts w:hint="eastAsia"/>
                      <w:color w:val="000000"/>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 w:type="dxa"/>
                  <w:gridSpan w:val="2"/>
                  <w:shd w:val="clear" w:color="auto" w:fill="auto"/>
                  <w:vAlign w:val="center"/>
                </w:tcPr>
                <w:p>
                  <w:pPr>
                    <w:jc w:val="center"/>
                    <w:rPr>
                      <w:color w:val="000000"/>
                      <w:szCs w:val="21"/>
                    </w:rPr>
                  </w:pPr>
                  <w:r>
                    <w:rPr>
                      <w:rFonts w:hint="eastAsia"/>
                      <w:color w:val="000000"/>
                      <w:szCs w:val="21"/>
                    </w:rPr>
                    <w:t>物料装卸</w:t>
                  </w:r>
                </w:p>
              </w:tc>
              <w:tc>
                <w:tcPr>
                  <w:tcW w:w="2572" w:type="dxa"/>
                  <w:shd w:val="clear" w:color="auto" w:fill="auto"/>
                  <w:vAlign w:val="center"/>
                </w:tcPr>
                <w:p>
                  <w:pPr>
                    <w:jc w:val="center"/>
                    <w:rPr>
                      <w:color w:val="000000"/>
                      <w:szCs w:val="21"/>
                    </w:rPr>
                  </w:pPr>
                  <w:r>
                    <w:rPr>
                      <w:rFonts w:hint="eastAsia"/>
                      <w:color w:val="000000"/>
                      <w:szCs w:val="21"/>
                    </w:rPr>
                    <w:t>1.车辆运输的物料应采取封闭措施。粉状、粒状、块状散装物料在封闭料场内装卸，装卸过程中产尘点应设置集气除尘装置，料堆应采取有效抑尘措施；</w:t>
                  </w:r>
                </w:p>
                <w:p>
                  <w:pPr>
                    <w:jc w:val="center"/>
                    <w:rPr>
                      <w:color w:val="000000"/>
                      <w:szCs w:val="21"/>
                    </w:rPr>
                  </w:pPr>
                  <w:r>
                    <w:rPr>
                      <w:rFonts w:hint="eastAsia"/>
                      <w:color w:val="000000"/>
                      <w:szCs w:val="21"/>
                    </w:rPr>
                    <w:t>2.不易产尘的袋装物料宜在料棚中装卸，如需露天装卸应采取防止破袋及粉尘外逸措施。</w:t>
                  </w:r>
                </w:p>
              </w:tc>
              <w:tc>
                <w:tcPr>
                  <w:tcW w:w="2806" w:type="dxa"/>
                  <w:shd w:val="clear" w:color="auto" w:fill="auto"/>
                  <w:vAlign w:val="center"/>
                </w:tcPr>
                <w:p>
                  <w:pPr>
                    <w:snapToGrid w:val="0"/>
                    <w:jc w:val="center"/>
                    <w:rPr>
                      <w:color w:val="000000"/>
                      <w:kern w:val="0"/>
                      <w:szCs w:val="21"/>
                    </w:rPr>
                  </w:pPr>
                  <w:r>
                    <w:rPr>
                      <w:rFonts w:hint="eastAsia"/>
                      <w:color w:val="000000"/>
                      <w:kern w:val="0"/>
                      <w:szCs w:val="21"/>
                    </w:rPr>
                    <w:t>1-2.项目艾草原料为捆装，在密闭原料仓内装卸；艾绒、艾条、艾柱、艾粉产品袋装，在密闭车间内装卸。</w:t>
                  </w:r>
                </w:p>
              </w:tc>
              <w:tc>
                <w:tcPr>
                  <w:tcW w:w="702" w:type="dxa"/>
                  <w:shd w:val="clear" w:color="auto" w:fill="auto"/>
                  <w:vAlign w:val="center"/>
                </w:tcPr>
                <w:p>
                  <w:pPr>
                    <w:jc w:val="center"/>
                    <w:rPr>
                      <w:color w:val="000000"/>
                      <w:szCs w:val="21"/>
                    </w:rPr>
                  </w:pPr>
                  <w:r>
                    <w:rPr>
                      <w:rFonts w:hint="eastAsia"/>
                      <w:color w:val="000000"/>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7" w:hRule="atLeast"/>
              </w:trPr>
              <w:tc>
                <w:tcPr>
                  <w:tcW w:w="852" w:type="dxa"/>
                  <w:gridSpan w:val="2"/>
                  <w:shd w:val="clear" w:color="auto" w:fill="auto"/>
                  <w:vAlign w:val="center"/>
                </w:tcPr>
                <w:p>
                  <w:pPr>
                    <w:jc w:val="center"/>
                    <w:rPr>
                      <w:color w:val="000000"/>
                      <w:szCs w:val="21"/>
                    </w:rPr>
                  </w:pPr>
                  <w:r>
                    <w:rPr>
                      <w:rFonts w:hint="eastAsia"/>
                      <w:color w:val="000000"/>
                      <w:szCs w:val="21"/>
                    </w:rPr>
                    <w:t>物料储存</w:t>
                  </w:r>
                </w:p>
              </w:tc>
              <w:tc>
                <w:tcPr>
                  <w:tcW w:w="2572" w:type="dxa"/>
                  <w:shd w:val="clear" w:color="auto" w:fill="auto"/>
                  <w:vAlign w:val="center"/>
                </w:tcPr>
                <w:p>
                  <w:pPr>
                    <w:rPr>
                      <w:color w:val="000000"/>
                      <w:szCs w:val="21"/>
                    </w:rPr>
                  </w:pPr>
                  <w:r>
                    <w:rPr>
                      <w:rFonts w:hint="eastAsia"/>
                      <w:color w:val="000000"/>
                      <w:szCs w:val="21"/>
                    </w:rPr>
                    <w:t>1.一般物料。粉状物料应储存于密闭/封闭料仓中；粒状、块状物料应储存于封闭料场中，并采取喷淋、清扫或其他有效抑尘措施；袋装物料应储存于封闭/半封闭料场中。封闭料场顶棚和四周围墙完整，料场内地面全部硬化，料场货物进出大门为硬质材料门或自动感应门，在确保安全的情况下，所有门窗保持常闭状态。不产尘物料（如钢材、管件）及产品如露天储存应在规定的存储区域码放整齐；</w:t>
                  </w:r>
                </w:p>
                <w:p>
                  <w:pPr>
                    <w:rPr>
                      <w:color w:val="000000"/>
                      <w:szCs w:val="21"/>
                    </w:rPr>
                  </w:pPr>
                  <w:r>
                    <w:rPr>
                      <w:rFonts w:hint="eastAsia"/>
                      <w:color w:val="000000"/>
                      <w:szCs w:val="21"/>
                    </w:rPr>
                    <w:t>2.危险废物。应有符合规范要求的危险废物储存间，危险废物储存间门口应张贴标准规范的危险废物标识和危废信息板，建立台账并挂于危废间内，危险废物管理台账和危险废物转移情况信息表保存5年以上。危废间内禁止存放除危险废物和应急工具外的其他物品。涉大气污染物排放的，应设置对应污染治理设施。</w:t>
                  </w:r>
                </w:p>
              </w:tc>
              <w:tc>
                <w:tcPr>
                  <w:tcW w:w="2806" w:type="dxa"/>
                  <w:shd w:val="clear" w:color="auto" w:fill="auto"/>
                  <w:vAlign w:val="center"/>
                </w:tcPr>
                <w:p>
                  <w:pPr>
                    <w:rPr>
                      <w:color w:val="000000"/>
                      <w:szCs w:val="21"/>
                    </w:rPr>
                  </w:pPr>
                  <w:r>
                    <w:rPr>
                      <w:rFonts w:hint="eastAsia"/>
                      <w:color w:val="000000"/>
                      <w:szCs w:val="21"/>
                    </w:rPr>
                    <w:t>1.本项目原料采用捆装，储存于封闭原料区内，成品为箱装，存储于封闭成品区，原料区、成品区车间大门为硬质门，在确保安全的情况下，所有门窗保持常闭状态。</w:t>
                  </w:r>
                </w:p>
                <w:p>
                  <w:pPr>
                    <w:pStyle w:val="2"/>
                    <w:ind w:left="0" w:leftChars="0" w:firstLine="0"/>
                  </w:pPr>
                  <w:r>
                    <w:rPr>
                      <w:rFonts w:hint="eastAsia"/>
                    </w:rPr>
                    <w:t>2.本项目不涉及危险废物。</w:t>
                  </w:r>
                </w:p>
              </w:tc>
              <w:tc>
                <w:tcPr>
                  <w:tcW w:w="702" w:type="dxa"/>
                  <w:shd w:val="clear" w:color="auto" w:fill="auto"/>
                  <w:vAlign w:val="center"/>
                </w:tcPr>
                <w:p>
                  <w:pPr>
                    <w:jc w:val="center"/>
                    <w:rPr>
                      <w:color w:val="000000"/>
                      <w:kern w:val="0"/>
                      <w:szCs w:val="21"/>
                    </w:rPr>
                  </w:pPr>
                  <w:r>
                    <w:rPr>
                      <w:rFonts w:hint="eastAsia"/>
                      <w:color w:val="000000"/>
                      <w:kern w:val="0"/>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7" w:hRule="atLeast"/>
              </w:trPr>
              <w:tc>
                <w:tcPr>
                  <w:tcW w:w="852" w:type="dxa"/>
                  <w:gridSpan w:val="2"/>
                  <w:shd w:val="clear" w:color="auto" w:fill="auto"/>
                  <w:vAlign w:val="center"/>
                </w:tcPr>
                <w:p>
                  <w:pPr>
                    <w:jc w:val="center"/>
                    <w:rPr>
                      <w:color w:val="000000"/>
                      <w:szCs w:val="21"/>
                    </w:rPr>
                  </w:pPr>
                  <w:r>
                    <w:rPr>
                      <w:rFonts w:hint="eastAsia"/>
                      <w:color w:val="000000"/>
                      <w:szCs w:val="21"/>
                    </w:rPr>
                    <w:t>物料转移和输送</w:t>
                  </w:r>
                </w:p>
              </w:tc>
              <w:tc>
                <w:tcPr>
                  <w:tcW w:w="2572" w:type="dxa"/>
                  <w:shd w:val="clear" w:color="auto" w:fill="auto"/>
                  <w:vAlign w:val="center"/>
                </w:tcPr>
                <w:p>
                  <w:pPr>
                    <w:rPr>
                      <w:color w:val="000000"/>
                      <w:szCs w:val="21"/>
                    </w:rPr>
                  </w:pPr>
                  <w:r>
                    <w:rPr>
                      <w:rFonts w:hint="eastAsia"/>
                      <w:color w:val="000000"/>
                      <w:szCs w:val="21"/>
                    </w:rPr>
                    <w:t>1.粉状、粒状等易产尘物料厂内转移、输送过程应采用气力输送、密闭输送，块状和粘湿粉状物料采用封闭输送；</w:t>
                  </w:r>
                </w:p>
                <w:p>
                  <w:pPr>
                    <w:rPr>
                      <w:color w:val="000000"/>
                      <w:szCs w:val="21"/>
                    </w:rPr>
                  </w:pPr>
                  <w:r>
                    <w:rPr>
                      <w:rFonts w:hint="eastAsia"/>
                      <w:color w:val="000000"/>
                      <w:szCs w:val="21"/>
                    </w:rPr>
                    <w:t>2.无法封闭的产尘点（物料转载、下料口等）应采取集气除尘措施，或有效抑尘措施。</w:t>
                  </w:r>
                </w:p>
              </w:tc>
              <w:tc>
                <w:tcPr>
                  <w:tcW w:w="2806" w:type="dxa"/>
                  <w:shd w:val="clear" w:color="auto" w:fill="auto"/>
                  <w:vAlign w:val="center"/>
                </w:tcPr>
                <w:p>
                  <w:pPr>
                    <w:rPr>
                      <w:color w:val="000000"/>
                      <w:szCs w:val="21"/>
                    </w:rPr>
                  </w:pPr>
                  <w:r>
                    <w:rPr>
                      <w:rFonts w:hint="eastAsia"/>
                      <w:color w:val="000000"/>
                      <w:szCs w:val="21"/>
                    </w:rPr>
                    <w:t>1.项目生产过程中粉碎艾草均在密闭廊道内封闭输送；</w:t>
                  </w:r>
                </w:p>
                <w:p>
                  <w:pPr>
                    <w:pStyle w:val="2"/>
                    <w:ind w:left="0" w:leftChars="0" w:firstLine="0"/>
                  </w:pPr>
                  <w:r>
                    <w:rPr>
                      <w:rFonts w:hint="eastAsia"/>
                    </w:rPr>
                    <w:t>2.项目生产线转载口均采用软包装密闭，进料口、下料口、卷条机上方均设置集气罩进行收集。</w:t>
                  </w:r>
                </w:p>
              </w:tc>
              <w:tc>
                <w:tcPr>
                  <w:tcW w:w="702" w:type="dxa"/>
                  <w:shd w:val="clear" w:color="auto" w:fill="auto"/>
                  <w:vAlign w:val="center"/>
                </w:tcPr>
                <w:p>
                  <w:pPr>
                    <w:jc w:val="center"/>
                    <w:rPr>
                      <w:color w:val="000000"/>
                      <w:kern w:val="0"/>
                      <w:szCs w:val="21"/>
                    </w:rPr>
                  </w:pPr>
                  <w:r>
                    <w:rPr>
                      <w:rFonts w:hint="eastAsia"/>
                      <w:color w:val="000000"/>
                      <w:kern w:val="0"/>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7" w:hRule="atLeast"/>
              </w:trPr>
              <w:tc>
                <w:tcPr>
                  <w:tcW w:w="852" w:type="dxa"/>
                  <w:gridSpan w:val="2"/>
                  <w:shd w:val="clear" w:color="auto" w:fill="auto"/>
                  <w:vAlign w:val="center"/>
                </w:tcPr>
                <w:p>
                  <w:pPr>
                    <w:jc w:val="center"/>
                    <w:rPr>
                      <w:color w:val="000000"/>
                      <w:szCs w:val="21"/>
                    </w:rPr>
                  </w:pPr>
                  <w:r>
                    <w:rPr>
                      <w:rFonts w:hint="eastAsia"/>
                      <w:color w:val="000000"/>
                      <w:szCs w:val="21"/>
                    </w:rPr>
                    <w:t>工艺过程</w:t>
                  </w:r>
                </w:p>
              </w:tc>
              <w:tc>
                <w:tcPr>
                  <w:tcW w:w="2572" w:type="dxa"/>
                  <w:shd w:val="clear" w:color="auto" w:fill="auto"/>
                  <w:vAlign w:val="center"/>
                </w:tcPr>
                <w:p>
                  <w:pPr>
                    <w:rPr>
                      <w:color w:val="000000"/>
                      <w:szCs w:val="21"/>
                    </w:rPr>
                  </w:pPr>
                  <w:r>
                    <w:rPr>
                      <w:rFonts w:hint="eastAsia"/>
                      <w:color w:val="000000"/>
                      <w:szCs w:val="21"/>
                    </w:rPr>
                    <w:t>1.各种物料破碎、筛分、配料、混料等过程应在封闭厂房内进行，并采取收尘/抑尘措施；</w:t>
                  </w:r>
                </w:p>
                <w:p>
                  <w:pPr>
                    <w:rPr>
                      <w:color w:val="000000"/>
                      <w:szCs w:val="21"/>
                    </w:rPr>
                  </w:pPr>
                  <w:r>
                    <w:rPr>
                      <w:rFonts w:hint="eastAsia"/>
                      <w:color w:val="000000"/>
                      <w:szCs w:val="21"/>
                    </w:rPr>
                    <w:t>2.破碎筛分设备在进、出料口和配料混料过程等产尘点应设置集气除尘设施。</w:t>
                  </w:r>
                </w:p>
              </w:tc>
              <w:tc>
                <w:tcPr>
                  <w:tcW w:w="2806" w:type="dxa"/>
                  <w:shd w:val="clear" w:color="auto" w:fill="auto"/>
                  <w:vAlign w:val="center"/>
                </w:tcPr>
                <w:p>
                  <w:pPr>
                    <w:rPr>
                      <w:color w:val="000000"/>
                      <w:szCs w:val="21"/>
                    </w:rPr>
                  </w:pPr>
                  <w:r>
                    <w:rPr>
                      <w:rFonts w:hint="eastAsia"/>
                      <w:color w:val="000000"/>
                      <w:szCs w:val="21"/>
                    </w:rPr>
                    <w:t>1.艾草破捆、粉碎、提绒工序、卷条工序均在密闭车间内进行，并配套除尘设施；</w:t>
                  </w:r>
                </w:p>
                <w:p>
                  <w:pPr>
                    <w:pStyle w:val="2"/>
                    <w:ind w:left="0" w:leftChars="0" w:firstLine="0"/>
                  </w:pPr>
                  <w:r>
                    <w:rPr>
                      <w:rFonts w:hint="eastAsia"/>
                    </w:rPr>
                    <w:t>2.艾草破碎提绒设备在进、出料口设置集气罩收集，并配套除尘器处理。</w:t>
                  </w:r>
                </w:p>
              </w:tc>
              <w:tc>
                <w:tcPr>
                  <w:tcW w:w="702" w:type="dxa"/>
                  <w:shd w:val="clear" w:color="auto" w:fill="auto"/>
                  <w:vAlign w:val="center"/>
                </w:tcPr>
                <w:p>
                  <w:pPr>
                    <w:jc w:val="center"/>
                    <w:rPr>
                      <w:color w:val="000000"/>
                      <w:kern w:val="0"/>
                      <w:szCs w:val="21"/>
                    </w:rPr>
                  </w:pPr>
                  <w:r>
                    <w:rPr>
                      <w:rFonts w:hint="eastAsia"/>
                      <w:color w:val="000000"/>
                      <w:kern w:val="0"/>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7" w:hRule="atLeast"/>
              </w:trPr>
              <w:tc>
                <w:tcPr>
                  <w:tcW w:w="852" w:type="dxa"/>
                  <w:gridSpan w:val="2"/>
                  <w:shd w:val="clear" w:color="auto" w:fill="auto"/>
                  <w:vAlign w:val="center"/>
                </w:tcPr>
                <w:p>
                  <w:pPr>
                    <w:jc w:val="center"/>
                    <w:rPr>
                      <w:color w:val="000000"/>
                      <w:szCs w:val="21"/>
                    </w:rPr>
                  </w:pPr>
                  <w:r>
                    <w:rPr>
                      <w:rFonts w:hint="eastAsia"/>
                      <w:color w:val="000000"/>
                      <w:szCs w:val="21"/>
                    </w:rPr>
                    <w:t>成品包装</w:t>
                  </w:r>
                </w:p>
              </w:tc>
              <w:tc>
                <w:tcPr>
                  <w:tcW w:w="2572" w:type="dxa"/>
                  <w:shd w:val="clear" w:color="auto" w:fill="auto"/>
                  <w:vAlign w:val="center"/>
                </w:tcPr>
                <w:p>
                  <w:pPr>
                    <w:rPr>
                      <w:color w:val="000000"/>
                      <w:szCs w:val="21"/>
                    </w:rPr>
                  </w:pPr>
                  <w:r>
                    <w:rPr>
                      <w:rFonts w:hint="eastAsia"/>
                      <w:color w:val="000000"/>
                      <w:szCs w:val="21"/>
                    </w:rPr>
                    <w:t>1.粉状、粒状产品包装卸料口应完全封闭，如不能封闭应采取局部集气除尘措施。卸料口地面应及时清扫，地面无明显积尘；</w:t>
                  </w:r>
                </w:p>
                <w:p>
                  <w:pPr>
                    <w:rPr>
                      <w:color w:val="000000"/>
                      <w:szCs w:val="21"/>
                    </w:rPr>
                  </w:pPr>
                  <w:r>
                    <w:rPr>
                      <w:rFonts w:hint="eastAsia"/>
                      <w:color w:val="000000"/>
                      <w:szCs w:val="21"/>
                    </w:rPr>
                    <w:t>2.各生产工序的车间地面干净，无积料、积灰现象；</w:t>
                  </w:r>
                </w:p>
                <w:p>
                  <w:pPr>
                    <w:rPr>
                      <w:color w:val="000000"/>
                      <w:szCs w:val="21"/>
                    </w:rPr>
                  </w:pPr>
                  <w:r>
                    <w:rPr>
                      <w:rFonts w:hint="eastAsia"/>
                      <w:color w:val="000000"/>
                      <w:szCs w:val="21"/>
                    </w:rPr>
                    <w:t>3.生产车间不得有可见烟（粉）尘外逸。</w:t>
                  </w:r>
                </w:p>
              </w:tc>
              <w:tc>
                <w:tcPr>
                  <w:tcW w:w="2806" w:type="dxa"/>
                  <w:shd w:val="clear" w:color="auto" w:fill="auto"/>
                  <w:vAlign w:val="center"/>
                </w:tcPr>
                <w:p>
                  <w:pPr>
                    <w:rPr>
                      <w:color w:val="000000"/>
                      <w:szCs w:val="21"/>
                    </w:rPr>
                  </w:pPr>
                  <w:r>
                    <w:rPr>
                      <w:rFonts w:hint="eastAsia"/>
                      <w:color w:val="000000"/>
                      <w:szCs w:val="21"/>
                    </w:rPr>
                    <w:t>1.艾粉出料口配套集气罩进行收集，卸料口地面及时清扫；</w:t>
                  </w:r>
                </w:p>
                <w:p>
                  <w:pPr>
                    <w:rPr>
                      <w:color w:val="000000"/>
                      <w:szCs w:val="21"/>
                    </w:rPr>
                  </w:pPr>
                  <w:r>
                    <w:rPr>
                      <w:rFonts w:hint="eastAsia"/>
                      <w:color w:val="000000"/>
                      <w:szCs w:val="21"/>
                    </w:rPr>
                    <w:t>2.生产车间地面保持干净，无积料、积灰现象；</w:t>
                  </w:r>
                </w:p>
                <w:p>
                  <w:r>
                    <w:rPr>
                      <w:rFonts w:hint="eastAsia"/>
                      <w:color w:val="000000"/>
                      <w:szCs w:val="21"/>
                    </w:rPr>
                    <w:t>3.生产车间不得有可见烟尘外逸。</w:t>
                  </w:r>
                </w:p>
              </w:tc>
              <w:tc>
                <w:tcPr>
                  <w:tcW w:w="702" w:type="dxa"/>
                  <w:shd w:val="clear" w:color="auto" w:fill="auto"/>
                  <w:vAlign w:val="center"/>
                </w:tcPr>
                <w:p>
                  <w:pPr>
                    <w:jc w:val="center"/>
                    <w:rPr>
                      <w:color w:val="000000"/>
                      <w:kern w:val="0"/>
                      <w:szCs w:val="21"/>
                    </w:rPr>
                  </w:pPr>
                  <w:r>
                    <w:rPr>
                      <w:rFonts w:hint="eastAsia"/>
                      <w:color w:val="000000"/>
                      <w:kern w:val="0"/>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7" w:hRule="atLeast"/>
              </w:trPr>
              <w:tc>
                <w:tcPr>
                  <w:tcW w:w="852" w:type="dxa"/>
                  <w:gridSpan w:val="2"/>
                  <w:shd w:val="clear" w:color="auto" w:fill="auto"/>
                  <w:vAlign w:val="center"/>
                </w:tcPr>
                <w:p>
                  <w:pPr>
                    <w:jc w:val="center"/>
                    <w:rPr>
                      <w:color w:val="000000"/>
                      <w:szCs w:val="21"/>
                    </w:rPr>
                  </w:pPr>
                  <w:r>
                    <w:rPr>
                      <w:rFonts w:hint="eastAsia"/>
                      <w:color w:val="000000"/>
                      <w:szCs w:val="21"/>
                    </w:rPr>
                    <w:t>排放限值</w:t>
                  </w:r>
                </w:p>
              </w:tc>
              <w:tc>
                <w:tcPr>
                  <w:tcW w:w="2572" w:type="dxa"/>
                  <w:shd w:val="clear" w:color="auto" w:fill="auto"/>
                  <w:vAlign w:val="center"/>
                </w:tcPr>
                <w:p>
                  <w:pPr>
                    <w:rPr>
                      <w:color w:val="000000"/>
                      <w:szCs w:val="21"/>
                    </w:rPr>
                  </w:pPr>
                  <w:r>
                    <w:rPr>
                      <w:rFonts w:hint="eastAsia"/>
                      <w:color w:val="000000"/>
                      <w:szCs w:val="21"/>
                    </w:rPr>
                    <w:t>PM排放限值不高于10mg/m</w:t>
                  </w:r>
                  <w:r>
                    <w:rPr>
                      <w:rFonts w:hint="eastAsia"/>
                      <w:color w:val="000000"/>
                      <w:szCs w:val="21"/>
                      <w:vertAlign w:val="superscript"/>
                    </w:rPr>
                    <w:t>3</w:t>
                  </w:r>
                  <w:r>
                    <w:rPr>
                      <w:rFonts w:hint="eastAsia"/>
                      <w:color w:val="000000"/>
                      <w:szCs w:val="21"/>
                    </w:rPr>
                    <w:t>；其他污染物排放浓度达到相关污染物排放标准。</w:t>
                  </w:r>
                </w:p>
              </w:tc>
              <w:tc>
                <w:tcPr>
                  <w:tcW w:w="2806" w:type="dxa"/>
                  <w:shd w:val="clear" w:color="auto" w:fill="auto"/>
                  <w:vAlign w:val="center"/>
                </w:tcPr>
                <w:p>
                  <w:pPr>
                    <w:rPr>
                      <w:color w:val="000000"/>
                      <w:szCs w:val="21"/>
                    </w:rPr>
                  </w:pPr>
                  <w:r>
                    <w:rPr>
                      <w:rFonts w:hint="eastAsia"/>
                      <w:color w:val="000000"/>
                      <w:szCs w:val="21"/>
                    </w:rPr>
                    <w:t>项目PM最大排放浓度为2.67mg/m</w:t>
                  </w:r>
                  <w:r>
                    <w:rPr>
                      <w:rFonts w:hint="eastAsia"/>
                      <w:color w:val="000000"/>
                      <w:szCs w:val="21"/>
                      <w:vertAlign w:val="superscript"/>
                    </w:rPr>
                    <w:t>3</w:t>
                  </w:r>
                  <w:r>
                    <w:rPr>
                      <w:rFonts w:hint="eastAsia"/>
                      <w:color w:val="000000"/>
                      <w:szCs w:val="21"/>
                    </w:rPr>
                    <w:t>，满足要求。</w:t>
                  </w:r>
                </w:p>
              </w:tc>
              <w:tc>
                <w:tcPr>
                  <w:tcW w:w="702" w:type="dxa"/>
                  <w:shd w:val="clear" w:color="auto" w:fill="auto"/>
                  <w:vAlign w:val="center"/>
                </w:tcPr>
                <w:p>
                  <w:pPr>
                    <w:jc w:val="center"/>
                    <w:rPr>
                      <w:color w:val="000000"/>
                      <w:kern w:val="0"/>
                      <w:szCs w:val="21"/>
                    </w:rPr>
                  </w:pPr>
                  <w:r>
                    <w:rPr>
                      <w:rFonts w:hint="eastAsia"/>
                      <w:color w:val="000000"/>
                      <w:kern w:val="0"/>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7" w:hRule="atLeast"/>
              </w:trPr>
              <w:tc>
                <w:tcPr>
                  <w:tcW w:w="852" w:type="dxa"/>
                  <w:gridSpan w:val="2"/>
                  <w:shd w:val="clear" w:color="auto" w:fill="auto"/>
                  <w:vAlign w:val="center"/>
                </w:tcPr>
                <w:p>
                  <w:pPr>
                    <w:jc w:val="center"/>
                    <w:rPr>
                      <w:color w:val="000000"/>
                      <w:szCs w:val="21"/>
                    </w:rPr>
                  </w:pPr>
                  <w:r>
                    <w:rPr>
                      <w:rFonts w:hint="eastAsia"/>
                      <w:color w:val="000000"/>
                      <w:szCs w:val="21"/>
                    </w:rPr>
                    <w:t>无组织管控</w:t>
                  </w:r>
                </w:p>
              </w:tc>
              <w:tc>
                <w:tcPr>
                  <w:tcW w:w="2572" w:type="dxa"/>
                  <w:shd w:val="clear" w:color="auto" w:fill="auto"/>
                  <w:vAlign w:val="center"/>
                </w:tcPr>
                <w:p>
                  <w:pPr>
                    <w:rPr>
                      <w:color w:val="000000"/>
                      <w:szCs w:val="21"/>
                    </w:rPr>
                  </w:pPr>
                  <w:r>
                    <w:rPr>
                      <w:rFonts w:hint="eastAsia"/>
                      <w:color w:val="000000"/>
                      <w:szCs w:val="21"/>
                    </w:rPr>
                    <w:t>1.除尘器应设置密闭灰仓并及时卸灰，除尘灰应通过气力输送、罐车、吨包袋等封闭方式卸灰，不得直接卸落到地面；</w:t>
                  </w:r>
                </w:p>
                <w:p>
                  <w:pPr>
                    <w:rPr>
                      <w:color w:val="000000"/>
                      <w:szCs w:val="21"/>
                    </w:rPr>
                  </w:pPr>
                  <w:r>
                    <w:rPr>
                      <w:rFonts w:hint="eastAsia"/>
                      <w:color w:val="000000"/>
                      <w:szCs w:val="21"/>
                    </w:rPr>
                    <w:t>2.除尘灰如果转运应采用气力输送、封闭传送带方式，如果直接外运应采用罐车或袋装后运输，并在装车过程中采取抑尘措施，除尘灰在厂区内应密闭/封闭储存；</w:t>
                  </w:r>
                </w:p>
                <w:p>
                  <w:pPr>
                    <w:rPr>
                      <w:color w:val="000000"/>
                      <w:szCs w:val="21"/>
                    </w:rPr>
                  </w:pPr>
                  <w:r>
                    <w:rPr>
                      <w:rFonts w:hint="eastAsia"/>
                      <w:color w:val="000000"/>
                      <w:szCs w:val="21"/>
                    </w:rPr>
                    <w:t>3.脱硫石膏和脱硫废渣等固体废物在厂区内应封闭储存，在转运过程中应采取封闭抑尘措施并应封闭储存。</w:t>
                  </w:r>
                </w:p>
              </w:tc>
              <w:tc>
                <w:tcPr>
                  <w:tcW w:w="2806" w:type="dxa"/>
                  <w:shd w:val="clear" w:color="auto" w:fill="auto"/>
                  <w:vAlign w:val="center"/>
                </w:tcPr>
                <w:p>
                  <w:pPr>
                    <w:rPr>
                      <w:color w:val="000000"/>
                      <w:szCs w:val="21"/>
                    </w:rPr>
                  </w:pPr>
                  <w:r>
                    <w:rPr>
                      <w:rFonts w:hint="eastAsia"/>
                      <w:color w:val="000000"/>
                      <w:szCs w:val="21"/>
                    </w:rPr>
                    <w:t>1.除尘器采用密闭卸灰，不直接卸落至地面；</w:t>
                  </w:r>
                </w:p>
                <w:p>
                  <w:pPr>
                    <w:pStyle w:val="2"/>
                    <w:ind w:left="0" w:leftChars="0" w:firstLine="0"/>
                  </w:pPr>
                  <w:r>
                    <w:rPr>
                      <w:rFonts w:hint="eastAsia"/>
                    </w:rPr>
                    <w:t>2.除尘灰采用密闭袋装运输，在厂区密闭仓库内存储；</w:t>
                  </w:r>
                </w:p>
                <w:p>
                  <w:r>
                    <w:rPr>
                      <w:rFonts w:hint="eastAsia"/>
                    </w:rPr>
                    <w:t>3.不涉及脱硫石膏和脱硫废渣。</w:t>
                  </w:r>
                </w:p>
              </w:tc>
              <w:tc>
                <w:tcPr>
                  <w:tcW w:w="702" w:type="dxa"/>
                  <w:shd w:val="clear" w:color="auto" w:fill="auto"/>
                  <w:vAlign w:val="center"/>
                </w:tcPr>
                <w:p>
                  <w:pPr>
                    <w:jc w:val="center"/>
                    <w:rPr>
                      <w:color w:val="000000"/>
                      <w:kern w:val="0"/>
                      <w:szCs w:val="21"/>
                    </w:rPr>
                  </w:pPr>
                  <w:r>
                    <w:rPr>
                      <w:rFonts w:hint="eastAsia"/>
                      <w:color w:val="000000"/>
                      <w:kern w:val="0"/>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7" w:hRule="atLeast"/>
              </w:trPr>
              <w:tc>
                <w:tcPr>
                  <w:tcW w:w="852" w:type="dxa"/>
                  <w:gridSpan w:val="2"/>
                  <w:shd w:val="clear" w:color="auto" w:fill="auto"/>
                  <w:vAlign w:val="center"/>
                </w:tcPr>
                <w:p>
                  <w:pPr>
                    <w:jc w:val="center"/>
                    <w:rPr>
                      <w:color w:val="000000"/>
                      <w:szCs w:val="21"/>
                    </w:rPr>
                  </w:pPr>
                  <w:r>
                    <w:rPr>
                      <w:rFonts w:hint="eastAsia"/>
                      <w:color w:val="000000"/>
                      <w:szCs w:val="21"/>
                    </w:rPr>
                    <w:t>视频监管</w:t>
                  </w:r>
                </w:p>
              </w:tc>
              <w:tc>
                <w:tcPr>
                  <w:tcW w:w="2572" w:type="dxa"/>
                  <w:shd w:val="clear" w:color="auto" w:fill="auto"/>
                  <w:vAlign w:val="center"/>
                </w:tcPr>
                <w:p>
                  <w:pPr>
                    <w:rPr>
                      <w:color w:val="000000"/>
                      <w:szCs w:val="21"/>
                    </w:rPr>
                  </w:pPr>
                  <w:r>
                    <w:rPr>
                      <w:rFonts w:hint="eastAsia"/>
                      <w:color w:val="000000"/>
                      <w:szCs w:val="21"/>
                    </w:rPr>
                    <w:t>未安装自动在线监控的企业，应在主要生产设备（投料口、卸料口等位置）安装视频监控设施，相关数据保存6个月以上。</w:t>
                  </w:r>
                </w:p>
              </w:tc>
              <w:tc>
                <w:tcPr>
                  <w:tcW w:w="2806" w:type="dxa"/>
                  <w:shd w:val="clear" w:color="auto" w:fill="auto"/>
                  <w:vAlign w:val="center"/>
                </w:tcPr>
                <w:p>
                  <w:pPr>
                    <w:rPr>
                      <w:color w:val="000000"/>
                      <w:szCs w:val="21"/>
                    </w:rPr>
                  </w:pPr>
                  <w:r>
                    <w:rPr>
                      <w:rFonts w:hint="eastAsia"/>
                      <w:color w:val="000000"/>
                      <w:szCs w:val="21"/>
                    </w:rPr>
                    <w:t>项目在生产设备投料口、出料口安装视频监控，数据保存6个月以上。</w:t>
                  </w:r>
                </w:p>
              </w:tc>
              <w:tc>
                <w:tcPr>
                  <w:tcW w:w="702" w:type="dxa"/>
                  <w:shd w:val="clear" w:color="auto" w:fill="auto"/>
                  <w:vAlign w:val="center"/>
                </w:tcPr>
                <w:p>
                  <w:pPr>
                    <w:jc w:val="center"/>
                    <w:rPr>
                      <w:color w:val="000000"/>
                      <w:kern w:val="0"/>
                      <w:szCs w:val="21"/>
                    </w:rPr>
                  </w:pPr>
                  <w:r>
                    <w:rPr>
                      <w:rFonts w:hint="eastAsia"/>
                      <w:color w:val="000000"/>
                      <w:kern w:val="0"/>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7" w:hRule="atLeast"/>
              </w:trPr>
              <w:tc>
                <w:tcPr>
                  <w:tcW w:w="852" w:type="dxa"/>
                  <w:gridSpan w:val="2"/>
                  <w:shd w:val="clear" w:color="auto" w:fill="auto"/>
                  <w:vAlign w:val="center"/>
                </w:tcPr>
                <w:p>
                  <w:pPr>
                    <w:jc w:val="center"/>
                    <w:rPr>
                      <w:color w:val="000000"/>
                      <w:szCs w:val="21"/>
                    </w:rPr>
                  </w:pPr>
                  <w:r>
                    <w:rPr>
                      <w:rFonts w:hint="eastAsia"/>
                      <w:color w:val="000000"/>
                      <w:szCs w:val="21"/>
                    </w:rPr>
                    <w:t>厂容厂貌</w:t>
                  </w:r>
                </w:p>
              </w:tc>
              <w:tc>
                <w:tcPr>
                  <w:tcW w:w="2572" w:type="dxa"/>
                  <w:shd w:val="clear" w:color="auto" w:fill="auto"/>
                  <w:vAlign w:val="center"/>
                </w:tcPr>
                <w:p>
                  <w:pPr>
                    <w:rPr>
                      <w:color w:val="000000"/>
                      <w:szCs w:val="21"/>
                    </w:rPr>
                  </w:pPr>
                  <w:r>
                    <w:rPr>
                      <w:rFonts w:hint="eastAsia"/>
                      <w:color w:val="000000"/>
                      <w:szCs w:val="21"/>
                    </w:rPr>
                    <w:t>1.厂区内道路、原辅材料和燃料堆场等路面应硬化；</w:t>
                  </w:r>
                </w:p>
                <w:p>
                  <w:pPr>
                    <w:rPr>
                      <w:color w:val="000000"/>
                      <w:szCs w:val="21"/>
                    </w:rPr>
                  </w:pPr>
                  <w:r>
                    <w:rPr>
                      <w:rFonts w:hint="eastAsia"/>
                      <w:color w:val="000000"/>
                      <w:szCs w:val="21"/>
                    </w:rPr>
                    <w:t>2.厂区内道路采取定期清扫、洒水等措施，保持清洁，路面无明显可见积尘；</w:t>
                  </w:r>
                </w:p>
                <w:p>
                  <w:pPr>
                    <w:rPr>
                      <w:color w:val="000000"/>
                      <w:szCs w:val="21"/>
                    </w:rPr>
                  </w:pPr>
                  <w:r>
                    <w:rPr>
                      <w:rFonts w:hint="eastAsia"/>
                      <w:color w:val="000000"/>
                      <w:szCs w:val="21"/>
                    </w:rPr>
                    <w:t>3.其他未利用地优先绿化，或进行硬化，无成片裸露土地。</w:t>
                  </w:r>
                </w:p>
              </w:tc>
              <w:tc>
                <w:tcPr>
                  <w:tcW w:w="2806" w:type="dxa"/>
                  <w:shd w:val="clear" w:color="auto" w:fill="auto"/>
                  <w:vAlign w:val="center"/>
                </w:tcPr>
                <w:p>
                  <w:pPr>
                    <w:rPr>
                      <w:color w:val="000000"/>
                      <w:szCs w:val="21"/>
                    </w:rPr>
                  </w:pPr>
                  <w:r>
                    <w:rPr>
                      <w:rFonts w:hint="eastAsia"/>
                      <w:color w:val="000000"/>
                      <w:szCs w:val="21"/>
                    </w:rPr>
                    <w:t>1.厂区道路、厂区原辅材料厂房等路面均实现硬化处理；</w:t>
                  </w:r>
                </w:p>
                <w:p>
                  <w:pPr>
                    <w:pStyle w:val="2"/>
                    <w:ind w:left="0" w:leftChars="0" w:firstLine="0"/>
                  </w:pPr>
                  <w:r>
                    <w:rPr>
                      <w:rFonts w:hint="eastAsia"/>
                    </w:rPr>
                    <w:t>2.</w:t>
                  </w:r>
                  <w:r>
                    <w:rPr>
                      <w:rFonts w:hint="eastAsia"/>
                      <w:color w:val="000000"/>
                      <w:szCs w:val="21"/>
                    </w:rPr>
                    <w:t>厂区内道路定期清扫、洒水等措施，保持清洁；</w:t>
                  </w:r>
                </w:p>
                <w:p>
                  <w:r>
                    <w:rPr>
                      <w:rFonts w:hint="eastAsia"/>
                    </w:rPr>
                    <w:t>3.厂区内全实现硬化，无成片裸露土地。</w:t>
                  </w:r>
                </w:p>
              </w:tc>
              <w:tc>
                <w:tcPr>
                  <w:tcW w:w="702" w:type="dxa"/>
                  <w:shd w:val="clear" w:color="auto" w:fill="auto"/>
                  <w:vAlign w:val="center"/>
                </w:tcPr>
                <w:p>
                  <w:pPr>
                    <w:jc w:val="center"/>
                    <w:rPr>
                      <w:color w:val="000000"/>
                      <w:kern w:val="0"/>
                      <w:szCs w:val="21"/>
                    </w:rPr>
                  </w:pPr>
                  <w:r>
                    <w:rPr>
                      <w:rFonts w:hint="eastAsia"/>
                      <w:color w:val="000000"/>
                      <w:kern w:val="0"/>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8" w:hRule="atLeast"/>
              </w:trPr>
              <w:tc>
                <w:tcPr>
                  <w:tcW w:w="426" w:type="dxa"/>
                  <w:vMerge w:val="restart"/>
                  <w:shd w:val="clear" w:color="auto" w:fill="auto"/>
                  <w:vAlign w:val="center"/>
                </w:tcPr>
                <w:p>
                  <w:pPr>
                    <w:jc w:val="center"/>
                    <w:rPr>
                      <w:color w:val="000000"/>
                      <w:szCs w:val="21"/>
                    </w:rPr>
                  </w:pPr>
                  <w:r>
                    <w:rPr>
                      <w:rFonts w:hint="eastAsia"/>
                      <w:color w:val="000000"/>
                      <w:szCs w:val="21"/>
                    </w:rPr>
                    <w:t>环境管理水平</w:t>
                  </w:r>
                </w:p>
              </w:tc>
              <w:tc>
                <w:tcPr>
                  <w:tcW w:w="426" w:type="dxa"/>
                  <w:shd w:val="clear" w:color="auto" w:fill="auto"/>
                  <w:vAlign w:val="center"/>
                </w:tcPr>
                <w:p>
                  <w:pPr>
                    <w:jc w:val="center"/>
                    <w:rPr>
                      <w:color w:val="000000"/>
                      <w:szCs w:val="21"/>
                    </w:rPr>
                  </w:pPr>
                  <w:r>
                    <w:rPr>
                      <w:rFonts w:hint="eastAsia"/>
                      <w:color w:val="000000"/>
                      <w:szCs w:val="21"/>
                    </w:rPr>
                    <w:t>环保档案</w:t>
                  </w:r>
                </w:p>
              </w:tc>
              <w:tc>
                <w:tcPr>
                  <w:tcW w:w="2572" w:type="dxa"/>
                  <w:shd w:val="clear" w:color="auto" w:fill="auto"/>
                  <w:vAlign w:val="center"/>
                </w:tcPr>
                <w:p>
                  <w:pPr>
                    <w:rPr>
                      <w:color w:val="000000"/>
                      <w:szCs w:val="21"/>
                    </w:rPr>
                  </w:pPr>
                  <w:r>
                    <w:rPr>
                      <w:rFonts w:hint="eastAsia"/>
                      <w:color w:val="000000"/>
                      <w:szCs w:val="21"/>
                    </w:rPr>
                    <w:t>1.环评批复文件和竣工验收文件/现状评估文件；</w:t>
                  </w:r>
                </w:p>
                <w:p>
                  <w:pPr>
                    <w:rPr>
                      <w:color w:val="000000"/>
                      <w:szCs w:val="21"/>
                    </w:rPr>
                  </w:pPr>
                  <w:r>
                    <w:rPr>
                      <w:rFonts w:hint="eastAsia"/>
                      <w:color w:val="000000"/>
                      <w:szCs w:val="21"/>
                    </w:rPr>
                    <w:t>2.废气治理设施运行管理规程；</w:t>
                  </w:r>
                </w:p>
                <w:p>
                  <w:pPr>
                    <w:rPr>
                      <w:color w:val="000000"/>
                      <w:szCs w:val="21"/>
                    </w:rPr>
                  </w:pPr>
                  <w:r>
                    <w:rPr>
                      <w:rFonts w:hint="eastAsia"/>
                      <w:color w:val="000000"/>
                      <w:szCs w:val="21"/>
                    </w:rPr>
                    <w:t>3.一年内废气监测报告；</w:t>
                  </w:r>
                </w:p>
                <w:p>
                  <w:pPr>
                    <w:rPr>
                      <w:color w:val="000000"/>
                      <w:szCs w:val="21"/>
                    </w:rPr>
                  </w:pPr>
                  <w:r>
                    <w:rPr>
                      <w:rFonts w:hint="eastAsia"/>
                      <w:color w:val="000000"/>
                      <w:szCs w:val="21"/>
                    </w:rPr>
                    <w:t>4.国家版排污许可证，并按要求开展自行监测和信息披露，规范设置废气排放口标志牌、二维码标识和采样平台、采样孔。</w:t>
                  </w:r>
                </w:p>
              </w:tc>
              <w:tc>
                <w:tcPr>
                  <w:tcW w:w="2806" w:type="dxa"/>
                  <w:vMerge w:val="restart"/>
                  <w:shd w:val="clear" w:color="auto" w:fill="auto"/>
                  <w:vAlign w:val="center"/>
                </w:tcPr>
                <w:p>
                  <w:pPr>
                    <w:rPr>
                      <w:color w:val="000000"/>
                      <w:szCs w:val="21"/>
                    </w:rPr>
                  </w:pPr>
                  <w:r>
                    <w:rPr>
                      <w:rFonts w:hint="eastAsia"/>
                      <w:color w:val="000000"/>
                      <w:szCs w:val="21"/>
                    </w:rPr>
                    <w:t>项目运营期按要求进行管理和记录。</w:t>
                  </w:r>
                </w:p>
              </w:tc>
              <w:tc>
                <w:tcPr>
                  <w:tcW w:w="702" w:type="dxa"/>
                  <w:shd w:val="clear" w:color="auto" w:fill="auto"/>
                  <w:vAlign w:val="center"/>
                </w:tcPr>
                <w:p>
                  <w:pPr>
                    <w:jc w:val="center"/>
                    <w:rPr>
                      <w:color w:val="000000"/>
                      <w:kern w:val="0"/>
                      <w:szCs w:val="21"/>
                    </w:rPr>
                  </w:pPr>
                  <w:r>
                    <w:rPr>
                      <w:rFonts w:hint="eastAsia"/>
                      <w:color w:val="000000"/>
                      <w:kern w:val="0"/>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8" w:hRule="atLeast"/>
              </w:trPr>
              <w:tc>
                <w:tcPr>
                  <w:tcW w:w="426" w:type="dxa"/>
                  <w:vMerge w:val="continue"/>
                  <w:shd w:val="clear" w:color="auto" w:fill="auto"/>
                  <w:vAlign w:val="center"/>
                </w:tcPr>
                <w:p>
                  <w:pPr>
                    <w:jc w:val="center"/>
                    <w:rPr>
                      <w:color w:val="000000"/>
                      <w:szCs w:val="21"/>
                    </w:rPr>
                  </w:pPr>
                </w:p>
              </w:tc>
              <w:tc>
                <w:tcPr>
                  <w:tcW w:w="426" w:type="dxa"/>
                  <w:shd w:val="clear" w:color="auto" w:fill="auto"/>
                  <w:vAlign w:val="center"/>
                </w:tcPr>
                <w:p>
                  <w:pPr>
                    <w:jc w:val="center"/>
                    <w:rPr>
                      <w:color w:val="000000"/>
                      <w:szCs w:val="21"/>
                    </w:rPr>
                  </w:pPr>
                  <w:r>
                    <w:rPr>
                      <w:rFonts w:hint="eastAsia"/>
                      <w:color w:val="000000"/>
                      <w:szCs w:val="21"/>
                    </w:rPr>
                    <w:t>台账记录</w:t>
                  </w:r>
                </w:p>
              </w:tc>
              <w:tc>
                <w:tcPr>
                  <w:tcW w:w="2572" w:type="dxa"/>
                  <w:shd w:val="clear" w:color="auto" w:fill="auto"/>
                  <w:vAlign w:val="center"/>
                </w:tcPr>
                <w:p>
                  <w:pPr>
                    <w:rPr>
                      <w:color w:val="000000"/>
                      <w:szCs w:val="21"/>
                    </w:rPr>
                  </w:pPr>
                  <w:r>
                    <w:rPr>
                      <w:rFonts w:hint="eastAsia"/>
                      <w:color w:val="000000"/>
                      <w:szCs w:val="21"/>
                    </w:rPr>
                    <w:t>1.生产设施运行管理信息（生产时间、运行负荷、产品产量等）；</w:t>
                  </w:r>
                </w:p>
                <w:p>
                  <w:pPr>
                    <w:rPr>
                      <w:color w:val="000000"/>
                      <w:szCs w:val="21"/>
                    </w:rPr>
                  </w:pPr>
                  <w:r>
                    <w:rPr>
                      <w:rFonts w:hint="eastAsia"/>
                      <w:color w:val="000000"/>
                      <w:szCs w:val="21"/>
                    </w:rPr>
                    <w:t>2.废气污染治理设施运行管理信息（除尘滤料等更换量和时间）；</w:t>
                  </w:r>
                </w:p>
                <w:p>
                  <w:pPr>
                    <w:rPr>
                      <w:color w:val="000000"/>
                      <w:szCs w:val="21"/>
                    </w:rPr>
                  </w:pPr>
                  <w:r>
                    <w:rPr>
                      <w:rFonts w:hint="eastAsia"/>
                      <w:color w:val="000000"/>
                      <w:szCs w:val="21"/>
                    </w:rPr>
                    <w:t>3.监测记录信息（主要污染排放口废气排放记录（手工监测和在线监测）等）；</w:t>
                  </w:r>
                </w:p>
                <w:p>
                  <w:pPr>
                    <w:rPr>
                      <w:color w:val="000000"/>
                      <w:szCs w:val="21"/>
                    </w:rPr>
                  </w:pPr>
                  <w:r>
                    <w:rPr>
                      <w:rFonts w:hint="eastAsia"/>
                      <w:color w:val="000000"/>
                      <w:szCs w:val="21"/>
                    </w:rPr>
                    <w:t>4.主要原辅材料、燃料消耗记录；</w:t>
                  </w:r>
                </w:p>
                <w:p>
                  <w:pPr>
                    <w:rPr>
                      <w:color w:val="000000"/>
                      <w:szCs w:val="21"/>
                    </w:rPr>
                  </w:pPr>
                  <w:r>
                    <w:rPr>
                      <w:rFonts w:hint="eastAsia"/>
                      <w:color w:val="000000"/>
                      <w:szCs w:val="21"/>
                    </w:rPr>
                    <w:t>5.电消耗记录。</w:t>
                  </w:r>
                </w:p>
              </w:tc>
              <w:tc>
                <w:tcPr>
                  <w:tcW w:w="2806" w:type="dxa"/>
                  <w:vMerge w:val="continue"/>
                  <w:shd w:val="clear" w:color="auto" w:fill="auto"/>
                  <w:vAlign w:val="center"/>
                </w:tcPr>
                <w:p>
                  <w:pPr>
                    <w:rPr>
                      <w:color w:val="000000"/>
                      <w:szCs w:val="21"/>
                    </w:rPr>
                  </w:pPr>
                </w:p>
              </w:tc>
              <w:tc>
                <w:tcPr>
                  <w:tcW w:w="702" w:type="dxa"/>
                  <w:shd w:val="clear" w:color="auto" w:fill="auto"/>
                  <w:vAlign w:val="center"/>
                </w:tcPr>
                <w:p>
                  <w:pPr>
                    <w:jc w:val="center"/>
                    <w:rPr>
                      <w:color w:val="000000"/>
                      <w:kern w:val="0"/>
                      <w:szCs w:val="21"/>
                    </w:rPr>
                  </w:pPr>
                  <w:r>
                    <w:rPr>
                      <w:rFonts w:hint="eastAsia"/>
                      <w:color w:val="000000"/>
                      <w:kern w:val="0"/>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7" w:hRule="atLeast"/>
              </w:trPr>
              <w:tc>
                <w:tcPr>
                  <w:tcW w:w="426" w:type="dxa"/>
                  <w:vMerge w:val="continue"/>
                  <w:shd w:val="clear" w:color="auto" w:fill="auto"/>
                  <w:vAlign w:val="center"/>
                </w:tcPr>
                <w:p>
                  <w:pPr>
                    <w:jc w:val="center"/>
                    <w:rPr>
                      <w:color w:val="000000"/>
                      <w:szCs w:val="21"/>
                    </w:rPr>
                  </w:pPr>
                </w:p>
              </w:tc>
              <w:tc>
                <w:tcPr>
                  <w:tcW w:w="426" w:type="dxa"/>
                  <w:shd w:val="clear" w:color="auto" w:fill="auto"/>
                  <w:vAlign w:val="center"/>
                </w:tcPr>
                <w:p>
                  <w:pPr>
                    <w:jc w:val="center"/>
                    <w:rPr>
                      <w:color w:val="000000"/>
                      <w:szCs w:val="21"/>
                    </w:rPr>
                  </w:pPr>
                  <w:r>
                    <w:rPr>
                      <w:rFonts w:hint="eastAsia"/>
                      <w:color w:val="000000"/>
                      <w:szCs w:val="21"/>
                    </w:rPr>
                    <w:t>人员配置</w:t>
                  </w:r>
                </w:p>
              </w:tc>
              <w:tc>
                <w:tcPr>
                  <w:tcW w:w="2572" w:type="dxa"/>
                  <w:shd w:val="clear" w:color="auto" w:fill="auto"/>
                  <w:vAlign w:val="center"/>
                </w:tcPr>
                <w:p>
                  <w:pPr>
                    <w:rPr>
                      <w:color w:val="000000"/>
                      <w:szCs w:val="21"/>
                    </w:rPr>
                  </w:pPr>
                  <w:r>
                    <w:rPr>
                      <w:rFonts w:hint="eastAsia"/>
                      <w:color w:val="000000"/>
                      <w:szCs w:val="21"/>
                    </w:rPr>
                    <w:t>配备专职环保人员，并具备相应的环境管理能力（学历、培训、从业经验等）。</w:t>
                  </w:r>
                </w:p>
              </w:tc>
              <w:tc>
                <w:tcPr>
                  <w:tcW w:w="2806" w:type="dxa"/>
                  <w:vMerge w:val="continue"/>
                  <w:shd w:val="clear" w:color="auto" w:fill="auto"/>
                  <w:vAlign w:val="center"/>
                </w:tcPr>
                <w:p>
                  <w:pPr>
                    <w:rPr>
                      <w:color w:val="000000"/>
                      <w:szCs w:val="21"/>
                    </w:rPr>
                  </w:pPr>
                </w:p>
              </w:tc>
              <w:tc>
                <w:tcPr>
                  <w:tcW w:w="702" w:type="dxa"/>
                  <w:shd w:val="clear" w:color="auto" w:fill="auto"/>
                  <w:vAlign w:val="center"/>
                </w:tcPr>
                <w:p>
                  <w:pPr>
                    <w:jc w:val="center"/>
                    <w:rPr>
                      <w:color w:val="000000"/>
                      <w:kern w:val="0"/>
                      <w:szCs w:val="21"/>
                    </w:rPr>
                  </w:pPr>
                  <w:r>
                    <w:rPr>
                      <w:rFonts w:hint="eastAsia"/>
                      <w:color w:val="000000"/>
                      <w:kern w:val="0"/>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13" w:hRule="atLeast"/>
              </w:trPr>
              <w:tc>
                <w:tcPr>
                  <w:tcW w:w="852" w:type="dxa"/>
                  <w:gridSpan w:val="2"/>
                  <w:vMerge w:val="restart"/>
                  <w:shd w:val="clear" w:color="auto" w:fill="auto"/>
                  <w:vAlign w:val="center"/>
                </w:tcPr>
                <w:p>
                  <w:pPr>
                    <w:jc w:val="center"/>
                    <w:rPr>
                      <w:color w:val="000000"/>
                      <w:szCs w:val="21"/>
                    </w:rPr>
                  </w:pPr>
                  <w:r>
                    <w:rPr>
                      <w:color w:val="000000"/>
                      <w:szCs w:val="21"/>
                    </w:rPr>
                    <w:t>运输方式</w:t>
                  </w:r>
                </w:p>
              </w:tc>
              <w:tc>
                <w:tcPr>
                  <w:tcW w:w="2572" w:type="dxa"/>
                  <w:shd w:val="clear" w:color="auto" w:fill="auto"/>
                  <w:vAlign w:val="center"/>
                </w:tcPr>
                <w:p>
                  <w:pPr>
                    <w:rPr>
                      <w:color w:val="000000"/>
                      <w:szCs w:val="21"/>
                    </w:rPr>
                  </w:pPr>
                  <w:r>
                    <w:rPr>
                      <w:rFonts w:hint="eastAsia"/>
                      <w:color w:val="000000"/>
                      <w:szCs w:val="21"/>
                    </w:rPr>
                    <w:t>1.物料、产品等公路运输全部使用国五及以上排放标准重型载货车辆（重型燃气车辆达到国六排放标准）或新能源车辆。</w:t>
                  </w:r>
                </w:p>
              </w:tc>
              <w:tc>
                <w:tcPr>
                  <w:tcW w:w="2806" w:type="dxa"/>
                  <w:vMerge w:val="restart"/>
                  <w:shd w:val="clear" w:color="auto" w:fill="auto"/>
                  <w:vAlign w:val="center"/>
                </w:tcPr>
                <w:p>
                  <w:pPr>
                    <w:rPr>
                      <w:color w:val="000000"/>
                      <w:szCs w:val="21"/>
                      <w:highlight w:val="yellow"/>
                    </w:rPr>
                  </w:pPr>
                  <w:r>
                    <w:rPr>
                      <w:rFonts w:hint="eastAsia"/>
                      <w:color w:val="000000"/>
                      <w:szCs w:val="21"/>
                    </w:rPr>
                    <w:t>评价要求企业项目建成后按照《河南省重污染天气通用行业应急减排措施制定技术指南》相关要求购置公路运输车辆、厂内运输车辆和</w:t>
                  </w:r>
                  <w:r>
                    <w:rPr>
                      <w:color w:val="000000"/>
                      <w:szCs w:val="21"/>
                    </w:rPr>
                    <w:t>厂内非道路移动机械</w:t>
                  </w:r>
                  <w:r>
                    <w:rPr>
                      <w:rFonts w:hint="eastAsia"/>
                      <w:color w:val="000000"/>
                      <w:szCs w:val="21"/>
                    </w:rPr>
                    <w:t>。</w:t>
                  </w:r>
                </w:p>
              </w:tc>
              <w:tc>
                <w:tcPr>
                  <w:tcW w:w="702" w:type="dxa"/>
                  <w:vMerge w:val="restart"/>
                  <w:shd w:val="clear" w:color="auto" w:fill="auto"/>
                  <w:vAlign w:val="center"/>
                </w:tcPr>
                <w:p>
                  <w:pPr>
                    <w:jc w:val="center"/>
                    <w:rPr>
                      <w:color w:val="000000"/>
                      <w:szCs w:val="21"/>
                    </w:rPr>
                  </w:pPr>
                  <w:r>
                    <w:rPr>
                      <w:rFonts w:hint="eastAsia"/>
                      <w:color w:val="000000"/>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trPr>
              <w:tc>
                <w:tcPr>
                  <w:tcW w:w="852" w:type="dxa"/>
                  <w:gridSpan w:val="2"/>
                  <w:vMerge w:val="continue"/>
                  <w:shd w:val="clear" w:color="auto" w:fill="auto"/>
                  <w:vAlign w:val="center"/>
                </w:tcPr>
                <w:p>
                  <w:pPr>
                    <w:rPr>
                      <w:color w:val="000000"/>
                      <w:szCs w:val="21"/>
                    </w:rPr>
                  </w:pPr>
                </w:p>
              </w:tc>
              <w:tc>
                <w:tcPr>
                  <w:tcW w:w="2572" w:type="dxa"/>
                  <w:shd w:val="clear" w:color="auto" w:fill="auto"/>
                  <w:vAlign w:val="center"/>
                </w:tcPr>
                <w:p>
                  <w:pPr>
                    <w:rPr>
                      <w:color w:val="000000"/>
                      <w:szCs w:val="21"/>
                    </w:rPr>
                  </w:pPr>
                  <w:r>
                    <w:rPr>
                      <w:rFonts w:hint="eastAsia"/>
                      <w:color w:val="000000"/>
                      <w:szCs w:val="21"/>
                    </w:rPr>
                    <w:t>2.厂内运输全部使用国五及以上排放标准（重型燃气车辆达到国六排放标准）或使用新能源车辆；</w:t>
                  </w:r>
                </w:p>
              </w:tc>
              <w:tc>
                <w:tcPr>
                  <w:tcW w:w="2806" w:type="dxa"/>
                  <w:vMerge w:val="continue"/>
                  <w:shd w:val="clear" w:color="auto" w:fill="auto"/>
                  <w:vAlign w:val="center"/>
                </w:tcPr>
                <w:p>
                  <w:pPr>
                    <w:rPr>
                      <w:color w:val="000000"/>
                      <w:szCs w:val="21"/>
                      <w:highlight w:val="yellow"/>
                    </w:rPr>
                  </w:pPr>
                </w:p>
              </w:tc>
              <w:tc>
                <w:tcPr>
                  <w:tcW w:w="702" w:type="dxa"/>
                  <w:vMerge w:val="continue"/>
                  <w:shd w:val="clear" w:color="auto" w:fill="auto"/>
                  <w:vAlign w:val="center"/>
                </w:tcPr>
                <w:p>
                  <w:pP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1" w:hRule="atLeast"/>
              </w:trPr>
              <w:tc>
                <w:tcPr>
                  <w:tcW w:w="852" w:type="dxa"/>
                  <w:gridSpan w:val="2"/>
                  <w:vMerge w:val="continue"/>
                  <w:shd w:val="clear" w:color="auto" w:fill="auto"/>
                  <w:vAlign w:val="center"/>
                </w:tcPr>
                <w:p>
                  <w:pPr>
                    <w:rPr>
                      <w:color w:val="000000"/>
                      <w:szCs w:val="21"/>
                    </w:rPr>
                  </w:pPr>
                </w:p>
              </w:tc>
              <w:tc>
                <w:tcPr>
                  <w:tcW w:w="2572" w:type="dxa"/>
                  <w:shd w:val="clear" w:color="auto" w:fill="auto"/>
                  <w:vAlign w:val="center"/>
                </w:tcPr>
                <w:p>
                  <w:pPr>
                    <w:rPr>
                      <w:color w:val="000000"/>
                      <w:szCs w:val="21"/>
                    </w:rPr>
                  </w:pPr>
                  <w:r>
                    <w:rPr>
                      <w:rFonts w:hint="eastAsia"/>
                      <w:color w:val="000000"/>
                      <w:szCs w:val="21"/>
                    </w:rPr>
                    <w:t>3.危险品及危废运输全部使用国五及以上排放标准（重型燃气车辆达到国六排放标准）或新能源车辆；</w:t>
                  </w:r>
                </w:p>
              </w:tc>
              <w:tc>
                <w:tcPr>
                  <w:tcW w:w="2806" w:type="dxa"/>
                  <w:vMerge w:val="continue"/>
                  <w:shd w:val="clear" w:color="auto" w:fill="auto"/>
                  <w:vAlign w:val="center"/>
                </w:tcPr>
                <w:p>
                  <w:pPr>
                    <w:rPr>
                      <w:color w:val="000000"/>
                      <w:szCs w:val="21"/>
                      <w:highlight w:val="yellow"/>
                    </w:rPr>
                  </w:pPr>
                </w:p>
              </w:tc>
              <w:tc>
                <w:tcPr>
                  <w:tcW w:w="702" w:type="dxa"/>
                  <w:vMerge w:val="continue"/>
                  <w:shd w:val="clear" w:color="auto" w:fill="auto"/>
                  <w:vAlign w:val="center"/>
                </w:tcPr>
                <w:p>
                  <w:pP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5" w:hRule="atLeast"/>
              </w:trPr>
              <w:tc>
                <w:tcPr>
                  <w:tcW w:w="852" w:type="dxa"/>
                  <w:gridSpan w:val="2"/>
                  <w:vMerge w:val="continue"/>
                  <w:shd w:val="clear" w:color="auto" w:fill="auto"/>
                  <w:vAlign w:val="center"/>
                </w:tcPr>
                <w:p>
                  <w:pPr>
                    <w:rPr>
                      <w:color w:val="000000"/>
                      <w:szCs w:val="21"/>
                    </w:rPr>
                  </w:pPr>
                </w:p>
              </w:tc>
              <w:tc>
                <w:tcPr>
                  <w:tcW w:w="2572" w:type="dxa"/>
                  <w:shd w:val="clear" w:color="auto" w:fill="auto"/>
                  <w:vAlign w:val="center"/>
                </w:tcPr>
                <w:p>
                  <w:pPr>
                    <w:rPr>
                      <w:color w:val="000000"/>
                      <w:szCs w:val="21"/>
                    </w:rPr>
                  </w:pPr>
                  <w:r>
                    <w:rPr>
                      <w:rFonts w:hint="eastAsia"/>
                      <w:color w:val="000000"/>
                      <w:szCs w:val="21"/>
                    </w:rPr>
                    <w:t>4.厂内非道路移动机械全部使用国三及以上排放标准或使用新能源（电动、氢能）机械。</w:t>
                  </w:r>
                </w:p>
              </w:tc>
              <w:tc>
                <w:tcPr>
                  <w:tcW w:w="2806" w:type="dxa"/>
                  <w:vMerge w:val="continue"/>
                  <w:shd w:val="clear" w:color="auto" w:fill="auto"/>
                  <w:vAlign w:val="center"/>
                </w:tcPr>
                <w:p>
                  <w:pPr>
                    <w:rPr>
                      <w:color w:val="000000"/>
                      <w:szCs w:val="21"/>
                      <w:highlight w:val="yellow"/>
                    </w:rPr>
                  </w:pPr>
                </w:p>
              </w:tc>
              <w:tc>
                <w:tcPr>
                  <w:tcW w:w="702" w:type="dxa"/>
                  <w:vMerge w:val="continue"/>
                  <w:shd w:val="clear" w:color="auto" w:fill="auto"/>
                  <w:vAlign w:val="center"/>
                </w:tcPr>
                <w:p>
                  <w:pP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 w:type="dxa"/>
                  <w:gridSpan w:val="2"/>
                  <w:shd w:val="clear" w:color="auto" w:fill="auto"/>
                  <w:vAlign w:val="center"/>
                </w:tcPr>
                <w:p>
                  <w:pPr>
                    <w:jc w:val="center"/>
                    <w:rPr>
                      <w:color w:val="000000"/>
                      <w:szCs w:val="21"/>
                    </w:rPr>
                  </w:pPr>
                  <w:r>
                    <w:rPr>
                      <w:color w:val="000000"/>
                      <w:szCs w:val="21"/>
                    </w:rPr>
                    <w:t>运输监管</w:t>
                  </w:r>
                </w:p>
              </w:tc>
              <w:tc>
                <w:tcPr>
                  <w:tcW w:w="2572" w:type="dxa"/>
                  <w:shd w:val="clear" w:color="auto" w:fill="auto"/>
                  <w:vAlign w:val="center"/>
                </w:tcPr>
                <w:p>
                  <w:pPr>
                    <w:rPr>
                      <w:color w:val="000000"/>
                      <w:szCs w:val="21"/>
                    </w:rPr>
                  </w:pPr>
                  <w:r>
                    <w:rPr>
                      <w:rFonts w:hint="eastAsia"/>
                      <w:color w:val="000000"/>
                      <w:szCs w:val="21"/>
                    </w:rPr>
                    <w:t>日均进出货物150吨（或载货车辆日进出10辆次）及以上（货物包括原料、辅料、燃料、产品和其他与生产相关物料）的企业，参照《重污染天气重点行业移动源应急管理技术指南》建立门禁视频监控系统和电子台账；其他企业安装车辆运输视频监控（数据能保存6个月），并建立车辆运输手工台账。</w:t>
                  </w:r>
                </w:p>
              </w:tc>
              <w:tc>
                <w:tcPr>
                  <w:tcW w:w="2806" w:type="dxa"/>
                  <w:shd w:val="clear" w:color="auto" w:fill="auto"/>
                  <w:vAlign w:val="center"/>
                </w:tcPr>
                <w:p>
                  <w:pPr>
                    <w:rPr>
                      <w:color w:val="000000"/>
                      <w:szCs w:val="21"/>
                      <w:highlight w:val="yellow"/>
                    </w:rPr>
                  </w:pPr>
                  <w:r>
                    <w:rPr>
                      <w:rFonts w:hint="eastAsia"/>
                      <w:color w:val="000000"/>
                      <w:szCs w:val="21"/>
                    </w:rPr>
                    <w:t>项目营运期参照《重污染天气重点行业移动源应急管理技术指南》建立门禁视频监控系统和电子台账；同时也建立了高清视频监控系统。</w:t>
                  </w:r>
                </w:p>
              </w:tc>
              <w:tc>
                <w:tcPr>
                  <w:tcW w:w="702" w:type="dxa"/>
                  <w:shd w:val="clear" w:color="auto" w:fill="auto"/>
                  <w:vAlign w:val="center"/>
                </w:tcPr>
                <w:p>
                  <w:pPr>
                    <w:jc w:val="center"/>
                    <w:rPr>
                      <w:color w:val="000000"/>
                      <w:szCs w:val="21"/>
                    </w:rPr>
                  </w:pPr>
                  <w:r>
                    <w:rPr>
                      <w:rFonts w:hint="eastAsia"/>
                      <w:color w:val="000000"/>
                      <w:szCs w:val="21"/>
                    </w:rPr>
                    <w:t>相符</w:t>
                  </w:r>
                </w:p>
              </w:tc>
            </w:tr>
          </w:tbl>
          <w:p>
            <w:pPr>
              <w:adjustRightInd w:val="0"/>
              <w:snapToGrid w:val="0"/>
              <w:spacing w:line="360" w:lineRule="auto"/>
              <w:ind w:firstLine="480" w:firstLineChars="200"/>
              <w:rPr>
                <w:rFonts w:eastAsiaTheme="minorEastAsia"/>
                <w:color w:val="000000" w:themeColor="text1"/>
                <w:sz w:val="24"/>
                <w:szCs w:val="24"/>
              </w:rPr>
            </w:pPr>
            <w:r>
              <w:rPr>
                <w:rFonts w:hint="eastAsia" w:eastAsiaTheme="minorEastAsia"/>
                <w:color w:val="000000" w:themeColor="text1"/>
                <w:sz w:val="24"/>
                <w:szCs w:val="24"/>
              </w:rPr>
              <w:t>由上表分析可知，项目建设与《河南省重污染天气通用行业应急减排措施制定技术指南》（2024年修订稿）中涉PM企业引领性要求相符。</w:t>
            </w:r>
          </w:p>
          <w:p>
            <w:pPr>
              <w:tabs>
                <w:tab w:val="left" w:pos="1081"/>
              </w:tabs>
              <w:adjustRightInd w:val="0"/>
              <w:snapToGrid w:val="0"/>
              <w:spacing w:line="360" w:lineRule="auto"/>
              <w:ind w:firstLine="482" w:firstLineChars="200"/>
              <w:rPr>
                <w:b/>
                <w:sz w:val="24"/>
              </w:rPr>
            </w:pPr>
            <w:r>
              <w:rPr>
                <w:rFonts w:hint="eastAsia"/>
                <w:b/>
                <w:sz w:val="24"/>
              </w:rPr>
              <w:t>13</w:t>
            </w:r>
            <w:r>
              <w:rPr>
                <w:b/>
                <w:sz w:val="24"/>
              </w:rPr>
              <w:t>、项目建设与“三线一单”的相符性</w:t>
            </w:r>
          </w:p>
          <w:p>
            <w:pPr>
              <w:tabs>
                <w:tab w:val="left" w:pos="1081"/>
              </w:tabs>
              <w:adjustRightInd w:val="0"/>
              <w:snapToGrid w:val="0"/>
              <w:spacing w:line="360" w:lineRule="auto"/>
              <w:ind w:firstLine="480" w:firstLineChars="200"/>
              <w:rPr>
                <w:bCs/>
                <w:color w:val="000000"/>
                <w:kern w:val="0"/>
                <w:sz w:val="24"/>
              </w:rPr>
            </w:pPr>
            <w:r>
              <w:rPr>
                <w:bCs/>
                <w:color w:val="000000"/>
                <w:kern w:val="0"/>
                <w:sz w:val="24"/>
              </w:rPr>
              <w:t>根据环保部发布的《关于以改善环境质量为核心加强环境影响评价管理的通知》（以下简称《通知》），《通知》要求切实加强环境影响评价管理，落实“生态保护红线、环境质量底线、资源利用上线和环境准入负面清单”约束，建立项目环评审批与规划环评、现有项目环境管理、区域环境质量联动机制，更好地发挥环评制度从源头防范环境污染和生态破坏的作用，加快推进改善环境质量。</w:t>
            </w:r>
          </w:p>
          <w:p>
            <w:pPr>
              <w:adjustRightInd w:val="0"/>
              <w:snapToGrid w:val="0"/>
              <w:spacing w:line="360" w:lineRule="auto"/>
              <w:ind w:firstLine="480" w:firstLineChars="200"/>
              <w:rPr>
                <w:bCs/>
                <w:color w:val="000000" w:themeColor="text1"/>
                <w:kern w:val="0"/>
                <w:sz w:val="24"/>
              </w:rPr>
            </w:pPr>
            <w:r>
              <w:rPr>
                <w:bCs/>
                <w:color w:val="000000" w:themeColor="text1"/>
                <w:kern w:val="0"/>
                <w:sz w:val="24"/>
              </w:rPr>
              <w:t>（1）生态红线</w:t>
            </w:r>
          </w:p>
          <w:p>
            <w:pPr>
              <w:adjustRightInd w:val="0"/>
              <w:snapToGrid w:val="0"/>
              <w:spacing w:line="360" w:lineRule="auto"/>
              <w:ind w:firstLine="480" w:firstLineChars="200"/>
              <w:rPr>
                <w:bCs/>
                <w:color w:val="000000" w:themeColor="text1"/>
                <w:kern w:val="0"/>
                <w:sz w:val="24"/>
              </w:rPr>
            </w:pPr>
            <w:r>
              <w:rPr>
                <w:bCs/>
                <w:color w:val="000000" w:themeColor="text1"/>
                <w:kern w:val="0"/>
                <w:sz w:val="24"/>
              </w:rPr>
              <w:t>“生态保护红线”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需依法在重点生态功能区、生态环境敏感区和脆弱区等区域划定的严格管控边界，是国家和区域生态安全的底线，对于维护生态安全格局、保障生态服务功能、支撑经济社会可持续发展具有重要作用。</w:t>
            </w:r>
          </w:p>
          <w:p>
            <w:pPr>
              <w:adjustRightInd w:val="0"/>
              <w:snapToGrid w:val="0"/>
              <w:spacing w:line="360" w:lineRule="auto"/>
              <w:ind w:firstLine="480" w:firstLineChars="200"/>
              <w:rPr>
                <w:bCs/>
                <w:color w:val="000000" w:themeColor="text1"/>
                <w:kern w:val="0"/>
                <w:sz w:val="24"/>
              </w:rPr>
            </w:pPr>
            <w:r>
              <w:rPr>
                <w:bCs/>
                <w:color w:val="000000" w:themeColor="text1"/>
                <w:kern w:val="0"/>
                <w:sz w:val="24"/>
              </w:rPr>
              <w:t>本项目位于</w:t>
            </w:r>
            <w:r>
              <w:rPr>
                <w:sz w:val="24"/>
                <w:szCs w:val="24"/>
              </w:rPr>
              <w:t>南阳市卧龙区蒲山镇棉花库路口向西20米路北</w:t>
            </w:r>
            <w:r>
              <w:rPr>
                <w:rFonts w:hint="eastAsia"/>
                <w:bCs/>
                <w:color w:val="000000" w:themeColor="text1"/>
                <w:kern w:val="0"/>
                <w:sz w:val="24"/>
              </w:rPr>
              <w:t>，项目</w:t>
            </w:r>
            <w:r>
              <w:rPr>
                <w:bCs/>
                <w:color w:val="000000" w:themeColor="text1"/>
                <w:kern w:val="0"/>
                <w:sz w:val="24"/>
              </w:rPr>
              <w:t>选址不</w:t>
            </w:r>
            <w:r>
              <w:rPr>
                <w:rFonts w:hint="eastAsia"/>
                <w:bCs/>
                <w:color w:val="000000" w:themeColor="text1"/>
                <w:kern w:val="0"/>
                <w:sz w:val="24"/>
              </w:rPr>
              <w:t>涉及</w:t>
            </w:r>
            <w:r>
              <w:rPr>
                <w:bCs/>
                <w:color w:val="000000" w:themeColor="text1"/>
                <w:kern w:val="0"/>
                <w:sz w:val="24"/>
              </w:rPr>
              <w:t>自然保护区</w:t>
            </w:r>
            <w:r>
              <w:rPr>
                <w:rFonts w:hint="eastAsia"/>
                <w:bCs/>
                <w:color w:val="000000" w:themeColor="text1"/>
                <w:kern w:val="0"/>
                <w:sz w:val="24"/>
              </w:rPr>
              <w:t>、地质公园等特殊或重要生态环境敏感区；项目占地范围内无重点文物保护单位、无珍稀动植物资源；</w:t>
            </w:r>
            <w:r>
              <w:rPr>
                <w:bCs/>
                <w:color w:val="000000"/>
                <w:kern w:val="0"/>
                <w:sz w:val="24"/>
              </w:rPr>
              <w:t>项目营运期职工生活污水经配套化粪池</w:t>
            </w:r>
            <w:r>
              <w:rPr>
                <w:bCs/>
                <w:color w:val="000000"/>
                <w:sz w:val="24"/>
              </w:rPr>
              <w:t>处理</w:t>
            </w:r>
            <w:r>
              <w:rPr>
                <w:rFonts w:hint="eastAsia"/>
                <w:bCs/>
                <w:color w:val="000000"/>
                <w:sz w:val="24"/>
              </w:rPr>
              <w:t>后用于周围农田施肥</w:t>
            </w:r>
            <w:r>
              <w:rPr>
                <w:rFonts w:hint="eastAsia"/>
                <w:bCs/>
                <w:color w:val="000000" w:themeColor="text1"/>
                <w:kern w:val="0"/>
                <w:sz w:val="24"/>
              </w:rPr>
              <w:t>，因此项目建设不会对饮用水源保护区造成影响。</w:t>
            </w:r>
          </w:p>
          <w:p>
            <w:pPr>
              <w:adjustRightInd w:val="0"/>
              <w:snapToGrid w:val="0"/>
              <w:spacing w:line="360" w:lineRule="auto"/>
              <w:ind w:firstLine="480" w:firstLineChars="200"/>
              <w:rPr>
                <w:bCs/>
                <w:color w:val="000000" w:themeColor="text1"/>
                <w:kern w:val="0"/>
                <w:sz w:val="24"/>
              </w:rPr>
            </w:pPr>
            <w:r>
              <w:rPr>
                <w:rFonts w:hint="eastAsia"/>
                <w:bCs/>
                <w:color w:val="000000" w:themeColor="text1"/>
                <w:kern w:val="0"/>
                <w:sz w:val="24"/>
              </w:rPr>
              <w:t>综上</w:t>
            </w:r>
            <w:r>
              <w:rPr>
                <w:bCs/>
                <w:color w:val="000000" w:themeColor="text1"/>
                <w:kern w:val="0"/>
                <w:sz w:val="24"/>
              </w:rPr>
              <w:t>分析</w:t>
            </w:r>
            <w:r>
              <w:rPr>
                <w:rFonts w:hint="eastAsia"/>
                <w:bCs/>
                <w:color w:val="000000" w:themeColor="text1"/>
                <w:kern w:val="0"/>
                <w:sz w:val="24"/>
              </w:rPr>
              <w:t>，</w:t>
            </w:r>
            <w:r>
              <w:rPr>
                <w:bCs/>
                <w:color w:val="000000" w:themeColor="text1"/>
                <w:kern w:val="0"/>
                <w:sz w:val="24"/>
              </w:rPr>
              <w:t>项目建设符合区域生态保护红线要求。</w:t>
            </w:r>
          </w:p>
          <w:p>
            <w:pPr>
              <w:adjustRightInd w:val="0"/>
              <w:snapToGrid w:val="0"/>
              <w:spacing w:line="360" w:lineRule="auto"/>
              <w:ind w:firstLine="480" w:firstLineChars="200"/>
              <w:rPr>
                <w:bCs/>
                <w:color w:val="000000" w:themeColor="text1"/>
                <w:kern w:val="0"/>
                <w:sz w:val="24"/>
              </w:rPr>
            </w:pPr>
            <w:r>
              <w:rPr>
                <w:bCs/>
                <w:color w:val="000000" w:themeColor="text1"/>
                <w:kern w:val="0"/>
                <w:sz w:val="24"/>
              </w:rPr>
              <w:t>（2）环境质量底线</w:t>
            </w:r>
          </w:p>
          <w:p>
            <w:pPr>
              <w:adjustRightInd w:val="0"/>
              <w:snapToGrid w:val="0"/>
              <w:spacing w:line="360" w:lineRule="auto"/>
              <w:ind w:firstLine="480" w:firstLineChars="200"/>
              <w:rPr>
                <w:bCs/>
                <w:color w:val="000000" w:themeColor="text1"/>
                <w:kern w:val="0"/>
                <w:sz w:val="24"/>
              </w:rPr>
            </w:pPr>
            <w:r>
              <w:rPr>
                <w:bCs/>
                <w:color w:val="000000" w:themeColor="text1"/>
                <w:kern w:val="0"/>
                <w:sz w:val="24"/>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p>
            <w:pPr>
              <w:adjustRightInd w:val="0"/>
              <w:snapToGrid w:val="0"/>
              <w:spacing w:line="360" w:lineRule="auto"/>
              <w:ind w:firstLine="480" w:firstLineChars="200"/>
              <w:rPr>
                <w:bCs/>
                <w:color w:val="000000" w:themeColor="text1"/>
                <w:kern w:val="0"/>
                <w:sz w:val="24"/>
              </w:rPr>
            </w:pPr>
            <w:r>
              <w:rPr>
                <w:bCs/>
                <w:color w:val="000000" w:themeColor="text1"/>
                <w:kern w:val="0"/>
                <w:sz w:val="24"/>
              </w:rPr>
              <w:t>项目区域环境空气功能为二类区，执行《环境空气质量标准》（GB3095-2012）二级标准。</w:t>
            </w:r>
            <w:r>
              <w:rPr>
                <w:rFonts w:hint="eastAsia"/>
                <w:bCs/>
                <w:color w:val="000000" w:themeColor="text1"/>
                <w:kern w:val="0"/>
                <w:sz w:val="24"/>
              </w:rPr>
              <w:t>根据南阳市自动监测站监测数据统计可知，项目所在区域环境空气为不达标区，项目营运期废气经采取环评提出的污染治理措施后，项目建设对区域大气环境质量不会产生明显不良影响。</w:t>
            </w:r>
          </w:p>
          <w:p>
            <w:pPr>
              <w:adjustRightInd w:val="0"/>
              <w:snapToGrid w:val="0"/>
              <w:spacing w:line="360" w:lineRule="auto"/>
              <w:ind w:firstLine="480" w:firstLineChars="200"/>
              <w:rPr>
                <w:bCs/>
                <w:color w:val="000000" w:themeColor="text1"/>
                <w:kern w:val="0"/>
                <w:sz w:val="24"/>
              </w:rPr>
            </w:pPr>
            <w:r>
              <w:rPr>
                <w:bCs/>
                <w:color w:val="000000"/>
                <w:kern w:val="0"/>
                <w:sz w:val="24"/>
              </w:rPr>
              <w:t>项目周围地表水体主要为</w:t>
            </w:r>
            <w:r>
              <w:rPr>
                <w:rFonts w:hint="eastAsia"/>
                <w:bCs/>
                <w:color w:val="000000"/>
                <w:kern w:val="0"/>
                <w:sz w:val="24"/>
              </w:rPr>
              <w:t>西侧630m的跃进渠，向东南汇入白河</w:t>
            </w:r>
            <w:r>
              <w:rPr>
                <w:bCs/>
                <w:color w:val="000000"/>
                <w:kern w:val="0"/>
                <w:sz w:val="24"/>
              </w:rPr>
              <w:t>，水质功能区划为《地表水环境质量标准》（GB3838-2002）</w:t>
            </w:r>
            <w:r>
              <w:rPr>
                <w:rFonts w:hint="eastAsia"/>
                <w:bCs/>
                <w:color w:val="000000"/>
                <w:kern w:val="0"/>
                <w:sz w:val="24"/>
              </w:rPr>
              <w:t>Ⅲ</w:t>
            </w:r>
            <w:r>
              <w:rPr>
                <w:bCs/>
                <w:color w:val="000000"/>
                <w:kern w:val="0"/>
                <w:sz w:val="24"/>
              </w:rPr>
              <w:t>类水体，目前</w:t>
            </w:r>
            <w:r>
              <w:rPr>
                <w:rFonts w:hint="eastAsia"/>
                <w:bCs/>
                <w:color w:val="000000"/>
                <w:kern w:val="0"/>
                <w:sz w:val="24"/>
              </w:rPr>
              <w:t>白河（盆窑断面）</w:t>
            </w:r>
            <w:r>
              <w:rPr>
                <w:bCs/>
                <w:color w:val="000000"/>
                <w:kern w:val="0"/>
                <w:sz w:val="24"/>
              </w:rPr>
              <w:t>评价河段水质</w:t>
            </w:r>
            <w:r>
              <w:rPr>
                <w:rFonts w:hint="eastAsia"/>
                <w:bCs/>
                <w:color w:val="000000"/>
                <w:kern w:val="0"/>
                <w:sz w:val="24"/>
              </w:rPr>
              <w:t>良好</w:t>
            </w:r>
            <w:r>
              <w:rPr>
                <w:bCs/>
                <w:color w:val="000000"/>
                <w:kern w:val="0"/>
                <w:sz w:val="24"/>
              </w:rPr>
              <w:t>，能够满足《地表水环境质量标准》（GB3838-2002）中</w:t>
            </w:r>
            <w:r>
              <w:rPr>
                <w:rFonts w:hint="eastAsia"/>
                <w:bCs/>
                <w:color w:val="000000"/>
                <w:kern w:val="0"/>
                <w:sz w:val="24"/>
              </w:rPr>
              <w:t>Ⅲ</w:t>
            </w:r>
            <w:r>
              <w:rPr>
                <w:bCs/>
                <w:color w:val="000000"/>
                <w:kern w:val="0"/>
                <w:sz w:val="24"/>
              </w:rPr>
              <w:t>类标准要求</w:t>
            </w:r>
            <w:r>
              <w:rPr>
                <w:rFonts w:hint="eastAsia"/>
                <w:bCs/>
                <w:color w:val="000000" w:themeColor="text1"/>
                <w:kern w:val="0"/>
                <w:sz w:val="24"/>
              </w:rPr>
              <w:t>。</w:t>
            </w:r>
            <w:r>
              <w:rPr>
                <w:bCs/>
                <w:color w:val="000000"/>
                <w:kern w:val="0"/>
                <w:sz w:val="24"/>
              </w:rPr>
              <w:t>项目营运期职工生活污水经配套化粪池</w:t>
            </w:r>
            <w:r>
              <w:rPr>
                <w:bCs/>
                <w:color w:val="000000"/>
                <w:sz w:val="24"/>
              </w:rPr>
              <w:t>处理</w:t>
            </w:r>
            <w:r>
              <w:rPr>
                <w:rFonts w:hint="eastAsia"/>
                <w:bCs/>
                <w:color w:val="000000"/>
                <w:sz w:val="24"/>
              </w:rPr>
              <w:t>后用于周围农田施肥</w:t>
            </w:r>
            <w:r>
              <w:rPr>
                <w:rFonts w:hint="eastAsia"/>
                <w:bCs/>
                <w:color w:val="000000" w:themeColor="text1"/>
                <w:kern w:val="0"/>
                <w:sz w:val="24"/>
              </w:rPr>
              <w:t>，项目废水不外排，</w:t>
            </w:r>
            <w:r>
              <w:rPr>
                <w:bCs/>
                <w:color w:val="000000" w:themeColor="text1"/>
                <w:kern w:val="0"/>
                <w:sz w:val="24"/>
              </w:rPr>
              <w:t>不会对区域地表水质量造成</w:t>
            </w:r>
            <w:r>
              <w:rPr>
                <w:rFonts w:hint="eastAsia"/>
                <w:bCs/>
                <w:color w:val="000000" w:themeColor="text1"/>
                <w:kern w:val="0"/>
                <w:sz w:val="24"/>
              </w:rPr>
              <w:t>不良</w:t>
            </w:r>
            <w:r>
              <w:rPr>
                <w:bCs/>
                <w:color w:val="000000" w:themeColor="text1"/>
                <w:kern w:val="0"/>
                <w:sz w:val="24"/>
              </w:rPr>
              <w:t>影响。</w:t>
            </w:r>
          </w:p>
          <w:p>
            <w:pPr>
              <w:adjustRightInd w:val="0"/>
              <w:snapToGrid w:val="0"/>
              <w:spacing w:line="360" w:lineRule="auto"/>
              <w:ind w:firstLine="480" w:firstLineChars="200"/>
              <w:textAlignment w:val="baseline"/>
              <w:rPr>
                <w:bCs/>
                <w:color w:val="000000" w:themeColor="text1"/>
                <w:kern w:val="0"/>
                <w:sz w:val="24"/>
              </w:rPr>
            </w:pPr>
            <w:r>
              <w:rPr>
                <w:bCs/>
                <w:color w:val="000000" w:themeColor="text1"/>
                <w:kern w:val="0"/>
                <w:sz w:val="24"/>
              </w:rPr>
              <w:t>项目</w:t>
            </w:r>
            <w:r>
              <w:rPr>
                <w:rFonts w:hint="eastAsia"/>
                <w:bCs/>
                <w:color w:val="000000" w:themeColor="text1"/>
                <w:kern w:val="0"/>
                <w:sz w:val="24"/>
              </w:rPr>
              <w:t>产噪</w:t>
            </w:r>
            <w:r>
              <w:rPr>
                <w:bCs/>
                <w:color w:val="000000" w:themeColor="text1"/>
                <w:kern w:val="0"/>
                <w:sz w:val="24"/>
              </w:rPr>
              <w:t>设备</w:t>
            </w:r>
            <w:r>
              <w:rPr>
                <w:rFonts w:hint="eastAsia"/>
                <w:bCs/>
                <w:color w:val="000000" w:themeColor="text1"/>
                <w:kern w:val="0"/>
                <w:sz w:val="24"/>
              </w:rPr>
              <w:t>采取基础减振、安装消声装置等降噪措施后，预计营运期噪声对四周厂界的</w:t>
            </w:r>
            <w:r>
              <w:rPr>
                <w:color w:val="000000" w:themeColor="text1"/>
                <w:sz w:val="24"/>
              </w:rPr>
              <w:t>噪声</w:t>
            </w:r>
            <w:r>
              <w:rPr>
                <w:rFonts w:hint="eastAsia"/>
                <w:color w:val="000000" w:themeColor="text1"/>
                <w:sz w:val="24"/>
              </w:rPr>
              <w:t>贡献</w:t>
            </w:r>
            <w:r>
              <w:rPr>
                <w:color w:val="000000" w:themeColor="text1"/>
                <w:sz w:val="24"/>
              </w:rPr>
              <w:t>值可达到《工业企业厂界环境噪声排放标准》（GB12348-2008）中</w:t>
            </w:r>
            <w:r>
              <w:rPr>
                <w:rFonts w:hint="eastAsia"/>
                <w:color w:val="000000" w:themeColor="text1"/>
                <w:sz w:val="24"/>
              </w:rPr>
              <w:t>2</w:t>
            </w:r>
            <w:r>
              <w:rPr>
                <w:color w:val="000000" w:themeColor="text1"/>
                <w:sz w:val="24"/>
              </w:rPr>
              <w:t>类标准要求</w:t>
            </w:r>
            <w:r>
              <w:rPr>
                <w:rFonts w:hint="eastAsia"/>
                <w:color w:val="000000" w:themeColor="text1"/>
                <w:sz w:val="24"/>
              </w:rPr>
              <w:t>；</w:t>
            </w:r>
            <w:r>
              <w:rPr>
                <w:bCs/>
                <w:color w:val="000000" w:themeColor="text1"/>
                <w:kern w:val="0"/>
                <w:sz w:val="24"/>
              </w:rPr>
              <w:t>项目建设不会改变所在区域的声环境功能，</w:t>
            </w:r>
            <w:r>
              <w:rPr>
                <w:rFonts w:hint="eastAsia"/>
                <w:bCs/>
                <w:color w:val="000000" w:themeColor="text1"/>
                <w:kern w:val="0"/>
                <w:sz w:val="24"/>
              </w:rPr>
              <w:t>因此，项目产生的噪声对周围环境的影响在可接受范围内</w:t>
            </w:r>
            <w:r>
              <w:rPr>
                <w:bCs/>
                <w:color w:val="000000" w:themeColor="text1"/>
                <w:kern w:val="0"/>
                <w:sz w:val="24"/>
              </w:rPr>
              <w:t>。</w:t>
            </w:r>
          </w:p>
          <w:p>
            <w:pPr>
              <w:adjustRightInd w:val="0"/>
              <w:snapToGrid w:val="0"/>
              <w:spacing w:line="360" w:lineRule="auto"/>
              <w:ind w:firstLine="480" w:firstLineChars="200"/>
              <w:rPr>
                <w:bCs/>
                <w:color w:val="000000" w:themeColor="text1"/>
                <w:kern w:val="0"/>
                <w:sz w:val="24"/>
              </w:rPr>
            </w:pPr>
            <w:r>
              <w:rPr>
                <w:bCs/>
                <w:color w:val="000000" w:themeColor="text1"/>
                <w:kern w:val="0"/>
                <w:sz w:val="24"/>
              </w:rPr>
              <w:t>综上分析，本项目建设符合环境质量底线要求。</w:t>
            </w:r>
          </w:p>
          <w:p>
            <w:pPr>
              <w:adjustRightInd w:val="0"/>
              <w:snapToGrid w:val="0"/>
              <w:spacing w:line="360" w:lineRule="auto"/>
              <w:ind w:firstLine="480" w:firstLineChars="200"/>
              <w:textAlignment w:val="baseline"/>
              <w:rPr>
                <w:bCs/>
                <w:color w:val="000000" w:themeColor="text1"/>
                <w:kern w:val="0"/>
                <w:sz w:val="24"/>
              </w:rPr>
            </w:pPr>
            <w:r>
              <w:rPr>
                <w:bCs/>
                <w:color w:val="000000" w:themeColor="text1"/>
                <w:kern w:val="0"/>
                <w:sz w:val="24"/>
              </w:rPr>
              <w:t>（3）资源利用上线</w:t>
            </w:r>
          </w:p>
          <w:p>
            <w:pPr>
              <w:adjustRightInd w:val="0"/>
              <w:snapToGrid w:val="0"/>
              <w:spacing w:line="360" w:lineRule="auto"/>
              <w:ind w:firstLine="480" w:firstLineChars="200"/>
              <w:textAlignment w:val="baseline"/>
              <w:rPr>
                <w:bCs/>
                <w:color w:val="000000" w:themeColor="text1"/>
                <w:kern w:val="0"/>
                <w:sz w:val="24"/>
              </w:rPr>
            </w:pPr>
            <w:r>
              <w:rPr>
                <w:bCs/>
                <w:color w:val="000000" w:themeColor="text1"/>
                <w:kern w:val="0"/>
                <w:sz w:val="24"/>
              </w:rPr>
              <w:t>资源是环境的载体</w:t>
            </w:r>
            <w:r>
              <w:rPr>
                <w:rFonts w:hint="eastAsia"/>
                <w:bCs/>
                <w:color w:val="000000" w:themeColor="text1"/>
                <w:kern w:val="0"/>
                <w:sz w:val="24"/>
              </w:rPr>
              <w:t>，</w:t>
            </w:r>
            <w:r>
              <w:rPr>
                <w:bCs/>
                <w:color w:val="000000" w:themeColor="text1"/>
                <w:kern w:val="0"/>
                <w:sz w:val="24"/>
              </w:rPr>
              <w:t>“资源利用上线”地区能源、水、土地等资源消耗不得突破的“天花板”。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p>
            <w:pPr>
              <w:adjustRightInd w:val="0"/>
              <w:snapToGrid w:val="0"/>
              <w:spacing w:line="360" w:lineRule="auto"/>
              <w:ind w:firstLine="480" w:firstLineChars="200"/>
              <w:textAlignment w:val="baseline"/>
              <w:rPr>
                <w:bCs/>
                <w:color w:val="000000" w:themeColor="text1"/>
                <w:kern w:val="0"/>
                <w:sz w:val="24"/>
              </w:rPr>
            </w:pPr>
            <w:r>
              <w:rPr>
                <w:bCs/>
                <w:color w:val="000000" w:themeColor="text1"/>
                <w:kern w:val="0"/>
                <w:sz w:val="24"/>
              </w:rPr>
              <w:t>项目用水由</w:t>
            </w:r>
            <w:r>
              <w:rPr>
                <w:rFonts w:hint="eastAsia"/>
                <w:bCs/>
                <w:color w:val="000000" w:themeColor="text1"/>
                <w:kern w:val="0"/>
                <w:sz w:val="24"/>
              </w:rPr>
              <w:t>自备井</w:t>
            </w:r>
            <w:r>
              <w:rPr>
                <w:bCs/>
                <w:color w:val="000000" w:themeColor="text1"/>
                <w:kern w:val="0"/>
                <w:sz w:val="24"/>
              </w:rPr>
              <w:t>供给，</w:t>
            </w:r>
            <w:r>
              <w:rPr>
                <w:rFonts w:hint="eastAsia"/>
                <w:bCs/>
                <w:color w:val="000000" w:themeColor="text1"/>
                <w:kern w:val="0"/>
                <w:sz w:val="24"/>
              </w:rPr>
              <w:t>可以</w:t>
            </w:r>
            <w:r>
              <w:rPr>
                <w:bCs/>
                <w:color w:val="000000" w:themeColor="text1"/>
                <w:kern w:val="0"/>
                <w:sz w:val="24"/>
              </w:rPr>
              <w:t>满足项目用水需求；能源主要依托当地电网供电</w:t>
            </w:r>
            <w:r>
              <w:rPr>
                <w:rFonts w:hint="eastAsia"/>
                <w:bCs/>
                <w:color w:val="000000" w:themeColor="text1"/>
                <w:kern w:val="0"/>
                <w:sz w:val="24"/>
                <w:szCs w:val="24"/>
              </w:rPr>
              <w:t>，</w:t>
            </w:r>
            <w:r>
              <w:rPr>
                <w:bCs/>
                <w:color w:val="000000" w:themeColor="text1"/>
                <w:kern w:val="0"/>
                <w:sz w:val="24"/>
                <w:szCs w:val="24"/>
              </w:rPr>
              <w:t>不属于高水耗</w:t>
            </w:r>
            <w:r>
              <w:rPr>
                <w:rFonts w:hint="eastAsia"/>
                <w:bCs/>
                <w:color w:val="000000" w:themeColor="text1"/>
                <w:kern w:val="0"/>
                <w:sz w:val="24"/>
                <w:szCs w:val="24"/>
              </w:rPr>
              <w:t>、</w:t>
            </w:r>
            <w:r>
              <w:rPr>
                <w:color w:val="000000" w:themeColor="text1"/>
                <w:sz w:val="24"/>
                <w:szCs w:val="24"/>
              </w:rPr>
              <w:t>高</w:t>
            </w:r>
            <w:r>
              <w:rPr>
                <w:bCs/>
                <w:color w:val="000000" w:themeColor="text1"/>
                <w:kern w:val="0"/>
                <w:sz w:val="24"/>
              </w:rPr>
              <w:t>能耗产业；项目</w:t>
            </w:r>
            <w:r>
              <w:rPr>
                <w:rFonts w:hint="eastAsia"/>
                <w:bCs/>
                <w:color w:val="000000" w:themeColor="text1"/>
                <w:kern w:val="0"/>
                <w:sz w:val="24"/>
              </w:rPr>
              <w:t>不</w:t>
            </w:r>
            <w:r>
              <w:rPr>
                <w:bCs/>
                <w:color w:val="000000" w:themeColor="text1"/>
                <w:kern w:val="0"/>
                <w:sz w:val="24"/>
              </w:rPr>
              <w:t>占用基本农田，土地资源消耗符合要求。因此，项目建设符合资源利用</w:t>
            </w:r>
            <w:r>
              <w:rPr>
                <w:rFonts w:hint="eastAsia"/>
                <w:bCs/>
                <w:color w:val="000000" w:themeColor="text1"/>
                <w:kern w:val="0"/>
                <w:sz w:val="24"/>
              </w:rPr>
              <w:t>上线</w:t>
            </w:r>
            <w:r>
              <w:rPr>
                <w:bCs/>
                <w:color w:val="000000" w:themeColor="text1"/>
                <w:kern w:val="0"/>
                <w:sz w:val="24"/>
              </w:rPr>
              <w:t>要求。</w:t>
            </w:r>
          </w:p>
          <w:p>
            <w:pPr>
              <w:adjustRightInd w:val="0"/>
              <w:snapToGrid w:val="0"/>
              <w:spacing w:line="360" w:lineRule="auto"/>
              <w:ind w:firstLine="480" w:firstLineChars="200"/>
              <w:textAlignment w:val="baseline"/>
              <w:rPr>
                <w:bCs/>
                <w:color w:val="000000" w:themeColor="text1"/>
                <w:kern w:val="0"/>
                <w:sz w:val="24"/>
              </w:rPr>
            </w:pPr>
            <w:r>
              <w:rPr>
                <w:bCs/>
                <w:color w:val="000000" w:themeColor="text1"/>
                <w:kern w:val="0"/>
                <w:sz w:val="24"/>
              </w:rPr>
              <w:t>（4）环境准入负面清单</w:t>
            </w:r>
          </w:p>
          <w:p>
            <w:pPr>
              <w:tabs>
                <w:tab w:val="left" w:pos="1081"/>
              </w:tabs>
              <w:adjustRightInd w:val="0"/>
              <w:snapToGrid w:val="0"/>
              <w:spacing w:line="360" w:lineRule="auto"/>
              <w:ind w:firstLine="480" w:firstLineChars="200"/>
              <w:rPr>
                <w:color w:val="000000" w:themeColor="text1"/>
                <w:sz w:val="24"/>
                <w:szCs w:val="24"/>
              </w:rPr>
            </w:pPr>
            <w:r>
              <w:rPr>
                <w:rFonts w:hint="eastAsia"/>
                <w:color w:val="000000" w:themeColor="text1"/>
                <w:sz w:val="24"/>
                <w:szCs w:val="24"/>
              </w:rPr>
              <w:t>环境准入负面清单指基于环境管控单元，统筹考虑生态保护红线、环境质量底线、资源利用上线的管控要求，提出的空间布局、污染物排放、环境风险、资源开发利用等方面禁止和限制的环境准入要求。</w:t>
            </w:r>
          </w:p>
          <w:p>
            <w:pPr>
              <w:tabs>
                <w:tab w:val="left" w:pos="1081"/>
              </w:tabs>
              <w:adjustRightInd w:val="0"/>
              <w:snapToGrid w:val="0"/>
              <w:spacing w:line="360" w:lineRule="auto"/>
              <w:ind w:firstLine="480" w:firstLineChars="200"/>
              <w:rPr>
                <w:color w:val="000000" w:themeColor="text1"/>
                <w:sz w:val="24"/>
                <w:szCs w:val="24"/>
              </w:rPr>
            </w:pPr>
            <w:r>
              <w:rPr>
                <w:rFonts w:hint="eastAsia"/>
                <w:bCs/>
                <w:color w:val="000000" w:themeColor="text1"/>
                <w:kern w:val="0"/>
                <w:sz w:val="24"/>
              </w:rPr>
              <w:t>2024年2月1日河南省生态环境厅发布了《关于公布河南省“三线一单”生态环境分区管控更新成果（2023年版）的通知》，本项目选址位于南阳市卧龙区，经比对河南省三线一单综合信息应用平台，本次项目选址涉及卧龙区大气重点单元（编码ZH41130320003），项目选址与南阳市环境管控分区分布的相对位置关系详见附图；项目建设与河南省“三线一单”生态环境分区管控更新成果（2023年版）的相符性分析详见下表</w:t>
            </w:r>
            <w:r>
              <w:rPr>
                <w:rFonts w:hint="eastAsia"/>
                <w:color w:val="000000" w:themeColor="text1"/>
                <w:sz w:val="24"/>
                <w:szCs w:val="24"/>
              </w:rPr>
              <w:t>。</w:t>
            </w:r>
          </w:p>
        </w:tc>
      </w:tr>
    </w:tbl>
    <w:p>
      <w:pPr>
        <w:pStyle w:val="2"/>
        <w:ind w:firstLine="0"/>
      </w:pPr>
    </w:p>
    <w:p>
      <w:pPr>
        <w:pStyle w:val="2"/>
        <w:ind w:left="0" w:leftChars="0" w:firstLine="0"/>
        <w:sectPr>
          <w:footerReference r:id="rId4" w:type="default"/>
          <w:pgSz w:w="11906" w:h="16838"/>
          <w:pgMar w:top="1440" w:right="1531" w:bottom="1440" w:left="1531" w:header="851" w:footer="992" w:gutter="0"/>
          <w:pgNumType w:start="1"/>
          <w:cols w:space="425" w:num="1"/>
          <w:docGrid w:type="lines" w:linePitch="312" w:charSpace="0"/>
        </w:sectPr>
      </w:pPr>
    </w:p>
    <w:p>
      <w:pPr>
        <w:numPr>
          <w:ilvl w:val="0"/>
          <w:numId w:val="2"/>
        </w:numPr>
        <w:autoSpaceDE w:val="0"/>
        <w:autoSpaceDN w:val="0"/>
        <w:adjustRightInd w:val="0"/>
        <w:snapToGrid w:val="0"/>
        <w:jc w:val="center"/>
        <w:rPr>
          <w:b/>
          <w:color w:val="000000" w:themeColor="text1"/>
          <w:sz w:val="24"/>
          <w:szCs w:val="24"/>
        </w:rPr>
      </w:pPr>
      <w:r>
        <w:rPr>
          <w:b/>
          <w:color w:val="000000"/>
          <w:sz w:val="24"/>
        </w:rPr>
        <w:t>项目建设与</w:t>
      </w:r>
      <w:r>
        <w:rPr>
          <w:rFonts w:hint="eastAsia"/>
          <w:b/>
          <w:color w:val="000000"/>
          <w:sz w:val="24"/>
        </w:rPr>
        <w:t>河南省“三线一单”生态环境分区管控更新成果（2023年版）</w:t>
      </w:r>
      <w:r>
        <w:rPr>
          <w:b/>
          <w:color w:val="000000"/>
          <w:sz w:val="24"/>
        </w:rPr>
        <w:t>相符性分析一览表</w:t>
      </w:r>
    </w:p>
    <w:tbl>
      <w:tblPr>
        <w:tblStyle w:val="26"/>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7"/>
        <w:gridCol w:w="834"/>
        <w:gridCol w:w="834"/>
        <w:gridCol w:w="641"/>
        <w:gridCol w:w="6205"/>
        <w:gridCol w:w="3702"/>
        <w:gridCol w:w="8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27" w:type="dxa"/>
            <w:vAlign w:val="center"/>
          </w:tcPr>
          <w:p>
            <w:pPr>
              <w:adjustRightInd w:val="0"/>
              <w:snapToGrid w:val="0"/>
              <w:jc w:val="center"/>
              <w:textAlignment w:val="baseline"/>
              <w:rPr>
                <w:bCs/>
                <w:color w:val="000000"/>
                <w:kern w:val="0"/>
              </w:rPr>
            </w:pPr>
            <w:r>
              <w:rPr>
                <w:rFonts w:hint="eastAsia"/>
                <w:bCs/>
                <w:color w:val="000000"/>
                <w:kern w:val="0"/>
              </w:rPr>
              <w:t>分区编码</w:t>
            </w:r>
          </w:p>
        </w:tc>
        <w:tc>
          <w:tcPr>
            <w:tcW w:w="834" w:type="dxa"/>
            <w:vAlign w:val="center"/>
          </w:tcPr>
          <w:p>
            <w:pPr>
              <w:adjustRightInd w:val="0"/>
              <w:snapToGrid w:val="0"/>
              <w:jc w:val="center"/>
              <w:textAlignment w:val="baseline"/>
              <w:rPr>
                <w:bCs/>
                <w:color w:val="000000"/>
                <w:kern w:val="0"/>
              </w:rPr>
            </w:pPr>
            <w:r>
              <w:rPr>
                <w:rFonts w:hint="eastAsia"/>
                <w:bCs/>
                <w:color w:val="000000"/>
                <w:kern w:val="0"/>
              </w:rPr>
              <w:t>单元名称</w:t>
            </w:r>
          </w:p>
        </w:tc>
        <w:tc>
          <w:tcPr>
            <w:tcW w:w="834" w:type="dxa"/>
            <w:vAlign w:val="center"/>
          </w:tcPr>
          <w:p>
            <w:pPr>
              <w:adjustRightInd w:val="0"/>
              <w:snapToGrid w:val="0"/>
              <w:jc w:val="center"/>
              <w:textAlignment w:val="baseline"/>
              <w:rPr>
                <w:bCs/>
                <w:color w:val="000000"/>
                <w:kern w:val="0"/>
              </w:rPr>
            </w:pPr>
            <w:r>
              <w:rPr>
                <w:rFonts w:hint="eastAsia"/>
                <w:bCs/>
                <w:color w:val="000000"/>
                <w:kern w:val="0"/>
              </w:rPr>
              <w:t>单元分类</w:t>
            </w:r>
          </w:p>
        </w:tc>
        <w:tc>
          <w:tcPr>
            <w:tcW w:w="6846" w:type="dxa"/>
            <w:gridSpan w:val="2"/>
            <w:vAlign w:val="center"/>
          </w:tcPr>
          <w:p>
            <w:pPr>
              <w:adjustRightInd w:val="0"/>
              <w:snapToGrid w:val="0"/>
              <w:jc w:val="center"/>
              <w:textAlignment w:val="baseline"/>
              <w:rPr>
                <w:bCs/>
                <w:color w:val="000000"/>
                <w:kern w:val="0"/>
              </w:rPr>
            </w:pPr>
            <w:r>
              <w:rPr>
                <w:rFonts w:hint="eastAsia"/>
                <w:bCs/>
                <w:color w:val="000000"/>
                <w:kern w:val="0"/>
              </w:rPr>
              <w:t>管控要求</w:t>
            </w:r>
          </w:p>
        </w:tc>
        <w:tc>
          <w:tcPr>
            <w:tcW w:w="3702" w:type="dxa"/>
            <w:vAlign w:val="center"/>
          </w:tcPr>
          <w:p>
            <w:pPr>
              <w:adjustRightInd w:val="0"/>
              <w:snapToGrid w:val="0"/>
              <w:jc w:val="center"/>
              <w:textAlignment w:val="baseline"/>
              <w:rPr>
                <w:bCs/>
                <w:color w:val="000000"/>
                <w:kern w:val="0"/>
              </w:rPr>
            </w:pPr>
            <w:r>
              <w:rPr>
                <w:rFonts w:hint="eastAsia"/>
                <w:bCs/>
                <w:color w:val="000000"/>
                <w:kern w:val="0"/>
              </w:rPr>
              <w:t>项目建设情况</w:t>
            </w:r>
          </w:p>
        </w:tc>
        <w:tc>
          <w:tcPr>
            <w:tcW w:w="831" w:type="dxa"/>
            <w:vAlign w:val="center"/>
          </w:tcPr>
          <w:p>
            <w:pPr>
              <w:adjustRightInd w:val="0"/>
              <w:snapToGrid w:val="0"/>
              <w:jc w:val="center"/>
              <w:textAlignment w:val="baseline"/>
              <w:rPr>
                <w:bCs/>
                <w:color w:val="000000"/>
                <w:kern w:val="0"/>
              </w:rPr>
            </w:pPr>
            <w:r>
              <w:rPr>
                <w:rFonts w:hint="eastAsia"/>
                <w:bCs/>
                <w:color w:val="000000"/>
                <w:kern w:val="0"/>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27" w:type="dxa"/>
            <w:vMerge w:val="restart"/>
            <w:vAlign w:val="center"/>
          </w:tcPr>
          <w:p>
            <w:pPr>
              <w:adjustRightInd w:val="0"/>
              <w:snapToGrid w:val="0"/>
              <w:jc w:val="center"/>
              <w:textAlignment w:val="baseline"/>
              <w:rPr>
                <w:bCs/>
                <w:color w:val="000000"/>
                <w:kern w:val="0"/>
              </w:rPr>
            </w:pPr>
            <w:r>
              <w:rPr>
                <w:bCs/>
                <w:color w:val="000000"/>
                <w:kern w:val="0"/>
              </w:rPr>
              <w:t>ZH41130</w:t>
            </w:r>
            <w:r>
              <w:rPr>
                <w:rFonts w:hint="eastAsia"/>
                <w:bCs/>
                <w:color w:val="000000"/>
                <w:kern w:val="0"/>
              </w:rPr>
              <w:t>3</w:t>
            </w:r>
          </w:p>
          <w:p>
            <w:pPr>
              <w:adjustRightInd w:val="0"/>
              <w:snapToGrid w:val="0"/>
              <w:jc w:val="center"/>
              <w:textAlignment w:val="baseline"/>
              <w:rPr>
                <w:bCs/>
                <w:color w:val="000000"/>
                <w:kern w:val="0"/>
              </w:rPr>
            </w:pPr>
            <w:r>
              <w:rPr>
                <w:bCs/>
                <w:color w:val="000000"/>
                <w:kern w:val="0"/>
              </w:rPr>
              <w:t>2000</w:t>
            </w:r>
            <w:r>
              <w:rPr>
                <w:rFonts w:hint="eastAsia"/>
                <w:bCs/>
                <w:color w:val="000000"/>
                <w:kern w:val="0"/>
              </w:rPr>
              <w:t>3</w:t>
            </w:r>
          </w:p>
        </w:tc>
        <w:tc>
          <w:tcPr>
            <w:tcW w:w="834" w:type="dxa"/>
            <w:vMerge w:val="restart"/>
            <w:vAlign w:val="center"/>
          </w:tcPr>
          <w:p>
            <w:pPr>
              <w:adjustRightInd w:val="0"/>
              <w:snapToGrid w:val="0"/>
              <w:jc w:val="center"/>
              <w:textAlignment w:val="baseline"/>
              <w:rPr>
                <w:bCs/>
                <w:color w:val="000000"/>
                <w:kern w:val="0"/>
              </w:rPr>
            </w:pPr>
            <w:r>
              <w:rPr>
                <w:rFonts w:hint="eastAsia"/>
                <w:bCs/>
                <w:color w:val="000000"/>
                <w:kern w:val="0"/>
              </w:rPr>
              <w:t>卧龙区大气重点单元</w:t>
            </w:r>
          </w:p>
        </w:tc>
        <w:tc>
          <w:tcPr>
            <w:tcW w:w="834" w:type="dxa"/>
            <w:vMerge w:val="restart"/>
            <w:vAlign w:val="center"/>
          </w:tcPr>
          <w:p>
            <w:pPr>
              <w:adjustRightInd w:val="0"/>
              <w:snapToGrid w:val="0"/>
              <w:jc w:val="center"/>
              <w:textAlignment w:val="baseline"/>
              <w:rPr>
                <w:bCs/>
                <w:color w:val="000000"/>
                <w:kern w:val="0"/>
              </w:rPr>
            </w:pPr>
            <w:r>
              <w:rPr>
                <w:rFonts w:hint="eastAsia"/>
                <w:bCs/>
                <w:color w:val="000000"/>
                <w:kern w:val="0"/>
              </w:rPr>
              <w:t>重点管控单元</w:t>
            </w:r>
          </w:p>
        </w:tc>
        <w:tc>
          <w:tcPr>
            <w:tcW w:w="641" w:type="dxa"/>
            <w:vAlign w:val="center"/>
          </w:tcPr>
          <w:p>
            <w:pPr>
              <w:adjustRightInd w:val="0"/>
              <w:snapToGrid w:val="0"/>
              <w:jc w:val="center"/>
              <w:textAlignment w:val="baseline"/>
              <w:rPr>
                <w:bCs/>
                <w:color w:val="000000"/>
                <w:kern w:val="0"/>
              </w:rPr>
            </w:pPr>
            <w:r>
              <w:rPr>
                <w:rFonts w:hint="eastAsia"/>
                <w:bCs/>
                <w:color w:val="000000"/>
                <w:kern w:val="0"/>
              </w:rPr>
              <w:t>空间布局约束</w:t>
            </w:r>
          </w:p>
        </w:tc>
        <w:tc>
          <w:tcPr>
            <w:tcW w:w="6205" w:type="dxa"/>
            <w:vAlign w:val="center"/>
          </w:tcPr>
          <w:p>
            <w:pPr>
              <w:adjustRightInd w:val="0"/>
              <w:snapToGrid w:val="0"/>
              <w:textAlignment w:val="baseline"/>
              <w:rPr>
                <w:bCs/>
                <w:color w:val="000000"/>
                <w:kern w:val="0"/>
              </w:rPr>
            </w:pPr>
            <w:r>
              <w:rPr>
                <w:rFonts w:hint="eastAsia"/>
                <w:bCs/>
                <w:color w:val="000000"/>
                <w:kern w:val="0"/>
              </w:rPr>
              <w:t>1、在禁养区内禁止建设畜禽养殖场、养殖小区。 2、原则上不再新增非电行业耗煤项目，确因产业发展和民生需要新上耗煤项目的，要全面落实煤炭消费减量替代。</w:t>
            </w:r>
          </w:p>
        </w:tc>
        <w:tc>
          <w:tcPr>
            <w:tcW w:w="3702" w:type="dxa"/>
            <w:vAlign w:val="center"/>
          </w:tcPr>
          <w:p>
            <w:pPr>
              <w:adjustRightInd w:val="0"/>
              <w:snapToGrid w:val="0"/>
              <w:jc w:val="left"/>
              <w:textAlignment w:val="baseline"/>
              <w:rPr>
                <w:bCs/>
                <w:color w:val="000000"/>
                <w:kern w:val="0"/>
              </w:rPr>
            </w:pPr>
            <w:r>
              <w:rPr>
                <w:rFonts w:hint="eastAsia"/>
                <w:bCs/>
                <w:color w:val="000000"/>
                <w:kern w:val="0"/>
              </w:rPr>
              <w:t>1、项目为艾制品制造业，属于卫生材料及医药用品制造业，不属于畜禽养殖；</w:t>
            </w:r>
          </w:p>
          <w:p>
            <w:pPr>
              <w:adjustRightInd w:val="0"/>
              <w:snapToGrid w:val="0"/>
              <w:jc w:val="left"/>
              <w:textAlignment w:val="baseline"/>
              <w:rPr>
                <w:bCs/>
                <w:color w:val="000000"/>
                <w:kern w:val="0"/>
              </w:rPr>
            </w:pPr>
            <w:r>
              <w:rPr>
                <w:rFonts w:hint="eastAsia"/>
                <w:bCs/>
                <w:color w:val="000000"/>
                <w:kern w:val="0"/>
              </w:rPr>
              <w:t>2、项目能源为电，不使用煤炭。</w:t>
            </w:r>
          </w:p>
        </w:tc>
        <w:tc>
          <w:tcPr>
            <w:tcW w:w="831" w:type="dxa"/>
            <w:vAlign w:val="center"/>
          </w:tcPr>
          <w:p>
            <w:pPr>
              <w:adjustRightInd w:val="0"/>
              <w:snapToGrid w:val="0"/>
              <w:jc w:val="left"/>
              <w:textAlignment w:val="baseline"/>
              <w:rPr>
                <w:bCs/>
                <w:color w:val="000000"/>
                <w:kern w:val="0"/>
              </w:rPr>
            </w:pPr>
            <w:r>
              <w:rPr>
                <w:rFonts w:hint="eastAsia"/>
                <w:bCs/>
                <w:color w:val="000000"/>
                <w:kern w:val="0"/>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27" w:type="dxa"/>
            <w:vMerge w:val="continue"/>
            <w:vAlign w:val="center"/>
          </w:tcPr>
          <w:p>
            <w:pPr>
              <w:adjustRightInd w:val="0"/>
              <w:snapToGrid w:val="0"/>
              <w:jc w:val="center"/>
              <w:textAlignment w:val="baseline"/>
              <w:rPr>
                <w:bCs/>
                <w:color w:val="000000"/>
                <w:kern w:val="0"/>
              </w:rPr>
            </w:pPr>
          </w:p>
        </w:tc>
        <w:tc>
          <w:tcPr>
            <w:tcW w:w="834" w:type="dxa"/>
            <w:vMerge w:val="continue"/>
            <w:vAlign w:val="center"/>
          </w:tcPr>
          <w:p>
            <w:pPr>
              <w:adjustRightInd w:val="0"/>
              <w:snapToGrid w:val="0"/>
              <w:jc w:val="center"/>
              <w:textAlignment w:val="baseline"/>
              <w:rPr>
                <w:bCs/>
                <w:color w:val="000000"/>
                <w:kern w:val="0"/>
              </w:rPr>
            </w:pPr>
          </w:p>
        </w:tc>
        <w:tc>
          <w:tcPr>
            <w:tcW w:w="834" w:type="dxa"/>
            <w:vMerge w:val="continue"/>
            <w:vAlign w:val="center"/>
          </w:tcPr>
          <w:p>
            <w:pPr>
              <w:adjustRightInd w:val="0"/>
              <w:snapToGrid w:val="0"/>
              <w:jc w:val="center"/>
              <w:textAlignment w:val="baseline"/>
              <w:rPr>
                <w:bCs/>
                <w:color w:val="000000"/>
                <w:kern w:val="0"/>
              </w:rPr>
            </w:pPr>
          </w:p>
        </w:tc>
        <w:tc>
          <w:tcPr>
            <w:tcW w:w="641" w:type="dxa"/>
            <w:vAlign w:val="center"/>
          </w:tcPr>
          <w:p>
            <w:pPr>
              <w:adjustRightInd w:val="0"/>
              <w:snapToGrid w:val="0"/>
              <w:jc w:val="center"/>
              <w:textAlignment w:val="baseline"/>
              <w:rPr>
                <w:bCs/>
                <w:color w:val="000000"/>
                <w:kern w:val="0"/>
              </w:rPr>
            </w:pPr>
            <w:r>
              <w:rPr>
                <w:rFonts w:hint="eastAsia"/>
                <w:bCs/>
                <w:color w:val="000000"/>
                <w:kern w:val="0"/>
              </w:rPr>
              <w:t>污染物排放管控</w:t>
            </w:r>
          </w:p>
        </w:tc>
        <w:tc>
          <w:tcPr>
            <w:tcW w:w="6205" w:type="dxa"/>
            <w:vAlign w:val="center"/>
          </w:tcPr>
          <w:p>
            <w:pPr>
              <w:adjustRightInd w:val="0"/>
              <w:snapToGrid w:val="0"/>
              <w:textAlignment w:val="baseline"/>
              <w:rPr>
                <w:bCs/>
                <w:color w:val="000000"/>
                <w:kern w:val="0"/>
              </w:rPr>
            </w:pPr>
            <w:r>
              <w:rPr>
                <w:rFonts w:hint="eastAsia"/>
                <w:bCs/>
                <w:color w:val="000000"/>
                <w:kern w:val="0"/>
              </w:rPr>
              <w:t>优化调整货物运输结构，淘汰国三及以下排放标准柴油货车，持续开展车辆更新工作。</w:t>
            </w:r>
          </w:p>
        </w:tc>
        <w:tc>
          <w:tcPr>
            <w:tcW w:w="3702" w:type="dxa"/>
            <w:vAlign w:val="center"/>
          </w:tcPr>
          <w:p>
            <w:pPr>
              <w:pStyle w:val="2"/>
              <w:ind w:left="0" w:leftChars="0" w:firstLine="0"/>
            </w:pPr>
            <w:r>
              <w:rPr>
                <w:rFonts w:hint="eastAsia"/>
              </w:rPr>
              <w:t>本项目营运期按要求配置运输车辆。</w:t>
            </w:r>
          </w:p>
        </w:tc>
        <w:tc>
          <w:tcPr>
            <w:tcW w:w="831" w:type="dxa"/>
            <w:vAlign w:val="center"/>
          </w:tcPr>
          <w:p>
            <w:pPr>
              <w:adjustRightInd w:val="0"/>
              <w:snapToGrid w:val="0"/>
              <w:jc w:val="left"/>
              <w:textAlignment w:val="baseline"/>
              <w:rPr>
                <w:bCs/>
                <w:color w:val="000000"/>
                <w:kern w:val="0"/>
              </w:rPr>
            </w:pPr>
            <w:r>
              <w:rPr>
                <w:rFonts w:hint="eastAsia"/>
                <w:bCs/>
                <w:color w:val="000000"/>
                <w:kern w:val="0"/>
              </w:rPr>
              <w:t>相符</w:t>
            </w:r>
          </w:p>
        </w:tc>
      </w:tr>
    </w:tbl>
    <w:p>
      <w:pPr>
        <w:pStyle w:val="2"/>
        <w:sectPr>
          <w:pgSz w:w="16838" w:h="11906" w:orient="landscape"/>
          <w:pgMar w:top="1531" w:right="1440" w:bottom="1531" w:left="1440" w:header="851" w:footer="992" w:gutter="0"/>
          <w:cols w:space="425" w:num="1"/>
          <w:docGrid w:type="lines" w:linePitch="312" w:charSpace="0"/>
        </w:sectPr>
      </w:pPr>
    </w:p>
    <w:p>
      <w:pPr>
        <w:numPr>
          <w:ilvl w:val="0"/>
          <w:numId w:val="1"/>
        </w:numPr>
        <w:jc w:val="center"/>
        <w:outlineLvl w:val="0"/>
        <w:rPr>
          <w:rFonts w:eastAsia="黑体"/>
          <w:snapToGrid w:val="0"/>
          <w:kern w:val="21"/>
          <w:sz w:val="30"/>
          <w:szCs w:val="30"/>
        </w:rPr>
      </w:pPr>
      <w:bookmarkStart w:id="2" w:name="_Toc172623722"/>
      <w:r>
        <w:rPr>
          <w:rFonts w:eastAsia="黑体"/>
          <w:snapToGrid w:val="0"/>
          <w:kern w:val="21"/>
          <w:sz w:val="30"/>
          <w:szCs w:val="30"/>
        </w:rPr>
        <w:t>建设项目工程分析</w:t>
      </w:r>
      <w:bookmarkEnd w:id="2"/>
    </w:p>
    <w:tbl>
      <w:tblPr>
        <w:tblStyle w:val="26"/>
        <w:tblW w:w="9686"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56"/>
        <w:gridCol w:w="92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743" w:hRule="atLeast"/>
          <w:jc w:val="center"/>
        </w:trPr>
        <w:tc>
          <w:tcPr>
            <w:tcW w:w="456" w:type="dxa"/>
            <w:tcBorders>
              <w:tl2br w:val="nil"/>
              <w:tr2bl w:val="nil"/>
            </w:tcBorders>
            <w:vAlign w:val="center"/>
          </w:tcPr>
          <w:p>
            <w:pPr>
              <w:pStyle w:val="24"/>
              <w:adjustRightInd w:val="0"/>
              <w:snapToGrid w:val="0"/>
              <w:spacing w:before="0" w:beforeAutospacing="0" w:after="0" w:afterAutospacing="0" w:line="360" w:lineRule="auto"/>
              <w:jc w:val="center"/>
              <w:rPr>
                <w:rFonts w:ascii="Times New Roman" w:hAnsi="Times New Roman"/>
                <w:kern w:val="21"/>
                <w:szCs w:val="24"/>
              </w:rPr>
            </w:pPr>
            <w:r>
              <w:rPr>
                <w:rFonts w:ascii="Times New Roman" w:hAnsi="Times New Roman"/>
                <w:kern w:val="21"/>
                <w:szCs w:val="24"/>
              </w:rPr>
              <w:t>建设</w:t>
            </w:r>
          </w:p>
          <w:p>
            <w:pPr>
              <w:pStyle w:val="24"/>
              <w:adjustRightInd w:val="0"/>
              <w:snapToGrid w:val="0"/>
              <w:spacing w:before="0" w:beforeAutospacing="0" w:after="0" w:afterAutospacing="0" w:line="360" w:lineRule="auto"/>
              <w:jc w:val="center"/>
              <w:rPr>
                <w:rFonts w:ascii="Times New Roman" w:hAnsi="Times New Roman"/>
                <w:kern w:val="21"/>
                <w:szCs w:val="24"/>
              </w:rPr>
            </w:pPr>
            <w:r>
              <w:rPr>
                <w:rFonts w:ascii="Times New Roman" w:hAnsi="Times New Roman"/>
                <w:kern w:val="21"/>
                <w:szCs w:val="24"/>
              </w:rPr>
              <w:t>内容</w:t>
            </w:r>
          </w:p>
        </w:tc>
        <w:tc>
          <w:tcPr>
            <w:tcW w:w="9230" w:type="dxa"/>
            <w:tcBorders>
              <w:tl2br w:val="nil"/>
              <w:tr2bl w:val="nil"/>
            </w:tcBorders>
            <w:vAlign w:val="center"/>
          </w:tcPr>
          <w:p>
            <w:pPr>
              <w:tabs>
                <w:tab w:val="left" w:pos="1081"/>
              </w:tabs>
              <w:adjustRightInd w:val="0"/>
              <w:snapToGrid w:val="0"/>
              <w:spacing w:line="360" w:lineRule="auto"/>
              <w:ind w:firstLine="482" w:firstLineChars="200"/>
              <w:rPr>
                <w:rFonts w:eastAsiaTheme="minorEastAsia"/>
                <w:b/>
                <w:sz w:val="24"/>
                <w:szCs w:val="24"/>
              </w:rPr>
            </w:pPr>
            <w:r>
              <w:rPr>
                <w:rFonts w:eastAsiaTheme="minorEastAsia"/>
                <w:b/>
                <w:sz w:val="24"/>
                <w:szCs w:val="24"/>
              </w:rPr>
              <w:t>1、项目由来</w:t>
            </w:r>
          </w:p>
          <w:p>
            <w:pPr>
              <w:tabs>
                <w:tab w:val="left" w:pos="1081"/>
              </w:tabs>
              <w:adjustRightInd w:val="0"/>
              <w:snapToGrid w:val="0"/>
              <w:spacing w:line="360" w:lineRule="auto"/>
              <w:ind w:firstLine="480" w:firstLineChars="200"/>
              <w:rPr>
                <w:sz w:val="24"/>
              </w:rPr>
            </w:pPr>
            <w:r>
              <w:rPr>
                <w:rFonts w:hint="eastAsia"/>
                <w:sz w:val="24"/>
              </w:rPr>
              <w:t>艾绒、艾条、艾粉都是由艾草制造而成，都具有温经通络，益气驱风，活血止痛，改善局部循环，增加免疫力的作用。艾草制品受到人们的广泛青睐，市场需求不断。近年来，随着南阳市艾制品业的发展，艾制品的需求越来越大，在此背景下，南阳延春堂艾业有限公司</w:t>
            </w:r>
            <w:r>
              <w:rPr>
                <w:sz w:val="24"/>
              </w:rPr>
              <w:t>拟投资</w:t>
            </w:r>
            <w:r>
              <w:rPr>
                <w:rFonts w:hint="eastAsia"/>
                <w:sz w:val="24"/>
              </w:rPr>
              <w:t>20</w:t>
            </w:r>
            <w:r>
              <w:rPr>
                <w:sz w:val="24"/>
              </w:rPr>
              <w:t>万元于南阳市卧龙区蒲山镇棉花库路口向西20米路北租赁</w:t>
            </w:r>
            <w:r>
              <w:rPr>
                <w:rFonts w:hint="eastAsia"/>
                <w:sz w:val="24"/>
              </w:rPr>
              <w:t>场地2364m</w:t>
            </w:r>
            <w:r>
              <w:rPr>
                <w:rFonts w:hint="eastAsia"/>
                <w:sz w:val="24"/>
                <w:vertAlign w:val="superscript"/>
              </w:rPr>
              <w:t>2</w:t>
            </w:r>
            <w:r>
              <w:rPr>
                <w:sz w:val="24"/>
              </w:rPr>
              <w:t>，以外购的</w:t>
            </w:r>
            <w:r>
              <w:rPr>
                <w:rFonts w:hint="eastAsia"/>
                <w:sz w:val="24"/>
              </w:rPr>
              <w:t>艾草</w:t>
            </w:r>
            <w:r>
              <w:rPr>
                <w:sz w:val="24"/>
              </w:rPr>
              <w:t>为主要原材料，购置</w:t>
            </w:r>
            <w:r>
              <w:rPr>
                <w:rFonts w:hint="eastAsia"/>
                <w:sz w:val="24"/>
              </w:rPr>
              <w:t>破捆机、粉碎机提绒机、分级筛、全自动卷条机、手工卷条机、切柱机</w:t>
            </w:r>
            <w:r>
              <w:rPr>
                <w:sz w:val="24"/>
              </w:rPr>
              <w:t>等主要生产设备，进行</w:t>
            </w:r>
            <w:r>
              <w:rPr>
                <w:rFonts w:hint="eastAsia"/>
                <w:sz w:val="24"/>
              </w:rPr>
              <w:t>艾制品</w:t>
            </w:r>
            <w:r>
              <w:rPr>
                <w:sz w:val="24"/>
              </w:rPr>
              <w:t>生产，建成投产后可达年产</w:t>
            </w:r>
            <w:r>
              <w:rPr>
                <w:rFonts w:hint="eastAsia"/>
                <w:sz w:val="24"/>
              </w:rPr>
              <w:t>100吨艾制品</w:t>
            </w:r>
            <w:r>
              <w:rPr>
                <w:sz w:val="24"/>
              </w:rPr>
              <w:t>的生产规模。</w:t>
            </w:r>
          </w:p>
          <w:p>
            <w:pPr>
              <w:tabs>
                <w:tab w:val="left" w:pos="1081"/>
              </w:tabs>
              <w:adjustRightInd w:val="0"/>
              <w:snapToGrid w:val="0"/>
              <w:spacing w:line="360" w:lineRule="auto"/>
              <w:ind w:firstLine="480" w:firstLineChars="200"/>
            </w:pPr>
            <w:r>
              <w:rPr>
                <w:sz w:val="24"/>
              </w:rPr>
              <w:t>根据《中华人民共和国环境影响评价法》和国务院令第682号《建设项目环境保护管理条例》有关规定，该项目需进行环境影响评价工作。受</w:t>
            </w:r>
            <w:r>
              <w:rPr>
                <w:rFonts w:hint="eastAsia"/>
                <w:sz w:val="24"/>
              </w:rPr>
              <w:t>南阳延春堂艾业有限公司</w:t>
            </w:r>
            <w:r>
              <w:rPr>
                <w:sz w:val="24"/>
              </w:rPr>
              <w:t>委托，我公司承担了该项目的环境影响评价工作。经比对《建设项目环境影响评价分类管理名录（2021年版）》（中华人民共和国生态环境部令 第16号），本项目属于“</w:t>
            </w:r>
            <w:r>
              <w:rPr>
                <w:rFonts w:hint="eastAsia"/>
                <w:sz w:val="24"/>
              </w:rPr>
              <w:t>二十四、医药制造业27</w:t>
            </w:r>
            <w:r>
              <w:rPr>
                <w:sz w:val="24"/>
              </w:rPr>
              <w:t>”中“</w:t>
            </w:r>
            <w:r>
              <w:rPr>
                <w:rFonts w:hint="eastAsia"/>
                <w:sz w:val="24"/>
                <w:szCs w:val="24"/>
              </w:rPr>
              <w:t>49.卫生材料及医药用品制造277；药用辅料及包装材料制造278</w:t>
            </w:r>
            <w:r>
              <w:rPr>
                <w:rFonts w:hint="eastAsia"/>
                <w:sz w:val="24"/>
              </w:rPr>
              <w:t>”的“卫生材料及医药用品制造（仅组装、分装的除外）；含有机合成反应的药用辅料制造；含有机合成反应的包装材料制造”</w:t>
            </w:r>
            <w:r>
              <w:rPr>
                <w:sz w:val="24"/>
              </w:rPr>
              <w:t>类别，应编制环境影响报告表。评价单位在现场踏勘、资料收集、充分类比分析等工作的基础上，遵循环评有关规定和评价技术导则要求，本着客观、公正、科学、规范的要求，编制完成了本项目的环境影响报告表。</w:t>
            </w:r>
          </w:p>
          <w:p>
            <w:pPr>
              <w:tabs>
                <w:tab w:val="left" w:pos="1081"/>
              </w:tabs>
              <w:adjustRightInd w:val="0"/>
              <w:snapToGrid w:val="0"/>
              <w:spacing w:line="360" w:lineRule="auto"/>
              <w:ind w:firstLine="482" w:firstLineChars="200"/>
              <w:jc w:val="left"/>
              <w:rPr>
                <w:rFonts w:eastAsiaTheme="minorEastAsia"/>
                <w:b/>
                <w:sz w:val="24"/>
                <w:szCs w:val="24"/>
              </w:rPr>
            </w:pPr>
            <w:r>
              <w:rPr>
                <w:rFonts w:eastAsiaTheme="minorEastAsia"/>
                <w:b/>
                <w:sz w:val="24"/>
                <w:szCs w:val="24"/>
              </w:rPr>
              <w:t>2、工程组成及内容</w:t>
            </w:r>
          </w:p>
          <w:p>
            <w:pPr>
              <w:adjustRightInd w:val="0"/>
              <w:snapToGrid w:val="0"/>
              <w:spacing w:line="360" w:lineRule="auto"/>
              <w:ind w:firstLine="480" w:firstLineChars="200"/>
              <w:rPr>
                <w:color w:val="000000"/>
                <w:sz w:val="24"/>
              </w:rPr>
            </w:pPr>
            <w:r>
              <w:rPr>
                <w:rFonts w:hint="eastAsia"/>
                <w:color w:val="000000"/>
                <w:sz w:val="24"/>
              </w:rPr>
              <w:t>本项目租赁南阳市卧龙区蒲山镇棉花库路口向西20米路北场地共计占地面积2364m</w:t>
            </w:r>
            <w:r>
              <w:rPr>
                <w:rFonts w:hint="eastAsia"/>
                <w:color w:val="000000"/>
                <w:sz w:val="24"/>
                <w:vertAlign w:val="superscript"/>
              </w:rPr>
              <w:t>2</w:t>
            </w:r>
            <w:r>
              <w:rPr>
                <w:color w:val="000000"/>
                <w:sz w:val="24"/>
              </w:rPr>
              <w:t>，</w:t>
            </w:r>
            <w:r>
              <w:rPr>
                <w:rFonts w:hint="eastAsia"/>
                <w:color w:val="000000"/>
                <w:sz w:val="24"/>
              </w:rPr>
              <w:t>建筑面积为1210.43m</w:t>
            </w:r>
            <w:r>
              <w:rPr>
                <w:rFonts w:hint="eastAsia"/>
                <w:color w:val="000000"/>
                <w:sz w:val="24"/>
                <w:vertAlign w:val="superscript"/>
              </w:rPr>
              <w:t>2</w:t>
            </w:r>
            <w:r>
              <w:rPr>
                <w:color w:val="000000"/>
                <w:sz w:val="24"/>
              </w:rPr>
              <w:t>，具体工程组成及建设内容见表</w:t>
            </w:r>
            <w:r>
              <w:rPr>
                <w:sz w:val="24"/>
                <w:szCs w:val="24"/>
              </w:rPr>
              <w:t>2-1。</w:t>
            </w:r>
          </w:p>
          <w:p>
            <w:pPr>
              <w:tabs>
                <w:tab w:val="left" w:pos="1081"/>
              </w:tabs>
              <w:adjustRightInd w:val="0"/>
              <w:snapToGrid w:val="0"/>
              <w:spacing w:line="360" w:lineRule="auto"/>
              <w:jc w:val="center"/>
              <w:rPr>
                <w:b/>
                <w:sz w:val="24"/>
                <w:szCs w:val="24"/>
              </w:rPr>
            </w:pPr>
            <w:r>
              <w:rPr>
                <w:b/>
                <w:sz w:val="24"/>
                <w:szCs w:val="24"/>
              </w:rPr>
              <w:t xml:space="preserve">表2-1       </w:t>
            </w:r>
            <w:r>
              <w:rPr>
                <w:rFonts w:hint="eastAsia"/>
                <w:b/>
                <w:sz w:val="24"/>
                <w:szCs w:val="24"/>
              </w:rPr>
              <w:t>本项目</w:t>
            </w:r>
            <w:r>
              <w:rPr>
                <w:b/>
                <w:sz w:val="24"/>
                <w:szCs w:val="24"/>
              </w:rPr>
              <w:t>组成及建设内容一览表</w:t>
            </w:r>
          </w:p>
          <w:tbl>
            <w:tblPr>
              <w:tblStyle w:val="26"/>
              <w:tblW w:w="900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8"/>
              <w:gridCol w:w="927"/>
              <w:gridCol w:w="1435"/>
              <w:gridCol w:w="1133"/>
              <w:gridCol w:w="48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58" w:type="dxa"/>
                  <w:vAlign w:val="center"/>
                </w:tcPr>
                <w:p>
                  <w:pPr>
                    <w:tabs>
                      <w:tab w:val="left" w:pos="5250"/>
                    </w:tabs>
                    <w:adjustRightInd w:val="0"/>
                    <w:snapToGrid w:val="0"/>
                    <w:jc w:val="center"/>
                    <w:rPr>
                      <w:bCs/>
                      <w:color w:val="000000"/>
                      <w:szCs w:val="21"/>
                    </w:rPr>
                  </w:pPr>
                  <w:r>
                    <w:rPr>
                      <w:bCs/>
                      <w:color w:val="000000"/>
                      <w:szCs w:val="21"/>
                    </w:rPr>
                    <w:t>类型</w:t>
                  </w:r>
                </w:p>
              </w:tc>
              <w:tc>
                <w:tcPr>
                  <w:tcW w:w="2362" w:type="dxa"/>
                  <w:gridSpan w:val="2"/>
                  <w:vAlign w:val="center"/>
                </w:tcPr>
                <w:p>
                  <w:pPr>
                    <w:tabs>
                      <w:tab w:val="left" w:pos="5250"/>
                    </w:tabs>
                    <w:adjustRightInd w:val="0"/>
                    <w:snapToGrid w:val="0"/>
                    <w:jc w:val="center"/>
                    <w:rPr>
                      <w:bCs/>
                      <w:color w:val="000000"/>
                      <w:szCs w:val="21"/>
                    </w:rPr>
                  </w:pPr>
                  <w:r>
                    <w:rPr>
                      <w:bCs/>
                      <w:color w:val="000000"/>
                      <w:szCs w:val="21"/>
                    </w:rPr>
                    <w:t>构筑物名称</w:t>
                  </w:r>
                </w:p>
              </w:tc>
              <w:tc>
                <w:tcPr>
                  <w:tcW w:w="1133" w:type="dxa"/>
                  <w:tcBorders>
                    <w:right w:val="single" w:color="auto" w:sz="6" w:space="0"/>
                  </w:tcBorders>
                  <w:vAlign w:val="center"/>
                </w:tcPr>
                <w:p>
                  <w:pPr>
                    <w:tabs>
                      <w:tab w:val="left" w:pos="5250"/>
                    </w:tabs>
                    <w:adjustRightInd w:val="0"/>
                    <w:snapToGrid w:val="0"/>
                    <w:jc w:val="center"/>
                    <w:rPr>
                      <w:bCs/>
                      <w:color w:val="000000"/>
                      <w:szCs w:val="21"/>
                    </w:rPr>
                  </w:pPr>
                  <w:r>
                    <w:rPr>
                      <w:bCs/>
                      <w:color w:val="000000"/>
                      <w:szCs w:val="21"/>
                    </w:rPr>
                    <w:t>建筑面积</w:t>
                  </w:r>
                </w:p>
              </w:tc>
              <w:tc>
                <w:tcPr>
                  <w:tcW w:w="4851" w:type="dxa"/>
                  <w:tcBorders>
                    <w:left w:val="single" w:color="auto" w:sz="6" w:space="0"/>
                  </w:tcBorders>
                  <w:vAlign w:val="center"/>
                </w:tcPr>
                <w:p>
                  <w:pPr>
                    <w:tabs>
                      <w:tab w:val="left" w:pos="5250"/>
                    </w:tabs>
                    <w:adjustRightInd w:val="0"/>
                    <w:snapToGrid w:val="0"/>
                    <w:jc w:val="center"/>
                    <w:rPr>
                      <w:bCs/>
                      <w:color w:val="000000"/>
                      <w:szCs w:val="21"/>
                    </w:rPr>
                  </w:pPr>
                  <w:r>
                    <w:rPr>
                      <w:rFonts w:hint="eastAsia"/>
                      <w:bCs/>
                      <w:color w:val="00000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1" w:hRule="atLeast"/>
                <w:jc w:val="center"/>
              </w:trPr>
              <w:tc>
                <w:tcPr>
                  <w:tcW w:w="658" w:type="dxa"/>
                  <w:vAlign w:val="center"/>
                </w:tcPr>
                <w:p>
                  <w:pPr>
                    <w:tabs>
                      <w:tab w:val="left" w:pos="5250"/>
                    </w:tabs>
                    <w:adjustRightInd w:val="0"/>
                    <w:snapToGrid w:val="0"/>
                    <w:jc w:val="center"/>
                    <w:rPr>
                      <w:bCs/>
                      <w:color w:val="000000"/>
                      <w:szCs w:val="21"/>
                    </w:rPr>
                  </w:pPr>
                  <w:r>
                    <w:rPr>
                      <w:bCs/>
                      <w:color w:val="000000"/>
                      <w:szCs w:val="21"/>
                    </w:rPr>
                    <w:t>主体工程</w:t>
                  </w:r>
                </w:p>
              </w:tc>
              <w:tc>
                <w:tcPr>
                  <w:tcW w:w="2362" w:type="dxa"/>
                  <w:gridSpan w:val="2"/>
                  <w:vAlign w:val="center"/>
                </w:tcPr>
                <w:p>
                  <w:pPr>
                    <w:tabs>
                      <w:tab w:val="left" w:pos="5250"/>
                    </w:tabs>
                    <w:adjustRightInd w:val="0"/>
                    <w:snapToGrid w:val="0"/>
                    <w:jc w:val="center"/>
                    <w:rPr>
                      <w:bCs/>
                      <w:color w:val="000000"/>
                      <w:szCs w:val="21"/>
                    </w:rPr>
                  </w:pPr>
                  <w:r>
                    <w:rPr>
                      <w:rFonts w:hint="eastAsia"/>
                      <w:bCs/>
                      <w:color w:val="000000"/>
                      <w:szCs w:val="21"/>
                    </w:rPr>
                    <w:t>生产车间</w:t>
                  </w:r>
                </w:p>
              </w:tc>
              <w:tc>
                <w:tcPr>
                  <w:tcW w:w="1133" w:type="dxa"/>
                  <w:tcBorders>
                    <w:right w:val="single" w:color="auto" w:sz="6" w:space="0"/>
                  </w:tcBorders>
                  <w:vAlign w:val="center"/>
                </w:tcPr>
                <w:p>
                  <w:pPr>
                    <w:tabs>
                      <w:tab w:val="left" w:pos="5250"/>
                    </w:tabs>
                    <w:adjustRightInd w:val="0"/>
                    <w:snapToGrid w:val="0"/>
                    <w:jc w:val="center"/>
                    <w:rPr>
                      <w:bCs/>
                      <w:color w:val="000000"/>
                      <w:szCs w:val="21"/>
                    </w:rPr>
                  </w:pPr>
                  <w:r>
                    <w:rPr>
                      <w:rFonts w:hint="eastAsia"/>
                      <w:bCs/>
                      <w:color w:val="000000"/>
                      <w:szCs w:val="21"/>
                    </w:rPr>
                    <w:t>1002.43m</w:t>
                  </w:r>
                  <w:r>
                    <w:rPr>
                      <w:rFonts w:hint="eastAsia"/>
                      <w:bCs/>
                      <w:color w:val="000000"/>
                      <w:szCs w:val="21"/>
                      <w:vertAlign w:val="superscript"/>
                    </w:rPr>
                    <w:t>2</w:t>
                  </w:r>
                </w:p>
              </w:tc>
              <w:tc>
                <w:tcPr>
                  <w:tcW w:w="4851" w:type="dxa"/>
                  <w:tcBorders>
                    <w:left w:val="single" w:color="auto" w:sz="6" w:space="0"/>
                  </w:tcBorders>
                  <w:vAlign w:val="center"/>
                </w:tcPr>
                <w:p>
                  <w:pPr>
                    <w:tabs>
                      <w:tab w:val="left" w:pos="5250"/>
                    </w:tabs>
                    <w:adjustRightInd w:val="0"/>
                    <w:snapToGrid w:val="0"/>
                    <w:jc w:val="center"/>
                    <w:rPr>
                      <w:bCs/>
                      <w:color w:val="000000"/>
                      <w:szCs w:val="21"/>
                    </w:rPr>
                  </w:pPr>
                  <w:r>
                    <w:rPr>
                      <w:rFonts w:hint="eastAsia"/>
                      <w:bCs/>
                      <w:color w:val="000000"/>
                      <w:szCs w:val="21"/>
                    </w:rPr>
                    <w:t>1座，主要分布原料区、加工区和成品区；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1" w:hRule="atLeast"/>
                <w:jc w:val="center"/>
              </w:trPr>
              <w:tc>
                <w:tcPr>
                  <w:tcW w:w="658" w:type="dxa"/>
                  <w:vAlign w:val="center"/>
                </w:tcPr>
                <w:p>
                  <w:pPr>
                    <w:tabs>
                      <w:tab w:val="left" w:pos="5250"/>
                    </w:tabs>
                    <w:adjustRightInd w:val="0"/>
                    <w:snapToGrid w:val="0"/>
                    <w:jc w:val="center"/>
                    <w:rPr>
                      <w:bCs/>
                      <w:color w:val="000000"/>
                      <w:szCs w:val="21"/>
                    </w:rPr>
                  </w:pPr>
                  <w:r>
                    <w:rPr>
                      <w:rFonts w:hint="eastAsia"/>
                      <w:bCs/>
                      <w:color w:val="000000"/>
                      <w:szCs w:val="21"/>
                    </w:rPr>
                    <w:t>辅助工程</w:t>
                  </w:r>
                </w:p>
              </w:tc>
              <w:tc>
                <w:tcPr>
                  <w:tcW w:w="2362" w:type="dxa"/>
                  <w:gridSpan w:val="2"/>
                  <w:vAlign w:val="center"/>
                </w:tcPr>
                <w:p>
                  <w:pPr>
                    <w:tabs>
                      <w:tab w:val="left" w:pos="5250"/>
                    </w:tabs>
                    <w:adjustRightInd w:val="0"/>
                    <w:snapToGrid w:val="0"/>
                    <w:jc w:val="center"/>
                    <w:rPr>
                      <w:bCs/>
                      <w:color w:val="000000"/>
                      <w:szCs w:val="21"/>
                    </w:rPr>
                  </w:pPr>
                  <w:r>
                    <w:rPr>
                      <w:rFonts w:hint="eastAsia"/>
                      <w:bCs/>
                      <w:color w:val="000000"/>
                      <w:szCs w:val="21"/>
                    </w:rPr>
                    <w:t>办公区</w:t>
                  </w:r>
                </w:p>
              </w:tc>
              <w:tc>
                <w:tcPr>
                  <w:tcW w:w="1133" w:type="dxa"/>
                  <w:tcBorders>
                    <w:right w:val="single" w:color="auto" w:sz="6" w:space="0"/>
                  </w:tcBorders>
                  <w:vAlign w:val="center"/>
                </w:tcPr>
                <w:p>
                  <w:pPr>
                    <w:tabs>
                      <w:tab w:val="left" w:pos="5250"/>
                    </w:tabs>
                    <w:adjustRightInd w:val="0"/>
                    <w:snapToGrid w:val="0"/>
                    <w:jc w:val="center"/>
                    <w:rPr>
                      <w:bCs/>
                      <w:color w:val="000000"/>
                      <w:szCs w:val="21"/>
                    </w:rPr>
                  </w:pPr>
                  <w:r>
                    <w:rPr>
                      <w:rFonts w:hint="eastAsia"/>
                      <w:bCs/>
                      <w:color w:val="000000"/>
                      <w:szCs w:val="21"/>
                    </w:rPr>
                    <w:t>208m</w:t>
                  </w:r>
                  <w:r>
                    <w:rPr>
                      <w:rFonts w:hint="eastAsia"/>
                      <w:bCs/>
                      <w:color w:val="000000"/>
                      <w:szCs w:val="21"/>
                      <w:vertAlign w:val="superscript"/>
                    </w:rPr>
                    <w:t>2</w:t>
                  </w:r>
                </w:p>
              </w:tc>
              <w:tc>
                <w:tcPr>
                  <w:tcW w:w="4851" w:type="dxa"/>
                  <w:tcBorders>
                    <w:left w:val="single" w:color="auto" w:sz="6" w:space="0"/>
                  </w:tcBorders>
                  <w:vAlign w:val="center"/>
                </w:tcPr>
                <w:p>
                  <w:pPr>
                    <w:tabs>
                      <w:tab w:val="left" w:pos="5250"/>
                    </w:tabs>
                    <w:adjustRightInd w:val="0"/>
                    <w:snapToGrid w:val="0"/>
                    <w:jc w:val="center"/>
                    <w:rPr>
                      <w:bCs/>
                      <w:color w:val="000000"/>
                      <w:szCs w:val="21"/>
                    </w:rPr>
                  </w:pPr>
                  <w:r>
                    <w:rPr>
                      <w:rFonts w:hint="eastAsia"/>
                      <w:bCs/>
                      <w:color w:val="000000"/>
                      <w:szCs w:val="21"/>
                    </w:rPr>
                    <w:t>1座，2层，砖混结构：主要为办公区和职工休息区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58" w:type="dxa"/>
                  <w:vMerge w:val="restart"/>
                  <w:vAlign w:val="center"/>
                </w:tcPr>
                <w:p>
                  <w:pPr>
                    <w:tabs>
                      <w:tab w:val="left" w:pos="5250"/>
                    </w:tabs>
                    <w:adjustRightInd w:val="0"/>
                    <w:snapToGrid w:val="0"/>
                    <w:jc w:val="center"/>
                    <w:rPr>
                      <w:bCs/>
                      <w:color w:val="000000"/>
                      <w:szCs w:val="21"/>
                    </w:rPr>
                  </w:pPr>
                  <w:r>
                    <w:rPr>
                      <w:bCs/>
                      <w:color w:val="000000"/>
                      <w:szCs w:val="21"/>
                    </w:rPr>
                    <w:t>公用工程</w:t>
                  </w:r>
                </w:p>
              </w:tc>
              <w:tc>
                <w:tcPr>
                  <w:tcW w:w="2362" w:type="dxa"/>
                  <w:gridSpan w:val="2"/>
                  <w:vAlign w:val="center"/>
                </w:tcPr>
                <w:p>
                  <w:pPr>
                    <w:tabs>
                      <w:tab w:val="left" w:pos="5250"/>
                    </w:tabs>
                    <w:adjustRightInd w:val="0"/>
                    <w:snapToGrid w:val="0"/>
                    <w:jc w:val="center"/>
                    <w:rPr>
                      <w:bCs/>
                      <w:color w:val="000000"/>
                      <w:szCs w:val="21"/>
                    </w:rPr>
                  </w:pPr>
                  <w:r>
                    <w:rPr>
                      <w:rFonts w:hint="eastAsia"/>
                      <w:bCs/>
                      <w:color w:val="000000"/>
                      <w:szCs w:val="21"/>
                    </w:rPr>
                    <w:t>供水</w:t>
                  </w:r>
                </w:p>
              </w:tc>
              <w:tc>
                <w:tcPr>
                  <w:tcW w:w="5984" w:type="dxa"/>
                  <w:gridSpan w:val="2"/>
                  <w:tcBorders>
                    <w:top w:val="single" w:color="auto" w:sz="6" w:space="0"/>
                  </w:tcBorders>
                  <w:vAlign w:val="center"/>
                </w:tcPr>
                <w:p>
                  <w:pPr>
                    <w:tabs>
                      <w:tab w:val="left" w:pos="5250"/>
                    </w:tabs>
                    <w:adjustRightInd w:val="0"/>
                    <w:snapToGrid w:val="0"/>
                    <w:jc w:val="center"/>
                    <w:rPr>
                      <w:bCs/>
                      <w:color w:val="000000"/>
                      <w:szCs w:val="21"/>
                    </w:rPr>
                  </w:pPr>
                  <w:r>
                    <w:rPr>
                      <w:rFonts w:hint="eastAsia"/>
                      <w:bCs/>
                      <w:color w:val="000000"/>
                      <w:szCs w:val="21"/>
                    </w:rPr>
                    <w:t>由自备井供水管网供给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58" w:type="dxa"/>
                  <w:vMerge w:val="continue"/>
                  <w:vAlign w:val="center"/>
                </w:tcPr>
                <w:p>
                  <w:pPr>
                    <w:tabs>
                      <w:tab w:val="left" w:pos="5250"/>
                    </w:tabs>
                    <w:adjustRightInd w:val="0"/>
                    <w:snapToGrid w:val="0"/>
                    <w:jc w:val="center"/>
                    <w:rPr>
                      <w:bCs/>
                      <w:color w:val="000000"/>
                      <w:szCs w:val="21"/>
                    </w:rPr>
                  </w:pPr>
                </w:p>
              </w:tc>
              <w:tc>
                <w:tcPr>
                  <w:tcW w:w="2362" w:type="dxa"/>
                  <w:gridSpan w:val="2"/>
                  <w:vAlign w:val="center"/>
                </w:tcPr>
                <w:p>
                  <w:pPr>
                    <w:tabs>
                      <w:tab w:val="left" w:pos="5250"/>
                    </w:tabs>
                    <w:adjustRightInd w:val="0"/>
                    <w:snapToGrid w:val="0"/>
                    <w:jc w:val="center"/>
                    <w:rPr>
                      <w:bCs/>
                      <w:color w:val="000000"/>
                      <w:szCs w:val="21"/>
                    </w:rPr>
                  </w:pPr>
                  <w:r>
                    <w:rPr>
                      <w:rFonts w:hint="eastAsia"/>
                      <w:bCs/>
                      <w:color w:val="000000"/>
                      <w:szCs w:val="21"/>
                    </w:rPr>
                    <w:t>供电</w:t>
                  </w:r>
                </w:p>
              </w:tc>
              <w:tc>
                <w:tcPr>
                  <w:tcW w:w="5984" w:type="dxa"/>
                  <w:gridSpan w:val="2"/>
                  <w:tcBorders>
                    <w:top w:val="single" w:color="auto" w:sz="6" w:space="0"/>
                  </w:tcBorders>
                  <w:vAlign w:val="center"/>
                </w:tcPr>
                <w:p>
                  <w:pPr>
                    <w:tabs>
                      <w:tab w:val="left" w:pos="5250"/>
                    </w:tabs>
                    <w:adjustRightInd w:val="0"/>
                    <w:snapToGrid w:val="0"/>
                    <w:jc w:val="center"/>
                    <w:rPr>
                      <w:bCs/>
                      <w:color w:val="000000"/>
                      <w:szCs w:val="21"/>
                    </w:rPr>
                  </w:pPr>
                  <w:r>
                    <w:rPr>
                      <w:rFonts w:hint="eastAsia"/>
                      <w:bCs/>
                      <w:color w:val="000000"/>
                      <w:szCs w:val="21"/>
                    </w:rPr>
                    <w:t>由蒲山镇供电系统提供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58" w:type="dxa"/>
                  <w:vMerge w:val="continue"/>
                  <w:vAlign w:val="center"/>
                </w:tcPr>
                <w:p>
                  <w:pPr>
                    <w:tabs>
                      <w:tab w:val="left" w:pos="5250"/>
                    </w:tabs>
                    <w:adjustRightInd w:val="0"/>
                    <w:snapToGrid w:val="0"/>
                    <w:jc w:val="center"/>
                    <w:rPr>
                      <w:bCs/>
                      <w:color w:val="000000"/>
                      <w:szCs w:val="21"/>
                    </w:rPr>
                  </w:pPr>
                </w:p>
              </w:tc>
              <w:tc>
                <w:tcPr>
                  <w:tcW w:w="2362" w:type="dxa"/>
                  <w:gridSpan w:val="2"/>
                  <w:vAlign w:val="center"/>
                </w:tcPr>
                <w:p>
                  <w:pPr>
                    <w:tabs>
                      <w:tab w:val="left" w:pos="5250"/>
                    </w:tabs>
                    <w:adjustRightInd w:val="0"/>
                    <w:snapToGrid w:val="0"/>
                    <w:jc w:val="center"/>
                    <w:rPr>
                      <w:bCs/>
                      <w:color w:val="000000"/>
                      <w:szCs w:val="21"/>
                    </w:rPr>
                  </w:pPr>
                  <w:r>
                    <w:rPr>
                      <w:rFonts w:hint="eastAsia"/>
                      <w:bCs/>
                      <w:color w:val="000000"/>
                      <w:szCs w:val="21"/>
                    </w:rPr>
                    <w:t>排水</w:t>
                  </w:r>
                </w:p>
              </w:tc>
              <w:tc>
                <w:tcPr>
                  <w:tcW w:w="5984" w:type="dxa"/>
                  <w:gridSpan w:val="2"/>
                  <w:tcBorders>
                    <w:top w:val="single" w:color="auto" w:sz="6" w:space="0"/>
                  </w:tcBorders>
                  <w:vAlign w:val="center"/>
                </w:tcPr>
                <w:p>
                  <w:pPr>
                    <w:tabs>
                      <w:tab w:val="left" w:pos="5250"/>
                    </w:tabs>
                    <w:adjustRightInd w:val="0"/>
                    <w:snapToGrid w:val="0"/>
                    <w:jc w:val="center"/>
                    <w:rPr>
                      <w:bCs/>
                      <w:color w:val="000000"/>
                      <w:szCs w:val="21"/>
                    </w:rPr>
                  </w:pPr>
                  <w:r>
                    <w:rPr>
                      <w:rFonts w:hint="eastAsia" w:hAnsi="宋体"/>
                      <w:color w:val="000000"/>
                      <w:szCs w:val="21"/>
                    </w:rPr>
                    <w:t>采用雨污分流排水系统，</w:t>
                  </w:r>
                  <w:r>
                    <w:rPr>
                      <w:rFonts w:hint="eastAsia"/>
                      <w:bCs/>
                      <w:color w:val="000000"/>
                      <w:kern w:val="0"/>
                    </w:rPr>
                    <w:t>经厂区南侧自然沟汇入西侧630m的跃进渠，向东南汇入白河</w:t>
                  </w:r>
                  <w:r>
                    <w:rPr>
                      <w:rFonts w:hint="eastAsia" w:hAnsi="宋体"/>
                      <w:color w:val="000000"/>
                      <w:szCs w:val="21"/>
                    </w:rPr>
                    <w:t>；营运期无生产废水，职工生活污水经化粪池处理后用于周围农田施肥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9" w:hRule="atLeast"/>
                <w:jc w:val="center"/>
              </w:trPr>
              <w:tc>
                <w:tcPr>
                  <w:tcW w:w="658" w:type="dxa"/>
                  <w:vMerge w:val="restart"/>
                  <w:vAlign w:val="center"/>
                </w:tcPr>
                <w:p>
                  <w:pPr>
                    <w:tabs>
                      <w:tab w:val="left" w:pos="5250"/>
                    </w:tabs>
                    <w:adjustRightInd w:val="0"/>
                    <w:snapToGrid w:val="0"/>
                    <w:jc w:val="center"/>
                    <w:rPr>
                      <w:bCs/>
                      <w:color w:val="000000"/>
                      <w:szCs w:val="21"/>
                    </w:rPr>
                  </w:pPr>
                  <w:r>
                    <w:rPr>
                      <w:bCs/>
                      <w:color w:val="000000"/>
                      <w:szCs w:val="21"/>
                    </w:rPr>
                    <w:t>环保工程</w:t>
                  </w:r>
                </w:p>
              </w:tc>
              <w:tc>
                <w:tcPr>
                  <w:tcW w:w="927" w:type="dxa"/>
                  <w:vAlign w:val="center"/>
                </w:tcPr>
                <w:p>
                  <w:pPr>
                    <w:tabs>
                      <w:tab w:val="left" w:pos="5250"/>
                    </w:tabs>
                    <w:adjustRightInd w:val="0"/>
                    <w:snapToGrid w:val="0"/>
                    <w:jc w:val="center"/>
                    <w:rPr>
                      <w:bCs/>
                      <w:color w:val="000000"/>
                      <w:szCs w:val="21"/>
                      <w:highlight w:val="yellow"/>
                    </w:rPr>
                  </w:pPr>
                  <w:r>
                    <w:rPr>
                      <w:rFonts w:hint="eastAsia"/>
                      <w:bCs/>
                      <w:color w:val="000000"/>
                      <w:szCs w:val="21"/>
                    </w:rPr>
                    <w:t>废水</w:t>
                  </w:r>
                  <w:r>
                    <w:rPr>
                      <w:bCs/>
                      <w:color w:val="000000"/>
                      <w:szCs w:val="21"/>
                    </w:rPr>
                    <w:t>治理措施</w:t>
                  </w:r>
                </w:p>
              </w:tc>
              <w:tc>
                <w:tcPr>
                  <w:tcW w:w="1435" w:type="dxa"/>
                  <w:vAlign w:val="center"/>
                </w:tcPr>
                <w:p>
                  <w:pPr>
                    <w:autoSpaceDE w:val="0"/>
                    <w:autoSpaceDN w:val="0"/>
                    <w:adjustRightInd w:val="0"/>
                    <w:snapToGrid w:val="0"/>
                    <w:spacing w:before="100" w:beforeAutospacing="1"/>
                    <w:ind w:left="-63" w:leftChars="-30" w:right="-63" w:rightChars="-30"/>
                    <w:jc w:val="center"/>
                    <w:rPr>
                      <w:bCs/>
                      <w:color w:val="000000"/>
                      <w:szCs w:val="21"/>
                    </w:rPr>
                  </w:pPr>
                  <w:r>
                    <w:rPr>
                      <w:color w:val="000000"/>
                      <w:kern w:val="0"/>
                      <w:szCs w:val="21"/>
                    </w:rPr>
                    <w:t>职工生活污水</w:t>
                  </w:r>
                </w:p>
              </w:tc>
              <w:tc>
                <w:tcPr>
                  <w:tcW w:w="5984" w:type="dxa"/>
                  <w:gridSpan w:val="2"/>
                  <w:vAlign w:val="center"/>
                </w:tcPr>
                <w:p>
                  <w:pPr>
                    <w:tabs>
                      <w:tab w:val="left" w:pos="5250"/>
                    </w:tabs>
                    <w:adjustRightInd w:val="0"/>
                    <w:snapToGrid w:val="0"/>
                    <w:jc w:val="center"/>
                    <w:rPr>
                      <w:bCs/>
                      <w:color w:val="000000"/>
                      <w:szCs w:val="21"/>
                    </w:rPr>
                  </w:pPr>
                  <w:r>
                    <w:rPr>
                      <w:rFonts w:hint="eastAsia" w:hAnsi="宋体"/>
                      <w:color w:val="000000"/>
                      <w:szCs w:val="21"/>
                    </w:rPr>
                    <w:t>经配套化粪池（1座，容积5m</w:t>
                  </w:r>
                  <w:r>
                    <w:rPr>
                      <w:rFonts w:hint="eastAsia" w:hAnsi="宋体"/>
                      <w:color w:val="000000"/>
                      <w:szCs w:val="21"/>
                      <w:vertAlign w:val="superscript"/>
                    </w:rPr>
                    <w:t>3</w:t>
                  </w:r>
                  <w:r>
                    <w:rPr>
                      <w:rFonts w:hint="eastAsia" w:hAnsi="宋体"/>
                      <w:color w:val="000000"/>
                      <w:szCs w:val="21"/>
                    </w:rPr>
                    <w:t>）处理后用于周围农田施肥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58" w:type="dxa"/>
                  <w:vMerge w:val="continue"/>
                  <w:vAlign w:val="center"/>
                </w:tcPr>
                <w:p>
                  <w:pPr>
                    <w:tabs>
                      <w:tab w:val="left" w:pos="5250"/>
                    </w:tabs>
                    <w:adjustRightInd w:val="0"/>
                    <w:snapToGrid w:val="0"/>
                    <w:jc w:val="center"/>
                    <w:rPr>
                      <w:bCs/>
                      <w:color w:val="000000"/>
                      <w:szCs w:val="21"/>
                    </w:rPr>
                  </w:pPr>
                </w:p>
              </w:tc>
              <w:tc>
                <w:tcPr>
                  <w:tcW w:w="927" w:type="dxa"/>
                  <w:vMerge w:val="restart"/>
                  <w:vAlign w:val="center"/>
                </w:tcPr>
                <w:p>
                  <w:pPr>
                    <w:tabs>
                      <w:tab w:val="left" w:pos="5250"/>
                    </w:tabs>
                    <w:adjustRightInd w:val="0"/>
                    <w:snapToGrid w:val="0"/>
                    <w:jc w:val="center"/>
                    <w:rPr>
                      <w:bCs/>
                      <w:color w:val="000000"/>
                      <w:szCs w:val="21"/>
                    </w:rPr>
                  </w:pPr>
                  <w:r>
                    <w:rPr>
                      <w:bCs/>
                      <w:color w:val="000000"/>
                      <w:szCs w:val="21"/>
                    </w:rPr>
                    <w:t>废气治理措施</w:t>
                  </w:r>
                </w:p>
              </w:tc>
              <w:tc>
                <w:tcPr>
                  <w:tcW w:w="1435" w:type="dxa"/>
                  <w:vAlign w:val="center"/>
                </w:tcPr>
                <w:p>
                  <w:pPr>
                    <w:jc w:val="center"/>
                    <w:outlineLvl w:val="0"/>
                    <w:rPr>
                      <w:color w:val="000000"/>
                      <w:szCs w:val="21"/>
                      <w:highlight w:val="yellow"/>
                    </w:rPr>
                  </w:pPr>
                  <w:r>
                    <w:rPr>
                      <w:rFonts w:hint="eastAsia"/>
                      <w:color w:val="000000"/>
                      <w:szCs w:val="21"/>
                    </w:rPr>
                    <w:t>破捆、粉碎、提绒工序</w:t>
                  </w:r>
                </w:p>
              </w:tc>
              <w:tc>
                <w:tcPr>
                  <w:tcW w:w="5984" w:type="dxa"/>
                  <w:gridSpan w:val="2"/>
                  <w:vAlign w:val="center"/>
                </w:tcPr>
                <w:p>
                  <w:pPr>
                    <w:tabs>
                      <w:tab w:val="left" w:pos="5250"/>
                    </w:tabs>
                    <w:adjustRightInd w:val="0"/>
                    <w:snapToGrid w:val="0"/>
                    <w:jc w:val="center"/>
                    <w:rPr>
                      <w:bCs/>
                      <w:color w:val="000000"/>
                      <w:szCs w:val="21"/>
                      <w:highlight w:val="yellow"/>
                    </w:rPr>
                  </w:pPr>
                  <w:r>
                    <w:rPr>
                      <w:rFonts w:hint="eastAsia" w:hAnsi="宋体"/>
                      <w:bCs/>
                      <w:color w:val="000000"/>
                    </w:rPr>
                    <w:t>破捆机进料口上方设置集气罩（1个），提绒机出料口安装集气罩（5个），收集粉尘经一套</w:t>
                  </w:r>
                  <w:r>
                    <w:rPr>
                      <w:rFonts w:hint="eastAsia" w:hAnsi="宋体"/>
                      <w:bCs/>
                      <w:color w:val="FF0000"/>
                      <w:u w:val="single"/>
                    </w:rPr>
                    <w:t>脉冲袋式除尘器</w:t>
                  </w:r>
                  <w:r>
                    <w:rPr>
                      <w:rFonts w:hint="eastAsia" w:hAnsi="宋体"/>
                      <w:bCs/>
                      <w:color w:val="000000"/>
                    </w:rPr>
                    <w:t>处理后经一根15m高排气筒（DA001）排放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58" w:type="dxa"/>
                  <w:vMerge w:val="continue"/>
                  <w:vAlign w:val="center"/>
                </w:tcPr>
                <w:p>
                  <w:pPr>
                    <w:tabs>
                      <w:tab w:val="left" w:pos="5250"/>
                    </w:tabs>
                    <w:adjustRightInd w:val="0"/>
                    <w:snapToGrid w:val="0"/>
                    <w:jc w:val="center"/>
                    <w:rPr>
                      <w:bCs/>
                      <w:color w:val="000000"/>
                      <w:szCs w:val="21"/>
                    </w:rPr>
                  </w:pPr>
                </w:p>
              </w:tc>
              <w:tc>
                <w:tcPr>
                  <w:tcW w:w="927" w:type="dxa"/>
                  <w:vMerge w:val="continue"/>
                  <w:vAlign w:val="center"/>
                </w:tcPr>
                <w:p>
                  <w:pPr>
                    <w:tabs>
                      <w:tab w:val="left" w:pos="5250"/>
                    </w:tabs>
                    <w:adjustRightInd w:val="0"/>
                    <w:snapToGrid w:val="0"/>
                    <w:jc w:val="center"/>
                    <w:rPr>
                      <w:bCs/>
                      <w:color w:val="000000"/>
                      <w:szCs w:val="21"/>
                    </w:rPr>
                  </w:pPr>
                </w:p>
              </w:tc>
              <w:tc>
                <w:tcPr>
                  <w:tcW w:w="1435" w:type="dxa"/>
                  <w:vAlign w:val="center"/>
                </w:tcPr>
                <w:p>
                  <w:pPr>
                    <w:jc w:val="center"/>
                    <w:outlineLvl w:val="0"/>
                    <w:rPr>
                      <w:color w:val="000000"/>
                      <w:szCs w:val="21"/>
                      <w:highlight w:val="yellow"/>
                    </w:rPr>
                  </w:pPr>
                  <w:r>
                    <w:rPr>
                      <w:rFonts w:hint="eastAsia"/>
                      <w:color w:val="000000"/>
                      <w:szCs w:val="21"/>
                    </w:rPr>
                    <w:t>卷条工序</w:t>
                  </w:r>
                </w:p>
              </w:tc>
              <w:tc>
                <w:tcPr>
                  <w:tcW w:w="5984" w:type="dxa"/>
                  <w:gridSpan w:val="2"/>
                  <w:vAlign w:val="center"/>
                </w:tcPr>
                <w:p>
                  <w:pPr>
                    <w:jc w:val="center"/>
                    <w:outlineLvl w:val="0"/>
                    <w:rPr>
                      <w:rFonts w:hAnsi="宋体"/>
                      <w:bCs/>
                      <w:color w:val="000000"/>
                    </w:rPr>
                  </w:pPr>
                  <w:r>
                    <w:rPr>
                      <w:rFonts w:hint="eastAsia" w:hAnsi="宋体"/>
                      <w:bCs/>
                      <w:color w:val="000000"/>
                    </w:rPr>
                    <w:t>卷条机上方设置集气罩（15个），收集粉尘经一套脉冲袋式除尘器处理后经一根15m高排气筒（DA002）排放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58" w:type="dxa"/>
                  <w:vMerge w:val="continue"/>
                  <w:vAlign w:val="center"/>
                </w:tcPr>
                <w:p>
                  <w:pPr>
                    <w:tabs>
                      <w:tab w:val="left" w:pos="5250"/>
                    </w:tabs>
                    <w:adjustRightInd w:val="0"/>
                    <w:snapToGrid w:val="0"/>
                    <w:jc w:val="center"/>
                    <w:rPr>
                      <w:bCs/>
                      <w:color w:val="000000"/>
                      <w:szCs w:val="21"/>
                    </w:rPr>
                  </w:pPr>
                </w:p>
              </w:tc>
              <w:tc>
                <w:tcPr>
                  <w:tcW w:w="927" w:type="dxa"/>
                  <w:vMerge w:val="continue"/>
                  <w:vAlign w:val="center"/>
                </w:tcPr>
                <w:p>
                  <w:pPr>
                    <w:tabs>
                      <w:tab w:val="left" w:pos="5250"/>
                    </w:tabs>
                    <w:adjustRightInd w:val="0"/>
                    <w:snapToGrid w:val="0"/>
                    <w:jc w:val="center"/>
                    <w:rPr>
                      <w:bCs/>
                      <w:color w:val="000000"/>
                      <w:szCs w:val="21"/>
                    </w:rPr>
                  </w:pPr>
                </w:p>
              </w:tc>
              <w:tc>
                <w:tcPr>
                  <w:tcW w:w="1435" w:type="dxa"/>
                  <w:vAlign w:val="center"/>
                </w:tcPr>
                <w:p>
                  <w:pPr>
                    <w:jc w:val="center"/>
                    <w:outlineLvl w:val="0"/>
                    <w:rPr>
                      <w:color w:val="000000"/>
                      <w:szCs w:val="21"/>
                      <w:highlight w:val="yellow"/>
                    </w:rPr>
                  </w:pPr>
                  <w:r>
                    <w:rPr>
                      <w:rFonts w:hint="eastAsia"/>
                      <w:color w:val="000000"/>
                      <w:szCs w:val="21"/>
                    </w:rPr>
                    <w:t>无组织粉尘</w:t>
                  </w:r>
                </w:p>
              </w:tc>
              <w:tc>
                <w:tcPr>
                  <w:tcW w:w="5984" w:type="dxa"/>
                  <w:gridSpan w:val="2"/>
                  <w:vAlign w:val="center"/>
                </w:tcPr>
                <w:p>
                  <w:pPr>
                    <w:tabs>
                      <w:tab w:val="left" w:pos="5250"/>
                    </w:tabs>
                    <w:adjustRightInd w:val="0"/>
                    <w:snapToGrid w:val="0"/>
                    <w:jc w:val="center"/>
                    <w:rPr>
                      <w:rFonts w:hAnsi="宋体"/>
                      <w:bCs/>
                      <w:color w:val="000000"/>
                      <w:highlight w:val="yellow"/>
                    </w:rPr>
                  </w:pPr>
                  <w:r>
                    <w:rPr>
                      <w:rFonts w:hint="eastAsia"/>
                      <w:color w:val="000000"/>
                      <w:szCs w:val="21"/>
                    </w:rPr>
                    <w:t>生产车间封闭，自然沉降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58" w:type="dxa"/>
                  <w:vMerge w:val="continue"/>
                  <w:vAlign w:val="center"/>
                </w:tcPr>
                <w:p>
                  <w:pPr>
                    <w:tabs>
                      <w:tab w:val="left" w:pos="5250"/>
                    </w:tabs>
                    <w:adjustRightInd w:val="0"/>
                    <w:snapToGrid w:val="0"/>
                    <w:jc w:val="center"/>
                    <w:rPr>
                      <w:bCs/>
                      <w:color w:val="000000"/>
                      <w:szCs w:val="21"/>
                    </w:rPr>
                  </w:pPr>
                </w:p>
              </w:tc>
              <w:tc>
                <w:tcPr>
                  <w:tcW w:w="2362" w:type="dxa"/>
                  <w:gridSpan w:val="2"/>
                  <w:vAlign w:val="center"/>
                </w:tcPr>
                <w:p>
                  <w:pPr>
                    <w:tabs>
                      <w:tab w:val="left" w:pos="5250"/>
                    </w:tabs>
                    <w:adjustRightInd w:val="0"/>
                    <w:snapToGrid w:val="0"/>
                    <w:jc w:val="center"/>
                    <w:rPr>
                      <w:bCs/>
                      <w:color w:val="000000"/>
                      <w:szCs w:val="21"/>
                    </w:rPr>
                  </w:pPr>
                  <w:r>
                    <w:rPr>
                      <w:bCs/>
                      <w:color w:val="000000"/>
                      <w:szCs w:val="21"/>
                    </w:rPr>
                    <w:t>噪声治理措施</w:t>
                  </w:r>
                </w:p>
              </w:tc>
              <w:tc>
                <w:tcPr>
                  <w:tcW w:w="5984" w:type="dxa"/>
                  <w:gridSpan w:val="2"/>
                  <w:vAlign w:val="center"/>
                </w:tcPr>
                <w:p>
                  <w:pPr>
                    <w:tabs>
                      <w:tab w:val="left" w:pos="5250"/>
                    </w:tabs>
                    <w:adjustRightInd w:val="0"/>
                    <w:snapToGrid w:val="0"/>
                    <w:jc w:val="center"/>
                    <w:rPr>
                      <w:bCs/>
                      <w:color w:val="000000"/>
                      <w:szCs w:val="21"/>
                    </w:rPr>
                  </w:pPr>
                  <w:r>
                    <w:rPr>
                      <w:rFonts w:hint="eastAsia"/>
                      <w:bCs/>
                      <w:color w:val="000000"/>
                      <w:szCs w:val="21"/>
                    </w:rPr>
                    <w:t>产噪设备合理布局；在风机出口加装消声装置，安装基础减振、隔声等降噪措施，设备定期维护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58" w:type="dxa"/>
                  <w:vMerge w:val="continue"/>
                  <w:vAlign w:val="center"/>
                </w:tcPr>
                <w:p>
                  <w:pPr>
                    <w:tabs>
                      <w:tab w:val="left" w:pos="5250"/>
                    </w:tabs>
                    <w:adjustRightInd w:val="0"/>
                    <w:snapToGrid w:val="0"/>
                    <w:jc w:val="center"/>
                    <w:rPr>
                      <w:bCs/>
                      <w:color w:val="000000"/>
                      <w:szCs w:val="21"/>
                    </w:rPr>
                  </w:pPr>
                </w:p>
              </w:tc>
              <w:tc>
                <w:tcPr>
                  <w:tcW w:w="927" w:type="dxa"/>
                  <w:vMerge w:val="restart"/>
                  <w:vAlign w:val="center"/>
                </w:tcPr>
                <w:p>
                  <w:pPr>
                    <w:tabs>
                      <w:tab w:val="left" w:pos="5250"/>
                    </w:tabs>
                    <w:adjustRightInd w:val="0"/>
                    <w:snapToGrid w:val="0"/>
                    <w:jc w:val="center"/>
                    <w:rPr>
                      <w:bCs/>
                      <w:color w:val="000000"/>
                      <w:szCs w:val="21"/>
                    </w:rPr>
                  </w:pPr>
                  <w:r>
                    <w:rPr>
                      <w:bCs/>
                      <w:color w:val="000000"/>
                      <w:szCs w:val="21"/>
                    </w:rPr>
                    <w:t>固废治理措施</w:t>
                  </w:r>
                </w:p>
              </w:tc>
              <w:tc>
                <w:tcPr>
                  <w:tcW w:w="1435" w:type="dxa"/>
                  <w:vAlign w:val="center"/>
                </w:tcPr>
                <w:p>
                  <w:pPr>
                    <w:tabs>
                      <w:tab w:val="left" w:pos="5250"/>
                    </w:tabs>
                    <w:adjustRightInd w:val="0"/>
                    <w:snapToGrid w:val="0"/>
                    <w:jc w:val="center"/>
                    <w:rPr>
                      <w:bCs/>
                      <w:color w:val="000000"/>
                      <w:szCs w:val="21"/>
                    </w:rPr>
                  </w:pPr>
                  <w:r>
                    <w:rPr>
                      <w:bCs/>
                      <w:color w:val="000000"/>
                      <w:szCs w:val="21"/>
                    </w:rPr>
                    <w:t>职工生活垃圾</w:t>
                  </w:r>
                </w:p>
              </w:tc>
              <w:tc>
                <w:tcPr>
                  <w:tcW w:w="5984" w:type="dxa"/>
                  <w:gridSpan w:val="2"/>
                  <w:vAlign w:val="center"/>
                </w:tcPr>
                <w:p>
                  <w:pPr>
                    <w:snapToGrid w:val="0"/>
                    <w:jc w:val="center"/>
                    <w:rPr>
                      <w:bCs/>
                      <w:color w:val="000000"/>
                      <w:szCs w:val="21"/>
                    </w:rPr>
                  </w:pPr>
                  <w:r>
                    <w:rPr>
                      <w:rFonts w:hint="eastAsia"/>
                      <w:bCs/>
                      <w:color w:val="000000"/>
                      <w:szCs w:val="21"/>
                    </w:rPr>
                    <w:t>分类收集后交由环卫部门运至垃圾中转站进行处理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58" w:type="dxa"/>
                  <w:vMerge w:val="continue"/>
                  <w:vAlign w:val="center"/>
                </w:tcPr>
                <w:p>
                  <w:pPr>
                    <w:tabs>
                      <w:tab w:val="left" w:pos="5250"/>
                    </w:tabs>
                    <w:adjustRightInd w:val="0"/>
                    <w:snapToGrid w:val="0"/>
                    <w:jc w:val="center"/>
                    <w:rPr>
                      <w:bCs/>
                      <w:color w:val="000000"/>
                      <w:szCs w:val="21"/>
                    </w:rPr>
                  </w:pPr>
                </w:p>
              </w:tc>
              <w:tc>
                <w:tcPr>
                  <w:tcW w:w="927" w:type="dxa"/>
                  <w:vMerge w:val="continue"/>
                  <w:vAlign w:val="center"/>
                </w:tcPr>
                <w:p>
                  <w:pPr>
                    <w:tabs>
                      <w:tab w:val="left" w:pos="5250"/>
                    </w:tabs>
                    <w:adjustRightInd w:val="0"/>
                    <w:snapToGrid w:val="0"/>
                    <w:jc w:val="center"/>
                    <w:rPr>
                      <w:bCs/>
                      <w:color w:val="000000"/>
                      <w:szCs w:val="21"/>
                    </w:rPr>
                  </w:pPr>
                </w:p>
              </w:tc>
              <w:tc>
                <w:tcPr>
                  <w:tcW w:w="1435" w:type="dxa"/>
                  <w:vAlign w:val="center"/>
                </w:tcPr>
                <w:p>
                  <w:pPr>
                    <w:adjustRightInd w:val="0"/>
                    <w:snapToGrid w:val="0"/>
                    <w:jc w:val="center"/>
                    <w:rPr>
                      <w:bCs/>
                      <w:color w:val="000000"/>
                      <w:szCs w:val="21"/>
                    </w:rPr>
                  </w:pPr>
                  <w:r>
                    <w:rPr>
                      <w:rFonts w:hint="eastAsia"/>
                      <w:color w:val="000000"/>
                      <w:szCs w:val="21"/>
                    </w:rPr>
                    <w:t>废包装材料</w:t>
                  </w:r>
                </w:p>
              </w:tc>
              <w:tc>
                <w:tcPr>
                  <w:tcW w:w="5984" w:type="dxa"/>
                  <w:gridSpan w:val="2"/>
                  <w:vAlign w:val="center"/>
                </w:tcPr>
                <w:p>
                  <w:pPr>
                    <w:adjustRightInd w:val="0"/>
                    <w:snapToGrid w:val="0"/>
                    <w:jc w:val="center"/>
                    <w:rPr>
                      <w:color w:val="000000"/>
                      <w:szCs w:val="21"/>
                    </w:rPr>
                  </w:pPr>
                  <w:r>
                    <w:rPr>
                      <w:rFonts w:hint="eastAsia"/>
                      <w:bCs/>
                      <w:color w:val="000000"/>
                      <w:szCs w:val="21"/>
                    </w:rPr>
                    <w:t>集中收集后外售给废品回收站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58" w:type="dxa"/>
                  <w:vMerge w:val="continue"/>
                  <w:vAlign w:val="center"/>
                </w:tcPr>
                <w:p>
                  <w:pPr>
                    <w:tabs>
                      <w:tab w:val="left" w:pos="5250"/>
                    </w:tabs>
                    <w:adjustRightInd w:val="0"/>
                    <w:snapToGrid w:val="0"/>
                    <w:jc w:val="center"/>
                    <w:rPr>
                      <w:bCs/>
                      <w:color w:val="000000"/>
                      <w:szCs w:val="21"/>
                    </w:rPr>
                  </w:pPr>
                </w:p>
              </w:tc>
              <w:tc>
                <w:tcPr>
                  <w:tcW w:w="927" w:type="dxa"/>
                  <w:vMerge w:val="continue"/>
                  <w:vAlign w:val="center"/>
                </w:tcPr>
                <w:p>
                  <w:pPr>
                    <w:tabs>
                      <w:tab w:val="left" w:pos="5250"/>
                    </w:tabs>
                    <w:adjustRightInd w:val="0"/>
                    <w:snapToGrid w:val="0"/>
                    <w:jc w:val="center"/>
                    <w:rPr>
                      <w:bCs/>
                      <w:color w:val="000000"/>
                      <w:szCs w:val="21"/>
                    </w:rPr>
                  </w:pPr>
                </w:p>
              </w:tc>
              <w:tc>
                <w:tcPr>
                  <w:tcW w:w="1435" w:type="dxa"/>
                  <w:vAlign w:val="center"/>
                </w:tcPr>
                <w:p>
                  <w:pPr>
                    <w:adjustRightInd w:val="0"/>
                    <w:snapToGrid w:val="0"/>
                    <w:jc w:val="center"/>
                    <w:rPr>
                      <w:bCs/>
                      <w:szCs w:val="21"/>
                    </w:rPr>
                  </w:pPr>
                  <w:r>
                    <w:rPr>
                      <w:rFonts w:hint="eastAsia"/>
                      <w:bCs/>
                      <w:szCs w:val="21"/>
                    </w:rPr>
                    <w:t>化粪池污泥</w:t>
                  </w:r>
                </w:p>
              </w:tc>
              <w:tc>
                <w:tcPr>
                  <w:tcW w:w="5984" w:type="dxa"/>
                  <w:gridSpan w:val="2"/>
                  <w:vAlign w:val="center"/>
                </w:tcPr>
                <w:p>
                  <w:pPr>
                    <w:tabs>
                      <w:tab w:val="left" w:pos="5250"/>
                    </w:tabs>
                    <w:adjustRightInd w:val="0"/>
                    <w:snapToGrid w:val="0"/>
                    <w:jc w:val="center"/>
                    <w:rPr>
                      <w:bCs/>
                      <w:color w:val="0B02BE"/>
                      <w:szCs w:val="21"/>
                      <w:u w:val="single"/>
                    </w:rPr>
                  </w:pPr>
                  <w:r>
                    <w:rPr>
                      <w:rFonts w:hint="eastAsia"/>
                      <w:color w:val="000000"/>
                      <w:szCs w:val="21"/>
                    </w:rPr>
                    <w:t>定期清掏农田施肥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58" w:type="dxa"/>
                  <w:vMerge w:val="continue"/>
                  <w:vAlign w:val="center"/>
                </w:tcPr>
                <w:p>
                  <w:pPr>
                    <w:tabs>
                      <w:tab w:val="left" w:pos="5250"/>
                    </w:tabs>
                    <w:adjustRightInd w:val="0"/>
                    <w:snapToGrid w:val="0"/>
                    <w:jc w:val="center"/>
                    <w:rPr>
                      <w:bCs/>
                      <w:color w:val="000000"/>
                      <w:szCs w:val="21"/>
                    </w:rPr>
                  </w:pPr>
                </w:p>
              </w:tc>
              <w:tc>
                <w:tcPr>
                  <w:tcW w:w="927" w:type="dxa"/>
                  <w:vMerge w:val="continue"/>
                  <w:vAlign w:val="center"/>
                </w:tcPr>
                <w:p>
                  <w:pPr>
                    <w:tabs>
                      <w:tab w:val="left" w:pos="5250"/>
                    </w:tabs>
                    <w:adjustRightInd w:val="0"/>
                    <w:snapToGrid w:val="0"/>
                    <w:jc w:val="center"/>
                    <w:rPr>
                      <w:bCs/>
                      <w:color w:val="000000"/>
                      <w:szCs w:val="21"/>
                    </w:rPr>
                  </w:pPr>
                </w:p>
              </w:tc>
              <w:tc>
                <w:tcPr>
                  <w:tcW w:w="1435" w:type="dxa"/>
                  <w:vAlign w:val="center"/>
                </w:tcPr>
                <w:p>
                  <w:pPr>
                    <w:adjustRightInd w:val="0"/>
                    <w:snapToGrid w:val="0"/>
                    <w:jc w:val="center"/>
                    <w:rPr>
                      <w:bCs/>
                      <w:color w:val="000000"/>
                      <w:szCs w:val="21"/>
                    </w:rPr>
                  </w:pPr>
                  <w:r>
                    <w:rPr>
                      <w:rFonts w:hint="eastAsia"/>
                      <w:color w:val="000000"/>
                      <w:szCs w:val="21"/>
                    </w:rPr>
                    <w:t>除尘器粉尘</w:t>
                  </w:r>
                </w:p>
              </w:tc>
              <w:tc>
                <w:tcPr>
                  <w:tcW w:w="5984" w:type="dxa"/>
                  <w:gridSpan w:val="2"/>
                  <w:vAlign w:val="center"/>
                </w:tcPr>
                <w:p>
                  <w:pPr>
                    <w:jc w:val="center"/>
                    <w:rPr>
                      <w:color w:val="FF0000"/>
                      <w:szCs w:val="21"/>
                      <w:u w:val="single"/>
                    </w:rPr>
                  </w:pPr>
                  <w:r>
                    <w:rPr>
                      <w:rFonts w:hint="eastAsia"/>
                      <w:color w:val="FF0000"/>
                      <w:szCs w:val="21"/>
                      <w:u w:val="single"/>
                    </w:rPr>
                    <w:t>集中收集外售</w:t>
                  </w:r>
                </w:p>
              </w:tc>
            </w:tr>
          </w:tbl>
          <w:p>
            <w:pPr>
              <w:tabs>
                <w:tab w:val="left" w:pos="1081"/>
              </w:tabs>
              <w:adjustRightInd w:val="0"/>
              <w:snapToGrid w:val="0"/>
              <w:spacing w:line="360" w:lineRule="auto"/>
              <w:ind w:firstLine="482" w:firstLineChars="200"/>
              <w:jc w:val="left"/>
              <w:rPr>
                <w:rFonts w:eastAsiaTheme="minorEastAsia"/>
                <w:b/>
                <w:sz w:val="24"/>
                <w:szCs w:val="24"/>
              </w:rPr>
            </w:pPr>
            <w:r>
              <w:rPr>
                <w:rFonts w:eastAsiaTheme="minorEastAsia"/>
                <w:b/>
                <w:sz w:val="24"/>
                <w:szCs w:val="24"/>
              </w:rPr>
              <w:t>3、产品方案</w:t>
            </w:r>
          </w:p>
          <w:p>
            <w:pPr>
              <w:tabs>
                <w:tab w:val="left" w:pos="1081"/>
              </w:tabs>
              <w:adjustRightInd w:val="0"/>
              <w:snapToGrid w:val="0"/>
              <w:spacing w:line="360" w:lineRule="auto"/>
              <w:jc w:val="center"/>
              <w:rPr>
                <w:b/>
                <w:sz w:val="24"/>
                <w:szCs w:val="24"/>
              </w:rPr>
            </w:pPr>
            <w:r>
              <w:rPr>
                <w:b/>
                <w:sz w:val="24"/>
                <w:szCs w:val="24"/>
              </w:rPr>
              <w:t xml:space="preserve">表2-2    </w:t>
            </w:r>
            <w:r>
              <w:rPr>
                <w:rFonts w:hint="eastAsia"/>
                <w:b/>
                <w:sz w:val="24"/>
                <w:szCs w:val="24"/>
              </w:rPr>
              <w:t>本次项目</w:t>
            </w:r>
            <w:r>
              <w:rPr>
                <w:b/>
                <w:sz w:val="24"/>
                <w:szCs w:val="24"/>
              </w:rPr>
              <w:t>产品方案一览表</w:t>
            </w:r>
          </w:p>
          <w:tbl>
            <w:tblPr>
              <w:tblStyle w:val="26"/>
              <w:tblW w:w="90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6"/>
              <w:gridCol w:w="2764"/>
              <w:gridCol w:w="2579"/>
              <w:gridCol w:w="25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86" w:type="dxa"/>
                </w:tcPr>
                <w:p>
                  <w:pPr>
                    <w:tabs>
                      <w:tab w:val="left" w:pos="5250"/>
                    </w:tabs>
                    <w:adjustRightInd w:val="0"/>
                    <w:snapToGrid w:val="0"/>
                    <w:spacing w:line="400" w:lineRule="exact"/>
                    <w:jc w:val="center"/>
                    <w:rPr>
                      <w:bCs/>
                      <w:color w:val="000000"/>
                      <w:szCs w:val="21"/>
                    </w:rPr>
                  </w:pPr>
                  <w:r>
                    <w:rPr>
                      <w:rFonts w:hint="eastAsia"/>
                      <w:bCs/>
                      <w:color w:val="000000"/>
                      <w:szCs w:val="21"/>
                    </w:rPr>
                    <w:t>序号</w:t>
                  </w:r>
                </w:p>
              </w:tc>
              <w:tc>
                <w:tcPr>
                  <w:tcW w:w="2764" w:type="dxa"/>
                  <w:vAlign w:val="center"/>
                </w:tcPr>
                <w:p>
                  <w:pPr>
                    <w:tabs>
                      <w:tab w:val="left" w:pos="5250"/>
                    </w:tabs>
                    <w:adjustRightInd w:val="0"/>
                    <w:snapToGrid w:val="0"/>
                    <w:spacing w:line="400" w:lineRule="exact"/>
                    <w:jc w:val="center"/>
                    <w:rPr>
                      <w:bCs/>
                      <w:color w:val="000000"/>
                      <w:szCs w:val="21"/>
                    </w:rPr>
                  </w:pPr>
                  <w:r>
                    <w:rPr>
                      <w:bCs/>
                      <w:color w:val="000000"/>
                      <w:szCs w:val="21"/>
                    </w:rPr>
                    <w:t>产品名称</w:t>
                  </w:r>
                </w:p>
              </w:tc>
              <w:tc>
                <w:tcPr>
                  <w:tcW w:w="2579" w:type="dxa"/>
                  <w:vAlign w:val="center"/>
                </w:tcPr>
                <w:p>
                  <w:pPr>
                    <w:tabs>
                      <w:tab w:val="left" w:pos="5250"/>
                    </w:tabs>
                    <w:adjustRightInd w:val="0"/>
                    <w:snapToGrid w:val="0"/>
                    <w:spacing w:line="400" w:lineRule="exact"/>
                    <w:jc w:val="center"/>
                    <w:rPr>
                      <w:bCs/>
                      <w:color w:val="000000"/>
                      <w:szCs w:val="21"/>
                    </w:rPr>
                  </w:pPr>
                  <w:r>
                    <w:rPr>
                      <w:bCs/>
                      <w:color w:val="000000"/>
                      <w:szCs w:val="21"/>
                    </w:rPr>
                    <w:t>年产量</w:t>
                  </w:r>
                </w:p>
              </w:tc>
              <w:tc>
                <w:tcPr>
                  <w:tcW w:w="2575" w:type="dxa"/>
                  <w:vAlign w:val="center"/>
                </w:tcPr>
                <w:p>
                  <w:pPr>
                    <w:tabs>
                      <w:tab w:val="left" w:pos="5250"/>
                    </w:tabs>
                    <w:adjustRightInd w:val="0"/>
                    <w:snapToGrid w:val="0"/>
                    <w:spacing w:line="400" w:lineRule="exact"/>
                    <w:jc w:val="center"/>
                    <w:rPr>
                      <w:bCs/>
                      <w:color w:val="000000"/>
                      <w:szCs w:val="21"/>
                    </w:rPr>
                  </w:pPr>
                  <w:r>
                    <w:rPr>
                      <w:rFonts w:hint="eastAsia"/>
                      <w:bCs/>
                      <w:color w:val="00000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9" w:hRule="atLeast"/>
              </w:trPr>
              <w:tc>
                <w:tcPr>
                  <w:tcW w:w="1086" w:type="dxa"/>
                </w:tcPr>
                <w:p>
                  <w:pPr>
                    <w:tabs>
                      <w:tab w:val="left" w:pos="5250"/>
                    </w:tabs>
                    <w:adjustRightInd w:val="0"/>
                    <w:snapToGrid w:val="0"/>
                    <w:spacing w:line="400" w:lineRule="exact"/>
                    <w:jc w:val="center"/>
                    <w:rPr>
                      <w:bCs/>
                      <w:color w:val="000000"/>
                      <w:szCs w:val="21"/>
                    </w:rPr>
                  </w:pPr>
                  <w:r>
                    <w:rPr>
                      <w:rFonts w:hint="eastAsia"/>
                      <w:bCs/>
                      <w:color w:val="000000"/>
                      <w:szCs w:val="21"/>
                    </w:rPr>
                    <w:t>1</w:t>
                  </w:r>
                </w:p>
              </w:tc>
              <w:tc>
                <w:tcPr>
                  <w:tcW w:w="2764" w:type="dxa"/>
                  <w:vAlign w:val="center"/>
                </w:tcPr>
                <w:p>
                  <w:pPr>
                    <w:tabs>
                      <w:tab w:val="left" w:pos="5250"/>
                    </w:tabs>
                    <w:adjustRightInd w:val="0"/>
                    <w:snapToGrid w:val="0"/>
                    <w:spacing w:line="400" w:lineRule="exact"/>
                    <w:jc w:val="center"/>
                    <w:rPr>
                      <w:bCs/>
                      <w:color w:val="000000"/>
                      <w:szCs w:val="21"/>
                    </w:rPr>
                  </w:pPr>
                  <w:r>
                    <w:rPr>
                      <w:rFonts w:hint="eastAsia"/>
                      <w:bCs/>
                      <w:color w:val="000000"/>
                      <w:szCs w:val="21"/>
                    </w:rPr>
                    <w:t>艾绒</w:t>
                  </w:r>
                </w:p>
              </w:tc>
              <w:tc>
                <w:tcPr>
                  <w:tcW w:w="2579" w:type="dxa"/>
                  <w:vAlign w:val="center"/>
                </w:tcPr>
                <w:p>
                  <w:pPr>
                    <w:tabs>
                      <w:tab w:val="left" w:pos="5250"/>
                    </w:tabs>
                    <w:adjustRightInd w:val="0"/>
                    <w:snapToGrid w:val="0"/>
                    <w:spacing w:line="400" w:lineRule="exact"/>
                    <w:jc w:val="center"/>
                    <w:rPr>
                      <w:bCs/>
                      <w:color w:val="000000"/>
                      <w:szCs w:val="21"/>
                    </w:rPr>
                  </w:pPr>
                  <w:r>
                    <w:rPr>
                      <w:rFonts w:hint="eastAsia"/>
                      <w:bCs/>
                      <w:color w:val="000000"/>
                      <w:szCs w:val="21"/>
                    </w:rPr>
                    <w:t>20t</w:t>
                  </w:r>
                </w:p>
              </w:tc>
              <w:tc>
                <w:tcPr>
                  <w:tcW w:w="2575" w:type="dxa"/>
                  <w:vAlign w:val="center"/>
                </w:tcPr>
                <w:p>
                  <w:pPr>
                    <w:tabs>
                      <w:tab w:val="left" w:pos="5250"/>
                    </w:tabs>
                    <w:adjustRightInd w:val="0"/>
                    <w:snapToGrid w:val="0"/>
                    <w:spacing w:line="400" w:lineRule="exact"/>
                    <w:jc w:val="center"/>
                    <w:rPr>
                      <w:bCs/>
                      <w:color w:val="000000"/>
                      <w:szCs w:val="21"/>
                    </w:rPr>
                  </w:pPr>
                  <w:r>
                    <w:rPr>
                      <w:rFonts w:hint="eastAsia"/>
                      <w:szCs w:val="21"/>
                    </w:rPr>
                    <w:t>20kg/袋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9" w:hRule="atLeast"/>
              </w:trPr>
              <w:tc>
                <w:tcPr>
                  <w:tcW w:w="1086" w:type="dxa"/>
                </w:tcPr>
                <w:p>
                  <w:pPr>
                    <w:tabs>
                      <w:tab w:val="left" w:pos="5250"/>
                    </w:tabs>
                    <w:adjustRightInd w:val="0"/>
                    <w:snapToGrid w:val="0"/>
                    <w:spacing w:line="400" w:lineRule="exact"/>
                    <w:jc w:val="center"/>
                    <w:rPr>
                      <w:bCs/>
                      <w:color w:val="000000"/>
                      <w:szCs w:val="21"/>
                    </w:rPr>
                  </w:pPr>
                  <w:r>
                    <w:rPr>
                      <w:rFonts w:hint="eastAsia"/>
                      <w:bCs/>
                      <w:color w:val="000000"/>
                      <w:szCs w:val="21"/>
                    </w:rPr>
                    <w:t>2</w:t>
                  </w:r>
                </w:p>
              </w:tc>
              <w:tc>
                <w:tcPr>
                  <w:tcW w:w="2764" w:type="dxa"/>
                  <w:vAlign w:val="center"/>
                </w:tcPr>
                <w:p>
                  <w:pPr>
                    <w:tabs>
                      <w:tab w:val="left" w:pos="5250"/>
                    </w:tabs>
                    <w:adjustRightInd w:val="0"/>
                    <w:snapToGrid w:val="0"/>
                    <w:spacing w:line="400" w:lineRule="exact"/>
                    <w:jc w:val="center"/>
                    <w:rPr>
                      <w:bCs/>
                      <w:color w:val="000000"/>
                      <w:szCs w:val="21"/>
                    </w:rPr>
                  </w:pPr>
                  <w:r>
                    <w:rPr>
                      <w:rFonts w:hint="eastAsia"/>
                      <w:bCs/>
                      <w:color w:val="000000"/>
                      <w:szCs w:val="21"/>
                    </w:rPr>
                    <w:t>艾条</w:t>
                  </w:r>
                </w:p>
              </w:tc>
              <w:tc>
                <w:tcPr>
                  <w:tcW w:w="2579" w:type="dxa"/>
                  <w:vAlign w:val="center"/>
                </w:tcPr>
                <w:p>
                  <w:pPr>
                    <w:tabs>
                      <w:tab w:val="left" w:pos="5250"/>
                    </w:tabs>
                    <w:adjustRightInd w:val="0"/>
                    <w:snapToGrid w:val="0"/>
                    <w:spacing w:line="400" w:lineRule="exact"/>
                    <w:jc w:val="center"/>
                    <w:rPr>
                      <w:bCs/>
                      <w:color w:val="000000"/>
                      <w:szCs w:val="21"/>
                    </w:rPr>
                  </w:pPr>
                  <w:r>
                    <w:rPr>
                      <w:rFonts w:hint="eastAsia"/>
                      <w:bCs/>
                      <w:color w:val="000000"/>
                      <w:szCs w:val="21"/>
                    </w:rPr>
                    <w:t>30t</w:t>
                  </w:r>
                </w:p>
              </w:tc>
              <w:tc>
                <w:tcPr>
                  <w:tcW w:w="2575" w:type="dxa"/>
                  <w:vAlign w:val="center"/>
                </w:tcPr>
                <w:p>
                  <w:pPr>
                    <w:tabs>
                      <w:tab w:val="left" w:pos="5250"/>
                    </w:tabs>
                    <w:adjustRightInd w:val="0"/>
                    <w:snapToGrid w:val="0"/>
                    <w:spacing w:line="400" w:lineRule="exact"/>
                    <w:jc w:val="center"/>
                    <w:rPr>
                      <w:bCs/>
                      <w:color w:val="000000"/>
                      <w:szCs w:val="21"/>
                    </w:rPr>
                  </w:pPr>
                  <w:r>
                    <w:rPr>
                      <w:rFonts w:hint="eastAsia"/>
                      <w:szCs w:val="21"/>
                    </w:rPr>
                    <w:t>20kg/箱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9" w:hRule="atLeast"/>
              </w:trPr>
              <w:tc>
                <w:tcPr>
                  <w:tcW w:w="1086" w:type="dxa"/>
                </w:tcPr>
                <w:p>
                  <w:pPr>
                    <w:tabs>
                      <w:tab w:val="left" w:pos="5250"/>
                    </w:tabs>
                    <w:adjustRightInd w:val="0"/>
                    <w:snapToGrid w:val="0"/>
                    <w:spacing w:line="400" w:lineRule="exact"/>
                    <w:jc w:val="center"/>
                    <w:rPr>
                      <w:bCs/>
                      <w:color w:val="000000"/>
                      <w:szCs w:val="21"/>
                    </w:rPr>
                  </w:pPr>
                  <w:r>
                    <w:rPr>
                      <w:rFonts w:hint="eastAsia"/>
                      <w:bCs/>
                      <w:color w:val="000000"/>
                      <w:szCs w:val="21"/>
                    </w:rPr>
                    <w:t>3</w:t>
                  </w:r>
                </w:p>
              </w:tc>
              <w:tc>
                <w:tcPr>
                  <w:tcW w:w="2764" w:type="dxa"/>
                  <w:vAlign w:val="center"/>
                </w:tcPr>
                <w:p>
                  <w:pPr>
                    <w:tabs>
                      <w:tab w:val="left" w:pos="5250"/>
                    </w:tabs>
                    <w:adjustRightInd w:val="0"/>
                    <w:snapToGrid w:val="0"/>
                    <w:spacing w:line="400" w:lineRule="exact"/>
                    <w:jc w:val="center"/>
                    <w:rPr>
                      <w:bCs/>
                      <w:color w:val="000000"/>
                      <w:szCs w:val="21"/>
                    </w:rPr>
                  </w:pPr>
                  <w:r>
                    <w:rPr>
                      <w:rFonts w:hint="eastAsia"/>
                      <w:bCs/>
                      <w:color w:val="000000"/>
                      <w:szCs w:val="21"/>
                    </w:rPr>
                    <w:t>艾柱</w:t>
                  </w:r>
                </w:p>
              </w:tc>
              <w:tc>
                <w:tcPr>
                  <w:tcW w:w="2579" w:type="dxa"/>
                  <w:vAlign w:val="center"/>
                </w:tcPr>
                <w:p>
                  <w:pPr>
                    <w:tabs>
                      <w:tab w:val="left" w:pos="5250"/>
                    </w:tabs>
                    <w:adjustRightInd w:val="0"/>
                    <w:snapToGrid w:val="0"/>
                    <w:spacing w:line="400" w:lineRule="exact"/>
                    <w:jc w:val="center"/>
                    <w:rPr>
                      <w:bCs/>
                      <w:color w:val="000000"/>
                      <w:szCs w:val="21"/>
                    </w:rPr>
                  </w:pPr>
                  <w:r>
                    <w:rPr>
                      <w:rFonts w:hint="eastAsia"/>
                      <w:bCs/>
                      <w:color w:val="000000"/>
                      <w:szCs w:val="21"/>
                    </w:rPr>
                    <w:t>30t</w:t>
                  </w:r>
                </w:p>
              </w:tc>
              <w:tc>
                <w:tcPr>
                  <w:tcW w:w="2575" w:type="dxa"/>
                  <w:vAlign w:val="center"/>
                </w:tcPr>
                <w:p>
                  <w:pPr>
                    <w:tabs>
                      <w:tab w:val="left" w:pos="5250"/>
                    </w:tabs>
                    <w:adjustRightInd w:val="0"/>
                    <w:snapToGrid w:val="0"/>
                    <w:spacing w:line="400" w:lineRule="exact"/>
                    <w:jc w:val="center"/>
                    <w:rPr>
                      <w:bCs/>
                      <w:color w:val="000000"/>
                      <w:szCs w:val="21"/>
                    </w:rPr>
                  </w:pPr>
                  <w:r>
                    <w:rPr>
                      <w:rFonts w:hint="eastAsia"/>
                      <w:szCs w:val="21"/>
                    </w:rPr>
                    <w:t>20kg/箱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9" w:hRule="atLeast"/>
              </w:trPr>
              <w:tc>
                <w:tcPr>
                  <w:tcW w:w="1086" w:type="dxa"/>
                </w:tcPr>
                <w:p>
                  <w:pPr>
                    <w:tabs>
                      <w:tab w:val="left" w:pos="5250"/>
                    </w:tabs>
                    <w:adjustRightInd w:val="0"/>
                    <w:snapToGrid w:val="0"/>
                    <w:spacing w:line="400" w:lineRule="exact"/>
                    <w:jc w:val="center"/>
                    <w:rPr>
                      <w:bCs/>
                      <w:color w:val="000000"/>
                      <w:szCs w:val="21"/>
                    </w:rPr>
                  </w:pPr>
                  <w:r>
                    <w:rPr>
                      <w:rFonts w:hint="eastAsia"/>
                      <w:bCs/>
                      <w:color w:val="000000"/>
                      <w:szCs w:val="21"/>
                    </w:rPr>
                    <w:t>4</w:t>
                  </w:r>
                </w:p>
              </w:tc>
              <w:tc>
                <w:tcPr>
                  <w:tcW w:w="2764" w:type="dxa"/>
                  <w:vAlign w:val="center"/>
                </w:tcPr>
                <w:p>
                  <w:pPr>
                    <w:tabs>
                      <w:tab w:val="left" w:pos="5250"/>
                    </w:tabs>
                    <w:adjustRightInd w:val="0"/>
                    <w:snapToGrid w:val="0"/>
                    <w:spacing w:line="400" w:lineRule="exact"/>
                    <w:jc w:val="center"/>
                    <w:rPr>
                      <w:bCs/>
                      <w:color w:val="000000"/>
                      <w:szCs w:val="21"/>
                    </w:rPr>
                  </w:pPr>
                  <w:r>
                    <w:rPr>
                      <w:rFonts w:hint="eastAsia"/>
                      <w:bCs/>
                      <w:color w:val="000000"/>
                      <w:szCs w:val="21"/>
                    </w:rPr>
                    <w:t>泡脚包</w:t>
                  </w:r>
                </w:p>
              </w:tc>
              <w:tc>
                <w:tcPr>
                  <w:tcW w:w="2579" w:type="dxa"/>
                  <w:vAlign w:val="center"/>
                </w:tcPr>
                <w:p>
                  <w:pPr>
                    <w:tabs>
                      <w:tab w:val="left" w:pos="5250"/>
                    </w:tabs>
                    <w:adjustRightInd w:val="0"/>
                    <w:snapToGrid w:val="0"/>
                    <w:spacing w:line="400" w:lineRule="exact"/>
                    <w:jc w:val="center"/>
                    <w:rPr>
                      <w:bCs/>
                      <w:color w:val="000000"/>
                      <w:szCs w:val="21"/>
                    </w:rPr>
                  </w:pPr>
                  <w:r>
                    <w:rPr>
                      <w:rFonts w:hint="eastAsia"/>
                      <w:bCs/>
                      <w:color w:val="000000"/>
                      <w:szCs w:val="21"/>
                    </w:rPr>
                    <w:t>10t</w:t>
                  </w:r>
                </w:p>
              </w:tc>
              <w:tc>
                <w:tcPr>
                  <w:tcW w:w="2575" w:type="dxa"/>
                  <w:vAlign w:val="center"/>
                </w:tcPr>
                <w:p>
                  <w:pPr>
                    <w:tabs>
                      <w:tab w:val="left" w:pos="5250"/>
                    </w:tabs>
                    <w:adjustRightInd w:val="0"/>
                    <w:snapToGrid w:val="0"/>
                    <w:spacing w:line="400" w:lineRule="exact"/>
                    <w:jc w:val="center"/>
                    <w:rPr>
                      <w:bCs/>
                      <w:color w:val="000000"/>
                      <w:szCs w:val="21"/>
                    </w:rPr>
                  </w:pPr>
                  <w:r>
                    <w:rPr>
                      <w:rFonts w:hint="eastAsia"/>
                      <w:szCs w:val="21"/>
                    </w:rPr>
                    <w:t>10kg/箱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9" w:hRule="atLeast"/>
              </w:trPr>
              <w:tc>
                <w:tcPr>
                  <w:tcW w:w="1086" w:type="dxa"/>
                </w:tcPr>
                <w:p>
                  <w:pPr>
                    <w:tabs>
                      <w:tab w:val="left" w:pos="5250"/>
                    </w:tabs>
                    <w:adjustRightInd w:val="0"/>
                    <w:snapToGrid w:val="0"/>
                    <w:spacing w:line="400" w:lineRule="exact"/>
                    <w:jc w:val="center"/>
                    <w:rPr>
                      <w:bCs/>
                      <w:color w:val="000000"/>
                      <w:szCs w:val="21"/>
                    </w:rPr>
                  </w:pPr>
                  <w:r>
                    <w:rPr>
                      <w:rFonts w:hint="eastAsia"/>
                      <w:bCs/>
                      <w:color w:val="000000"/>
                      <w:szCs w:val="21"/>
                    </w:rPr>
                    <w:t>5</w:t>
                  </w:r>
                </w:p>
              </w:tc>
              <w:tc>
                <w:tcPr>
                  <w:tcW w:w="2764" w:type="dxa"/>
                  <w:vAlign w:val="center"/>
                </w:tcPr>
                <w:p>
                  <w:pPr>
                    <w:tabs>
                      <w:tab w:val="left" w:pos="5250"/>
                    </w:tabs>
                    <w:adjustRightInd w:val="0"/>
                    <w:snapToGrid w:val="0"/>
                    <w:spacing w:line="400" w:lineRule="exact"/>
                    <w:jc w:val="center"/>
                    <w:rPr>
                      <w:bCs/>
                      <w:color w:val="000000"/>
                      <w:szCs w:val="21"/>
                    </w:rPr>
                  </w:pPr>
                  <w:r>
                    <w:rPr>
                      <w:rFonts w:hint="eastAsia"/>
                      <w:bCs/>
                      <w:color w:val="000000"/>
                      <w:szCs w:val="21"/>
                    </w:rPr>
                    <w:t>艾制布艺</w:t>
                  </w:r>
                </w:p>
              </w:tc>
              <w:tc>
                <w:tcPr>
                  <w:tcW w:w="2579" w:type="dxa"/>
                  <w:vAlign w:val="center"/>
                </w:tcPr>
                <w:p>
                  <w:pPr>
                    <w:tabs>
                      <w:tab w:val="left" w:pos="5250"/>
                    </w:tabs>
                    <w:adjustRightInd w:val="0"/>
                    <w:snapToGrid w:val="0"/>
                    <w:spacing w:line="400" w:lineRule="exact"/>
                    <w:jc w:val="center"/>
                    <w:rPr>
                      <w:bCs/>
                      <w:color w:val="000000"/>
                      <w:szCs w:val="21"/>
                    </w:rPr>
                  </w:pPr>
                  <w:r>
                    <w:rPr>
                      <w:rFonts w:hint="eastAsia"/>
                      <w:bCs/>
                      <w:color w:val="000000"/>
                      <w:szCs w:val="21"/>
                    </w:rPr>
                    <w:t>10t</w:t>
                  </w:r>
                </w:p>
              </w:tc>
              <w:tc>
                <w:tcPr>
                  <w:tcW w:w="2575" w:type="dxa"/>
                  <w:vAlign w:val="center"/>
                </w:tcPr>
                <w:p>
                  <w:pPr>
                    <w:tabs>
                      <w:tab w:val="left" w:pos="5250"/>
                    </w:tabs>
                    <w:adjustRightInd w:val="0"/>
                    <w:snapToGrid w:val="0"/>
                    <w:spacing w:line="400" w:lineRule="exact"/>
                    <w:jc w:val="center"/>
                    <w:rPr>
                      <w:szCs w:val="21"/>
                    </w:rPr>
                  </w:pPr>
                  <w:r>
                    <w:rPr>
                      <w:rFonts w:hint="eastAsia"/>
                      <w:szCs w:val="21"/>
                    </w:rPr>
                    <w:t>主要为枕头、抱枕等</w:t>
                  </w:r>
                </w:p>
              </w:tc>
            </w:tr>
          </w:tbl>
          <w:p>
            <w:pPr>
              <w:tabs>
                <w:tab w:val="left" w:pos="1081"/>
              </w:tabs>
              <w:adjustRightInd w:val="0"/>
              <w:snapToGrid w:val="0"/>
              <w:spacing w:line="360" w:lineRule="auto"/>
              <w:ind w:firstLine="482" w:firstLineChars="200"/>
              <w:jc w:val="left"/>
              <w:rPr>
                <w:rFonts w:eastAsiaTheme="minorEastAsia"/>
                <w:b/>
                <w:color w:val="FF0000"/>
                <w:sz w:val="24"/>
                <w:szCs w:val="24"/>
                <w:u w:val="single"/>
              </w:rPr>
            </w:pPr>
            <w:r>
              <w:rPr>
                <w:rFonts w:hint="eastAsia" w:eastAsiaTheme="minorEastAsia"/>
                <w:b/>
                <w:color w:val="FF0000"/>
                <w:sz w:val="24"/>
                <w:szCs w:val="24"/>
                <w:u w:val="single"/>
              </w:rPr>
              <w:t>注:项目艾粉总产生157.92888t/a，泡脚包、艾制布艺用艾粉量为20t/a，剩余艾粉直接包装作为副产品外售。</w:t>
            </w:r>
          </w:p>
          <w:p>
            <w:pPr>
              <w:tabs>
                <w:tab w:val="left" w:pos="1081"/>
              </w:tabs>
              <w:adjustRightInd w:val="0"/>
              <w:snapToGrid w:val="0"/>
              <w:spacing w:line="360" w:lineRule="auto"/>
              <w:ind w:firstLine="482" w:firstLineChars="200"/>
              <w:jc w:val="left"/>
              <w:rPr>
                <w:rFonts w:eastAsiaTheme="minorEastAsia"/>
                <w:b/>
                <w:sz w:val="24"/>
                <w:szCs w:val="24"/>
              </w:rPr>
            </w:pPr>
            <w:r>
              <w:rPr>
                <w:rFonts w:eastAsiaTheme="minorEastAsia"/>
                <w:b/>
                <w:sz w:val="24"/>
                <w:szCs w:val="24"/>
              </w:rPr>
              <w:t>4、主要生产设备</w:t>
            </w:r>
          </w:p>
          <w:p>
            <w:pPr>
              <w:tabs>
                <w:tab w:val="left" w:pos="1081"/>
              </w:tabs>
              <w:adjustRightInd w:val="0"/>
              <w:snapToGrid w:val="0"/>
              <w:spacing w:line="360" w:lineRule="auto"/>
              <w:ind w:firstLine="480" w:firstLineChars="200"/>
              <w:jc w:val="left"/>
              <w:rPr>
                <w:b/>
                <w:bCs/>
              </w:rPr>
            </w:pPr>
            <w:r>
              <w:rPr>
                <w:sz w:val="24"/>
                <w:szCs w:val="24"/>
              </w:rPr>
              <w:t>本项目主要生产设备见表2-</w:t>
            </w:r>
            <w:r>
              <w:rPr>
                <w:rFonts w:hint="eastAsia"/>
                <w:sz w:val="24"/>
                <w:szCs w:val="24"/>
              </w:rPr>
              <w:t>3</w:t>
            </w:r>
            <w:r>
              <w:rPr>
                <w:sz w:val="24"/>
                <w:szCs w:val="24"/>
              </w:rPr>
              <w:t>。</w:t>
            </w:r>
          </w:p>
          <w:p>
            <w:pPr>
              <w:tabs>
                <w:tab w:val="left" w:pos="1081"/>
              </w:tabs>
              <w:adjustRightInd w:val="0"/>
              <w:snapToGrid w:val="0"/>
              <w:spacing w:line="360" w:lineRule="auto"/>
              <w:jc w:val="center"/>
              <w:rPr>
                <w:b/>
                <w:sz w:val="24"/>
                <w:szCs w:val="24"/>
              </w:rPr>
            </w:pPr>
            <w:r>
              <w:rPr>
                <w:b/>
                <w:sz w:val="24"/>
                <w:szCs w:val="24"/>
              </w:rPr>
              <w:t>表2-</w:t>
            </w:r>
            <w:r>
              <w:rPr>
                <w:rFonts w:hint="eastAsia"/>
                <w:b/>
                <w:sz w:val="24"/>
                <w:szCs w:val="24"/>
              </w:rPr>
              <w:t>3</w:t>
            </w:r>
            <w:r>
              <w:rPr>
                <w:b/>
                <w:sz w:val="24"/>
                <w:szCs w:val="24"/>
              </w:rPr>
              <w:t xml:space="preserve">     项目主要生产设备一览表</w:t>
            </w:r>
            <w:r>
              <w:rPr>
                <w:rFonts w:hint="eastAsia"/>
                <w:b/>
                <w:sz w:val="24"/>
                <w:szCs w:val="24"/>
              </w:rPr>
              <w:t xml:space="preserve">  单位：台/个/套</w:t>
            </w:r>
          </w:p>
          <w:tbl>
            <w:tblPr>
              <w:tblStyle w:val="26"/>
              <w:tblpPr w:leftFromText="180" w:rightFromText="180" w:vertAnchor="text" w:horzAnchor="margin" w:tblpY="114"/>
              <w:tblOverlap w:val="never"/>
              <w:tblW w:w="90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1"/>
              <w:gridCol w:w="1882"/>
              <w:gridCol w:w="1410"/>
              <w:gridCol w:w="1568"/>
              <w:gridCol w:w="34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31" w:type="dxa"/>
                  <w:vAlign w:val="center"/>
                </w:tcPr>
                <w:p>
                  <w:pPr>
                    <w:adjustRightInd w:val="0"/>
                    <w:spacing w:line="360" w:lineRule="exact"/>
                    <w:jc w:val="center"/>
                    <w:rPr>
                      <w:bCs/>
                      <w:szCs w:val="21"/>
                    </w:rPr>
                  </w:pPr>
                  <w:r>
                    <w:rPr>
                      <w:bCs/>
                      <w:szCs w:val="21"/>
                    </w:rPr>
                    <w:t>序号</w:t>
                  </w:r>
                </w:p>
              </w:tc>
              <w:tc>
                <w:tcPr>
                  <w:tcW w:w="1882" w:type="dxa"/>
                  <w:vAlign w:val="center"/>
                </w:tcPr>
                <w:p>
                  <w:pPr>
                    <w:adjustRightInd w:val="0"/>
                    <w:spacing w:line="360" w:lineRule="exact"/>
                    <w:jc w:val="center"/>
                    <w:rPr>
                      <w:bCs/>
                      <w:szCs w:val="21"/>
                    </w:rPr>
                  </w:pPr>
                  <w:r>
                    <w:rPr>
                      <w:bCs/>
                      <w:szCs w:val="21"/>
                    </w:rPr>
                    <w:t>设备名称</w:t>
                  </w:r>
                </w:p>
              </w:tc>
              <w:tc>
                <w:tcPr>
                  <w:tcW w:w="1410" w:type="dxa"/>
                  <w:vAlign w:val="center"/>
                </w:tcPr>
                <w:p>
                  <w:pPr>
                    <w:adjustRightInd w:val="0"/>
                    <w:spacing w:line="360" w:lineRule="exact"/>
                    <w:jc w:val="center"/>
                    <w:rPr>
                      <w:bCs/>
                      <w:szCs w:val="21"/>
                    </w:rPr>
                  </w:pPr>
                  <w:r>
                    <w:rPr>
                      <w:rFonts w:hint="eastAsia"/>
                      <w:bCs/>
                      <w:szCs w:val="21"/>
                    </w:rPr>
                    <w:t>单台加工能力</w:t>
                  </w:r>
                </w:p>
              </w:tc>
              <w:tc>
                <w:tcPr>
                  <w:tcW w:w="1568" w:type="dxa"/>
                </w:tcPr>
                <w:p>
                  <w:pPr>
                    <w:adjustRightInd w:val="0"/>
                    <w:spacing w:line="360" w:lineRule="exact"/>
                    <w:jc w:val="center"/>
                    <w:rPr>
                      <w:bCs/>
                      <w:szCs w:val="21"/>
                    </w:rPr>
                  </w:pPr>
                  <w:r>
                    <w:rPr>
                      <w:bCs/>
                      <w:szCs w:val="21"/>
                    </w:rPr>
                    <w:t>数量（台/套）</w:t>
                  </w:r>
                </w:p>
              </w:tc>
              <w:tc>
                <w:tcPr>
                  <w:tcW w:w="3413" w:type="dxa"/>
                </w:tcPr>
                <w:p>
                  <w:pPr>
                    <w:adjustRightInd w:val="0"/>
                    <w:spacing w:line="360" w:lineRule="exact"/>
                    <w:jc w:val="center"/>
                    <w:rPr>
                      <w:bCs/>
                      <w:szCs w:val="21"/>
                    </w:rPr>
                  </w:pPr>
                  <w:r>
                    <w:rPr>
                      <w:bCs/>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31" w:type="dxa"/>
                  <w:vAlign w:val="center"/>
                </w:tcPr>
                <w:p>
                  <w:pPr>
                    <w:adjustRightInd w:val="0"/>
                    <w:spacing w:line="360" w:lineRule="exact"/>
                    <w:jc w:val="center"/>
                    <w:rPr>
                      <w:bCs/>
                      <w:szCs w:val="21"/>
                    </w:rPr>
                  </w:pPr>
                  <w:r>
                    <w:rPr>
                      <w:bCs/>
                      <w:szCs w:val="21"/>
                    </w:rPr>
                    <w:t>1</w:t>
                  </w:r>
                </w:p>
              </w:tc>
              <w:tc>
                <w:tcPr>
                  <w:tcW w:w="1882" w:type="dxa"/>
                  <w:vAlign w:val="center"/>
                </w:tcPr>
                <w:p>
                  <w:pPr>
                    <w:adjustRightInd w:val="0"/>
                    <w:spacing w:line="360" w:lineRule="exact"/>
                    <w:jc w:val="center"/>
                    <w:rPr>
                      <w:bCs/>
                      <w:szCs w:val="21"/>
                    </w:rPr>
                  </w:pPr>
                  <w:r>
                    <w:rPr>
                      <w:rFonts w:hint="eastAsia"/>
                      <w:bCs/>
                      <w:szCs w:val="21"/>
                    </w:rPr>
                    <w:t>破捆机</w:t>
                  </w:r>
                </w:p>
              </w:tc>
              <w:tc>
                <w:tcPr>
                  <w:tcW w:w="1410" w:type="dxa"/>
                  <w:vAlign w:val="center"/>
                </w:tcPr>
                <w:p>
                  <w:pPr>
                    <w:adjustRightInd w:val="0"/>
                    <w:spacing w:line="360" w:lineRule="exact"/>
                    <w:jc w:val="center"/>
                    <w:rPr>
                      <w:bCs/>
                      <w:szCs w:val="21"/>
                    </w:rPr>
                  </w:pPr>
                  <w:r>
                    <w:rPr>
                      <w:rFonts w:hint="eastAsia"/>
                      <w:bCs/>
                      <w:szCs w:val="21"/>
                    </w:rPr>
                    <w:t>0.2t/h</w:t>
                  </w:r>
                </w:p>
              </w:tc>
              <w:tc>
                <w:tcPr>
                  <w:tcW w:w="1568" w:type="dxa"/>
                </w:tcPr>
                <w:p>
                  <w:pPr>
                    <w:adjustRightInd w:val="0"/>
                    <w:spacing w:line="360" w:lineRule="exact"/>
                    <w:jc w:val="center"/>
                    <w:rPr>
                      <w:bCs/>
                      <w:szCs w:val="21"/>
                    </w:rPr>
                  </w:pPr>
                  <w:r>
                    <w:rPr>
                      <w:rFonts w:hint="eastAsia"/>
                      <w:bCs/>
                      <w:szCs w:val="21"/>
                    </w:rPr>
                    <w:t>1</w:t>
                  </w:r>
                </w:p>
              </w:tc>
              <w:tc>
                <w:tcPr>
                  <w:tcW w:w="3413" w:type="dxa"/>
                  <w:vAlign w:val="center"/>
                </w:tcPr>
                <w:p>
                  <w:pPr>
                    <w:adjustRightInd w:val="0"/>
                    <w:spacing w:line="360" w:lineRule="exact"/>
                    <w:jc w:val="center"/>
                    <w:rPr>
                      <w:bCs/>
                      <w:szCs w:val="21"/>
                    </w:rPr>
                  </w:pPr>
                  <w:r>
                    <w:rPr>
                      <w:bCs/>
                      <w:szCs w:val="21"/>
                    </w:rPr>
                    <w:t>外购</w:t>
                  </w:r>
                  <w:r>
                    <w:rPr>
                      <w:rFonts w:hint="eastAsia"/>
                      <w:bCs/>
                      <w:szCs w:val="21"/>
                    </w:rPr>
                    <w:t>，将压成捆的艾草打散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31" w:type="dxa"/>
                  <w:vAlign w:val="center"/>
                </w:tcPr>
                <w:p>
                  <w:pPr>
                    <w:adjustRightInd w:val="0"/>
                    <w:spacing w:line="360" w:lineRule="exact"/>
                    <w:jc w:val="center"/>
                    <w:rPr>
                      <w:bCs/>
                      <w:szCs w:val="21"/>
                    </w:rPr>
                  </w:pPr>
                  <w:r>
                    <w:rPr>
                      <w:rFonts w:hint="eastAsia"/>
                      <w:bCs/>
                      <w:szCs w:val="21"/>
                    </w:rPr>
                    <w:t>2</w:t>
                  </w:r>
                </w:p>
              </w:tc>
              <w:tc>
                <w:tcPr>
                  <w:tcW w:w="1882" w:type="dxa"/>
                  <w:vAlign w:val="center"/>
                </w:tcPr>
                <w:p>
                  <w:pPr>
                    <w:adjustRightInd w:val="0"/>
                    <w:spacing w:line="360" w:lineRule="exact"/>
                    <w:jc w:val="center"/>
                    <w:rPr>
                      <w:bCs/>
                      <w:szCs w:val="21"/>
                    </w:rPr>
                  </w:pPr>
                  <w:r>
                    <w:rPr>
                      <w:rFonts w:hint="eastAsia"/>
                      <w:bCs/>
                      <w:szCs w:val="21"/>
                    </w:rPr>
                    <w:t>粉碎提绒一体机</w:t>
                  </w:r>
                </w:p>
              </w:tc>
              <w:tc>
                <w:tcPr>
                  <w:tcW w:w="1410" w:type="dxa"/>
                  <w:vAlign w:val="center"/>
                </w:tcPr>
                <w:p>
                  <w:pPr>
                    <w:adjustRightInd w:val="0"/>
                    <w:spacing w:line="360" w:lineRule="exact"/>
                    <w:jc w:val="center"/>
                    <w:rPr>
                      <w:bCs/>
                      <w:szCs w:val="21"/>
                    </w:rPr>
                  </w:pPr>
                  <w:r>
                    <w:rPr>
                      <w:rFonts w:hint="eastAsia"/>
                      <w:bCs/>
                      <w:szCs w:val="21"/>
                    </w:rPr>
                    <w:t>0.03t/h</w:t>
                  </w:r>
                </w:p>
              </w:tc>
              <w:tc>
                <w:tcPr>
                  <w:tcW w:w="1568" w:type="dxa"/>
                  <w:vAlign w:val="center"/>
                </w:tcPr>
                <w:p>
                  <w:pPr>
                    <w:tabs>
                      <w:tab w:val="left" w:pos="557"/>
                      <w:tab w:val="center" w:pos="744"/>
                    </w:tabs>
                    <w:adjustRightInd w:val="0"/>
                    <w:spacing w:line="360" w:lineRule="exact"/>
                    <w:jc w:val="center"/>
                    <w:rPr>
                      <w:bCs/>
                      <w:szCs w:val="21"/>
                    </w:rPr>
                  </w:pPr>
                  <w:r>
                    <w:rPr>
                      <w:rFonts w:hint="eastAsia"/>
                      <w:bCs/>
                      <w:szCs w:val="21"/>
                    </w:rPr>
                    <w:t>5</w:t>
                  </w:r>
                </w:p>
              </w:tc>
              <w:tc>
                <w:tcPr>
                  <w:tcW w:w="3413" w:type="dxa"/>
                </w:tcPr>
                <w:p>
                  <w:pPr>
                    <w:adjustRightInd w:val="0"/>
                    <w:spacing w:line="360" w:lineRule="exact"/>
                    <w:jc w:val="center"/>
                    <w:rPr>
                      <w:bCs/>
                      <w:szCs w:val="21"/>
                    </w:rPr>
                  </w:pPr>
                  <w:r>
                    <w:rPr>
                      <w:rFonts w:hint="eastAsia"/>
                      <w:bCs/>
                      <w:szCs w:val="21"/>
                    </w:rPr>
                    <w:t>外购，包含艾绒筛分、提绒工序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31" w:type="dxa"/>
                  <w:vAlign w:val="center"/>
                </w:tcPr>
                <w:p>
                  <w:pPr>
                    <w:adjustRightInd w:val="0"/>
                    <w:spacing w:line="360" w:lineRule="exact"/>
                    <w:jc w:val="center"/>
                    <w:rPr>
                      <w:bCs/>
                      <w:szCs w:val="21"/>
                    </w:rPr>
                  </w:pPr>
                  <w:r>
                    <w:rPr>
                      <w:rFonts w:hint="eastAsia"/>
                      <w:bCs/>
                      <w:szCs w:val="21"/>
                    </w:rPr>
                    <w:t>3</w:t>
                  </w:r>
                </w:p>
              </w:tc>
              <w:tc>
                <w:tcPr>
                  <w:tcW w:w="1882" w:type="dxa"/>
                  <w:vAlign w:val="center"/>
                </w:tcPr>
                <w:p>
                  <w:pPr>
                    <w:adjustRightInd w:val="0"/>
                    <w:spacing w:line="360" w:lineRule="exact"/>
                    <w:jc w:val="center"/>
                    <w:rPr>
                      <w:bCs/>
                      <w:szCs w:val="21"/>
                    </w:rPr>
                  </w:pPr>
                  <w:r>
                    <w:rPr>
                      <w:rFonts w:hint="eastAsia"/>
                      <w:bCs/>
                      <w:szCs w:val="21"/>
                    </w:rPr>
                    <w:t>全自动卷条机</w:t>
                  </w:r>
                </w:p>
              </w:tc>
              <w:tc>
                <w:tcPr>
                  <w:tcW w:w="1410" w:type="dxa"/>
                  <w:vAlign w:val="center"/>
                </w:tcPr>
                <w:p>
                  <w:pPr>
                    <w:adjustRightInd w:val="0"/>
                    <w:spacing w:line="360" w:lineRule="exact"/>
                    <w:jc w:val="center"/>
                    <w:rPr>
                      <w:bCs/>
                      <w:szCs w:val="21"/>
                    </w:rPr>
                  </w:pPr>
                  <w:r>
                    <w:rPr>
                      <w:rFonts w:hint="eastAsia"/>
                      <w:bCs/>
                      <w:szCs w:val="21"/>
                    </w:rPr>
                    <w:t>0.01t/h</w:t>
                  </w:r>
                </w:p>
              </w:tc>
              <w:tc>
                <w:tcPr>
                  <w:tcW w:w="1568" w:type="dxa"/>
                </w:tcPr>
                <w:p>
                  <w:pPr>
                    <w:adjustRightInd w:val="0"/>
                    <w:spacing w:line="360" w:lineRule="exact"/>
                    <w:jc w:val="center"/>
                    <w:rPr>
                      <w:bCs/>
                      <w:szCs w:val="21"/>
                    </w:rPr>
                  </w:pPr>
                  <w:r>
                    <w:rPr>
                      <w:rFonts w:hint="eastAsia"/>
                      <w:bCs/>
                      <w:szCs w:val="21"/>
                    </w:rPr>
                    <w:t>2</w:t>
                  </w:r>
                </w:p>
              </w:tc>
              <w:tc>
                <w:tcPr>
                  <w:tcW w:w="3413" w:type="dxa"/>
                </w:tcPr>
                <w:p>
                  <w:pPr>
                    <w:adjustRightInd w:val="0"/>
                    <w:spacing w:line="360" w:lineRule="exact"/>
                    <w:jc w:val="center"/>
                    <w:rPr>
                      <w:bCs/>
                      <w:szCs w:val="21"/>
                    </w:rPr>
                  </w:pPr>
                  <w:r>
                    <w:rPr>
                      <w:rFonts w:hint="eastAsia"/>
                      <w:bCs/>
                      <w:szCs w:val="21"/>
                    </w:rPr>
                    <w:t>艾条卷制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31" w:type="dxa"/>
                  <w:vAlign w:val="center"/>
                </w:tcPr>
                <w:p>
                  <w:pPr>
                    <w:adjustRightInd w:val="0"/>
                    <w:spacing w:line="360" w:lineRule="exact"/>
                    <w:jc w:val="center"/>
                    <w:rPr>
                      <w:bCs/>
                      <w:szCs w:val="21"/>
                    </w:rPr>
                  </w:pPr>
                  <w:r>
                    <w:rPr>
                      <w:rFonts w:hint="eastAsia"/>
                      <w:bCs/>
                      <w:szCs w:val="21"/>
                    </w:rPr>
                    <w:t>4</w:t>
                  </w:r>
                </w:p>
              </w:tc>
              <w:tc>
                <w:tcPr>
                  <w:tcW w:w="1882" w:type="dxa"/>
                  <w:vAlign w:val="center"/>
                </w:tcPr>
                <w:p>
                  <w:pPr>
                    <w:adjustRightInd w:val="0"/>
                    <w:spacing w:line="360" w:lineRule="exact"/>
                    <w:jc w:val="center"/>
                    <w:rPr>
                      <w:bCs/>
                      <w:szCs w:val="21"/>
                    </w:rPr>
                  </w:pPr>
                  <w:r>
                    <w:rPr>
                      <w:rFonts w:hint="eastAsia"/>
                      <w:bCs/>
                      <w:szCs w:val="21"/>
                    </w:rPr>
                    <w:t>手动卷条机</w:t>
                  </w:r>
                </w:p>
              </w:tc>
              <w:tc>
                <w:tcPr>
                  <w:tcW w:w="1410" w:type="dxa"/>
                  <w:vAlign w:val="center"/>
                </w:tcPr>
                <w:p>
                  <w:pPr>
                    <w:adjustRightInd w:val="0"/>
                    <w:spacing w:line="360" w:lineRule="exact"/>
                    <w:jc w:val="center"/>
                    <w:rPr>
                      <w:bCs/>
                      <w:szCs w:val="21"/>
                    </w:rPr>
                  </w:pPr>
                  <w:r>
                    <w:rPr>
                      <w:rFonts w:hint="eastAsia"/>
                      <w:bCs/>
                      <w:szCs w:val="21"/>
                    </w:rPr>
                    <w:t>0.005t/h</w:t>
                  </w:r>
                </w:p>
              </w:tc>
              <w:tc>
                <w:tcPr>
                  <w:tcW w:w="1568" w:type="dxa"/>
                </w:tcPr>
                <w:p>
                  <w:pPr>
                    <w:adjustRightInd w:val="0"/>
                    <w:spacing w:line="360" w:lineRule="exact"/>
                    <w:jc w:val="center"/>
                    <w:rPr>
                      <w:bCs/>
                      <w:szCs w:val="21"/>
                    </w:rPr>
                  </w:pPr>
                  <w:r>
                    <w:rPr>
                      <w:rFonts w:hint="eastAsia"/>
                      <w:bCs/>
                      <w:szCs w:val="21"/>
                    </w:rPr>
                    <w:t>15</w:t>
                  </w:r>
                </w:p>
              </w:tc>
              <w:tc>
                <w:tcPr>
                  <w:tcW w:w="3413" w:type="dxa"/>
                </w:tcPr>
                <w:p>
                  <w:pPr>
                    <w:adjustRightInd w:val="0"/>
                    <w:spacing w:line="360" w:lineRule="exact"/>
                    <w:jc w:val="center"/>
                    <w:rPr>
                      <w:bCs/>
                      <w:szCs w:val="21"/>
                    </w:rPr>
                  </w:pPr>
                  <w:r>
                    <w:rPr>
                      <w:rFonts w:hint="eastAsia"/>
                      <w:bCs/>
                      <w:szCs w:val="21"/>
                    </w:rPr>
                    <w:t>艾条卷制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31" w:type="dxa"/>
                  <w:vAlign w:val="center"/>
                </w:tcPr>
                <w:p>
                  <w:pPr>
                    <w:adjustRightInd w:val="0"/>
                    <w:spacing w:line="360" w:lineRule="exact"/>
                    <w:jc w:val="center"/>
                    <w:rPr>
                      <w:bCs/>
                      <w:szCs w:val="21"/>
                    </w:rPr>
                  </w:pPr>
                  <w:r>
                    <w:rPr>
                      <w:rFonts w:hint="eastAsia"/>
                      <w:bCs/>
                      <w:szCs w:val="21"/>
                    </w:rPr>
                    <w:t>5</w:t>
                  </w:r>
                </w:p>
              </w:tc>
              <w:tc>
                <w:tcPr>
                  <w:tcW w:w="1882" w:type="dxa"/>
                  <w:vAlign w:val="center"/>
                </w:tcPr>
                <w:p>
                  <w:pPr>
                    <w:adjustRightInd w:val="0"/>
                    <w:spacing w:line="360" w:lineRule="exact"/>
                    <w:jc w:val="center"/>
                    <w:rPr>
                      <w:bCs/>
                      <w:szCs w:val="21"/>
                    </w:rPr>
                  </w:pPr>
                  <w:r>
                    <w:rPr>
                      <w:rFonts w:hint="eastAsia"/>
                      <w:bCs/>
                      <w:szCs w:val="21"/>
                    </w:rPr>
                    <w:t>切柱机</w:t>
                  </w:r>
                </w:p>
              </w:tc>
              <w:tc>
                <w:tcPr>
                  <w:tcW w:w="1410" w:type="dxa"/>
                  <w:vAlign w:val="center"/>
                </w:tcPr>
                <w:p>
                  <w:pPr>
                    <w:adjustRightInd w:val="0"/>
                    <w:spacing w:line="360" w:lineRule="exact"/>
                    <w:jc w:val="center"/>
                    <w:rPr>
                      <w:bCs/>
                      <w:szCs w:val="21"/>
                    </w:rPr>
                  </w:pPr>
                  <w:r>
                    <w:rPr>
                      <w:rFonts w:hint="eastAsia"/>
                      <w:bCs/>
                      <w:szCs w:val="21"/>
                    </w:rPr>
                    <w:t>0.02t/h</w:t>
                  </w:r>
                </w:p>
              </w:tc>
              <w:tc>
                <w:tcPr>
                  <w:tcW w:w="1568" w:type="dxa"/>
                </w:tcPr>
                <w:p>
                  <w:pPr>
                    <w:adjustRightInd w:val="0"/>
                    <w:spacing w:line="360" w:lineRule="exact"/>
                    <w:jc w:val="center"/>
                    <w:rPr>
                      <w:bCs/>
                      <w:szCs w:val="21"/>
                    </w:rPr>
                  </w:pPr>
                  <w:r>
                    <w:rPr>
                      <w:rFonts w:hint="eastAsia"/>
                      <w:bCs/>
                      <w:szCs w:val="21"/>
                    </w:rPr>
                    <w:t>1</w:t>
                  </w:r>
                </w:p>
              </w:tc>
              <w:tc>
                <w:tcPr>
                  <w:tcW w:w="3413" w:type="dxa"/>
                </w:tcPr>
                <w:p>
                  <w:pPr>
                    <w:adjustRightInd w:val="0"/>
                    <w:spacing w:line="360" w:lineRule="exact"/>
                    <w:jc w:val="center"/>
                    <w:rPr>
                      <w:bCs/>
                      <w:szCs w:val="21"/>
                    </w:rPr>
                  </w:pPr>
                  <w:r>
                    <w:rPr>
                      <w:rFonts w:hint="eastAsia"/>
                      <w:bCs/>
                      <w:szCs w:val="21"/>
                    </w:rPr>
                    <w:t>艾条切柱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4023" w:type="dxa"/>
                  <w:gridSpan w:val="3"/>
                  <w:vAlign w:val="center"/>
                </w:tcPr>
                <w:p>
                  <w:pPr>
                    <w:adjustRightInd w:val="0"/>
                    <w:spacing w:line="360" w:lineRule="exact"/>
                    <w:jc w:val="center"/>
                    <w:rPr>
                      <w:bCs/>
                      <w:szCs w:val="21"/>
                    </w:rPr>
                  </w:pPr>
                  <w:r>
                    <w:rPr>
                      <w:bCs/>
                      <w:szCs w:val="21"/>
                    </w:rPr>
                    <w:t>合计</w:t>
                  </w:r>
                </w:p>
              </w:tc>
              <w:tc>
                <w:tcPr>
                  <w:tcW w:w="1568" w:type="dxa"/>
                </w:tcPr>
                <w:p>
                  <w:pPr>
                    <w:adjustRightInd w:val="0"/>
                    <w:spacing w:line="360" w:lineRule="exact"/>
                    <w:jc w:val="center"/>
                    <w:rPr>
                      <w:bCs/>
                      <w:szCs w:val="21"/>
                    </w:rPr>
                  </w:pPr>
                  <w:r>
                    <w:rPr>
                      <w:bCs/>
                      <w:szCs w:val="21"/>
                    </w:rPr>
                    <w:fldChar w:fldCharType="begin"/>
                  </w:r>
                  <w:r>
                    <w:rPr>
                      <w:bCs/>
                      <w:szCs w:val="21"/>
                    </w:rPr>
                    <w:instrText xml:space="preserve"> =SUM(ABOVE) </w:instrText>
                  </w:r>
                  <w:r>
                    <w:rPr>
                      <w:bCs/>
                      <w:szCs w:val="21"/>
                    </w:rPr>
                    <w:fldChar w:fldCharType="separate"/>
                  </w:r>
                  <w:r>
                    <w:rPr>
                      <w:bCs/>
                      <w:szCs w:val="21"/>
                    </w:rPr>
                    <w:t>2</w:t>
                  </w:r>
                  <w:r>
                    <w:rPr>
                      <w:rFonts w:hint="eastAsia"/>
                      <w:bCs/>
                      <w:szCs w:val="21"/>
                    </w:rPr>
                    <w:t>4</w:t>
                  </w:r>
                  <w:r>
                    <w:rPr>
                      <w:bCs/>
                      <w:szCs w:val="21"/>
                    </w:rPr>
                    <w:fldChar w:fldCharType="end"/>
                  </w:r>
                </w:p>
              </w:tc>
              <w:tc>
                <w:tcPr>
                  <w:tcW w:w="3413" w:type="dxa"/>
                </w:tcPr>
                <w:p>
                  <w:pPr>
                    <w:adjustRightInd w:val="0"/>
                    <w:spacing w:line="360" w:lineRule="exact"/>
                    <w:jc w:val="center"/>
                    <w:rPr>
                      <w:bCs/>
                      <w:szCs w:val="21"/>
                    </w:rPr>
                  </w:pPr>
                  <w:r>
                    <w:rPr>
                      <w:bCs/>
                      <w:szCs w:val="21"/>
                    </w:rPr>
                    <w:t>/</w:t>
                  </w:r>
                </w:p>
              </w:tc>
            </w:tr>
          </w:tbl>
          <w:p>
            <w:pPr>
              <w:tabs>
                <w:tab w:val="left" w:pos="1081"/>
              </w:tabs>
              <w:adjustRightInd w:val="0"/>
              <w:snapToGrid w:val="0"/>
              <w:spacing w:line="360" w:lineRule="auto"/>
              <w:ind w:firstLine="482" w:firstLineChars="200"/>
              <w:jc w:val="left"/>
              <w:rPr>
                <w:rFonts w:eastAsiaTheme="minorEastAsia"/>
                <w:b/>
                <w:sz w:val="24"/>
                <w:szCs w:val="24"/>
              </w:rPr>
            </w:pPr>
            <w:r>
              <w:rPr>
                <w:rFonts w:hint="eastAsia" w:eastAsiaTheme="minorEastAsia"/>
                <w:b/>
                <w:sz w:val="24"/>
                <w:szCs w:val="24"/>
              </w:rPr>
              <w:t>产能匹配性分析：</w:t>
            </w:r>
          </w:p>
          <w:p>
            <w:pPr>
              <w:tabs>
                <w:tab w:val="left" w:pos="1081"/>
              </w:tabs>
              <w:adjustRightInd w:val="0"/>
              <w:snapToGrid w:val="0"/>
              <w:spacing w:line="360" w:lineRule="auto"/>
              <w:ind w:firstLine="480" w:firstLineChars="200"/>
              <w:jc w:val="left"/>
              <w:rPr>
                <w:sz w:val="24"/>
                <w:szCs w:val="24"/>
              </w:rPr>
            </w:pPr>
            <w:r>
              <w:rPr>
                <w:rFonts w:hint="eastAsia"/>
                <w:sz w:val="24"/>
                <w:szCs w:val="24"/>
              </w:rPr>
              <w:t>破捆机：根据建设单位介绍，项目使用破捆机加工能力为0.2t/h，项目年生产1920h，则破捆机加工能力为384t/a，项目原料用艾草约240t/a，能够满足生产需求；</w:t>
            </w:r>
          </w:p>
          <w:p>
            <w:pPr>
              <w:tabs>
                <w:tab w:val="left" w:pos="1081"/>
              </w:tabs>
              <w:adjustRightInd w:val="0"/>
              <w:snapToGrid w:val="0"/>
              <w:spacing w:line="360" w:lineRule="auto"/>
              <w:ind w:firstLine="480" w:firstLineChars="200"/>
              <w:jc w:val="left"/>
              <w:rPr>
                <w:sz w:val="24"/>
                <w:szCs w:val="24"/>
              </w:rPr>
            </w:pPr>
            <w:r>
              <w:rPr>
                <w:rFonts w:hint="eastAsia"/>
                <w:sz w:val="24"/>
                <w:szCs w:val="24"/>
              </w:rPr>
              <w:t>粉碎提绒一体机：根据建设单位介绍，项目使用单台粉碎提绒一体机加工能力为0.03t/h，项目年生产1920h，则项目使用5台能加工288t/a，项目需要粉碎提绒物料约240t/a，能够满足生产需求；</w:t>
            </w:r>
          </w:p>
          <w:p>
            <w:pPr>
              <w:tabs>
                <w:tab w:val="left" w:pos="1081"/>
              </w:tabs>
              <w:adjustRightInd w:val="0"/>
              <w:snapToGrid w:val="0"/>
              <w:spacing w:line="360" w:lineRule="auto"/>
              <w:ind w:firstLine="480" w:firstLineChars="200"/>
              <w:jc w:val="left"/>
              <w:rPr>
                <w:sz w:val="24"/>
                <w:szCs w:val="24"/>
              </w:rPr>
            </w:pPr>
            <w:r>
              <w:rPr>
                <w:rFonts w:hint="eastAsia"/>
                <w:sz w:val="24"/>
                <w:szCs w:val="24"/>
              </w:rPr>
              <w:t>卷条机：根据建设单位介绍，项目使用全自动卷条机单台加工能力0.01t/h、手动卷条机单台加工能力0.005t/h，项目卷条加工能力为0.095t/h，年工作1920h，年加工能力为182.4t/a，项目需要卷制艾绒为80t/a，能够满足生产需求。</w:t>
            </w:r>
          </w:p>
          <w:p>
            <w:pPr>
              <w:tabs>
                <w:tab w:val="left" w:pos="1081"/>
              </w:tabs>
              <w:adjustRightInd w:val="0"/>
              <w:snapToGrid w:val="0"/>
              <w:spacing w:line="360" w:lineRule="auto"/>
              <w:ind w:firstLine="480" w:firstLineChars="200"/>
              <w:jc w:val="left"/>
              <w:rPr>
                <w:sz w:val="24"/>
                <w:szCs w:val="24"/>
              </w:rPr>
            </w:pPr>
            <w:r>
              <w:rPr>
                <w:rFonts w:hint="eastAsia"/>
                <w:sz w:val="24"/>
                <w:szCs w:val="24"/>
              </w:rPr>
              <w:t>切柱机：根据建设单位介绍，项目使用切柱机单台加工能力为0.02t/h，年工作1920h</w:t>
            </w:r>
            <w:r>
              <w:rPr>
                <w:rFonts w:hint="eastAsia"/>
                <w:b/>
                <w:sz w:val="24"/>
                <w:szCs w:val="24"/>
              </w:rPr>
              <w:t>，</w:t>
            </w:r>
            <w:r>
              <w:rPr>
                <w:rFonts w:hint="eastAsia"/>
                <w:sz w:val="24"/>
                <w:szCs w:val="24"/>
              </w:rPr>
              <w:t>年加工38.4吨，项目需要切柱物料为25t/a，能够满足生产需求。</w:t>
            </w:r>
          </w:p>
          <w:p>
            <w:pPr>
              <w:tabs>
                <w:tab w:val="left" w:pos="1081"/>
              </w:tabs>
              <w:adjustRightInd w:val="0"/>
              <w:snapToGrid w:val="0"/>
              <w:spacing w:line="360" w:lineRule="auto"/>
              <w:ind w:firstLine="482" w:firstLineChars="200"/>
              <w:jc w:val="left"/>
              <w:rPr>
                <w:rFonts w:eastAsiaTheme="minorEastAsia"/>
                <w:b/>
                <w:sz w:val="24"/>
                <w:szCs w:val="24"/>
              </w:rPr>
            </w:pPr>
            <w:r>
              <w:rPr>
                <w:rFonts w:eastAsiaTheme="minorEastAsia"/>
                <w:b/>
                <w:sz w:val="24"/>
                <w:szCs w:val="24"/>
              </w:rPr>
              <w:t>5、主要原辅</w:t>
            </w:r>
            <w:r>
              <w:rPr>
                <w:b/>
                <w:sz w:val="24"/>
                <w:szCs w:val="24"/>
              </w:rPr>
              <w:t>材料</w:t>
            </w:r>
            <w:r>
              <w:rPr>
                <w:rFonts w:eastAsiaTheme="minorEastAsia"/>
                <w:b/>
                <w:sz w:val="24"/>
                <w:szCs w:val="24"/>
              </w:rPr>
              <w:t>及能源消耗</w:t>
            </w:r>
          </w:p>
          <w:p>
            <w:pPr>
              <w:tabs>
                <w:tab w:val="left" w:pos="1081"/>
              </w:tabs>
              <w:adjustRightInd w:val="0"/>
              <w:snapToGrid w:val="0"/>
              <w:spacing w:line="360" w:lineRule="auto"/>
              <w:ind w:firstLine="480" w:firstLineChars="200"/>
              <w:rPr>
                <w:color w:val="000000"/>
                <w:sz w:val="24"/>
              </w:rPr>
            </w:pPr>
            <w:r>
              <w:rPr>
                <w:color w:val="000000"/>
                <w:sz w:val="24"/>
              </w:rPr>
              <w:t>本项目主要原辅材料及能源消耗见表2-4。</w:t>
            </w:r>
          </w:p>
          <w:p>
            <w:pPr>
              <w:tabs>
                <w:tab w:val="left" w:pos="1081"/>
              </w:tabs>
              <w:adjustRightInd w:val="0"/>
              <w:snapToGrid w:val="0"/>
              <w:spacing w:line="360" w:lineRule="auto"/>
              <w:jc w:val="center"/>
              <w:rPr>
                <w:b/>
                <w:sz w:val="24"/>
                <w:szCs w:val="24"/>
              </w:rPr>
            </w:pPr>
            <w:r>
              <w:rPr>
                <w:b/>
                <w:sz w:val="24"/>
                <w:szCs w:val="24"/>
              </w:rPr>
              <w:t>表2-4       项目主要原辅材料及能源消耗一览表</w:t>
            </w:r>
          </w:p>
          <w:tbl>
            <w:tblPr>
              <w:tblStyle w:val="26"/>
              <w:tblW w:w="900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0"/>
              <w:gridCol w:w="708"/>
              <w:gridCol w:w="1880"/>
              <w:gridCol w:w="1725"/>
              <w:gridCol w:w="38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0" w:type="dxa"/>
                  <w:vAlign w:val="center"/>
                </w:tcPr>
                <w:p>
                  <w:pPr>
                    <w:widowControl/>
                    <w:spacing w:line="360" w:lineRule="exact"/>
                    <w:jc w:val="center"/>
                    <w:rPr>
                      <w:szCs w:val="21"/>
                    </w:rPr>
                  </w:pPr>
                  <w:r>
                    <w:rPr>
                      <w:szCs w:val="21"/>
                    </w:rPr>
                    <w:t>类型</w:t>
                  </w:r>
                </w:p>
              </w:tc>
              <w:tc>
                <w:tcPr>
                  <w:tcW w:w="708" w:type="dxa"/>
                  <w:vAlign w:val="center"/>
                </w:tcPr>
                <w:p>
                  <w:pPr>
                    <w:widowControl/>
                    <w:spacing w:line="360" w:lineRule="exact"/>
                    <w:jc w:val="center"/>
                    <w:rPr>
                      <w:szCs w:val="21"/>
                    </w:rPr>
                  </w:pPr>
                  <w:r>
                    <w:rPr>
                      <w:szCs w:val="21"/>
                    </w:rPr>
                    <w:t>序号</w:t>
                  </w:r>
                </w:p>
              </w:tc>
              <w:tc>
                <w:tcPr>
                  <w:tcW w:w="1880" w:type="dxa"/>
                  <w:vAlign w:val="center"/>
                </w:tcPr>
                <w:p>
                  <w:pPr>
                    <w:widowControl/>
                    <w:spacing w:line="360" w:lineRule="exact"/>
                    <w:jc w:val="center"/>
                    <w:rPr>
                      <w:szCs w:val="21"/>
                    </w:rPr>
                  </w:pPr>
                  <w:r>
                    <w:rPr>
                      <w:szCs w:val="21"/>
                    </w:rPr>
                    <w:t>名称</w:t>
                  </w:r>
                </w:p>
              </w:tc>
              <w:tc>
                <w:tcPr>
                  <w:tcW w:w="1725" w:type="dxa"/>
                  <w:vAlign w:val="center"/>
                </w:tcPr>
                <w:p>
                  <w:pPr>
                    <w:widowControl/>
                    <w:spacing w:line="360" w:lineRule="exact"/>
                    <w:jc w:val="center"/>
                    <w:rPr>
                      <w:kern w:val="0"/>
                      <w:szCs w:val="21"/>
                    </w:rPr>
                  </w:pPr>
                  <w:r>
                    <w:rPr>
                      <w:kern w:val="0"/>
                      <w:szCs w:val="21"/>
                    </w:rPr>
                    <w:t>年用量</w:t>
                  </w:r>
                </w:p>
              </w:tc>
              <w:tc>
                <w:tcPr>
                  <w:tcW w:w="3881" w:type="dxa"/>
                  <w:vAlign w:val="center"/>
                </w:tcPr>
                <w:p>
                  <w:pPr>
                    <w:widowControl/>
                    <w:spacing w:line="360" w:lineRule="exact"/>
                    <w:jc w:val="center"/>
                    <w:rPr>
                      <w:szCs w:val="21"/>
                    </w:rPr>
                  </w:pPr>
                  <w:r>
                    <w:rPr>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0" w:type="dxa"/>
                  <w:vMerge w:val="restart"/>
                  <w:vAlign w:val="center"/>
                </w:tcPr>
                <w:p>
                  <w:pPr>
                    <w:adjustRightInd w:val="0"/>
                    <w:snapToGrid w:val="0"/>
                    <w:spacing w:line="360" w:lineRule="exact"/>
                    <w:jc w:val="center"/>
                    <w:rPr>
                      <w:szCs w:val="21"/>
                    </w:rPr>
                  </w:pPr>
                  <w:r>
                    <w:rPr>
                      <w:szCs w:val="21"/>
                    </w:rPr>
                    <w:t>原辅材料</w:t>
                  </w:r>
                </w:p>
              </w:tc>
              <w:tc>
                <w:tcPr>
                  <w:tcW w:w="708" w:type="dxa"/>
                  <w:vAlign w:val="center"/>
                </w:tcPr>
                <w:p>
                  <w:pPr>
                    <w:adjustRightInd w:val="0"/>
                    <w:spacing w:line="360" w:lineRule="exact"/>
                    <w:jc w:val="center"/>
                    <w:rPr>
                      <w:bCs/>
                      <w:color w:val="FF0000"/>
                      <w:szCs w:val="21"/>
                      <w:u w:val="single"/>
                    </w:rPr>
                  </w:pPr>
                  <w:r>
                    <w:rPr>
                      <w:bCs/>
                      <w:color w:val="FF0000"/>
                      <w:szCs w:val="21"/>
                      <w:u w:val="single"/>
                    </w:rPr>
                    <w:t>1</w:t>
                  </w:r>
                </w:p>
              </w:tc>
              <w:tc>
                <w:tcPr>
                  <w:tcW w:w="1880" w:type="dxa"/>
                  <w:vAlign w:val="center"/>
                </w:tcPr>
                <w:p>
                  <w:pPr>
                    <w:adjustRightInd w:val="0"/>
                    <w:spacing w:line="360" w:lineRule="exact"/>
                    <w:jc w:val="center"/>
                    <w:rPr>
                      <w:color w:val="FF0000"/>
                      <w:kern w:val="0"/>
                      <w:szCs w:val="21"/>
                      <w:u w:val="single"/>
                    </w:rPr>
                  </w:pPr>
                  <w:r>
                    <w:rPr>
                      <w:rFonts w:hint="eastAsia"/>
                      <w:color w:val="FF0000"/>
                      <w:kern w:val="0"/>
                      <w:szCs w:val="21"/>
                      <w:u w:val="single"/>
                    </w:rPr>
                    <w:t>艾草</w:t>
                  </w:r>
                </w:p>
              </w:tc>
              <w:tc>
                <w:tcPr>
                  <w:tcW w:w="1725" w:type="dxa"/>
                  <w:vAlign w:val="center"/>
                </w:tcPr>
                <w:p>
                  <w:pPr>
                    <w:adjustRightInd w:val="0"/>
                    <w:spacing w:line="360" w:lineRule="exact"/>
                    <w:jc w:val="center"/>
                    <w:rPr>
                      <w:color w:val="FF0000"/>
                      <w:kern w:val="0"/>
                      <w:szCs w:val="21"/>
                      <w:u w:val="single"/>
                    </w:rPr>
                  </w:pPr>
                  <w:r>
                    <w:rPr>
                      <w:rFonts w:hint="eastAsia"/>
                      <w:color w:val="FF0000"/>
                      <w:kern w:val="0"/>
                      <w:szCs w:val="21"/>
                      <w:u w:val="single"/>
                    </w:rPr>
                    <w:t>240t/a</w:t>
                  </w:r>
                </w:p>
              </w:tc>
              <w:tc>
                <w:tcPr>
                  <w:tcW w:w="3881" w:type="dxa"/>
                  <w:vAlign w:val="center"/>
                </w:tcPr>
                <w:p>
                  <w:pPr>
                    <w:adjustRightInd w:val="0"/>
                    <w:spacing w:line="360" w:lineRule="exact"/>
                    <w:jc w:val="center"/>
                    <w:rPr>
                      <w:color w:val="FF0000"/>
                      <w:kern w:val="0"/>
                      <w:szCs w:val="21"/>
                      <w:u w:val="single"/>
                    </w:rPr>
                  </w:pPr>
                  <w:r>
                    <w:rPr>
                      <w:color w:val="FF0000"/>
                      <w:kern w:val="0"/>
                      <w:szCs w:val="21"/>
                      <w:u w:val="single"/>
                    </w:rPr>
                    <w:t>外购</w:t>
                  </w:r>
                  <w:r>
                    <w:rPr>
                      <w:rFonts w:hint="eastAsia"/>
                      <w:color w:val="FF0000"/>
                      <w:kern w:val="0"/>
                      <w:szCs w:val="21"/>
                      <w:u w:val="single"/>
                    </w:rPr>
                    <w:t>，捆装（经与建设单位核实）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0" w:type="dxa"/>
                  <w:vMerge w:val="continue"/>
                  <w:vAlign w:val="center"/>
                </w:tcPr>
                <w:p>
                  <w:pPr>
                    <w:adjustRightInd w:val="0"/>
                    <w:snapToGrid w:val="0"/>
                    <w:spacing w:line="360" w:lineRule="exact"/>
                    <w:jc w:val="center"/>
                    <w:rPr>
                      <w:szCs w:val="21"/>
                    </w:rPr>
                  </w:pPr>
                </w:p>
              </w:tc>
              <w:tc>
                <w:tcPr>
                  <w:tcW w:w="708" w:type="dxa"/>
                  <w:vAlign w:val="center"/>
                </w:tcPr>
                <w:p>
                  <w:pPr>
                    <w:adjustRightInd w:val="0"/>
                    <w:spacing w:line="360" w:lineRule="exact"/>
                    <w:jc w:val="center"/>
                    <w:rPr>
                      <w:bCs/>
                      <w:szCs w:val="21"/>
                    </w:rPr>
                  </w:pPr>
                  <w:r>
                    <w:rPr>
                      <w:rFonts w:hint="eastAsia"/>
                      <w:bCs/>
                      <w:szCs w:val="21"/>
                    </w:rPr>
                    <w:t>2</w:t>
                  </w:r>
                </w:p>
              </w:tc>
              <w:tc>
                <w:tcPr>
                  <w:tcW w:w="1880" w:type="dxa"/>
                  <w:vAlign w:val="center"/>
                </w:tcPr>
                <w:p>
                  <w:pPr>
                    <w:adjustRightInd w:val="0"/>
                    <w:spacing w:line="360" w:lineRule="exact"/>
                    <w:jc w:val="center"/>
                    <w:rPr>
                      <w:kern w:val="0"/>
                      <w:szCs w:val="21"/>
                    </w:rPr>
                  </w:pPr>
                  <w:r>
                    <w:rPr>
                      <w:rFonts w:hint="eastAsia"/>
                      <w:kern w:val="0"/>
                      <w:szCs w:val="21"/>
                    </w:rPr>
                    <w:t>桑皮纸</w:t>
                  </w:r>
                </w:p>
              </w:tc>
              <w:tc>
                <w:tcPr>
                  <w:tcW w:w="1725" w:type="dxa"/>
                  <w:vAlign w:val="center"/>
                </w:tcPr>
                <w:p>
                  <w:pPr>
                    <w:adjustRightInd w:val="0"/>
                    <w:spacing w:line="360" w:lineRule="exact"/>
                    <w:jc w:val="center"/>
                    <w:rPr>
                      <w:kern w:val="0"/>
                      <w:szCs w:val="21"/>
                    </w:rPr>
                  </w:pPr>
                  <w:r>
                    <w:rPr>
                      <w:rFonts w:hint="eastAsia"/>
                      <w:kern w:val="0"/>
                      <w:szCs w:val="21"/>
                    </w:rPr>
                    <w:t>0.5t/a</w:t>
                  </w:r>
                </w:p>
              </w:tc>
              <w:tc>
                <w:tcPr>
                  <w:tcW w:w="3881" w:type="dxa"/>
                  <w:vAlign w:val="center"/>
                </w:tcPr>
                <w:p>
                  <w:pPr>
                    <w:adjustRightInd w:val="0"/>
                    <w:spacing w:line="360" w:lineRule="exact"/>
                    <w:jc w:val="center"/>
                    <w:rPr>
                      <w:kern w:val="0"/>
                      <w:szCs w:val="21"/>
                    </w:rPr>
                  </w:pPr>
                  <w:r>
                    <w:rPr>
                      <w:rFonts w:hint="eastAsia"/>
                      <w:kern w:val="0"/>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0" w:type="dxa"/>
                  <w:vMerge w:val="continue"/>
                  <w:vAlign w:val="center"/>
                </w:tcPr>
                <w:p>
                  <w:pPr>
                    <w:adjustRightInd w:val="0"/>
                    <w:snapToGrid w:val="0"/>
                    <w:spacing w:line="360" w:lineRule="exact"/>
                    <w:jc w:val="center"/>
                    <w:rPr>
                      <w:szCs w:val="21"/>
                    </w:rPr>
                  </w:pPr>
                </w:p>
              </w:tc>
              <w:tc>
                <w:tcPr>
                  <w:tcW w:w="708" w:type="dxa"/>
                  <w:vAlign w:val="center"/>
                </w:tcPr>
                <w:p>
                  <w:pPr>
                    <w:adjustRightInd w:val="0"/>
                    <w:spacing w:line="360" w:lineRule="exact"/>
                    <w:jc w:val="center"/>
                    <w:rPr>
                      <w:bCs/>
                      <w:szCs w:val="21"/>
                    </w:rPr>
                  </w:pPr>
                  <w:r>
                    <w:rPr>
                      <w:rFonts w:hint="eastAsia"/>
                      <w:bCs/>
                      <w:szCs w:val="21"/>
                    </w:rPr>
                    <w:t>3</w:t>
                  </w:r>
                </w:p>
              </w:tc>
              <w:tc>
                <w:tcPr>
                  <w:tcW w:w="1880" w:type="dxa"/>
                  <w:vAlign w:val="center"/>
                </w:tcPr>
                <w:p>
                  <w:pPr>
                    <w:adjustRightInd w:val="0"/>
                    <w:spacing w:line="360" w:lineRule="exact"/>
                    <w:jc w:val="center"/>
                    <w:rPr>
                      <w:kern w:val="0"/>
                      <w:szCs w:val="21"/>
                    </w:rPr>
                  </w:pPr>
                  <w:r>
                    <w:rPr>
                      <w:rFonts w:hint="eastAsia"/>
                      <w:kern w:val="0"/>
                      <w:szCs w:val="21"/>
                    </w:rPr>
                    <w:t>包装箱</w:t>
                  </w:r>
                </w:p>
              </w:tc>
              <w:tc>
                <w:tcPr>
                  <w:tcW w:w="1725" w:type="dxa"/>
                  <w:vAlign w:val="center"/>
                </w:tcPr>
                <w:p>
                  <w:pPr>
                    <w:adjustRightInd w:val="0"/>
                    <w:spacing w:line="360" w:lineRule="exact"/>
                    <w:jc w:val="center"/>
                    <w:rPr>
                      <w:kern w:val="0"/>
                      <w:szCs w:val="21"/>
                    </w:rPr>
                  </w:pPr>
                  <w:r>
                    <w:rPr>
                      <w:rFonts w:hint="eastAsia"/>
                      <w:kern w:val="0"/>
                      <w:szCs w:val="21"/>
                    </w:rPr>
                    <w:t>0.5万个/a</w:t>
                  </w:r>
                </w:p>
              </w:tc>
              <w:tc>
                <w:tcPr>
                  <w:tcW w:w="3881" w:type="dxa"/>
                  <w:vAlign w:val="center"/>
                </w:tcPr>
                <w:p>
                  <w:pPr>
                    <w:adjustRightInd w:val="0"/>
                    <w:spacing w:line="360" w:lineRule="exact"/>
                    <w:jc w:val="center"/>
                    <w:rPr>
                      <w:kern w:val="0"/>
                      <w:szCs w:val="21"/>
                    </w:rPr>
                  </w:pPr>
                  <w:r>
                    <w:rPr>
                      <w:rFonts w:hint="eastAsia"/>
                      <w:kern w:val="0"/>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0" w:type="dxa"/>
                  <w:vMerge w:val="continue"/>
                  <w:vAlign w:val="center"/>
                </w:tcPr>
                <w:p>
                  <w:pPr>
                    <w:adjustRightInd w:val="0"/>
                    <w:snapToGrid w:val="0"/>
                    <w:spacing w:line="360" w:lineRule="exact"/>
                    <w:jc w:val="center"/>
                    <w:rPr>
                      <w:szCs w:val="21"/>
                    </w:rPr>
                  </w:pPr>
                </w:p>
              </w:tc>
              <w:tc>
                <w:tcPr>
                  <w:tcW w:w="708" w:type="dxa"/>
                  <w:vAlign w:val="center"/>
                </w:tcPr>
                <w:p>
                  <w:pPr>
                    <w:adjustRightInd w:val="0"/>
                    <w:spacing w:line="360" w:lineRule="exact"/>
                    <w:jc w:val="center"/>
                    <w:rPr>
                      <w:bCs/>
                      <w:color w:val="FF0000"/>
                      <w:szCs w:val="21"/>
                      <w:u w:val="single"/>
                    </w:rPr>
                  </w:pPr>
                  <w:r>
                    <w:rPr>
                      <w:rFonts w:hint="eastAsia"/>
                      <w:bCs/>
                      <w:color w:val="FF0000"/>
                      <w:szCs w:val="21"/>
                      <w:u w:val="single"/>
                    </w:rPr>
                    <w:t>4</w:t>
                  </w:r>
                </w:p>
              </w:tc>
              <w:tc>
                <w:tcPr>
                  <w:tcW w:w="1880" w:type="dxa"/>
                  <w:vAlign w:val="center"/>
                </w:tcPr>
                <w:p>
                  <w:pPr>
                    <w:adjustRightInd w:val="0"/>
                    <w:spacing w:line="360" w:lineRule="exact"/>
                    <w:jc w:val="center"/>
                    <w:rPr>
                      <w:color w:val="FF0000"/>
                      <w:kern w:val="0"/>
                      <w:szCs w:val="21"/>
                      <w:u w:val="single"/>
                    </w:rPr>
                  </w:pPr>
                  <w:r>
                    <w:rPr>
                      <w:rFonts w:hint="eastAsia"/>
                      <w:color w:val="FF0000"/>
                      <w:kern w:val="0"/>
                      <w:szCs w:val="21"/>
                      <w:u w:val="single"/>
                    </w:rPr>
                    <w:t>无纺布</w:t>
                  </w:r>
                </w:p>
              </w:tc>
              <w:tc>
                <w:tcPr>
                  <w:tcW w:w="1725" w:type="dxa"/>
                  <w:vAlign w:val="center"/>
                </w:tcPr>
                <w:p>
                  <w:pPr>
                    <w:adjustRightInd w:val="0"/>
                    <w:spacing w:line="360" w:lineRule="exact"/>
                    <w:jc w:val="center"/>
                    <w:rPr>
                      <w:color w:val="FF0000"/>
                      <w:kern w:val="0"/>
                      <w:szCs w:val="21"/>
                      <w:u w:val="single"/>
                    </w:rPr>
                  </w:pPr>
                  <w:r>
                    <w:rPr>
                      <w:rFonts w:hint="eastAsia"/>
                      <w:color w:val="FF0000"/>
                      <w:kern w:val="0"/>
                      <w:szCs w:val="21"/>
                      <w:u w:val="single"/>
                    </w:rPr>
                    <w:t>2000m</w:t>
                  </w:r>
                  <w:r>
                    <w:rPr>
                      <w:rFonts w:hint="eastAsia"/>
                      <w:color w:val="FF0000"/>
                      <w:kern w:val="0"/>
                      <w:szCs w:val="21"/>
                      <w:u w:val="single"/>
                      <w:vertAlign w:val="superscript"/>
                    </w:rPr>
                    <w:t>2</w:t>
                  </w:r>
                  <w:r>
                    <w:rPr>
                      <w:rFonts w:hint="eastAsia"/>
                      <w:color w:val="FF0000"/>
                      <w:kern w:val="0"/>
                      <w:szCs w:val="21"/>
                      <w:u w:val="single"/>
                    </w:rPr>
                    <w:t>/a</w:t>
                  </w:r>
                </w:p>
              </w:tc>
              <w:tc>
                <w:tcPr>
                  <w:tcW w:w="3881" w:type="dxa"/>
                  <w:vAlign w:val="center"/>
                </w:tcPr>
                <w:p>
                  <w:pPr>
                    <w:adjustRightInd w:val="0"/>
                    <w:spacing w:line="360" w:lineRule="exact"/>
                    <w:jc w:val="center"/>
                    <w:rPr>
                      <w:color w:val="FF0000"/>
                      <w:kern w:val="0"/>
                      <w:szCs w:val="21"/>
                      <w:u w:val="single"/>
                    </w:rPr>
                  </w:pPr>
                  <w:r>
                    <w:rPr>
                      <w:rFonts w:hint="eastAsia"/>
                      <w:color w:val="FF0000"/>
                      <w:kern w:val="0"/>
                      <w:szCs w:val="21"/>
                      <w:u w:val="single"/>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0" w:type="dxa"/>
                  <w:vMerge w:val="continue"/>
                  <w:vAlign w:val="center"/>
                </w:tcPr>
                <w:p>
                  <w:pPr>
                    <w:adjustRightInd w:val="0"/>
                    <w:snapToGrid w:val="0"/>
                    <w:spacing w:line="360" w:lineRule="exact"/>
                    <w:jc w:val="center"/>
                    <w:rPr>
                      <w:szCs w:val="21"/>
                    </w:rPr>
                  </w:pPr>
                </w:p>
              </w:tc>
              <w:tc>
                <w:tcPr>
                  <w:tcW w:w="708" w:type="dxa"/>
                  <w:vAlign w:val="center"/>
                </w:tcPr>
                <w:p>
                  <w:pPr>
                    <w:adjustRightInd w:val="0"/>
                    <w:spacing w:line="360" w:lineRule="exact"/>
                    <w:jc w:val="center"/>
                    <w:rPr>
                      <w:bCs/>
                      <w:color w:val="FF0000"/>
                      <w:szCs w:val="21"/>
                      <w:u w:val="single"/>
                    </w:rPr>
                  </w:pPr>
                  <w:r>
                    <w:rPr>
                      <w:rFonts w:hint="eastAsia"/>
                      <w:bCs/>
                      <w:color w:val="FF0000"/>
                      <w:szCs w:val="21"/>
                      <w:u w:val="single"/>
                    </w:rPr>
                    <w:t>5</w:t>
                  </w:r>
                </w:p>
              </w:tc>
              <w:tc>
                <w:tcPr>
                  <w:tcW w:w="1880" w:type="dxa"/>
                  <w:vAlign w:val="center"/>
                </w:tcPr>
                <w:p>
                  <w:pPr>
                    <w:adjustRightInd w:val="0"/>
                    <w:spacing w:line="360" w:lineRule="exact"/>
                    <w:jc w:val="center"/>
                    <w:rPr>
                      <w:color w:val="FF0000"/>
                      <w:kern w:val="0"/>
                      <w:szCs w:val="21"/>
                      <w:u w:val="single"/>
                    </w:rPr>
                  </w:pPr>
                  <w:r>
                    <w:rPr>
                      <w:rFonts w:hint="eastAsia"/>
                      <w:color w:val="FF0000"/>
                      <w:kern w:val="0"/>
                      <w:szCs w:val="21"/>
                      <w:u w:val="single"/>
                    </w:rPr>
                    <w:t>布料</w:t>
                  </w:r>
                </w:p>
              </w:tc>
              <w:tc>
                <w:tcPr>
                  <w:tcW w:w="1725" w:type="dxa"/>
                  <w:vAlign w:val="center"/>
                </w:tcPr>
                <w:p>
                  <w:pPr>
                    <w:adjustRightInd w:val="0"/>
                    <w:spacing w:line="360" w:lineRule="exact"/>
                    <w:jc w:val="center"/>
                    <w:rPr>
                      <w:color w:val="FF0000"/>
                      <w:kern w:val="0"/>
                      <w:szCs w:val="21"/>
                      <w:u w:val="single"/>
                    </w:rPr>
                  </w:pPr>
                  <w:r>
                    <w:rPr>
                      <w:rFonts w:hint="eastAsia"/>
                      <w:color w:val="FF0000"/>
                      <w:kern w:val="0"/>
                      <w:szCs w:val="21"/>
                      <w:u w:val="single"/>
                    </w:rPr>
                    <w:t>3000m</w:t>
                  </w:r>
                  <w:r>
                    <w:rPr>
                      <w:rFonts w:hint="eastAsia"/>
                      <w:color w:val="FF0000"/>
                      <w:kern w:val="0"/>
                      <w:szCs w:val="21"/>
                      <w:u w:val="single"/>
                      <w:vertAlign w:val="superscript"/>
                    </w:rPr>
                    <w:t>2</w:t>
                  </w:r>
                  <w:r>
                    <w:rPr>
                      <w:rFonts w:hint="eastAsia"/>
                      <w:color w:val="FF0000"/>
                      <w:kern w:val="0"/>
                      <w:szCs w:val="21"/>
                      <w:u w:val="single"/>
                    </w:rPr>
                    <w:t>/a</w:t>
                  </w:r>
                </w:p>
              </w:tc>
              <w:tc>
                <w:tcPr>
                  <w:tcW w:w="3881" w:type="dxa"/>
                  <w:vAlign w:val="center"/>
                </w:tcPr>
                <w:p>
                  <w:pPr>
                    <w:adjustRightInd w:val="0"/>
                    <w:spacing w:line="360" w:lineRule="exact"/>
                    <w:jc w:val="center"/>
                    <w:rPr>
                      <w:color w:val="FF0000"/>
                      <w:kern w:val="0"/>
                      <w:szCs w:val="21"/>
                      <w:u w:val="single"/>
                    </w:rPr>
                  </w:pPr>
                  <w:r>
                    <w:rPr>
                      <w:rFonts w:hint="eastAsia"/>
                      <w:color w:val="FF0000"/>
                      <w:kern w:val="0"/>
                      <w:szCs w:val="21"/>
                      <w:u w:val="single"/>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0" w:type="dxa"/>
                  <w:vMerge w:val="restart"/>
                  <w:vAlign w:val="center"/>
                </w:tcPr>
                <w:p>
                  <w:pPr>
                    <w:adjustRightInd w:val="0"/>
                    <w:snapToGrid w:val="0"/>
                    <w:spacing w:line="360" w:lineRule="exact"/>
                    <w:jc w:val="center"/>
                    <w:rPr>
                      <w:szCs w:val="21"/>
                    </w:rPr>
                  </w:pPr>
                  <w:r>
                    <w:rPr>
                      <w:szCs w:val="21"/>
                    </w:rPr>
                    <w:t>能源消耗</w:t>
                  </w:r>
                </w:p>
              </w:tc>
              <w:tc>
                <w:tcPr>
                  <w:tcW w:w="708" w:type="dxa"/>
                  <w:vAlign w:val="center"/>
                </w:tcPr>
                <w:p>
                  <w:pPr>
                    <w:adjustRightInd w:val="0"/>
                    <w:spacing w:line="360" w:lineRule="exact"/>
                    <w:jc w:val="center"/>
                    <w:rPr>
                      <w:bCs/>
                      <w:szCs w:val="21"/>
                    </w:rPr>
                  </w:pPr>
                  <w:r>
                    <w:rPr>
                      <w:bCs/>
                      <w:szCs w:val="21"/>
                    </w:rPr>
                    <w:t>1</w:t>
                  </w:r>
                </w:p>
              </w:tc>
              <w:tc>
                <w:tcPr>
                  <w:tcW w:w="1880" w:type="dxa"/>
                  <w:vAlign w:val="center"/>
                </w:tcPr>
                <w:p>
                  <w:pPr>
                    <w:adjustRightInd w:val="0"/>
                    <w:spacing w:line="360" w:lineRule="exact"/>
                    <w:jc w:val="center"/>
                    <w:rPr>
                      <w:spacing w:val="7"/>
                      <w:kern w:val="0"/>
                      <w:szCs w:val="21"/>
                    </w:rPr>
                  </w:pPr>
                  <w:r>
                    <w:rPr>
                      <w:kern w:val="0"/>
                      <w:szCs w:val="21"/>
                    </w:rPr>
                    <w:t>水</w:t>
                  </w:r>
                </w:p>
              </w:tc>
              <w:tc>
                <w:tcPr>
                  <w:tcW w:w="1725" w:type="dxa"/>
                  <w:vAlign w:val="center"/>
                </w:tcPr>
                <w:p>
                  <w:pPr>
                    <w:adjustRightInd w:val="0"/>
                    <w:spacing w:line="360" w:lineRule="exact"/>
                    <w:jc w:val="center"/>
                    <w:rPr>
                      <w:spacing w:val="7"/>
                      <w:kern w:val="0"/>
                      <w:szCs w:val="21"/>
                    </w:rPr>
                  </w:pPr>
                  <w:r>
                    <w:rPr>
                      <w:rFonts w:hint="eastAsia"/>
                      <w:kern w:val="0"/>
                      <w:szCs w:val="21"/>
                    </w:rPr>
                    <w:t>720</w:t>
                  </w:r>
                  <w:r>
                    <w:rPr>
                      <w:kern w:val="0"/>
                      <w:szCs w:val="21"/>
                    </w:rPr>
                    <w:t>m</w:t>
                  </w:r>
                  <w:r>
                    <w:rPr>
                      <w:kern w:val="0"/>
                      <w:szCs w:val="21"/>
                      <w:vertAlign w:val="superscript"/>
                    </w:rPr>
                    <w:t>3</w:t>
                  </w:r>
                  <w:r>
                    <w:rPr>
                      <w:kern w:val="0"/>
                      <w:szCs w:val="21"/>
                    </w:rPr>
                    <w:t>/a</w:t>
                  </w:r>
                </w:p>
              </w:tc>
              <w:tc>
                <w:tcPr>
                  <w:tcW w:w="3881" w:type="dxa"/>
                  <w:vAlign w:val="center"/>
                </w:tcPr>
                <w:p>
                  <w:pPr>
                    <w:adjustRightInd w:val="0"/>
                    <w:spacing w:line="360" w:lineRule="exact"/>
                    <w:jc w:val="center"/>
                    <w:rPr>
                      <w:kern w:val="0"/>
                      <w:szCs w:val="21"/>
                    </w:rPr>
                  </w:pPr>
                  <w:r>
                    <w:rPr>
                      <w:kern w:val="0"/>
                      <w:szCs w:val="21"/>
                    </w:rPr>
                    <w:t>由</w:t>
                  </w:r>
                  <w:r>
                    <w:rPr>
                      <w:rFonts w:hint="eastAsia"/>
                      <w:kern w:val="0"/>
                      <w:szCs w:val="21"/>
                    </w:rPr>
                    <w:t>自备井</w:t>
                  </w:r>
                  <w:r>
                    <w:rPr>
                      <w:kern w:val="0"/>
                      <w:szCs w:val="21"/>
                    </w:rPr>
                    <w:t>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2" w:hRule="atLeast"/>
                <w:jc w:val="center"/>
              </w:trPr>
              <w:tc>
                <w:tcPr>
                  <w:tcW w:w="810" w:type="dxa"/>
                  <w:vMerge w:val="continue"/>
                  <w:vAlign w:val="center"/>
                </w:tcPr>
                <w:p>
                  <w:pPr>
                    <w:adjustRightInd w:val="0"/>
                    <w:snapToGrid w:val="0"/>
                    <w:spacing w:line="360" w:lineRule="exact"/>
                    <w:jc w:val="center"/>
                    <w:rPr>
                      <w:szCs w:val="21"/>
                    </w:rPr>
                  </w:pPr>
                </w:p>
              </w:tc>
              <w:tc>
                <w:tcPr>
                  <w:tcW w:w="708" w:type="dxa"/>
                  <w:vAlign w:val="center"/>
                </w:tcPr>
                <w:p>
                  <w:pPr>
                    <w:adjustRightInd w:val="0"/>
                    <w:spacing w:line="360" w:lineRule="exact"/>
                    <w:jc w:val="center"/>
                    <w:rPr>
                      <w:bCs/>
                      <w:szCs w:val="21"/>
                    </w:rPr>
                  </w:pPr>
                  <w:r>
                    <w:rPr>
                      <w:rFonts w:hint="eastAsia"/>
                      <w:bCs/>
                      <w:szCs w:val="21"/>
                    </w:rPr>
                    <w:t>2</w:t>
                  </w:r>
                </w:p>
              </w:tc>
              <w:tc>
                <w:tcPr>
                  <w:tcW w:w="1880" w:type="dxa"/>
                  <w:vAlign w:val="center"/>
                </w:tcPr>
                <w:p>
                  <w:pPr>
                    <w:adjustRightInd w:val="0"/>
                    <w:spacing w:line="360" w:lineRule="exact"/>
                    <w:jc w:val="center"/>
                    <w:rPr>
                      <w:spacing w:val="7"/>
                      <w:kern w:val="0"/>
                      <w:szCs w:val="21"/>
                    </w:rPr>
                  </w:pPr>
                  <w:r>
                    <w:rPr>
                      <w:kern w:val="0"/>
                      <w:szCs w:val="21"/>
                    </w:rPr>
                    <w:t>电</w:t>
                  </w:r>
                </w:p>
              </w:tc>
              <w:tc>
                <w:tcPr>
                  <w:tcW w:w="1725" w:type="dxa"/>
                  <w:vAlign w:val="center"/>
                </w:tcPr>
                <w:p>
                  <w:pPr>
                    <w:adjustRightInd w:val="0"/>
                    <w:spacing w:line="360" w:lineRule="exact"/>
                    <w:jc w:val="center"/>
                    <w:rPr>
                      <w:kern w:val="0"/>
                      <w:szCs w:val="21"/>
                    </w:rPr>
                  </w:pPr>
                  <w:r>
                    <w:rPr>
                      <w:rFonts w:hint="eastAsia"/>
                      <w:kern w:val="0"/>
                      <w:szCs w:val="21"/>
                    </w:rPr>
                    <w:t>20</w:t>
                  </w:r>
                  <w:r>
                    <w:rPr>
                      <w:kern w:val="0"/>
                      <w:szCs w:val="21"/>
                    </w:rPr>
                    <w:t>万kW·h/a</w:t>
                  </w:r>
                </w:p>
              </w:tc>
              <w:tc>
                <w:tcPr>
                  <w:tcW w:w="3881" w:type="dxa"/>
                  <w:vAlign w:val="center"/>
                </w:tcPr>
                <w:p>
                  <w:pPr>
                    <w:adjustRightInd w:val="0"/>
                    <w:spacing w:line="360" w:lineRule="exact"/>
                    <w:jc w:val="center"/>
                  </w:pPr>
                  <w:r>
                    <w:rPr>
                      <w:kern w:val="0"/>
                    </w:rPr>
                    <w:t>由</w:t>
                  </w:r>
                  <w:r>
                    <w:rPr>
                      <w:rFonts w:hint="eastAsia"/>
                      <w:kern w:val="0"/>
                    </w:rPr>
                    <w:t>当地</w:t>
                  </w:r>
                  <w:r>
                    <w:rPr>
                      <w:kern w:val="0"/>
                    </w:rPr>
                    <w:t>供电系统提供</w:t>
                  </w:r>
                </w:p>
              </w:tc>
            </w:tr>
          </w:tbl>
          <w:p>
            <w:pPr>
              <w:tabs>
                <w:tab w:val="left" w:pos="1081"/>
              </w:tabs>
              <w:adjustRightInd w:val="0"/>
              <w:snapToGrid w:val="0"/>
              <w:spacing w:line="360" w:lineRule="auto"/>
              <w:ind w:firstLine="482" w:firstLineChars="200"/>
              <w:jc w:val="left"/>
              <w:rPr>
                <w:rFonts w:eastAsiaTheme="minorEastAsia"/>
                <w:b/>
                <w:sz w:val="24"/>
                <w:szCs w:val="24"/>
              </w:rPr>
            </w:pPr>
            <w:r>
              <w:rPr>
                <w:rFonts w:hint="eastAsia" w:eastAsiaTheme="minorEastAsia"/>
                <w:b/>
                <w:sz w:val="24"/>
                <w:szCs w:val="24"/>
              </w:rPr>
              <w:t>5</w:t>
            </w:r>
            <w:r>
              <w:rPr>
                <w:rFonts w:eastAsiaTheme="minorEastAsia"/>
                <w:b/>
                <w:sz w:val="24"/>
                <w:szCs w:val="24"/>
              </w:rPr>
              <w:t>、</w:t>
            </w:r>
            <w:r>
              <w:rPr>
                <w:rFonts w:hint="eastAsia" w:eastAsiaTheme="minorEastAsia"/>
                <w:b/>
                <w:sz w:val="24"/>
                <w:szCs w:val="24"/>
              </w:rPr>
              <w:t>物料平衡</w:t>
            </w:r>
          </w:p>
          <w:p>
            <w:pPr>
              <w:tabs>
                <w:tab w:val="left" w:pos="1081"/>
              </w:tabs>
              <w:adjustRightInd w:val="0"/>
              <w:snapToGrid w:val="0"/>
              <w:spacing w:line="360" w:lineRule="auto"/>
              <w:ind w:firstLine="480" w:firstLineChars="200"/>
              <w:jc w:val="left"/>
              <w:rPr>
                <w:color w:val="000000"/>
                <w:sz w:val="24"/>
              </w:rPr>
            </w:pPr>
            <w:r>
              <w:rPr>
                <w:rFonts w:hint="eastAsia"/>
                <w:color w:val="000000"/>
                <w:sz w:val="24"/>
              </w:rPr>
              <w:t>项目物料平衡见下图：</w:t>
            </w:r>
          </w:p>
          <w:p>
            <w:pPr>
              <w:pStyle w:val="2"/>
              <w:ind w:left="0" w:leftChars="0" w:firstLine="0"/>
              <w:jc w:val="center"/>
            </w:pPr>
            <w:r>
              <w:pict>
                <v:rect id="_x0000_s4139" o:spid="_x0000_s4139" o:spt="1" style="position:absolute;left:0pt;margin-left:274.3pt;margin-top:5.8pt;height:21.4pt;width:49.4pt;z-index:251661312;mso-width-relative:page;mso-height-relative:page;" coordsize="21600,21600">
                  <v:path/>
                  <v:fill focussize="0,0"/>
                  <v:stroke/>
                  <v:imagedata o:title=""/>
                  <o:lock v:ext="edit"/>
                  <v:textbox>
                    <w:txbxContent>
                      <w:p>
                        <w:r>
                          <w:rPr>
                            <w:rFonts w:hint="eastAsia"/>
                          </w:rPr>
                          <w:t>艾绒20</w:t>
                        </w:r>
                      </w:p>
                    </w:txbxContent>
                  </v:textbox>
                </v:rect>
              </w:pict>
            </w:r>
            <w:r>
              <w:pict>
                <v:group id="_x0000_s4132" o:spid="_x0000_s4132" o:spt="203" style="height:203.55pt;width:366.5pt;" coordorigin="2357,8008" coordsize="5855,3251" editas="canvas">
                  <o:lock v:ext="edit"/>
                  <v:shape id="_x0000_s4131" o:spid="_x0000_s4131" o:spt="75" type="#_x0000_t75" style="position:absolute;left:2357;top:8008;height:3251;width:5855;" filled="f" o:preferrelative="f" stroked="f" coordsize="21600,21600">
                    <v:fill on="f" focussize="0,0"/>
                    <v:stroke on="f" joinstyle="miter"/>
                    <v:imagedata o:title=""/>
                    <o:lock v:ext="edit" text="t" aspectratio="t"/>
                  </v:shape>
                  <v:rect id="_x0000_s4133" o:spid="_x0000_s4133" o:spt="1" style="position:absolute;left:2859;top:8343;height:336;width:901;" coordsize="21600,21600">
                    <v:path/>
                    <v:fill focussize="0,0"/>
                    <v:stroke/>
                    <v:imagedata o:title=""/>
                    <o:lock v:ext="edit"/>
                    <v:textbox>
                      <w:txbxContent>
                        <w:p>
                          <w:r>
                            <w:rPr>
                              <w:rFonts w:hint="eastAsia"/>
                            </w:rPr>
                            <w:t>艾草240</w:t>
                          </w:r>
                        </w:p>
                      </w:txbxContent>
                    </v:textbox>
                  </v:rect>
                  <v:rect id="_x0000_s4135" o:spid="_x0000_s4135" o:spt="1" style="position:absolute;left:2432;top:9186;height:336;width:1594;" coordsize="21600,21600">
                    <v:path/>
                    <v:fill focussize="0,0"/>
                    <v:stroke/>
                    <v:imagedata o:title=""/>
                    <o:lock v:ext="edit"/>
                    <v:textbox>
                      <w:txbxContent>
                        <w:p>
                          <w:r>
                            <w:rPr>
                              <w:rFonts w:hint="eastAsia"/>
                            </w:rPr>
                            <w:t>粉碎、提绒240</w:t>
                          </w:r>
                        </w:p>
                      </w:txbxContent>
                    </v:textbox>
                  </v:rect>
                  <v:shape id="_x0000_s4136" o:spid="_x0000_s4136" o:spt="32" type="#_x0000_t32" style="position:absolute;left:5566;top:8681;height:2;width:587;" o:connectortype="straight" filled="f" coordsize="21600,21600">
                    <v:path arrowok="t"/>
                    <v:fill on="f" focussize="0,0"/>
                    <v:stroke endarrow="block"/>
                    <v:imagedata o:title=""/>
                    <o:lock v:ext="edit"/>
                  </v:shape>
                  <v:shape id="_x0000_s4137" o:spid="_x0000_s4137" o:spt="32" type="#_x0000_t32" style="position:absolute;left:6153;top:8135;height:998;width:1;" o:connectortype="straight" filled="f" coordsize="21600,21600">
                    <v:path arrowok="t"/>
                    <v:fill on="f" focussize="0,0"/>
                    <v:stroke/>
                    <v:imagedata o:title=""/>
                    <o:lock v:ext="edit"/>
                  </v:shape>
                  <v:shape id="_x0000_s4138" o:spid="_x0000_s4138" o:spt="32" type="#_x0000_t32" style="position:absolute;left:6154;top:8132;height:1;width:588;" o:connectortype="straight" filled="f" coordsize="21600,21600">
                    <v:path arrowok="t"/>
                    <v:fill on="f" focussize="0,0"/>
                    <v:stroke endarrow="block"/>
                    <v:imagedata o:title=""/>
                    <o:lock v:ext="edit"/>
                  </v:shape>
                  <v:shape id="_x0000_s4140" o:spid="_x0000_s4140" o:spt="32" type="#_x0000_t32" style="position:absolute;left:6153;top:8679;height:2;width:587;" o:connectortype="straight" filled="f" coordsize="21600,21600">
                    <v:path arrowok="t"/>
                    <v:fill on="f" focussize="0,0"/>
                    <v:stroke endarrow="block"/>
                    <v:imagedata o:title=""/>
                    <o:lock v:ext="edit"/>
                  </v:shape>
                  <v:shape id="_x0000_s4141" o:spid="_x0000_s4141" o:spt="32" type="#_x0000_t32" style="position:absolute;left:6153;top:9128;height:1;width:587;" o:connectortype="straight" filled="f" coordsize="21600,21600">
                    <v:path arrowok="t"/>
                    <v:fill on="f" focussize="0,0"/>
                    <v:stroke endarrow="block"/>
                    <v:imagedata o:title=""/>
                    <o:lock v:ext="edit"/>
                  </v:shape>
                  <v:rect id="_x0000_s4142" o:spid="_x0000_s4142" o:spt="1" style="position:absolute;left:6740;top:8517;height:342;width:790;" coordsize="21600,21600">
                    <v:path/>
                    <v:fill focussize="0,0"/>
                    <v:stroke/>
                    <v:imagedata o:title=""/>
                    <o:lock v:ext="edit"/>
                    <v:textbox>
                      <w:txbxContent>
                        <w:p>
                          <w:r>
                            <w:rPr>
                              <w:rFonts w:hint="eastAsia"/>
                            </w:rPr>
                            <w:t>艾条30</w:t>
                          </w:r>
                        </w:p>
                      </w:txbxContent>
                    </v:textbox>
                  </v:rect>
                  <v:rect id="_x0000_s4143" o:spid="_x0000_s4143" o:spt="1" style="position:absolute;left:6740;top:8979;height:343;width:790;" coordsize="21600,21600">
                    <v:path/>
                    <v:fill focussize="0,0"/>
                    <v:stroke/>
                    <v:imagedata o:title=""/>
                    <o:lock v:ext="edit"/>
                    <v:textbox>
                      <w:txbxContent>
                        <w:p>
                          <w:r>
                            <w:rPr>
                              <w:rFonts w:hint="eastAsia"/>
                            </w:rPr>
                            <w:t>艾柱30</w:t>
                          </w:r>
                        </w:p>
                      </w:txbxContent>
                    </v:textbox>
                  </v:rect>
                  <v:rect id="_x0000_s4145" o:spid="_x0000_s4145" o:spt="1" style="position:absolute;left:6742;top:9355;height:343;width:1029;" coordsize="21600,21600">
                    <v:path/>
                    <v:fill focussize="0,0"/>
                    <v:stroke/>
                    <v:imagedata o:title=""/>
                    <o:lock v:ext="edit"/>
                    <v:textbox>
                      <w:txbxContent>
                        <w:p>
                          <w:r>
                            <w:rPr>
                              <w:rFonts w:hint="eastAsia"/>
                            </w:rPr>
                            <w:t>泡脚包10</w:t>
                          </w:r>
                        </w:p>
                      </w:txbxContent>
                    </v:textbox>
                  </v:rect>
                  <v:shape id="_x0000_s4146" o:spid="_x0000_s4146" o:spt="32" type="#_x0000_t32" style="position:absolute;left:5566;top:10091;height:4;width:587;" o:connectortype="straight" filled="f" coordsize="21600,21600">
                    <v:path arrowok="t"/>
                    <v:fill on="f" focussize="0,0"/>
                    <v:stroke endarrow="block"/>
                    <v:imagedata o:title=""/>
                    <o:lock v:ext="edit"/>
                  </v:shape>
                  <v:rect id="_x0000_s4147" o:spid="_x0000_s4147" o:spt="1" style="position:absolute;left:6737;top:9919;height:344;width:1028;" coordsize="21600,21600">
                    <v:path/>
                    <v:fill focussize="0,0"/>
                    <v:stroke/>
                    <v:imagedata o:title=""/>
                    <o:lock v:ext="edit"/>
                    <v:textbox>
                      <w:txbxContent>
                        <w:p>
                          <w:r>
                            <w:rPr>
                              <w:rFonts w:hint="eastAsia"/>
                            </w:rPr>
                            <w:t>布艺品10</w:t>
                          </w:r>
                        </w:p>
                      </w:txbxContent>
                    </v:textbox>
                  </v:rect>
                  <v:rect id="_x0000_s4149" o:spid="_x0000_s4149" o:spt="1" style="position:absolute;left:4776;top:9698;height:823;width:790;" coordsize="21600,21600">
                    <v:path/>
                    <v:fill focussize="0,0"/>
                    <v:stroke/>
                    <v:imagedata o:title=""/>
                    <o:lock v:ext="edit"/>
                    <v:textbox>
                      <w:txbxContent>
                        <w:p>
                          <w:r>
                            <w:rPr>
                              <w:rFonts w:hint="eastAsia"/>
                            </w:rPr>
                            <w:t>艾粉157.92888</w:t>
                          </w:r>
                        </w:p>
                      </w:txbxContent>
                    </v:textbox>
                  </v:rect>
                  <v:shape id="_x0000_s4150" o:spid="_x0000_s4150" o:spt="32" type="#_x0000_t32" style="position:absolute;left:3351;top:8689;height:501;width:4;" o:connectortype="straight" filled="f" coordsize="21600,21600">
                    <v:path arrowok="t"/>
                    <v:fill on="f" focussize="0,0"/>
                    <v:stroke endarrow="block"/>
                    <v:imagedata o:title=""/>
                    <o:lock v:ext="edit"/>
                  </v:shape>
                  <v:rect id="_x0000_s4151" o:spid="_x0000_s4151" o:spt="1" style="position:absolute;left:4776;top:8517;height:343;width:790;" coordsize="21600,21600">
                    <v:path/>
                    <v:fill focussize="0,0"/>
                    <v:stroke/>
                    <v:imagedata o:title=""/>
                    <o:lock v:ext="edit"/>
                    <v:textbox>
                      <w:txbxContent>
                        <w:p>
                          <w:r>
                            <w:rPr>
                              <w:rFonts w:hint="eastAsia"/>
                            </w:rPr>
                            <w:t>艾绒80</w:t>
                          </w:r>
                        </w:p>
                      </w:txbxContent>
                    </v:textbox>
                  </v:rect>
                  <v:shape id="_x0000_s4152" o:spid="_x0000_s4152" o:spt="32" type="#_x0000_t32" style="position:absolute;left:3343;top:9522;height:314;width:8;" o:connectortype="straight" filled="f" coordsize="21600,21600">
                    <v:path arrowok="t"/>
                    <v:fill on="f" focussize="0,0"/>
                    <v:stroke endarrow="block"/>
                    <v:imagedata o:title=""/>
                    <o:lock v:ext="edit"/>
                  </v:shape>
                  <v:shape id="_x0000_s4153" o:spid="_x0000_s4153" o:spt="34" type="#_x0000_t34" style="position:absolute;left:4026;top:8688;flip:y;height:666;width:750;" o:connectortype="elbow" filled="f" coordsize="21600,21600" adj="10788,50037,-106022">
                    <v:path arrowok="t"/>
                    <v:fill on="f" focussize="0,0"/>
                    <v:stroke endarrow="block"/>
                    <v:imagedata o:title=""/>
                    <o:lock v:ext="edit"/>
                  </v:shape>
                  <v:shape id="_x0000_s4154" o:spid="_x0000_s4154" o:spt="34" type="#_x0000_t34" style="position:absolute;left:4026;top:9354;height:756;width:750;" o:connectortype="elbow" filled="f" coordsize="21600,21600" adj="10788,-44113,-106022">
                    <v:path arrowok="t"/>
                    <v:fill on="f" focussize="0,0"/>
                    <v:stroke endarrow="block"/>
                    <v:imagedata o:title=""/>
                    <o:lock v:ext="edit"/>
                  </v:shape>
                  <v:shape id="_x0000_s4155" o:spid="_x0000_s4155" o:spt="32" type="#_x0000_t32" style="position:absolute;left:6150;top:9522;height:999;width:1;" o:connectortype="straight" filled="f" coordsize="21600,21600">
                    <v:path arrowok="t"/>
                    <v:fill on="f" focussize="0,0"/>
                    <v:stroke/>
                    <v:imagedata o:title=""/>
                    <o:lock v:ext="edit"/>
                  </v:shape>
                  <v:shape id="_x0000_s4156" o:spid="_x0000_s4156" o:spt="32" type="#_x0000_t32" style="position:absolute;left:6150;top:9522;height:3;width:587;" o:connectortype="straight" filled="f" coordsize="21600,21600">
                    <v:path arrowok="t"/>
                    <v:fill on="f" focussize="0,0"/>
                    <v:stroke endarrow="block"/>
                    <v:imagedata o:title=""/>
                    <o:lock v:ext="edit"/>
                  </v:shape>
                  <v:shape id="_x0000_s4157" o:spid="_x0000_s4157" o:spt="32" type="#_x0000_t32" style="position:absolute;left:6150;top:10095;height:2;width:587;" o:connectortype="straight" filled="f" coordsize="21600,21600">
                    <v:path arrowok="t"/>
                    <v:fill on="f" focussize="0,0"/>
                    <v:stroke endarrow="block"/>
                    <v:imagedata o:title=""/>
                    <o:lock v:ext="edit"/>
                  </v:shape>
                  <v:shape id="_x0000_s4158" o:spid="_x0000_s4158" o:spt="32" type="#_x0000_t32" style="position:absolute;left:6150;top:10521;height:2;width:587;" o:connectortype="straight" filled="f" coordsize="21600,21600">
                    <v:path arrowok="t"/>
                    <v:fill on="f" focussize="0,0"/>
                    <v:stroke endarrow="block"/>
                    <v:imagedata o:title=""/>
                    <o:lock v:ext="edit"/>
                  </v:shape>
                  <v:rect id="_x0000_s4159" o:spid="_x0000_s4159" o:spt="1" style="position:absolute;left:6737;top:10347;height:603;width:1214;" coordsize="21600,21600">
                    <v:path/>
                    <v:fill focussize="0,0"/>
                    <v:stroke/>
                    <v:imagedata o:title=""/>
                    <o:lock v:ext="edit"/>
                    <v:textbox>
                      <w:txbxContent>
                        <w:p>
                          <w:r>
                            <w:rPr>
                              <w:rFonts w:hint="eastAsia"/>
                            </w:rPr>
                            <w:t>副产品（艾粉）137.92888</w:t>
                          </w:r>
                        </w:p>
                      </w:txbxContent>
                    </v:textbox>
                  </v:rect>
                  <v:shape id="_x0000_s4160" o:spid="_x0000_s4160" o:spt="32" type="#_x0000_t32" style="position:absolute;left:2569;top:9836;height:2;width:1458;" o:connectortype="straight" filled="f" coordsize="21600,21600">
                    <v:path arrowok="t"/>
                    <v:fill on="f" focussize="0,0"/>
                    <v:stroke/>
                    <v:imagedata o:title=""/>
                    <o:lock v:ext="edit"/>
                  </v:shape>
                  <v:shape id="_x0000_s4161" o:spid="_x0000_s4161" o:spt="32" type="#_x0000_t32" style="position:absolute;left:2569;top:9836;height:347;width:1;" o:connectortype="straight" filled="f" coordsize="21600,21600">
                    <v:path arrowok="t"/>
                    <v:fill on="f" focussize="0,0"/>
                    <v:stroke endarrow="block"/>
                    <v:imagedata o:title=""/>
                    <o:lock v:ext="edit"/>
                  </v:shape>
                  <v:shape id="_x0000_s4162" o:spid="_x0000_s4162" o:spt="32" type="#_x0000_t32" style="position:absolute;left:3341;top:9836;height:346;width:2;" o:connectortype="straight" filled="f" coordsize="21600,21600">
                    <v:path arrowok="t"/>
                    <v:fill on="f" focussize="0,0"/>
                    <v:stroke endarrow="block"/>
                    <v:imagedata o:title=""/>
                    <o:lock v:ext="edit"/>
                  </v:shape>
                  <v:shape id="_x0000_s4163" o:spid="_x0000_s4163" o:spt="32" type="#_x0000_t32" style="position:absolute;left:4026;top:9838;height:346;width:1;" o:connectortype="straight" filled="f" coordsize="21600,21600">
                    <v:path arrowok="t"/>
                    <v:fill on="f" focussize="0,0"/>
                    <v:stroke endarrow="block"/>
                    <v:imagedata o:title=""/>
                    <o:lock v:ext="edit"/>
                  </v:shape>
                  <v:rect id="_x0000_s4164" o:spid="_x0000_s4164" o:spt="1" style="position:absolute;left:2357;top:10184;height:1075;width:613;" coordsize="21600,21600">
                    <v:path/>
                    <v:fill focussize="0,0"/>
                    <v:stroke/>
                    <v:imagedata o:title=""/>
                    <o:lock v:ext="edit"/>
                    <v:textbox>
                      <w:txbxContent>
                        <w:p>
                          <w:r>
                            <w:rPr>
                              <w:rFonts w:hint="eastAsia"/>
                            </w:rPr>
                            <w:t>有组织0.02026</w:t>
                          </w:r>
                        </w:p>
                      </w:txbxContent>
                    </v:textbox>
                  </v:rect>
                  <v:rect id="_x0000_s4165" o:spid="_x0000_s4165" o:spt="1" style="position:absolute;left:3065;top:10184;height:1075;width:665;" coordsize="21600,21600">
                    <v:path/>
                    <v:fill focussize="0,0"/>
                    <v:stroke/>
                    <v:imagedata o:title=""/>
                    <o:lock v:ext="edit"/>
                    <v:textbox>
                      <w:txbxContent>
                        <w:p>
                          <w:r>
                            <w:rPr>
                              <w:rFonts w:hint="eastAsia"/>
                            </w:rPr>
                            <w:t>无组织0.04512</w:t>
                          </w:r>
                        </w:p>
                      </w:txbxContent>
                    </v:textbox>
                  </v:rect>
                  <v:rect id="_x0000_s4166" o:spid="_x0000_s4166" o:spt="1" style="position:absolute;left:3817;top:10183;height:1076;width:824;" coordsize="21600,21600">
                    <v:path/>
                    <v:fill focussize="0,0"/>
                    <v:stroke/>
                    <v:imagedata o:title=""/>
                    <o:lock v:ext="edit"/>
                    <v:textbox>
                      <w:txbxContent>
                        <w:p>
                          <w:r>
                            <w:rPr>
                              <w:rFonts w:hint="eastAsia"/>
                            </w:rPr>
                            <w:t>除尘器去除2.00574</w:t>
                          </w:r>
                        </w:p>
                      </w:txbxContent>
                    </v:textbox>
                  </v:rect>
                  <v:rect id="_x0000_s4167" o:spid="_x0000_s4167" o:spt="1" style="position:absolute;left:2708;top:9492;height:344;width:1318;" filled="f" stroked="f" coordsize="21600,21600">
                    <v:path/>
                    <v:fill on="f" focussize="0,0"/>
                    <v:stroke on="f"/>
                    <v:imagedata o:title=""/>
                    <o:lock v:ext="edit"/>
                    <v:textbox>
                      <w:txbxContent>
                        <w:p>
                          <w:r>
                            <w:rPr>
                              <w:rFonts w:hint="eastAsia"/>
                            </w:rPr>
                            <w:t>粉尘2.07112</w:t>
                          </w:r>
                        </w:p>
                      </w:txbxContent>
                    </v:textbox>
                  </v:rect>
                  <w10:wrap type="none"/>
                  <w10:anchorlock/>
                </v:group>
              </w:pict>
            </w:r>
          </w:p>
          <w:p>
            <w:pPr>
              <w:jc w:val="center"/>
              <w:rPr>
                <w:b/>
                <w:color w:val="FF0000"/>
                <w:sz w:val="24"/>
                <w:u w:val="single"/>
              </w:rPr>
            </w:pPr>
            <w:r>
              <w:rPr>
                <w:rFonts w:hint="eastAsia"/>
                <w:b/>
                <w:color w:val="FF0000"/>
                <w:sz w:val="24"/>
                <w:u w:val="single"/>
              </w:rPr>
              <w:t>图2-1  项目物料平衡图   单位：（t/a）</w:t>
            </w:r>
          </w:p>
          <w:p>
            <w:pPr>
              <w:tabs>
                <w:tab w:val="left" w:pos="1081"/>
              </w:tabs>
              <w:adjustRightInd w:val="0"/>
              <w:snapToGrid w:val="0"/>
              <w:spacing w:line="360" w:lineRule="auto"/>
              <w:ind w:firstLine="482" w:firstLineChars="200"/>
              <w:jc w:val="left"/>
              <w:rPr>
                <w:rFonts w:eastAsiaTheme="minorEastAsia"/>
                <w:b/>
                <w:sz w:val="24"/>
                <w:szCs w:val="24"/>
              </w:rPr>
            </w:pPr>
            <w:r>
              <w:rPr>
                <w:rFonts w:hint="eastAsia" w:eastAsiaTheme="minorEastAsia"/>
                <w:b/>
                <w:sz w:val="24"/>
                <w:szCs w:val="24"/>
              </w:rPr>
              <w:t>6</w:t>
            </w:r>
            <w:r>
              <w:rPr>
                <w:rFonts w:eastAsiaTheme="minorEastAsia"/>
                <w:b/>
                <w:sz w:val="24"/>
                <w:szCs w:val="24"/>
              </w:rPr>
              <w:t>、</w:t>
            </w:r>
            <w:r>
              <w:rPr>
                <w:rFonts w:hint="eastAsia" w:eastAsiaTheme="minorEastAsia"/>
                <w:b/>
                <w:sz w:val="24"/>
                <w:szCs w:val="24"/>
              </w:rPr>
              <w:t>水平衡</w:t>
            </w:r>
          </w:p>
          <w:p>
            <w:pPr>
              <w:adjustRightInd w:val="0"/>
              <w:snapToGrid w:val="0"/>
              <w:spacing w:line="360" w:lineRule="auto"/>
              <w:ind w:firstLine="480" w:firstLineChars="200"/>
              <w:rPr>
                <w:color w:val="000000"/>
                <w:sz w:val="24"/>
              </w:rPr>
            </w:pPr>
            <w:r>
              <w:rPr>
                <w:rFonts w:hint="eastAsia"/>
                <w:color w:val="000000"/>
                <w:sz w:val="24"/>
              </w:rPr>
              <w:t>项目</w:t>
            </w:r>
            <w:r>
              <w:rPr>
                <w:color w:val="000000"/>
                <w:sz w:val="24"/>
              </w:rPr>
              <w:t>营运期</w:t>
            </w:r>
            <w:r>
              <w:rPr>
                <w:rFonts w:hint="eastAsia"/>
                <w:color w:val="000000"/>
                <w:sz w:val="24"/>
              </w:rPr>
              <w:t>用水</w:t>
            </w:r>
            <w:r>
              <w:rPr>
                <w:color w:val="000000"/>
                <w:sz w:val="24"/>
              </w:rPr>
              <w:t>主要为</w:t>
            </w:r>
            <w:r>
              <w:rPr>
                <w:rFonts w:hint="eastAsia"/>
                <w:color w:val="000000"/>
                <w:sz w:val="24"/>
              </w:rPr>
              <w:t>职工生活用水；废水主要为职工生活废水。</w:t>
            </w:r>
          </w:p>
          <w:p>
            <w:pPr>
              <w:tabs>
                <w:tab w:val="left" w:pos="1081"/>
              </w:tabs>
              <w:adjustRightInd w:val="0"/>
              <w:snapToGrid w:val="0"/>
              <w:spacing w:line="360" w:lineRule="auto"/>
              <w:ind w:firstLine="480" w:firstLineChars="200"/>
              <w:jc w:val="left"/>
              <w:rPr>
                <w:color w:val="000000"/>
                <w:sz w:val="24"/>
              </w:rPr>
            </w:pPr>
            <w:r>
              <w:rPr>
                <w:rFonts w:hint="eastAsia"/>
                <w:color w:val="000000"/>
                <w:sz w:val="24"/>
              </w:rPr>
              <w:t>本项目职工5人，均不在厂区食宿，参照</w:t>
            </w:r>
            <w:r>
              <w:rPr>
                <w:rFonts w:hint="eastAsia"/>
                <w:color w:val="000000" w:themeColor="text1"/>
                <w:sz w:val="24"/>
                <w:szCs w:val="22"/>
              </w:rPr>
              <w:t>根据《河南省地方标准 工业及城镇生活用水定额》（DB41/T385-2020），项目职工生活用水参照《定额》中表48中“公共管理、 社会保障和社会组织—机关用水定额—22m</w:t>
            </w:r>
            <w:r>
              <w:rPr>
                <w:rFonts w:hint="eastAsia"/>
                <w:color w:val="000000" w:themeColor="text1"/>
                <w:sz w:val="24"/>
                <w:szCs w:val="22"/>
                <w:vertAlign w:val="superscript"/>
              </w:rPr>
              <w:t>3</w:t>
            </w:r>
            <w:r>
              <w:rPr>
                <w:rFonts w:hint="eastAsia"/>
                <w:color w:val="000000" w:themeColor="text1"/>
                <w:sz w:val="24"/>
                <w:szCs w:val="22"/>
              </w:rPr>
              <w:t>/人•a（无食堂），折合60L/人•d，则项目职工生活用水量为0.3m</w:t>
            </w:r>
            <w:r>
              <w:rPr>
                <w:rFonts w:hint="eastAsia"/>
                <w:color w:val="000000" w:themeColor="text1"/>
                <w:sz w:val="24"/>
                <w:szCs w:val="22"/>
                <w:vertAlign w:val="superscript"/>
              </w:rPr>
              <w:t>3</w:t>
            </w:r>
            <w:r>
              <w:rPr>
                <w:rFonts w:hint="eastAsia"/>
                <w:color w:val="000000" w:themeColor="text1"/>
                <w:sz w:val="24"/>
                <w:szCs w:val="22"/>
              </w:rPr>
              <w:t>/d，废水产污系数取0.8，生活污水产生量为0.24m</w:t>
            </w:r>
            <w:r>
              <w:rPr>
                <w:rFonts w:hint="eastAsia"/>
                <w:color w:val="000000" w:themeColor="text1"/>
                <w:sz w:val="24"/>
                <w:szCs w:val="22"/>
                <w:vertAlign w:val="superscript"/>
              </w:rPr>
              <w:t>3</w:t>
            </w:r>
            <w:r>
              <w:rPr>
                <w:rFonts w:hint="eastAsia"/>
                <w:color w:val="000000" w:themeColor="text1"/>
                <w:sz w:val="24"/>
                <w:szCs w:val="22"/>
              </w:rPr>
              <w:t>/d</w:t>
            </w:r>
            <w:r>
              <w:rPr>
                <w:color w:val="000000" w:themeColor="text1"/>
                <w:sz w:val="24"/>
                <w:szCs w:val="22"/>
              </w:rPr>
              <w:t>。</w:t>
            </w:r>
            <w:r>
              <w:rPr>
                <w:rFonts w:hint="eastAsia"/>
                <w:color w:val="000000" w:themeColor="text1"/>
                <w:sz w:val="24"/>
                <w:szCs w:val="22"/>
              </w:rPr>
              <w:t>生活污水经配套化粪池（5m</w:t>
            </w:r>
            <w:r>
              <w:rPr>
                <w:rFonts w:hint="eastAsia"/>
                <w:color w:val="000000" w:themeColor="text1"/>
                <w:sz w:val="24"/>
                <w:szCs w:val="22"/>
                <w:vertAlign w:val="superscript"/>
              </w:rPr>
              <w:t>3</w:t>
            </w:r>
            <w:r>
              <w:rPr>
                <w:rFonts w:hint="eastAsia"/>
                <w:color w:val="000000" w:themeColor="text1"/>
                <w:sz w:val="24"/>
                <w:szCs w:val="22"/>
              </w:rPr>
              <w:t>，“三防”措施）处理后用于周围农田施肥。</w:t>
            </w:r>
          </w:p>
          <w:p>
            <w:pPr>
              <w:tabs>
                <w:tab w:val="left" w:pos="1081"/>
              </w:tabs>
              <w:adjustRightInd w:val="0"/>
              <w:snapToGrid w:val="0"/>
              <w:spacing w:line="360" w:lineRule="auto"/>
              <w:ind w:firstLine="480" w:firstLineChars="200"/>
              <w:jc w:val="left"/>
              <w:rPr>
                <w:color w:val="000000"/>
                <w:sz w:val="24"/>
              </w:rPr>
            </w:pPr>
            <w:r>
              <w:rPr>
                <w:rFonts w:hint="eastAsia"/>
                <w:color w:val="000000"/>
                <w:sz w:val="24"/>
              </w:rPr>
              <w:t>综上，</w:t>
            </w:r>
            <w:r>
              <w:rPr>
                <w:color w:val="000000"/>
                <w:sz w:val="24"/>
              </w:rPr>
              <w:t>本项目</w:t>
            </w:r>
            <w:r>
              <w:rPr>
                <w:rFonts w:eastAsiaTheme="minorEastAsia"/>
                <w:sz w:val="24"/>
                <w:szCs w:val="24"/>
              </w:rPr>
              <w:t>营运</w:t>
            </w:r>
            <w:r>
              <w:rPr>
                <w:color w:val="000000"/>
                <w:sz w:val="24"/>
              </w:rPr>
              <w:t>期用排水情况见表2-</w:t>
            </w:r>
            <w:r>
              <w:rPr>
                <w:rFonts w:hint="eastAsia"/>
                <w:color w:val="000000"/>
                <w:sz w:val="24"/>
              </w:rPr>
              <w:t>5</w:t>
            </w:r>
            <w:r>
              <w:rPr>
                <w:color w:val="000000"/>
                <w:sz w:val="24"/>
              </w:rPr>
              <w:t>。</w:t>
            </w:r>
          </w:p>
          <w:p>
            <w:pPr>
              <w:tabs>
                <w:tab w:val="left" w:pos="1081"/>
              </w:tabs>
              <w:adjustRightInd w:val="0"/>
              <w:snapToGrid w:val="0"/>
              <w:spacing w:line="360" w:lineRule="auto"/>
              <w:jc w:val="center"/>
              <w:rPr>
                <w:b/>
                <w:color w:val="000000"/>
                <w:sz w:val="24"/>
              </w:rPr>
            </w:pPr>
            <w:r>
              <w:rPr>
                <w:b/>
                <w:color w:val="000000"/>
                <w:sz w:val="24"/>
              </w:rPr>
              <w:t>表2-</w:t>
            </w:r>
            <w:r>
              <w:rPr>
                <w:rFonts w:hint="eastAsia"/>
                <w:b/>
                <w:color w:val="000000"/>
                <w:sz w:val="24"/>
              </w:rPr>
              <w:t>5</w:t>
            </w:r>
            <w:r>
              <w:rPr>
                <w:b/>
                <w:color w:val="000000"/>
                <w:sz w:val="24"/>
              </w:rPr>
              <w:t xml:space="preserve">       本</w:t>
            </w:r>
            <w:r>
              <w:rPr>
                <w:b/>
                <w:sz w:val="24"/>
                <w:szCs w:val="24"/>
              </w:rPr>
              <w:t>项目</w:t>
            </w:r>
            <w:r>
              <w:rPr>
                <w:b/>
                <w:color w:val="000000"/>
                <w:sz w:val="24"/>
              </w:rPr>
              <w:t>营运期排水情况一览表</w:t>
            </w:r>
            <w:r>
              <w:rPr>
                <w:rFonts w:hint="eastAsia"/>
                <w:b/>
                <w:color w:val="000000"/>
                <w:sz w:val="24"/>
              </w:rPr>
              <w:t xml:space="preserve">  单位：m</w:t>
            </w:r>
            <w:r>
              <w:rPr>
                <w:rFonts w:hint="eastAsia"/>
                <w:b/>
                <w:color w:val="000000"/>
                <w:sz w:val="24"/>
                <w:vertAlign w:val="superscript"/>
              </w:rPr>
              <w:t>3</w:t>
            </w:r>
            <w:r>
              <w:rPr>
                <w:rFonts w:hint="eastAsia"/>
                <w:b/>
                <w:color w:val="000000"/>
                <w:sz w:val="24"/>
              </w:rPr>
              <w:t>/d</w:t>
            </w:r>
          </w:p>
          <w:tbl>
            <w:tblPr>
              <w:tblStyle w:val="26"/>
              <w:tblW w:w="900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4"/>
              <w:gridCol w:w="1306"/>
              <w:gridCol w:w="1279"/>
              <w:gridCol w:w="967"/>
              <w:gridCol w:w="1212"/>
              <w:gridCol w:w="26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0" w:hRule="atLeast"/>
                <w:jc w:val="center"/>
              </w:trPr>
              <w:tc>
                <w:tcPr>
                  <w:tcW w:w="1604" w:type="dxa"/>
                  <w:vAlign w:val="center"/>
                </w:tcPr>
                <w:p>
                  <w:pPr>
                    <w:spacing w:line="320" w:lineRule="exact"/>
                    <w:jc w:val="center"/>
                    <w:rPr>
                      <w:color w:val="000000"/>
                      <w:szCs w:val="21"/>
                    </w:rPr>
                  </w:pPr>
                  <w:r>
                    <w:rPr>
                      <w:rFonts w:hint="eastAsia"/>
                      <w:color w:val="000000"/>
                      <w:szCs w:val="21"/>
                    </w:rPr>
                    <w:t>类别</w:t>
                  </w:r>
                </w:p>
              </w:tc>
              <w:tc>
                <w:tcPr>
                  <w:tcW w:w="1306" w:type="dxa"/>
                  <w:vAlign w:val="center"/>
                </w:tcPr>
                <w:p>
                  <w:pPr>
                    <w:spacing w:line="320" w:lineRule="exact"/>
                    <w:jc w:val="center"/>
                    <w:rPr>
                      <w:color w:val="000000"/>
                      <w:szCs w:val="21"/>
                    </w:rPr>
                  </w:pPr>
                  <w:r>
                    <w:rPr>
                      <w:rFonts w:hint="eastAsia"/>
                      <w:color w:val="000000"/>
                      <w:szCs w:val="21"/>
                    </w:rPr>
                    <w:t>用水量</w:t>
                  </w:r>
                </w:p>
              </w:tc>
              <w:tc>
                <w:tcPr>
                  <w:tcW w:w="1279" w:type="dxa"/>
                  <w:vAlign w:val="center"/>
                </w:tcPr>
                <w:p>
                  <w:pPr>
                    <w:spacing w:line="320" w:lineRule="exact"/>
                    <w:jc w:val="center"/>
                    <w:rPr>
                      <w:color w:val="000000"/>
                      <w:szCs w:val="21"/>
                    </w:rPr>
                  </w:pPr>
                  <w:r>
                    <w:rPr>
                      <w:rFonts w:hint="eastAsia"/>
                      <w:color w:val="000000"/>
                      <w:szCs w:val="21"/>
                    </w:rPr>
                    <w:t>用水来源</w:t>
                  </w:r>
                </w:p>
              </w:tc>
              <w:tc>
                <w:tcPr>
                  <w:tcW w:w="967" w:type="dxa"/>
                  <w:vAlign w:val="center"/>
                </w:tcPr>
                <w:p>
                  <w:pPr>
                    <w:spacing w:line="320" w:lineRule="exact"/>
                    <w:jc w:val="center"/>
                    <w:rPr>
                      <w:color w:val="000000"/>
                      <w:szCs w:val="21"/>
                    </w:rPr>
                  </w:pPr>
                  <w:r>
                    <w:rPr>
                      <w:rFonts w:hint="eastAsia"/>
                      <w:color w:val="000000"/>
                      <w:szCs w:val="21"/>
                    </w:rPr>
                    <w:t>废水量</w:t>
                  </w:r>
                </w:p>
              </w:tc>
              <w:tc>
                <w:tcPr>
                  <w:tcW w:w="1212" w:type="dxa"/>
                  <w:vAlign w:val="center"/>
                </w:tcPr>
                <w:p>
                  <w:pPr>
                    <w:spacing w:line="320" w:lineRule="exact"/>
                    <w:jc w:val="center"/>
                    <w:rPr>
                      <w:color w:val="000000"/>
                      <w:szCs w:val="21"/>
                    </w:rPr>
                  </w:pPr>
                  <w:r>
                    <w:rPr>
                      <w:rFonts w:hint="eastAsia"/>
                      <w:color w:val="000000"/>
                      <w:szCs w:val="21"/>
                    </w:rPr>
                    <w:t>排放频次</w:t>
                  </w:r>
                </w:p>
              </w:tc>
              <w:tc>
                <w:tcPr>
                  <w:tcW w:w="2636" w:type="dxa"/>
                  <w:vAlign w:val="center"/>
                </w:tcPr>
                <w:p>
                  <w:pPr>
                    <w:spacing w:line="320" w:lineRule="exact"/>
                    <w:jc w:val="center"/>
                    <w:rPr>
                      <w:color w:val="000000"/>
                      <w:szCs w:val="21"/>
                    </w:rPr>
                  </w:pPr>
                  <w:r>
                    <w:rPr>
                      <w:rFonts w:hint="eastAsia"/>
                      <w:color w:val="00000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0" w:hRule="atLeast"/>
                <w:jc w:val="center"/>
              </w:trPr>
              <w:tc>
                <w:tcPr>
                  <w:tcW w:w="1604" w:type="dxa"/>
                  <w:vAlign w:val="center"/>
                </w:tcPr>
                <w:p>
                  <w:pPr>
                    <w:spacing w:line="320" w:lineRule="exact"/>
                    <w:jc w:val="center"/>
                    <w:rPr>
                      <w:color w:val="000000"/>
                      <w:szCs w:val="21"/>
                    </w:rPr>
                  </w:pPr>
                  <w:r>
                    <w:rPr>
                      <w:rFonts w:hint="eastAsia"/>
                      <w:color w:val="000000"/>
                      <w:szCs w:val="21"/>
                    </w:rPr>
                    <w:t>职工生活用水</w:t>
                  </w:r>
                </w:p>
              </w:tc>
              <w:tc>
                <w:tcPr>
                  <w:tcW w:w="1306" w:type="dxa"/>
                  <w:vAlign w:val="center"/>
                </w:tcPr>
                <w:p>
                  <w:pPr>
                    <w:spacing w:line="320" w:lineRule="exact"/>
                    <w:jc w:val="center"/>
                    <w:rPr>
                      <w:color w:val="000000"/>
                      <w:szCs w:val="21"/>
                    </w:rPr>
                  </w:pPr>
                  <w:r>
                    <w:rPr>
                      <w:rFonts w:hint="eastAsia"/>
                      <w:color w:val="000000"/>
                      <w:szCs w:val="21"/>
                    </w:rPr>
                    <w:t>0.3</w:t>
                  </w:r>
                </w:p>
              </w:tc>
              <w:tc>
                <w:tcPr>
                  <w:tcW w:w="1279" w:type="dxa"/>
                  <w:vAlign w:val="center"/>
                </w:tcPr>
                <w:p>
                  <w:pPr>
                    <w:spacing w:line="320" w:lineRule="exact"/>
                    <w:jc w:val="center"/>
                    <w:rPr>
                      <w:color w:val="000000"/>
                      <w:szCs w:val="21"/>
                    </w:rPr>
                  </w:pPr>
                  <w:r>
                    <w:rPr>
                      <w:rFonts w:hint="eastAsia"/>
                      <w:color w:val="000000"/>
                      <w:szCs w:val="21"/>
                    </w:rPr>
                    <w:t>自备井</w:t>
                  </w:r>
                </w:p>
              </w:tc>
              <w:tc>
                <w:tcPr>
                  <w:tcW w:w="967" w:type="dxa"/>
                  <w:vAlign w:val="center"/>
                </w:tcPr>
                <w:p>
                  <w:pPr>
                    <w:spacing w:line="320" w:lineRule="exact"/>
                    <w:jc w:val="center"/>
                    <w:rPr>
                      <w:color w:val="000000"/>
                      <w:szCs w:val="21"/>
                    </w:rPr>
                  </w:pPr>
                  <w:r>
                    <w:rPr>
                      <w:rFonts w:hint="eastAsia"/>
                      <w:color w:val="000000"/>
                      <w:szCs w:val="21"/>
                    </w:rPr>
                    <w:t>0.24</w:t>
                  </w:r>
                </w:p>
              </w:tc>
              <w:tc>
                <w:tcPr>
                  <w:tcW w:w="1212" w:type="dxa"/>
                  <w:vAlign w:val="center"/>
                </w:tcPr>
                <w:p>
                  <w:pPr>
                    <w:spacing w:line="320" w:lineRule="exact"/>
                    <w:jc w:val="center"/>
                    <w:rPr>
                      <w:color w:val="000000"/>
                      <w:szCs w:val="21"/>
                    </w:rPr>
                  </w:pPr>
                  <w:r>
                    <w:rPr>
                      <w:rFonts w:hint="eastAsia"/>
                      <w:color w:val="000000"/>
                      <w:szCs w:val="21"/>
                    </w:rPr>
                    <w:t>不外排</w:t>
                  </w:r>
                </w:p>
              </w:tc>
              <w:tc>
                <w:tcPr>
                  <w:tcW w:w="2636" w:type="dxa"/>
                  <w:vAlign w:val="center"/>
                </w:tcPr>
                <w:p>
                  <w:pPr>
                    <w:spacing w:line="320" w:lineRule="exact"/>
                    <w:jc w:val="center"/>
                    <w:rPr>
                      <w:color w:val="000000"/>
                      <w:szCs w:val="21"/>
                    </w:rPr>
                  </w:pPr>
                  <w:r>
                    <w:rPr>
                      <w:rFonts w:hint="eastAsia"/>
                      <w:color w:val="000000"/>
                      <w:szCs w:val="21"/>
                    </w:rPr>
                    <w:t>经化粪池处理后用于周围农田施肥</w:t>
                  </w:r>
                </w:p>
              </w:tc>
            </w:tr>
          </w:tbl>
          <w:p>
            <w:pPr>
              <w:tabs>
                <w:tab w:val="left" w:pos="1081"/>
              </w:tabs>
              <w:adjustRightInd w:val="0"/>
              <w:snapToGrid w:val="0"/>
              <w:spacing w:line="360" w:lineRule="auto"/>
              <w:jc w:val="center"/>
              <w:rPr>
                <w:rFonts w:eastAsiaTheme="minorEastAsia"/>
                <w:b/>
                <w:sz w:val="24"/>
                <w:szCs w:val="24"/>
              </w:rPr>
            </w:pPr>
            <w:r>
              <w:rPr>
                <w:color w:val="000000"/>
              </w:rPr>
              <w:pict>
                <v:group id="画布 366" o:spid="_x0000_s4042" o:spt="203" style="height:87.95pt;width:387.45pt;" coordorigin="2608,5651" coordsize="7749,1759" editas="canvas">
                  <o:lock v:ext="edit"/>
                  <v:shape id="画布 366" o:spid="_x0000_s4043" o:spt="75" type="#_x0000_t75" style="position:absolute;left:2608;top:5651;height:1759;width:7749;" filled="f" o:preferrelative="t" stroked="f" coordsize="21600,21600">
                    <v:fill on="f" focussize="0,0"/>
                    <v:stroke on="f" joinstyle="miter"/>
                    <v:imagedata o:title=""/>
                    <o:lock v:ext="edit" aspectratio="t"/>
                  </v:shape>
                  <v:rect id="Rectangle 5" o:spid="_x0000_s4047" o:spt="1" style="position:absolute;left:3579;top:6848;height:562;width:6187;"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9jLsMA&#10;AADcAAAADwAAAGRycy9kb3ducmV2LnhtbERPTWuDQBC9F/Iflgn0UpLVFkox2YQghEgpSE2T8+BO&#10;VOLOqrtV+++7h0KPj/e93c+mFSMNrrGsIF5HIIhLqxuuFHydj6s3EM4ja2wtk4IfcrDfLR62mGg7&#10;8SeNha9ECGGXoILa+y6R0pU1GXRr2xEH7mYHgz7AoZJ6wCmEm1Y+R9GrNNhwaKixo7Sm8l58GwVT&#10;mY/X88dJ5k/XzHKf9WlxeVfqcTkfNiA8zf5f/OfOtIKXOMwPZ8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9jLsMAAADcAAAADwAAAAAAAAAAAAAAAACYAgAAZHJzL2Rv&#10;d25yZXYueG1sUEsFBgAAAAAEAAQA9QAAAIgDAAAAAA==&#10;">
                    <v:path/>
                    <v:fill on="f" focussize="0,0"/>
                    <v:stroke on="f"/>
                    <v:imagedata o:title=""/>
                    <o:lock v:ext="edit"/>
                    <v:textbox>
                      <w:txbxContent>
                        <w:p>
                          <w:pPr>
                            <w:jc w:val="center"/>
                            <w:rPr>
                              <w:color w:val="000000"/>
                            </w:rPr>
                          </w:pPr>
                          <w:r>
                            <w:rPr>
                              <w:b/>
                              <w:color w:val="000000"/>
                              <w:sz w:val="24"/>
                            </w:rPr>
                            <w:t>图</w:t>
                          </w:r>
                          <w:r>
                            <w:rPr>
                              <w:rFonts w:hint="eastAsia"/>
                              <w:b/>
                              <w:color w:val="000000"/>
                              <w:sz w:val="24"/>
                            </w:rPr>
                            <w:t xml:space="preserve">2-1  </w:t>
                          </w:r>
                          <w:r>
                            <w:rPr>
                              <w:b/>
                              <w:color w:val="000000"/>
                              <w:sz w:val="24"/>
                            </w:rPr>
                            <w:t xml:space="preserve">  营运期</w:t>
                          </w:r>
                          <w:r>
                            <w:rPr>
                              <w:rFonts w:hint="eastAsia"/>
                              <w:b/>
                              <w:color w:val="000000"/>
                              <w:sz w:val="24"/>
                            </w:rPr>
                            <w:t>水</w:t>
                          </w:r>
                          <w:r>
                            <w:rPr>
                              <w:b/>
                              <w:color w:val="000000"/>
                              <w:sz w:val="24"/>
                            </w:rPr>
                            <w:t xml:space="preserve">平衡图  </w:t>
                          </w:r>
                          <w:r>
                            <w:rPr>
                              <w:rFonts w:hint="eastAsia"/>
                              <w:b/>
                              <w:color w:val="000000"/>
                              <w:sz w:val="24"/>
                            </w:rPr>
                            <w:t xml:space="preserve">  </w:t>
                          </w:r>
                          <w:r>
                            <w:rPr>
                              <w:color w:val="000000"/>
                            </w:rPr>
                            <w:t>单位：m</w:t>
                          </w:r>
                          <w:r>
                            <w:rPr>
                              <w:color w:val="000000"/>
                              <w:vertAlign w:val="superscript"/>
                            </w:rPr>
                            <w:t>3</w:t>
                          </w:r>
                          <w:r>
                            <w:rPr>
                              <w:color w:val="000000"/>
                            </w:rPr>
                            <w:t>/d</w:t>
                          </w:r>
                        </w:p>
                      </w:txbxContent>
                    </v:textbox>
                  </v:rect>
                  <v:rect id="Rectangle 43" o:spid="_x0000_s4048" o:spt="1" style="position:absolute;left:4521;top:6286;height:450;width:1445;" fill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CBOMQA&#10;AADcAAAADwAAAGRycy9kb3ducmV2LnhtbESPQWsCMRSE70L/Q3iF3jS7LRVZjbJKhZ4EbcH29tg8&#10;k8XNy7JJ3fXfm4LgcZiZb5jFanCNuFAXas8K8kkGgrjyumaj4PtrO56BCBFZY+OZFFwpwGr5NFpg&#10;oX3Pe7ocohEJwqFABTbGtpAyVJYcholviZN38p3DmGRnpO6wT3DXyNcsm0qHNacFiy1tLFXnw59T&#10;8NH+7sp3E2R5jPbn7Nf91u6MUi/PQzkHEWmIj/C9/akVvOU5/J9JR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ggTjEAAAA3AAAAA8AAAAAAAAAAAAAAAAAmAIAAGRycy9k&#10;b3ducmV2LnhtbFBLBQYAAAAABAAEAPUAAACJAwAAAAA=&#10;">
                    <v:path/>
                    <v:fill on="f" focussize="0,0"/>
                    <v:stroke/>
                    <v:imagedata o:title=""/>
                    <o:lock v:ext="edit"/>
                    <v:textbox>
                      <w:txbxContent>
                        <w:p>
                          <w:pPr>
                            <w:jc w:val="center"/>
                          </w:pPr>
                          <w:r>
                            <w:rPr>
                              <w:rFonts w:hint="eastAsia"/>
                            </w:rPr>
                            <w:t>职工办公</w:t>
                          </w:r>
                        </w:p>
                      </w:txbxContent>
                    </v:textbox>
                  </v:rect>
                  <v:rect id="Rectangle 45" o:spid="_x0000_s4049" o:spt="1" style="position:absolute;left:3511;top:6096;height:752;width:1010;"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FYwsYA&#10;AADcAAAADwAAAGRycy9kb3ducmV2LnhtbESP3WrCQBSE7wu+w3IEb0rdaKFImo2IIA0iSOPP9SF7&#10;moRmz8bsNolv3y0UvBxm5hsmWY+mET11rrasYDGPQBAXVtdcKjifdi8rEM4ja2wsk4I7OVink6cE&#10;Y20H/qQ+96UIEHYxKqi8b2MpXVGRQTe3LXHwvmxn0AfZlVJ3OAS4aeQyit6kwZrDQoUtbSsqvvMf&#10;o2Aojv31dPiQx+drZvmW3bb5Za/UbDpu3kF4Gv0j/N/OtILXxRL+zoQjI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FYwsYAAADcAAAADwAAAAAAAAAAAAAAAACYAgAAZHJz&#10;L2Rvd25yZXYueG1sUEsFBgAAAAAEAAQA9QAAAIsDAAAAAA==&#10;">
                    <v:path/>
                    <v:fill on="f" focussize="0,0"/>
                    <v:stroke on="f"/>
                    <v:imagedata o:title=""/>
                    <o:lock v:ext="edit"/>
                    <v:textbox>
                      <w:txbxContent>
                        <w:p>
                          <w:pPr>
                            <w:ind w:left="210" w:hanging="210" w:hangingChars="100"/>
                          </w:pPr>
                          <w:r>
                            <w:rPr>
                              <w:rFonts w:hint="eastAsia"/>
                            </w:rPr>
                            <w:t>新鲜水0.3</w:t>
                          </w:r>
                        </w:p>
                      </w:txbxContent>
                    </v:textbox>
                  </v:rect>
                  <v:shape id="AutoShape 46" o:spid="_x0000_s4050" o:spt="32" type="#_x0000_t32" style="position:absolute;left:5975;top:6522;height:1;width:754;" o:connectortype="straight" filled="f"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BI38UAAADcAAAADwAAAGRycy9kb3ducmV2LnhtbESPQWvCQBSE7wX/w/IEb3WTCqLRVUqh&#10;RRQPagnt7ZF9JqHZt2F31eivdwWhx2FmvmHmy8404kzO15YVpMMEBHFhdc2lgu/D5+sEhA/IGhvL&#10;pOBKHpaL3sscM20vvKPzPpQiQthnqKAKoc2k9EVFBv3QtsTRO1pnMETpSqkdXiLcNPItScbSYM1x&#10;ocKWPioq/vYno+BnMz3l13xL6zydrn/RGX87fCk16HfvMxCBuvAffrZXWsEoHcHjTDw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3BI38UAAADcAAAADwAAAAAAAAAA&#10;AAAAAAChAgAAZHJzL2Rvd25yZXYueG1sUEsFBgAAAAAEAAQA+QAAAJMDAAAAAA==&#10;">
                    <v:path arrowok="t"/>
                    <v:fill on="f" focussize="0,0"/>
                    <v:stroke endarrow="block"/>
                    <v:imagedata o:title=""/>
                    <o:lock v:ext="edit"/>
                  </v:shape>
                  <v:rect id="Rectangle 47" o:spid="_x0000_s4051" o:spt="1" style="position:absolute;left:5980;top:6150;height:525;width:874;"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RlLcUA&#10;AADcAAAADwAAAGRycy9kb3ducmV2LnhtbESPQWvCQBSE7wX/w/IKvYhurEVKdBURxFAEMVbPj+wz&#10;Cc2+jdltEv+9WxB6HGbmG2ax6k0lWmpcaVnBZByBIM6sLjlX8H3ajj5BOI+ssbJMCu7kYLUcvCww&#10;1rbjI7Wpz0WAsItRQeF9HUvpsoIMurGtiYN3tY1BH2STS91gF+Cmku9RNJMGSw4LBda0KSj7SX+N&#10;gi47tJfTficPw0ti+ZbcNun5S6m31349B+Gp9//hZzvRCqaTD/g7E46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VGUtxQAAANwAAAAPAAAAAAAAAAAAAAAAAJgCAABkcnMv&#10;ZG93bnJldi54bWxQSwUGAAAAAAQABAD1AAAAigMAAAAA&#10;">
                    <v:path/>
                    <v:fill on="f" focussize="0,0"/>
                    <v:stroke on="f"/>
                    <v:imagedata o:title=""/>
                    <o:lock v:ext="edit"/>
                    <v:textbox>
                      <w:txbxContent>
                        <w:p>
                          <w:r>
                            <w:rPr>
                              <w:rFonts w:hint="eastAsia"/>
                            </w:rPr>
                            <w:t>0.24</w:t>
                          </w:r>
                        </w:p>
                      </w:txbxContent>
                    </v:textbox>
                  </v:rect>
                  <v:shape id="AutoShape 27" o:spid="_x0000_s4052" o:spt="38" type="#_x0000_t38" style="position:absolute;left:5153;top:6071;flip:y;height:209;width:468;" o:connectortype="curved" filled="f"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m33cYAAADcAAAADwAAAGRycy9kb3ducmV2LnhtbESPQWvCQBSE7wX/w/IK3nSj0SLRVaxQ&#10;8CKotaW9PbLPJDT7NuyuJvrruwWhx2FmvmEWq87U4krOV5YVjIYJCOLc6ooLBaf3t8EMhA/IGmvL&#10;pOBGHlbL3tMCM21bPtD1GAoRIewzVFCG0GRS+rwkg35oG+Lona0zGKJ0hdQO2wg3tRwnyYs0WHFc&#10;KLGhTUn5z/FiFIw/9un0dZZMPr/3p690dy/c5tYq1X/u1nMQgbrwH360t1pBOprC35l4BOT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fZt93GAAAA3AAAAA8AAAAAAAAA&#10;AAAAAAAAoQIAAGRycy9kb3ducmV2LnhtbFBLBQYAAAAABAAEAPkAAACUAwAAAAA=&#10;" adj="10800">
                    <v:path arrowok="t"/>
                    <v:fill on="f" focussize="0,0"/>
                    <v:stroke dashstyle="dash" endarrow="block"/>
                    <v:imagedata o:title=""/>
                    <o:lock v:ext="edit"/>
                  </v:shape>
                  <v:rect id="Rectangle 43" o:spid="_x0000_s4053" o:spt="1" style="position:absolute;left:6729;top:6286;height:450;width:1345;" fill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kZTMMA&#10;AADcAAAADwAAAGRycy9kb3ducmV2LnhtbESPQWsCMRSE7wX/Q3iCt5q1UpHVKGtR6EmoCurtsXkm&#10;i5uXZRPd7b9vCoUeh5n5hlmue1eLJ7Wh8qxgMs5AEJdeV2wUnI671zmIEJE11p5JwTcFWK8GL0vM&#10;te/4i56HaESCcMhRgY2xyaUMpSWHYewb4uTdfOswJtkaqVvsEtzV8i3LZtJhxWnBYkMflsr74eEU&#10;bJvrvng3QRbnaC93v+l2dm+UGg37YgEiUh//w3/tT61gOpnB75l0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kZTMMAAADcAAAADwAAAAAAAAAAAAAAAACYAgAAZHJzL2Rv&#10;d25yZXYueG1sUEsFBgAAAAAEAAQA9QAAAIgDAAAAAA==&#10;">
                    <v:path/>
                    <v:fill on="f" focussize="0,0"/>
                    <v:stroke/>
                    <v:imagedata o:title=""/>
                    <o:lock v:ext="edit"/>
                    <v:textbox>
                      <w:txbxContent>
                        <w:p>
                          <w:pPr>
                            <w:jc w:val="center"/>
                          </w:pPr>
                          <w:r>
                            <w:rPr>
                              <w:rFonts w:hint="eastAsia"/>
                            </w:rPr>
                            <w:t>化粪池</w:t>
                          </w:r>
                        </w:p>
                      </w:txbxContent>
                    </v:textbox>
                  </v:rect>
                  <v:shape id="AutoShape 11" o:spid="_x0000_s4054" o:spt="32" type="#_x0000_t32" style="position:absolute;left:3699;top:6480;height:1;width:822;" o:connectortype="straight" filled="f"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tO3MYAAADcAAAADwAAAGRycy9kb3ducmV2LnhtbESPT2vCQBTE7wW/w/KE3uomFVqNriJC&#10;pVh68A9Bb4/sMwlm34bdVWM/fbdQ8DjMzG+Y6bwzjbiS87VlBekgAUFcWF1zqWC/+3gZgfABWWNj&#10;mRTcycN81nuaYqbtjTd03YZSRAj7DBVUIbSZlL6oyKAf2JY4eifrDIYoXSm1w1uEm0a+JsmbNFhz&#10;XKiwpWVFxXl7MQoOX+NLfs+/aZ2n4/URnfE/u5VSz/1uMQERqAuP8H/7UysYpu/wdyYeAT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BLTtzGAAAA3AAAAA8AAAAAAAAA&#10;AAAAAAAAoQIAAGRycy9kb3ducmV2LnhtbFBLBQYAAAAABAAEAPkAAACUAwAAAAA=&#10;">
                    <v:path arrowok="t"/>
                    <v:fill on="f" focussize="0,0"/>
                    <v:stroke endarrow="block"/>
                    <v:imagedata o:title=""/>
                    <o:lock v:ext="edit"/>
                  </v:shape>
                  <v:rect id="Rectangle 26" o:spid="_x0000_s4055" o:spt="1" style="position:absolute;left:5230;top:5651;height:525;width:1218;"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kQU8MA&#10;AADcAAAADwAAAGRycy9kb3ducmV2LnhtbERPTWuDQBC9F/oflin0Upq1DUgw2YQSKJUQkGrqeXAn&#10;KnVnjbtV8++zh0CPj/e92c2mEyMNrrWs4G0RgSCurG65VnAqPl9XIJxH1thZJgVXcrDbPj5sMNF2&#10;4m8ac1+LEMIuQQWN930ipasaMugWticO3NkOBn2AQy31gFMIN518j6JYGmw5NDTY076h6jf/Mwqm&#10;KhvL4vgls5cytXxJL/v856DU89P8sQbhafb/4rs71QqWcZgfzoQjIL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kQU8MAAADcAAAADwAAAAAAAAAAAAAAAACYAgAAZHJzL2Rv&#10;d25yZXYueG1sUEsFBgAAAAAEAAQA9QAAAIgDAAAAAA==&#10;">
                    <v:path/>
                    <v:fill on="f" focussize="0,0"/>
                    <v:stroke on="f"/>
                    <v:imagedata o:title=""/>
                    <o:lock v:ext="edit"/>
                    <v:textbox>
                      <w:txbxContent>
                        <w:p>
                          <w:r>
                            <w:t>损耗</w:t>
                          </w:r>
                          <w:r>
                            <w:rPr>
                              <w:rFonts w:hint="eastAsia"/>
                            </w:rPr>
                            <w:t>0.06</w:t>
                          </w:r>
                        </w:p>
                      </w:txbxContent>
                    </v:textbox>
                  </v:rect>
                  <v:shape id="AutoShape 11" o:spid="_x0000_s4056" o:spt="32" type="#_x0000_t32" style="position:absolute;left:8074;top:6511;height:1;width:623;" o:connectortype="straight" filled="f"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1sYAAADcAAAADwAAAGRycy9kb3ducmV2LnhtbESPQWvCQBSE7wX/w/KE3urGtojGbEQK&#10;LcXSQ1WC3h7ZZxLMvg27q8b+elco9DjMzDdMtuhNK87kfGNZwXiUgCAurW64UrDdvD9NQfiArLG1&#10;TAqu5GGRDx4yTLW98A+d16ESEcI+RQV1CF0qpS9rMuhHtiOO3sE6gyFKV0nt8BLhppXPSTKRBhuO&#10;CzV29FZTeVyfjILd1+xUXItvWhXj2WqPzvjfzYdSj8N+OQcRqA//4b/2p1bwMnmF+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ifo9bGAAAA3AAAAA8AAAAAAAAA&#10;AAAAAAAAoQIAAGRycy9kb3ducmV2LnhtbFBLBQYAAAAABAAEAPkAAACUAwAAAAA=&#10;">
                    <v:path arrowok="t"/>
                    <v:fill on="f" focussize="0,0"/>
                    <v:stroke endarrow="block"/>
                    <v:imagedata o:title=""/>
                    <o:lock v:ext="edit"/>
                  </v:shape>
                  <v:rect id="Rectangle 47" o:spid="_x0000_s4057" o:spt="1" style="position:absolute;left:8662;top:6286;height:793;width:1490;"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6zy8UA&#10;AADcAAAADwAAAGRycy9kb3ducmV2LnhtbESPQWvCQBSE74X+h+UJvZS6saJI6ipFkAYRxGg9P7Kv&#10;STD7Nma3Sfz3riB4HGbmG2a+7E0lWmpcaVnBaBiBIM6sLjlXcDysP2YgnEfWWFkmBVdysFy8vswx&#10;1rbjPbWpz0WAsItRQeF9HUvpsoIMuqGtiYP3ZxuDPsgml7rBLsBNJT+jaCoNlhwWCqxpVVB2Tv+N&#10;gi7btafD9kfu3k+J5UtyWaW/G6XeBv33FwhPvX+GH+1EKxhPJ3A/E4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HrPLxQAAANwAAAAPAAAAAAAAAAAAAAAAAJgCAABkcnMv&#10;ZG93bnJldi54bWxQSwUGAAAAAAQABAD1AAAAigMAAAAA&#10;">
                    <v:path/>
                    <v:fill on="f" focussize="0,0"/>
                    <v:stroke on="f"/>
                    <v:imagedata o:title=""/>
                    <o:lock v:ext="edit"/>
                    <v:textbox>
                      <w:txbxContent>
                        <w:p>
                          <w:pPr>
                            <w:jc w:val="left"/>
                          </w:pPr>
                          <w:r>
                            <w:rPr>
                              <w:rFonts w:hint="eastAsia"/>
                            </w:rPr>
                            <w:t>农田施肥</w:t>
                          </w:r>
                        </w:p>
                      </w:txbxContent>
                    </v:textbox>
                  </v:rect>
                  <w10:wrap type="none"/>
                  <w10:anchorlock/>
                </v:group>
              </w:pict>
            </w:r>
          </w:p>
          <w:p>
            <w:pPr>
              <w:tabs>
                <w:tab w:val="left" w:pos="1081"/>
              </w:tabs>
              <w:adjustRightInd w:val="0"/>
              <w:snapToGrid w:val="0"/>
              <w:spacing w:line="360" w:lineRule="auto"/>
              <w:ind w:firstLine="482" w:firstLineChars="200"/>
              <w:jc w:val="left"/>
              <w:rPr>
                <w:rFonts w:eastAsiaTheme="minorEastAsia"/>
                <w:b/>
                <w:sz w:val="24"/>
                <w:szCs w:val="24"/>
              </w:rPr>
            </w:pPr>
            <w:r>
              <w:rPr>
                <w:rFonts w:hint="eastAsia" w:eastAsiaTheme="minorEastAsia"/>
                <w:b/>
                <w:sz w:val="24"/>
                <w:szCs w:val="24"/>
              </w:rPr>
              <w:t>7</w:t>
            </w:r>
            <w:r>
              <w:rPr>
                <w:rFonts w:eastAsiaTheme="minorEastAsia"/>
                <w:b/>
                <w:sz w:val="24"/>
                <w:szCs w:val="24"/>
              </w:rPr>
              <w:t>、劳动定员及工作制度</w:t>
            </w:r>
          </w:p>
          <w:p>
            <w:pPr>
              <w:adjustRightInd w:val="0"/>
              <w:snapToGrid w:val="0"/>
              <w:spacing w:line="360" w:lineRule="auto"/>
              <w:ind w:firstLine="480" w:firstLineChars="200"/>
              <w:rPr>
                <w:color w:val="000000"/>
                <w:sz w:val="24"/>
                <w:szCs w:val="21"/>
              </w:rPr>
            </w:pPr>
            <w:r>
              <w:rPr>
                <w:rFonts w:hint="eastAsia"/>
                <w:color w:val="000000"/>
                <w:sz w:val="24"/>
                <w:szCs w:val="21"/>
              </w:rPr>
              <w:t>本项目劳动定员5人，均不在厂区食宿，实行单班×8h/d工作制，全年工作时间240d。</w:t>
            </w:r>
          </w:p>
          <w:p>
            <w:pPr>
              <w:tabs>
                <w:tab w:val="left" w:pos="1081"/>
              </w:tabs>
              <w:adjustRightInd w:val="0"/>
              <w:snapToGrid w:val="0"/>
              <w:spacing w:line="360" w:lineRule="auto"/>
              <w:ind w:firstLine="482" w:firstLineChars="200"/>
              <w:jc w:val="left"/>
              <w:rPr>
                <w:rFonts w:eastAsiaTheme="minorEastAsia"/>
                <w:b/>
                <w:sz w:val="24"/>
                <w:szCs w:val="24"/>
              </w:rPr>
            </w:pPr>
            <w:r>
              <w:rPr>
                <w:rFonts w:hint="eastAsia" w:eastAsiaTheme="minorEastAsia"/>
                <w:b/>
                <w:sz w:val="24"/>
                <w:szCs w:val="24"/>
              </w:rPr>
              <w:t>8</w:t>
            </w:r>
            <w:r>
              <w:rPr>
                <w:rFonts w:eastAsiaTheme="minorEastAsia"/>
                <w:b/>
                <w:sz w:val="24"/>
                <w:szCs w:val="24"/>
              </w:rPr>
              <w:t>、厂区平面布置</w:t>
            </w:r>
          </w:p>
          <w:p>
            <w:pPr>
              <w:tabs>
                <w:tab w:val="left" w:pos="1081"/>
              </w:tabs>
              <w:adjustRightInd w:val="0"/>
              <w:snapToGrid w:val="0"/>
              <w:spacing w:line="360" w:lineRule="auto"/>
              <w:ind w:firstLine="480" w:firstLineChars="200"/>
              <w:jc w:val="left"/>
              <w:rPr>
                <w:sz w:val="24"/>
                <w:szCs w:val="24"/>
              </w:rPr>
            </w:pPr>
            <w:r>
              <w:rPr>
                <w:sz w:val="24"/>
                <w:szCs w:val="24"/>
              </w:rPr>
              <w:t>本项目位于南阳市卧龙区蒲山镇棉花库路口向西20米路北，租赁生产车间建筑面积</w:t>
            </w:r>
            <w:r>
              <w:rPr>
                <w:rFonts w:hint="eastAsia"/>
                <w:sz w:val="24"/>
                <w:szCs w:val="24"/>
              </w:rPr>
              <w:t>2364</w:t>
            </w:r>
            <w:r>
              <w:rPr>
                <w:sz w:val="24"/>
                <w:szCs w:val="24"/>
              </w:rPr>
              <w:t>m</w:t>
            </w:r>
            <w:r>
              <w:rPr>
                <w:sz w:val="24"/>
                <w:szCs w:val="24"/>
                <w:vertAlign w:val="superscript"/>
              </w:rPr>
              <w:t>2</w:t>
            </w:r>
            <w:r>
              <w:rPr>
                <w:rFonts w:hint="eastAsia"/>
                <w:sz w:val="24"/>
                <w:szCs w:val="24"/>
              </w:rPr>
              <w:t>，北侧为加工区</w:t>
            </w:r>
            <w:r>
              <w:rPr>
                <w:rFonts w:hint="eastAsia"/>
                <w:bCs/>
                <w:color w:val="000000"/>
                <w:sz w:val="24"/>
                <w:szCs w:val="21"/>
              </w:rPr>
              <w:t>、原料区和成品区，厂区南侧为办公区、休息区，封闭框架结构：主要为办公区</w:t>
            </w:r>
            <w:r>
              <w:rPr>
                <w:rFonts w:hint="eastAsia"/>
                <w:sz w:val="24"/>
                <w:szCs w:val="24"/>
              </w:rPr>
              <w:t>。</w:t>
            </w:r>
            <w:r>
              <w:rPr>
                <w:sz w:val="24"/>
                <w:szCs w:val="24"/>
              </w:rPr>
              <w:t>生产车间内布局紧凑，功能分区明确，各工序互相衔接，方便生产，</w:t>
            </w:r>
            <w:r>
              <w:rPr>
                <w:rFonts w:hint="eastAsia"/>
                <w:color w:val="FF0000"/>
                <w:sz w:val="24"/>
                <w:szCs w:val="24"/>
                <w:u w:val="single"/>
              </w:rPr>
              <w:t>且北侧车间内易产生噪声和粉尘的生产区设置在西侧，远离东侧居民区布设，同时加强厂区外北侧和东侧绿化，</w:t>
            </w:r>
            <w:r>
              <w:rPr>
                <w:color w:val="FF0000"/>
                <w:sz w:val="24"/>
                <w:szCs w:val="24"/>
                <w:u w:val="single"/>
              </w:rPr>
              <w:t>从环保角度分析，项目的平面布置是合理的。</w:t>
            </w:r>
            <w:r>
              <w:rPr>
                <w:sz w:val="24"/>
                <w:szCs w:val="24"/>
              </w:rPr>
              <w:t>项目厂区平面布置见附图</w:t>
            </w:r>
            <w:r>
              <w:rPr>
                <w:color w:val="000000"/>
                <w:sz w:val="24"/>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841" w:hRule="atLeast"/>
          <w:jc w:val="center"/>
        </w:trPr>
        <w:tc>
          <w:tcPr>
            <w:tcW w:w="456" w:type="dxa"/>
            <w:tcBorders>
              <w:tl2br w:val="nil"/>
              <w:tr2bl w:val="nil"/>
            </w:tcBorders>
            <w:vAlign w:val="center"/>
          </w:tcPr>
          <w:p>
            <w:pPr>
              <w:pStyle w:val="24"/>
              <w:adjustRightInd w:val="0"/>
              <w:snapToGrid w:val="0"/>
              <w:spacing w:before="0" w:beforeAutospacing="0" w:after="0" w:afterAutospacing="0" w:line="360" w:lineRule="auto"/>
              <w:jc w:val="center"/>
              <w:rPr>
                <w:rFonts w:ascii="Times New Roman" w:hAnsi="Times New Roman"/>
                <w:kern w:val="21"/>
                <w:szCs w:val="24"/>
              </w:rPr>
            </w:pPr>
            <w:r>
              <w:rPr>
                <w:rFonts w:ascii="Times New Roman" w:hAnsi="Times New Roman"/>
                <w:kern w:val="21"/>
                <w:szCs w:val="24"/>
              </w:rPr>
              <w:t>工艺流程和产排污环节</w:t>
            </w:r>
          </w:p>
        </w:tc>
        <w:tc>
          <w:tcPr>
            <w:tcW w:w="9230" w:type="dxa"/>
            <w:tcBorders>
              <w:tl2br w:val="nil"/>
              <w:tr2bl w:val="nil"/>
            </w:tcBorders>
          </w:tcPr>
          <w:p>
            <w:pPr>
              <w:spacing w:line="360" w:lineRule="auto"/>
              <w:ind w:firstLine="482" w:firstLineChars="200"/>
              <w:rPr>
                <w:b/>
                <w:bCs/>
                <w:color w:val="000000"/>
                <w:sz w:val="24"/>
              </w:rPr>
            </w:pPr>
            <w:r>
              <w:rPr>
                <w:rFonts w:hint="eastAsia"/>
                <w:b/>
                <w:bCs/>
                <w:color w:val="000000"/>
                <w:sz w:val="24"/>
              </w:rPr>
              <w:t>1、</w:t>
            </w:r>
            <w:r>
              <w:rPr>
                <w:b/>
                <w:bCs/>
                <w:color w:val="000000"/>
                <w:sz w:val="24"/>
              </w:rPr>
              <w:t>工艺流程简述：</w:t>
            </w:r>
          </w:p>
          <w:p>
            <w:pPr>
              <w:tabs>
                <w:tab w:val="left" w:pos="1081"/>
              </w:tabs>
              <w:adjustRightInd w:val="0"/>
              <w:snapToGrid w:val="0"/>
              <w:spacing w:line="360" w:lineRule="auto"/>
              <w:ind w:firstLine="480" w:firstLineChars="200"/>
              <w:jc w:val="left"/>
              <w:rPr>
                <w:sz w:val="24"/>
                <w:szCs w:val="24"/>
              </w:rPr>
            </w:pPr>
            <w:r>
              <w:rPr>
                <w:sz w:val="24"/>
                <w:szCs w:val="24"/>
              </w:rPr>
              <w:t>本项目营运期具体生产工艺流程及产污环节见图2-</w:t>
            </w:r>
            <w:r>
              <w:rPr>
                <w:rFonts w:hint="eastAsia"/>
                <w:sz w:val="24"/>
                <w:szCs w:val="24"/>
              </w:rPr>
              <w:t>2</w:t>
            </w:r>
            <w:r>
              <w:rPr>
                <w:sz w:val="24"/>
                <w:szCs w:val="24"/>
              </w:rPr>
              <w:t>。</w:t>
            </w:r>
          </w:p>
          <w:p>
            <w:pPr>
              <w:adjustRightInd w:val="0"/>
              <w:snapToGrid w:val="0"/>
              <w:spacing w:line="360" w:lineRule="auto"/>
              <w:rPr>
                <w:b/>
                <w:color w:val="000000"/>
                <w:sz w:val="24"/>
              </w:rPr>
            </w:pPr>
            <w:r>
              <w:rPr>
                <w:color w:val="000000"/>
                <w:sz w:val="24"/>
              </w:rPr>
              <w:pict>
                <v:rect id="矩形 4123" o:spid="_x0000_s4116" o:spt="1" style="position:absolute;left:0pt;margin-left:401.4pt;margin-top:81.5pt;height:22.5pt;width:59.25pt;z-index:251659264;mso-width-relative:page;mso-height-relative:page;" filled="f" stroked="f" coordsize="21600,21600">
                  <v:path/>
                  <v:fill on="f" focussize="0,0"/>
                  <v:stroke on="f"/>
                  <v:imagedata o:title=""/>
                  <o:lock v:ext="edit"/>
                  <v:textbox>
                    <w:txbxContent>
                      <w:p>
                        <w:r>
                          <w:rPr>
                            <w:rFonts w:hint="eastAsia"/>
                          </w:rPr>
                          <w:t>艾条成品</w:t>
                        </w:r>
                      </w:p>
                    </w:txbxContent>
                  </v:textbox>
                </v:rect>
              </w:pict>
            </w:r>
            <w:r>
              <w:rPr>
                <w:color w:val="000000"/>
                <w:sz w:val="24"/>
              </w:rPr>
              <w:pict>
                <v:group id="画布 3930" o:spid="_x0000_s4066" o:spt="203" style="height:208.5pt;width:450.65pt;" coordorigin="1446,1929" coordsize="9013,4170" editas="canvas">
                  <o:lock v:ext="edit"/>
                  <v:shape id="画布 3930" o:spid="_x0000_s4067" o:spt="75" type="#_x0000_t75" style="position:absolute;left:1446;top:1929;height:4170;width:9013;" filled="f" o:preferrelative="f" stroked="f" coordsize="21600,21600">
                    <v:fill on="f" focussize="0,0"/>
                    <v:stroke on="f" joinstyle="miter"/>
                    <v:imagedata o:title=""/>
                    <o:lock v:ext="edit" rotation="t" text="t" aspectratio="t"/>
                  </v:shape>
                  <v:rect id="矩形 3936" o:spid="_x0000_s4068" o:spt="1" style="position:absolute;left:5189;top:5529;height:450;width:765;" filled="f" coordsize="21600,21600">
                    <v:path/>
                    <v:fill on="f" focussize="0,0"/>
                    <v:stroke/>
                    <v:imagedata o:title=""/>
                    <o:lock v:ext="edit"/>
                    <v:textbox>
                      <w:txbxContent>
                        <w:p>
                          <w:pPr>
                            <w:jc w:val="center"/>
                          </w:pPr>
                          <w:r>
                            <w:rPr>
                              <w:rFonts w:hint="eastAsia"/>
                            </w:rPr>
                            <w:t>艾粉</w:t>
                          </w:r>
                        </w:p>
                      </w:txbxContent>
                    </v:textbox>
                  </v:rect>
                  <v:shape id="自选图形 3945" o:spid="_x0000_s4069" o:spt="32" type="#_x0000_t32" style="position:absolute;left:4861;top:3501;flip:y;height:275;width:226;" o:connectortype="straight" filled="f" coordsize="21600,21600">
                    <v:path arrowok="t"/>
                    <v:fill on="f" focussize="0,0"/>
                    <v:stroke dashstyle="dash" endarrow="block"/>
                    <v:imagedata o:title=""/>
                    <o:lock v:ext="edit"/>
                  </v:shape>
                  <v:rect id="矩形 3947" o:spid="_x0000_s4070" o:spt="1" style="position:absolute;left:3989;top:3152;height:450;width:1965;" filled="f" stroked="f" coordsize="21600,21600">
                    <v:path/>
                    <v:fill on="f" focussize="0,0"/>
                    <v:stroke on="f"/>
                    <v:imagedata o:title=""/>
                    <o:lock v:ext="edit"/>
                    <v:textbox>
                      <w:txbxContent>
                        <w:p>
                          <w:pPr>
                            <w:jc w:val="center"/>
                          </w:pPr>
                          <w:r>
                            <w:rPr>
                              <w:rFonts w:hint="eastAsia"/>
                            </w:rPr>
                            <w:t>粉尘、</w:t>
                          </w:r>
                          <w:r>
                            <w:t>噪声</w:t>
                          </w:r>
                          <w:r>
                            <w:rPr>
                              <w:rFonts w:hint="eastAsia"/>
                            </w:rPr>
                            <w:t>、</w:t>
                          </w:r>
                          <w:r>
                            <w:t>固废</w:t>
                          </w:r>
                        </w:p>
                      </w:txbxContent>
                    </v:textbox>
                  </v:rect>
                  <v:shape id="自选图形 3948" o:spid="_x0000_s4071" o:spt="32" type="#_x0000_t32" style="position:absolute;left:5502;top:5254;flip:y;height:275;width:226;" o:connectortype="straight" filled="f" coordsize="21600,21600">
                    <v:path arrowok="t"/>
                    <v:fill on="f" focussize="0,0"/>
                    <v:stroke dashstyle="dash" endarrow="block"/>
                    <v:imagedata o:title=""/>
                    <o:lock v:ext="edit"/>
                  </v:shape>
                  <v:rect id="矩形 4097" o:spid="_x0000_s4072" o:spt="1" style="position:absolute;left:4979;top:4804;height:450;width:1696;" filled="f" stroked="f" coordsize="21600,21600">
                    <v:path/>
                    <v:fill on="f" focussize="0,0"/>
                    <v:stroke on="f"/>
                    <v:imagedata o:title=""/>
                    <o:lock v:ext="edit"/>
                    <v:textbox>
                      <w:txbxContent>
                        <w:p>
                          <w:pPr>
                            <w:jc w:val="center"/>
                          </w:pPr>
                          <w:r>
                            <w:t>废气</w:t>
                          </w:r>
                          <w:r>
                            <w:rPr>
                              <w:rFonts w:hint="eastAsia"/>
                            </w:rPr>
                            <w:t>、固废</w:t>
                          </w:r>
                        </w:p>
                      </w:txbxContent>
                    </v:textbox>
                  </v:rect>
                  <v:shape id="自选图形 3933" o:spid="_x0000_s4073" o:spt="32" type="#_x0000_t32" style="position:absolute;left:2012;top:4007;height:1;width:545;" o:connectortype="straight" filled="f" coordsize="21600,21600">
                    <v:path arrowok="t"/>
                    <v:fill on="f" focussize="0,0"/>
                    <v:stroke endarrow="block"/>
                    <v:imagedata o:title=""/>
                    <o:lock v:ext="edit"/>
                  </v:shape>
                  <v:rect id="矩形 4099" o:spid="_x0000_s4074" o:spt="1" style="position:absolute;left:2557;top:3802;height:450;width:761;" filled="f" coordsize="21600,21600">
                    <v:path/>
                    <v:fill on="f" focussize="0,0"/>
                    <v:stroke/>
                    <v:imagedata o:title=""/>
                    <o:lock v:ext="edit"/>
                    <v:textbox>
                      <w:txbxContent>
                        <w:p>
                          <w:r>
                            <w:rPr>
                              <w:rFonts w:hint="eastAsia"/>
                            </w:rPr>
                            <w:t>破捆</w:t>
                          </w:r>
                        </w:p>
                      </w:txbxContent>
                    </v:textbox>
                  </v:rect>
                  <v:shape id="自选图形 4100" o:spid="_x0000_s4075" o:spt="32" type="#_x0000_t32" style="position:absolute;left:3318;top:4004;height:1;width:392;" o:connectortype="straight" filled="f" coordsize="21600,21600">
                    <v:path arrowok="t"/>
                    <v:fill on="f" focussize="0,0"/>
                    <v:stroke endarrow="block"/>
                    <v:imagedata o:title=""/>
                    <o:lock v:ext="edit"/>
                  </v:shape>
                  <v:rect id="矩形 4101" o:spid="_x0000_s4076" o:spt="1" style="position:absolute;left:3710;top:3802;height:450;width:1269;" filled="f" coordsize="21600,21600">
                    <v:path/>
                    <v:fill on="f" focussize="0,0"/>
                    <v:stroke/>
                    <v:imagedata o:title=""/>
                    <o:lock v:ext="edit"/>
                    <v:textbox>
                      <w:txbxContent>
                        <w:p>
                          <w:r>
                            <w:rPr>
                              <w:rFonts w:hint="eastAsia"/>
                            </w:rPr>
                            <w:t>粉碎、打绒</w:t>
                          </w:r>
                        </w:p>
                      </w:txbxContent>
                    </v:textbox>
                  </v:rect>
                  <v:shape id="自选图形 4121" o:spid="_x0000_s4078" o:spt="32" type="#_x0000_t32" style="position:absolute;left:2916;top:3501;flip:y;height:275;width:226;" o:connectortype="straight" filled="f" coordsize="21600,21600">
                    <v:path arrowok="t"/>
                    <v:fill on="f" focussize="0,0"/>
                    <v:stroke dashstyle="dash" endarrow="block"/>
                    <v:imagedata o:title=""/>
                    <o:lock v:ext="edit"/>
                  </v:shape>
                  <v:rect id="矩形 4122" o:spid="_x0000_s4079" o:spt="1" style="position:absolute;left:1832;top:3152;height:450;width:1965;" filled="f" stroked="f" coordsize="21600,21600">
                    <v:path/>
                    <v:fill on="f" focussize="0,0"/>
                    <v:stroke on="f"/>
                    <v:imagedata o:title=""/>
                    <o:lock v:ext="edit"/>
                    <v:textbox>
                      <w:txbxContent>
                        <w:p>
                          <w:pPr>
                            <w:jc w:val="center"/>
                          </w:pPr>
                          <w:r>
                            <w:rPr>
                              <w:rFonts w:hint="eastAsia"/>
                            </w:rPr>
                            <w:t>粉尘、</w:t>
                          </w:r>
                          <w:r>
                            <w:t>噪声</w:t>
                          </w:r>
                          <w:r>
                            <w:rPr>
                              <w:rFonts w:hint="eastAsia"/>
                            </w:rPr>
                            <w:t>、</w:t>
                          </w:r>
                          <w:r>
                            <w:t>固废</w:t>
                          </w:r>
                        </w:p>
                      </w:txbxContent>
                    </v:textbox>
                  </v:rect>
                  <v:rect id="矩形 3932" o:spid="_x0000_s4080" o:spt="1" style="position:absolute;left:1446;top:3776;height:450;width:745;" filled="f" stroked="f" coordsize="21600,21600">
                    <v:path/>
                    <v:fill on="f" focussize="0,0"/>
                    <v:stroke on="f"/>
                    <v:imagedata o:title=""/>
                    <o:lock v:ext="edit"/>
                    <v:textbox>
                      <w:txbxContent>
                        <w:p>
                          <w:r>
                            <w:rPr>
                              <w:rFonts w:hint="eastAsia"/>
                            </w:rPr>
                            <w:t>艾草</w:t>
                          </w:r>
                        </w:p>
                      </w:txbxContent>
                    </v:textbox>
                  </v:rect>
                  <v:rect id="_x0000_s4081" o:spid="_x0000_s4081" o:spt="1" style="position:absolute;left:7413;top:5529;height:450;width:2179;" filled="f" stroked="f" coordsize="21600,21600">
                    <v:path/>
                    <v:fill on="f" focussize="0,0"/>
                    <v:stroke on="f"/>
                    <v:imagedata o:title=""/>
                    <o:lock v:ext="edit"/>
                    <v:textbox>
                      <w:txbxContent>
                        <w:p>
                          <w:r>
                            <w:rPr>
                              <w:rFonts w:hint="eastAsia"/>
                            </w:rPr>
                            <w:t>泡脚包、布艺艾制品</w:t>
                          </w:r>
                        </w:p>
                      </w:txbxContent>
                    </v:textbox>
                  </v:rect>
                  <v:rect id="矩形 3936" o:spid="_x0000_s4085" o:spt="1" style="position:absolute;left:5365;top:3802;height:450;width:765;" filled="f" coordsize="21600,21600">
                    <v:path/>
                    <v:fill on="f" focussize="0,0"/>
                    <v:stroke/>
                    <v:imagedata o:title=""/>
                    <o:lock v:ext="edit"/>
                    <v:textbox>
                      <w:txbxContent>
                        <w:p>
                          <w:r>
                            <w:rPr>
                              <w:rFonts w:hint="eastAsia"/>
                            </w:rPr>
                            <w:t>艾绒</w:t>
                          </w:r>
                        </w:p>
                      </w:txbxContent>
                    </v:textbox>
                  </v:rect>
                  <v:rect id="矩形 3936" o:spid="_x0000_s4087" o:spt="1" style="position:absolute;left:6788;top:4562;height:450;width:765;" filled="f" coordsize="21600,21600">
                    <v:path/>
                    <v:fill on="f" focussize="0,0"/>
                    <v:stroke/>
                    <v:imagedata o:title=""/>
                    <o:lock v:ext="edit"/>
                    <v:textbox>
                      <w:txbxContent>
                        <w:p>
                          <w:pPr>
                            <w:jc w:val="center"/>
                          </w:pPr>
                          <w:r>
                            <w:rPr>
                              <w:rFonts w:hint="eastAsia"/>
                            </w:rPr>
                            <w:t>包装</w:t>
                          </w:r>
                        </w:p>
                      </w:txbxContent>
                    </v:textbox>
                  </v:rect>
                  <v:shape id="自选图形 4119" o:spid="_x0000_s4088" o:spt="32" type="#_x0000_t32" style="position:absolute;left:7553;top:4748;flip:y;height:1;width:510;" o:connectortype="straight" filled="f" coordsize="21600,21600">
                    <v:path arrowok="t"/>
                    <v:fill on="f" focussize="0,0"/>
                    <v:stroke endarrow="block"/>
                    <v:imagedata o:title=""/>
                    <o:lock v:ext="edit"/>
                  </v:shape>
                  <v:rect id="_x0000_s4089" o:spid="_x0000_s4089" o:spt="1" style="position:absolute;left:8063;top:4562;height:450;width:1185;" filled="f" stroked="f" coordsize="21600,21600">
                    <v:path/>
                    <v:fill on="f" focussize="0,0"/>
                    <v:stroke on="f"/>
                    <v:imagedata o:title=""/>
                    <o:lock v:ext="edit"/>
                    <v:textbox>
                      <w:txbxContent>
                        <w:p>
                          <w:r>
                            <w:rPr>
                              <w:rFonts w:hint="eastAsia"/>
                            </w:rPr>
                            <w:t>艾绒成品</w:t>
                          </w:r>
                        </w:p>
                      </w:txbxContent>
                    </v:textbox>
                  </v:rect>
                  <v:shape id="_x0000_s4090" o:spid="_x0000_s4090" o:spt="33" type="#_x0000_t33" style="position:absolute;left:4016;top:4581;flip:x;height:844;width:1502;rotation:5898240f;" o:connectortype="elbow" filled="f" coordsize="21600,21600" adj="-65764,157931,-65764">
                    <v:path arrowok="t"/>
                    <v:fill on="f" focussize="0,0"/>
                    <v:stroke endarrow="block"/>
                    <v:imagedata o:title=""/>
                    <o:lock v:ext="edit"/>
                  </v:shape>
                  <v:shape id="_x0000_s4091" o:spid="_x0000_s4091" o:spt="32" type="#_x0000_t32" style="position:absolute;left:6464;top:3421;flip:y;height:1329;width:1;" o:connectortype="straight" filled="f" coordsize="21600,21600">
                    <v:path arrowok="t"/>
                    <v:fill on="f" focussize="0,0"/>
                    <v:stroke/>
                    <v:imagedata o:title=""/>
                    <o:lock v:ext="edit"/>
                  </v:shape>
                  <v:rect id="矩形 3936" o:spid="_x0000_s4094" o:spt="1" style="position:absolute;left:6788;top:3152;height:450;width:765;" filled="f" coordsize="21600,21600">
                    <v:path/>
                    <v:fill on="f" focussize="0,0"/>
                    <v:stroke/>
                    <v:imagedata o:title=""/>
                    <o:lock v:ext="edit"/>
                    <v:textbox>
                      <w:txbxContent>
                        <w:p>
                          <w:r>
                            <w:rPr>
                              <w:rFonts w:hint="eastAsia"/>
                            </w:rPr>
                            <w:t>卷制</w:t>
                          </w:r>
                        </w:p>
                      </w:txbxContent>
                    </v:textbox>
                  </v:rect>
                  <v:rect id="矩形 3936" o:spid="_x0000_s4096" o:spt="1" style="position:absolute;left:8199;top:3559;height:450;width:765;" filled="f" coordsize="21600,21600">
                    <v:path/>
                    <v:fill on="f" focussize="0,0"/>
                    <v:stroke/>
                    <v:imagedata o:title=""/>
                    <o:lock v:ext="edit"/>
                    <v:textbox>
                      <w:txbxContent>
                        <w:p>
                          <w:pPr>
                            <w:jc w:val="center"/>
                          </w:pPr>
                          <w:r>
                            <w:rPr>
                              <w:rFonts w:hint="eastAsia"/>
                            </w:rPr>
                            <w:t>包装</w:t>
                          </w:r>
                        </w:p>
                      </w:txbxContent>
                    </v:textbox>
                  </v:rect>
                  <v:shape id="_x0000_s4097" o:spid="_x0000_s4097" o:spt="32" type="#_x0000_t32" style="position:absolute;left:9702;top:2270;flip:y;height:331;width:1;" o:connectortype="straight" filled="f" coordsize="21600,21600">
                    <v:path arrowok="t"/>
                    <v:fill on="f" focussize="0,0"/>
                    <v:stroke endarrow="block"/>
                    <v:imagedata o:title=""/>
                    <o:lock v:ext="edit"/>
                  </v:shape>
                  <v:rect id="_x0000_s4098" o:spid="_x0000_s4098" o:spt="1" style="position:absolute;left:9053;top:1929;height:421;width:1161;" filled="f" stroked="f" coordsize="21600,21600">
                    <v:path/>
                    <v:fill on="f" focussize="0,0"/>
                    <v:stroke on="f"/>
                    <v:imagedata o:title=""/>
                    <o:lock v:ext="edit"/>
                    <v:textbox>
                      <w:txbxContent>
                        <w:p>
                          <w:r>
                            <w:rPr>
                              <w:rFonts w:hint="eastAsia"/>
                            </w:rPr>
                            <w:t>艾柱成品</w:t>
                          </w:r>
                        </w:p>
                      </w:txbxContent>
                    </v:textbox>
                  </v:rect>
                  <v:shape id="自选图形 3945" o:spid="_x0000_s4099" o:spt="32" type="#_x0000_t32" style="position:absolute;left:7125;top:2877;flip:y;height:275;width:226;" o:connectortype="straight" filled="f" coordsize="21600,21600">
                    <v:path arrowok="t"/>
                    <v:fill on="f" focussize="0,0"/>
                    <v:stroke dashstyle="dash" endarrow="block"/>
                    <v:imagedata o:title=""/>
                    <o:lock v:ext="edit"/>
                  </v:shape>
                  <v:rect id="矩形 3947" o:spid="_x0000_s4100" o:spt="1" style="position:absolute;left:6380;top:2427;height:450;width:1965;" filled="f" stroked="f" coordsize="21600,21600">
                    <v:path/>
                    <v:fill on="f" focussize="0,0"/>
                    <v:stroke on="f"/>
                    <v:imagedata o:title=""/>
                    <o:lock v:ext="edit"/>
                    <v:textbox>
                      <w:txbxContent>
                        <w:p>
                          <w:pPr>
                            <w:jc w:val="center"/>
                          </w:pPr>
                          <w:r>
                            <w:rPr>
                              <w:rFonts w:hint="eastAsia"/>
                            </w:rPr>
                            <w:t>粉尘、</w:t>
                          </w:r>
                          <w:r>
                            <w:t>噪声</w:t>
                          </w:r>
                        </w:p>
                      </w:txbxContent>
                    </v:textbox>
                  </v:rect>
                  <v:rect id="矩形 3941" o:spid="_x0000_s4105" o:spt="1" style="position:absolute;left:6277;top:5529;height:450;width:744;" filled="f" coordsize="21600,21600">
                    <v:path/>
                    <v:fill on="f" focussize="0,0"/>
                    <v:stroke/>
                    <v:imagedata o:title=""/>
                    <o:lock v:ext="edit"/>
                    <v:textbox>
                      <w:txbxContent>
                        <w:p>
                          <w:pPr>
                            <w:jc w:val="center"/>
                          </w:pPr>
                          <w:r>
                            <w:rPr>
                              <w:rFonts w:hint="eastAsia"/>
                            </w:rPr>
                            <w:t>包装</w:t>
                          </w:r>
                        </w:p>
                      </w:txbxContent>
                    </v:textbox>
                  </v:rect>
                  <v:shape id="自选图形 4117" o:spid="_x0000_s4106" o:spt="32" type="#_x0000_t32" style="position:absolute;left:7021;top:5758;height:1;width:392;" o:connectortype="straight" filled="f" coordsize="21600,21600">
                    <v:path arrowok="t"/>
                    <v:fill on="f" focussize="0,0"/>
                    <v:stroke endarrow="block"/>
                    <v:imagedata o:title=""/>
                    <o:lock v:ext="edit"/>
                  </v:shape>
                  <v:shape id="_x0000_s4107" o:spid="_x0000_s4107" o:spt="32" type="#_x0000_t32" style="position:absolute;left:4979;top:4003;height:1;width:386;" o:connectortype="straight" filled="f" coordsize="21600,21600">
                    <v:path arrowok="t"/>
                    <v:fill on="f" focussize="0,0"/>
                    <v:stroke endarrow="block"/>
                    <v:imagedata o:title=""/>
                    <o:lock v:ext="edit"/>
                  </v:shape>
                  <v:shape id="_x0000_s4108" o:spid="_x0000_s4108" o:spt="32" type="#_x0000_t32" style="position:absolute;left:6141;top:4008;height:1;width:323;" o:connectortype="straight" filled="f" coordsize="21600,21600">
                    <v:path arrowok="t"/>
                    <v:fill on="f" focussize="0,0"/>
                    <v:stroke endarrow="block"/>
                    <v:imagedata o:title=""/>
                    <o:lock v:ext="edit"/>
                  </v:shape>
                  <v:shape id="_x0000_s4109" o:spid="_x0000_s4109" o:spt="32" type="#_x0000_t32" style="position:absolute;left:6465;top:3422;height:1;width:323;" o:connectortype="straight" filled="f" coordsize="21600,21600">
                    <v:path arrowok="t"/>
                    <v:fill on="f" focussize="0,0"/>
                    <v:stroke endarrow="block"/>
                    <v:imagedata o:title=""/>
                    <o:lock v:ext="edit"/>
                  </v:shape>
                  <v:shape id="_x0000_s4110" o:spid="_x0000_s4110" o:spt="32" type="#_x0000_t32" style="position:absolute;left:6465;top:4749;height:1;width:323;" o:connectortype="straight" filled="f" coordsize="21600,21600">
                    <v:path arrowok="t"/>
                    <v:fill on="f" focussize="0,0"/>
                    <v:stroke endarrow="block"/>
                    <v:imagedata o:title=""/>
                    <o:lock v:ext="edit"/>
                  </v:shape>
                  <v:shape id="_x0000_s4111" o:spid="_x0000_s4111" o:spt="32" type="#_x0000_t32" style="position:absolute;left:7553;top:3327;height:1;width:323;" o:connectortype="straight" filled="f" coordsize="21600,21600">
                    <v:path arrowok="t"/>
                    <v:fill on="f" focussize="0,0"/>
                    <v:stroke endarrow="block"/>
                    <v:imagedata o:title=""/>
                    <o:lock v:ext="edit"/>
                  </v:shape>
                  <v:shape id="_x0000_s4112" o:spid="_x0000_s4112" o:spt="32" type="#_x0000_t32" style="position:absolute;left:7876;top:2866;height:910;width:1;" o:connectortype="straight" filled="f" coordsize="21600,21600">
                    <v:path arrowok="t"/>
                    <v:fill on="f" focussize="0,0"/>
                    <v:stroke/>
                    <v:imagedata o:title=""/>
                    <o:lock v:ext="edit"/>
                  </v:shape>
                  <v:shape id="_x0000_s4113" o:spid="_x0000_s4113" o:spt="32" type="#_x0000_t32" style="position:absolute;left:7876;top:3775;height:1;width:323;" o:connectortype="straight" filled="f" coordsize="21600,21600">
                    <v:path arrowok="t"/>
                    <v:fill on="f" focussize="0,0"/>
                    <v:stroke endarrow="block"/>
                    <v:imagedata o:title=""/>
                    <o:lock v:ext="edit"/>
                  </v:shape>
                  <v:shape id="_x0000_s4114" o:spid="_x0000_s4114" o:spt="32" type="#_x0000_t32" style="position:absolute;left:7877;top:2865;height:1;width:323;" o:connectortype="straight" filled="f" coordsize="21600,21600">
                    <v:path arrowok="t"/>
                    <v:fill on="f" focussize="0,0"/>
                    <v:stroke endarrow="block"/>
                    <v:imagedata o:title=""/>
                    <o:lock v:ext="edit"/>
                  </v:shape>
                  <v:shape id="自选图形 4119" o:spid="_x0000_s4115" o:spt="32" type="#_x0000_t32" style="position:absolute;left:8964;top:3774;flip:y;height:1;width:510;" o:connectortype="straight" filled="f" coordsize="21600,21600">
                    <v:path arrowok="t"/>
                    <v:fill on="f" focussize="0,0"/>
                    <v:stroke endarrow="block"/>
                    <v:imagedata o:title=""/>
                    <o:lock v:ext="edit"/>
                  </v:shape>
                  <v:rect id="矩形 3936" o:spid="_x0000_s4117" o:spt="1" style="position:absolute;left:8199;top:2601;height:450;width:765;" filled="f" coordsize="21600,21600">
                    <v:path/>
                    <v:fill on="f" focussize="0,0"/>
                    <v:stroke/>
                    <v:imagedata o:title=""/>
                    <o:lock v:ext="edit"/>
                    <v:textbox>
                      <w:txbxContent>
                        <w:p>
                          <w:pPr>
                            <w:jc w:val="center"/>
                          </w:pPr>
                          <w:r>
                            <w:rPr>
                              <w:rFonts w:hint="eastAsia"/>
                            </w:rPr>
                            <w:t>切柱</w:t>
                          </w:r>
                        </w:p>
                      </w:txbxContent>
                    </v:textbox>
                  </v:rect>
                  <v:shape id="_x0000_s4118" o:spid="_x0000_s4118" o:spt="32" type="#_x0000_t32" style="position:absolute;left:8975;top:2864;height:1;width:323;" o:connectortype="straight" filled="f" coordsize="21600,21600">
                    <v:path arrowok="t"/>
                    <v:fill on="f" focussize="0,0"/>
                    <v:stroke endarrow="block"/>
                    <v:imagedata o:title=""/>
                    <o:lock v:ext="edit"/>
                  </v:shape>
                  <v:rect id="矩形 3936" o:spid="_x0000_s4119" o:spt="1" style="position:absolute;left:9298;top:2601;height:450;width:765;" filled="f" coordsize="21600,21600">
                    <v:path/>
                    <v:fill on="f" focussize="0,0"/>
                    <v:stroke/>
                    <v:imagedata o:title=""/>
                    <o:lock v:ext="edit"/>
                    <v:textbox>
                      <w:txbxContent>
                        <w:p>
                          <w:pPr>
                            <w:jc w:val="center"/>
                          </w:pPr>
                          <w:r>
                            <w:rPr>
                              <w:rFonts w:hint="eastAsia"/>
                            </w:rPr>
                            <w:t>包装</w:t>
                          </w:r>
                        </w:p>
                      </w:txbxContent>
                    </v:textbox>
                  </v:rect>
                  <v:shape id="_x0000_s4120" o:spid="_x0000_s4120" o:spt="32" type="#_x0000_t32" style="position:absolute;left:5954;top:5753;height:1;width:323;" o:connectortype="straight" filled="f" coordsize="21600,21600">
                    <v:path arrowok="t"/>
                    <v:fill on="f" focussize="0,0"/>
                    <v:stroke endarrow="block"/>
                    <v:imagedata o:title=""/>
                    <o:lock v:ext="edit"/>
                  </v:shape>
                  <v:shape id="自选图形 3945" o:spid="_x0000_s4121" o:spt="32" type="#_x0000_t32" style="position:absolute;left:8345;top:2326;flip:y;height:275;width:226;" o:connectortype="straight" filled="f" coordsize="21600,21600">
                    <v:path arrowok="t"/>
                    <v:fill on="f" focussize="0,0"/>
                    <v:stroke dashstyle="dash" endarrow="block"/>
                    <v:imagedata o:title=""/>
                    <o:lock v:ext="edit"/>
                  </v:shape>
                  <v:rect id="矩形 3947" o:spid="_x0000_s4122" o:spt="1" style="position:absolute;left:7627;top:1977;height:450;width:1965;" filled="f" stroked="f" coordsize="21600,21600">
                    <v:path/>
                    <v:fill on="f" focussize="0,0"/>
                    <v:stroke on="f"/>
                    <v:imagedata o:title=""/>
                    <o:lock v:ext="edit"/>
                    <v:textbox>
                      <w:txbxContent>
                        <w:p>
                          <w:pPr>
                            <w:jc w:val="center"/>
                          </w:pPr>
                          <w:r>
                            <w:t>噪声</w:t>
                          </w:r>
                        </w:p>
                      </w:txbxContent>
                    </v:textbox>
                  </v:rect>
                  <w10:wrap type="none"/>
                  <w10:anchorlock/>
                </v:group>
              </w:pict>
            </w:r>
          </w:p>
          <w:p>
            <w:pPr>
              <w:spacing w:beforeLines="50" w:afterLines="50"/>
              <w:jc w:val="center"/>
              <w:rPr>
                <w:rFonts w:hAnsiTheme="minorEastAsia" w:eastAsiaTheme="minorEastAsia"/>
                <w:b/>
                <w:sz w:val="24"/>
              </w:rPr>
            </w:pPr>
            <w:r>
              <w:rPr>
                <w:rFonts w:hint="eastAsia" w:hAnsiTheme="minorEastAsia" w:eastAsiaTheme="minorEastAsia"/>
                <w:b/>
                <w:sz w:val="24"/>
              </w:rPr>
              <w:t>图2-2  项目工艺流程图及产污环节图</w:t>
            </w:r>
          </w:p>
          <w:p>
            <w:pPr>
              <w:spacing w:line="360" w:lineRule="auto"/>
              <w:ind w:firstLine="482" w:firstLineChars="200"/>
              <w:rPr>
                <w:b/>
                <w:bCs/>
                <w:color w:val="000000"/>
                <w:sz w:val="24"/>
              </w:rPr>
            </w:pPr>
            <w:r>
              <w:rPr>
                <w:rFonts w:hint="eastAsia"/>
                <w:b/>
                <w:bCs/>
                <w:color w:val="000000"/>
                <w:sz w:val="24"/>
              </w:rPr>
              <w:t>工艺流程简述：</w:t>
            </w:r>
          </w:p>
          <w:p>
            <w:pPr>
              <w:spacing w:line="360" w:lineRule="auto"/>
              <w:ind w:firstLine="600" w:firstLineChars="250"/>
              <w:rPr>
                <w:color w:val="000000"/>
                <w:sz w:val="24"/>
              </w:rPr>
            </w:pPr>
            <w:r>
              <w:rPr>
                <w:color w:val="000000"/>
                <w:sz w:val="24"/>
              </w:rPr>
              <w:t>原材料</w:t>
            </w:r>
            <w:r>
              <w:rPr>
                <w:rFonts w:hint="eastAsia"/>
                <w:color w:val="000000"/>
                <w:sz w:val="24"/>
              </w:rPr>
              <w:t>：</w:t>
            </w:r>
            <w:r>
              <w:rPr>
                <w:color w:val="000000"/>
                <w:sz w:val="24"/>
              </w:rPr>
              <w:t>进厂原料为干净艾草</w:t>
            </w:r>
            <w:r>
              <w:rPr>
                <w:rFonts w:hint="eastAsia"/>
                <w:color w:val="000000"/>
                <w:sz w:val="24"/>
              </w:rPr>
              <w:t>，无杂质。</w:t>
            </w:r>
          </w:p>
          <w:p>
            <w:pPr>
              <w:spacing w:line="360" w:lineRule="auto"/>
              <w:ind w:firstLine="600" w:firstLineChars="250"/>
              <w:rPr>
                <w:color w:val="000000"/>
                <w:sz w:val="24"/>
              </w:rPr>
            </w:pPr>
            <w:r>
              <w:rPr>
                <w:color w:val="000000"/>
                <w:sz w:val="24"/>
              </w:rPr>
              <w:t>破捆</w:t>
            </w:r>
            <w:r>
              <w:rPr>
                <w:rFonts w:hint="eastAsia"/>
                <w:color w:val="000000"/>
                <w:sz w:val="24"/>
              </w:rPr>
              <w:t>：</w:t>
            </w:r>
            <w:r>
              <w:rPr>
                <w:color w:val="000000"/>
                <w:sz w:val="24"/>
              </w:rPr>
              <w:t>将</w:t>
            </w:r>
            <w:r>
              <w:rPr>
                <w:rFonts w:hint="eastAsia"/>
                <w:color w:val="000000"/>
                <w:sz w:val="24"/>
              </w:rPr>
              <w:t>成捆</w:t>
            </w:r>
            <w:r>
              <w:rPr>
                <w:color w:val="000000"/>
                <w:sz w:val="24"/>
              </w:rPr>
              <w:t>艾</w:t>
            </w:r>
            <w:r>
              <w:rPr>
                <w:rFonts w:hint="eastAsia"/>
                <w:color w:val="000000"/>
                <w:sz w:val="24"/>
              </w:rPr>
              <w:t>草</w:t>
            </w:r>
            <w:r>
              <w:rPr>
                <w:color w:val="000000"/>
                <w:sz w:val="24"/>
              </w:rPr>
              <w:t>放入进料输送带上</w:t>
            </w:r>
            <w:r>
              <w:rPr>
                <w:rFonts w:hint="eastAsia"/>
                <w:color w:val="000000"/>
                <w:sz w:val="24"/>
              </w:rPr>
              <w:t>，进入破捆机内破散。破捆后物料通过密闭廊道进入粉碎打绒机中进行绒渣分离。</w:t>
            </w:r>
          </w:p>
          <w:p>
            <w:pPr>
              <w:spacing w:line="360" w:lineRule="auto"/>
              <w:ind w:firstLine="600" w:firstLineChars="250"/>
              <w:rPr>
                <w:color w:val="000000"/>
                <w:sz w:val="24"/>
              </w:rPr>
            </w:pPr>
            <w:r>
              <w:rPr>
                <w:rFonts w:hint="eastAsia"/>
                <w:color w:val="000000"/>
                <w:sz w:val="24"/>
              </w:rPr>
              <w:t>粉碎、打绒：松散的艾草利用粉碎机进行干式粉碎，当物料进入粉碎室后，在圆齿和扁齿的打击及揉撞作用下，利用粉碎刀片高速旋转撞击来实现物料的粉碎。粉碎机为半封闭式（只留进口），利用粉碎后的物料进行分离，物料落在高速旋转的分料盘上，在离心力的作用下，物料被充分分散并甩向缓冲环，在下落过程中，较轻的物料（艾绒）在转子上产生的交叉气流的作用下，制得艾绒；较重的物料（艾粉）则随气流输送到下方微粉收集器中收集，随后由收集器排出得到副产品艾粉。艾绒提取过程设备为密闭状态，仅在筛选机旋风分离器尾气排放口会有粉尘产生。</w:t>
            </w:r>
          </w:p>
          <w:p>
            <w:pPr>
              <w:spacing w:line="360" w:lineRule="auto"/>
              <w:ind w:firstLine="600" w:firstLineChars="250"/>
              <w:rPr>
                <w:color w:val="000000"/>
                <w:sz w:val="24"/>
              </w:rPr>
            </w:pPr>
            <w:r>
              <w:rPr>
                <w:rFonts w:hint="eastAsia"/>
                <w:color w:val="000000"/>
                <w:sz w:val="24"/>
              </w:rPr>
              <w:t>泡脚包、布艺艾制品</w:t>
            </w:r>
            <w:r>
              <w:rPr>
                <w:color w:val="000000"/>
                <w:sz w:val="24"/>
              </w:rPr>
              <w:t>：</w:t>
            </w:r>
            <w:r>
              <w:rPr>
                <w:rFonts w:hint="eastAsia"/>
                <w:color w:val="000000"/>
                <w:sz w:val="24"/>
              </w:rPr>
              <w:t>艾粉送至包装工序装填至无纺布、布类包装袋，</w:t>
            </w:r>
            <w:r>
              <w:rPr>
                <w:color w:val="000000"/>
                <w:sz w:val="24"/>
              </w:rPr>
              <w:t>装袋后由缝包机进行直接封包</w:t>
            </w:r>
            <w:r>
              <w:rPr>
                <w:rFonts w:hint="eastAsia"/>
                <w:color w:val="000000"/>
                <w:sz w:val="24"/>
              </w:rPr>
              <w:t>即为泡脚包和布艺艾制品，主要为泡脚包和艾粉枕头、抱枕等</w:t>
            </w:r>
            <w:r>
              <w:rPr>
                <w:color w:val="000000"/>
                <w:sz w:val="24"/>
              </w:rPr>
              <w:t>。</w:t>
            </w:r>
          </w:p>
          <w:p>
            <w:pPr>
              <w:spacing w:line="360" w:lineRule="auto"/>
              <w:ind w:firstLine="600" w:firstLineChars="250"/>
              <w:rPr>
                <w:color w:val="000000"/>
                <w:sz w:val="24"/>
              </w:rPr>
            </w:pPr>
            <w:r>
              <w:rPr>
                <w:color w:val="000000"/>
                <w:sz w:val="24"/>
              </w:rPr>
              <w:t>卷条：艾绒由</w:t>
            </w:r>
            <w:r>
              <w:rPr>
                <w:rFonts w:hint="eastAsia"/>
                <w:color w:val="000000"/>
                <w:sz w:val="24"/>
              </w:rPr>
              <w:t>密闭</w:t>
            </w:r>
            <w:r>
              <w:rPr>
                <w:color w:val="000000"/>
                <w:sz w:val="24"/>
              </w:rPr>
              <w:t>塑料周转箱运至艾条加工区，采用桑皮纸作为外包裹物，由</w:t>
            </w:r>
            <w:r>
              <w:rPr>
                <w:rFonts w:hint="eastAsia"/>
                <w:color w:val="000000"/>
                <w:sz w:val="24"/>
              </w:rPr>
              <w:t>全自动</w:t>
            </w:r>
            <w:r>
              <w:rPr>
                <w:color w:val="000000"/>
                <w:sz w:val="24"/>
              </w:rPr>
              <w:t>卷条机</w:t>
            </w:r>
            <w:r>
              <w:rPr>
                <w:rFonts w:hint="eastAsia"/>
                <w:color w:val="000000"/>
                <w:sz w:val="24"/>
              </w:rPr>
              <w:t>和手动卷条机</w:t>
            </w:r>
            <w:r>
              <w:rPr>
                <w:color w:val="000000"/>
                <w:sz w:val="24"/>
              </w:rPr>
              <w:t>将艾绒卷制成艾条成品。在卷制过程中会少量粉尘产生。</w:t>
            </w:r>
          </w:p>
          <w:p>
            <w:pPr>
              <w:spacing w:line="360" w:lineRule="auto"/>
              <w:ind w:firstLine="600" w:firstLineChars="250"/>
              <w:rPr>
                <w:color w:val="000000"/>
                <w:sz w:val="24"/>
              </w:rPr>
            </w:pPr>
            <w:r>
              <w:rPr>
                <w:color w:val="000000"/>
                <w:sz w:val="24"/>
              </w:rPr>
              <w:t>艾柱：部分艾条作为半成品经切</w:t>
            </w:r>
            <w:r>
              <w:rPr>
                <w:rFonts w:hint="eastAsia"/>
                <w:color w:val="000000"/>
                <w:sz w:val="24"/>
              </w:rPr>
              <w:t>段</w:t>
            </w:r>
            <w:r>
              <w:rPr>
                <w:color w:val="000000"/>
                <w:sz w:val="24"/>
              </w:rPr>
              <w:t>机切割制得艾柱，经</w:t>
            </w:r>
            <w:r>
              <w:rPr>
                <w:rFonts w:hint="eastAsia"/>
                <w:color w:val="000000"/>
                <w:sz w:val="24"/>
              </w:rPr>
              <w:t>人工</w:t>
            </w:r>
            <w:r>
              <w:rPr>
                <w:color w:val="000000"/>
                <w:sz w:val="24"/>
              </w:rPr>
              <w:t>包装后入库待售。</w:t>
            </w:r>
          </w:p>
          <w:p>
            <w:pPr>
              <w:spacing w:line="360" w:lineRule="auto"/>
              <w:ind w:firstLine="482" w:firstLineChars="200"/>
              <w:rPr>
                <w:color w:val="000000"/>
                <w:sz w:val="24"/>
              </w:rPr>
            </w:pPr>
            <w:r>
              <w:rPr>
                <w:rFonts w:hint="eastAsia"/>
                <w:b/>
                <w:bCs/>
                <w:color w:val="000000"/>
                <w:sz w:val="24"/>
              </w:rPr>
              <w:t>2</w:t>
            </w:r>
            <w:r>
              <w:rPr>
                <w:b/>
                <w:bCs/>
                <w:color w:val="000000"/>
                <w:sz w:val="24"/>
              </w:rPr>
              <w:t>、产排污环节</w:t>
            </w:r>
          </w:p>
          <w:p>
            <w:pPr>
              <w:spacing w:line="360" w:lineRule="auto"/>
              <w:ind w:firstLine="600" w:firstLineChars="250"/>
              <w:rPr>
                <w:color w:val="000000"/>
                <w:sz w:val="24"/>
              </w:rPr>
            </w:pPr>
            <w:r>
              <w:rPr>
                <w:color w:val="000000"/>
                <w:sz w:val="24"/>
              </w:rPr>
              <w:t>项目</w:t>
            </w:r>
            <w:r>
              <w:rPr>
                <w:rFonts w:hint="eastAsia"/>
                <w:color w:val="000000"/>
                <w:sz w:val="24"/>
              </w:rPr>
              <w:t>施工期、</w:t>
            </w:r>
            <w:r>
              <w:rPr>
                <w:color w:val="000000"/>
                <w:sz w:val="24"/>
              </w:rPr>
              <w:t>营运期产污环节分析见下表。</w:t>
            </w:r>
          </w:p>
          <w:p>
            <w:pPr>
              <w:widowControl/>
              <w:adjustRightInd w:val="0"/>
              <w:snapToGrid w:val="0"/>
              <w:spacing w:line="360" w:lineRule="auto"/>
              <w:jc w:val="center"/>
              <w:rPr>
                <w:rFonts w:eastAsiaTheme="majorEastAsia"/>
                <w:b/>
                <w:color w:val="000000"/>
                <w:sz w:val="24"/>
              </w:rPr>
            </w:pPr>
            <w:r>
              <w:rPr>
                <w:rFonts w:hAnsiTheme="majorEastAsia" w:eastAsiaTheme="majorEastAsia"/>
                <w:b/>
                <w:color w:val="000000"/>
                <w:sz w:val="24"/>
              </w:rPr>
              <w:t>表</w:t>
            </w:r>
            <w:r>
              <w:rPr>
                <w:rFonts w:eastAsiaTheme="majorEastAsia"/>
                <w:b/>
                <w:color w:val="000000"/>
                <w:sz w:val="24"/>
              </w:rPr>
              <w:t xml:space="preserve">2-7  </w:t>
            </w:r>
            <w:r>
              <w:rPr>
                <w:rFonts w:hAnsiTheme="majorEastAsia" w:eastAsiaTheme="majorEastAsia"/>
                <w:b/>
                <w:color w:val="000000"/>
                <w:sz w:val="24"/>
              </w:rPr>
              <w:t>本项目产排污环节一览表</w:t>
            </w:r>
          </w:p>
          <w:tbl>
            <w:tblPr>
              <w:tblStyle w:val="27"/>
              <w:tblW w:w="87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9"/>
              <w:gridCol w:w="3166"/>
              <w:gridCol w:w="2850"/>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9" w:type="dxa"/>
                  <w:vAlign w:val="center"/>
                </w:tcPr>
                <w:p>
                  <w:pPr>
                    <w:jc w:val="center"/>
                    <w:rPr>
                      <w:rFonts w:ascii="宋体" w:hAnsi="宋体" w:cs="宋体"/>
                      <w:szCs w:val="21"/>
                    </w:rPr>
                  </w:pPr>
                  <w:r>
                    <w:rPr>
                      <w:rFonts w:hint="eastAsia" w:ascii="宋体" w:hAnsi="宋体" w:cs="宋体"/>
                      <w:szCs w:val="21"/>
                    </w:rPr>
                    <w:t>项目</w:t>
                  </w:r>
                </w:p>
              </w:tc>
              <w:tc>
                <w:tcPr>
                  <w:tcW w:w="3166" w:type="dxa"/>
                  <w:vAlign w:val="center"/>
                </w:tcPr>
                <w:p>
                  <w:pPr>
                    <w:jc w:val="center"/>
                    <w:rPr>
                      <w:rFonts w:ascii="宋体" w:hAnsi="宋体" w:cs="宋体"/>
                      <w:szCs w:val="21"/>
                    </w:rPr>
                  </w:pPr>
                  <w:r>
                    <w:rPr>
                      <w:rFonts w:hint="eastAsia" w:ascii="宋体" w:hAnsi="宋体" w:cs="宋体"/>
                      <w:szCs w:val="21"/>
                    </w:rPr>
                    <w:t>产污环节</w:t>
                  </w:r>
                </w:p>
              </w:tc>
              <w:tc>
                <w:tcPr>
                  <w:tcW w:w="2850" w:type="dxa"/>
                  <w:vAlign w:val="center"/>
                </w:tcPr>
                <w:p>
                  <w:pPr>
                    <w:jc w:val="center"/>
                    <w:rPr>
                      <w:rFonts w:ascii="宋体" w:hAnsi="宋体" w:cs="宋体"/>
                      <w:szCs w:val="21"/>
                    </w:rPr>
                  </w:pPr>
                  <w:r>
                    <w:rPr>
                      <w:rFonts w:hint="eastAsia" w:ascii="宋体" w:hAnsi="宋体" w:cs="宋体"/>
                      <w:szCs w:val="21"/>
                    </w:rPr>
                    <w:t>污染因素</w:t>
                  </w:r>
                </w:p>
              </w:tc>
              <w:tc>
                <w:tcPr>
                  <w:tcW w:w="1427" w:type="dxa"/>
                  <w:vAlign w:val="center"/>
                </w:tcPr>
                <w:p>
                  <w:pPr>
                    <w:jc w:val="center"/>
                    <w:rPr>
                      <w:rFonts w:ascii="宋体" w:hAnsi="宋体" w:cs="宋体"/>
                      <w:szCs w:val="21"/>
                    </w:rPr>
                  </w:pPr>
                  <w:r>
                    <w:rPr>
                      <w:rFonts w:hint="eastAsia" w:ascii="宋体" w:hAnsi="宋体" w:cs="宋体"/>
                      <w:szCs w:val="21"/>
                    </w:rPr>
                    <w:t>产污特征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9" w:type="dxa"/>
                  <w:vAlign w:val="center"/>
                </w:tcPr>
                <w:p>
                  <w:pPr>
                    <w:jc w:val="center"/>
                    <w:rPr>
                      <w:rFonts w:ascii="宋体" w:hAnsi="宋体" w:cs="宋体"/>
                      <w:szCs w:val="21"/>
                    </w:rPr>
                  </w:pPr>
                  <w:r>
                    <w:rPr>
                      <w:rFonts w:hint="eastAsia" w:ascii="宋体" w:hAnsi="宋体" w:cs="宋体"/>
                      <w:szCs w:val="21"/>
                    </w:rPr>
                    <w:t>废水</w:t>
                  </w:r>
                </w:p>
              </w:tc>
              <w:tc>
                <w:tcPr>
                  <w:tcW w:w="3166" w:type="dxa"/>
                  <w:vAlign w:val="center"/>
                </w:tcPr>
                <w:p>
                  <w:pPr>
                    <w:jc w:val="center"/>
                    <w:rPr>
                      <w:rFonts w:ascii="宋体" w:hAnsi="宋体" w:cs="宋体"/>
                      <w:szCs w:val="21"/>
                    </w:rPr>
                  </w:pPr>
                  <w:r>
                    <w:rPr>
                      <w:rFonts w:hint="eastAsia" w:ascii="宋体" w:hAnsi="宋体" w:cs="宋体"/>
                      <w:szCs w:val="21"/>
                    </w:rPr>
                    <w:t>职工办公生活</w:t>
                  </w:r>
                </w:p>
              </w:tc>
              <w:tc>
                <w:tcPr>
                  <w:tcW w:w="2850" w:type="dxa"/>
                  <w:vAlign w:val="center"/>
                </w:tcPr>
                <w:p>
                  <w:pPr>
                    <w:jc w:val="center"/>
                    <w:rPr>
                      <w:rFonts w:ascii="宋体" w:hAnsi="宋体" w:cs="宋体"/>
                      <w:szCs w:val="21"/>
                    </w:rPr>
                  </w:pPr>
                  <w:r>
                    <w:rPr>
                      <w:szCs w:val="21"/>
                    </w:rPr>
                    <w:t>COD</w:t>
                  </w:r>
                  <w:r>
                    <w:rPr>
                      <w:rFonts w:hint="eastAsia" w:ascii="宋体" w:hAnsi="宋体" w:cs="宋体"/>
                      <w:szCs w:val="21"/>
                    </w:rPr>
                    <w:t>、</w:t>
                  </w:r>
                  <w:r>
                    <w:rPr>
                      <w:szCs w:val="21"/>
                    </w:rPr>
                    <w:t>BOD</w:t>
                  </w:r>
                  <w:r>
                    <w:rPr>
                      <w:szCs w:val="21"/>
                      <w:vertAlign w:val="subscript"/>
                    </w:rPr>
                    <w:t>5</w:t>
                  </w:r>
                  <w:r>
                    <w:rPr>
                      <w:rFonts w:hint="eastAsia" w:ascii="宋体" w:hAnsi="宋体" w:cs="宋体"/>
                      <w:szCs w:val="21"/>
                    </w:rPr>
                    <w:t>、</w:t>
                  </w:r>
                  <w:r>
                    <w:rPr>
                      <w:szCs w:val="21"/>
                    </w:rPr>
                    <w:t>NH</w:t>
                  </w:r>
                  <w:r>
                    <w:rPr>
                      <w:szCs w:val="21"/>
                      <w:vertAlign w:val="subscript"/>
                    </w:rPr>
                    <w:t>3</w:t>
                  </w:r>
                  <w:r>
                    <w:rPr>
                      <w:rFonts w:hint="eastAsia"/>
                      <w:szCs w:val="21"/>
                    </w:rPr>
                    <w:t>-N</w:t>
                  </w:r>
                  <w:r>
                    <w:rPr>
                      <w:rFonts w:hint="eastAsia" w:ascii="宋体" w:hAnsi="宋体" w:cs="宋体"/>
                      <w:szCs w:val="21"/>
                    </w:rPr>
                    <w:t>、</w:t>
                  </w:r>
                  <w:r>
                    <w:rPr>
                      <w:szCs w:val="21"/>
                    </w:rPr>
                    <w:t>SS</w:t>
                  </w:r>
                </w:p>
              </w:tc>
              <w:tc>
                <w:tcPr>
                  <w:tcW w:w="1427" w:type="dxa"/>
                  <w:vAlign w:val="center"/>
                </w:tcPr>
                <w:p>
                  <w:pPr>
                    <w:jc w:val="center"/>
                    <w:rPr>
                      <w:rFonts w:ascii="宋体" w:hAnsi="宋体" w:cs="宋体"/>
                      <w:szCs w:val="21"/>
                    </w:rPr>
                  </w:pPr>
                  <w:r>
                    <w:rPr>
                      <w:rFonts w:hint="eastAsia" w:ascii="宋体" w:hAnsi="宋体" w:cs="宋体"/>
                      <w:szCs w:val="21"/>
                    </w:rPr>
                    <w:t>间断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9" w:type="dxa"/>
                  <w:vMerge w:val="restart"/>
                  <w:vAlign w:val="center"/>
                </w:tcPr>
                <w:p>
                  <w:pPr>
                    <w:jc w:val="center"/>
                    <w:rPr>
                      <w:rFonts w:ascii="宋体" w:hAnsi="宋体" w:cs="宋体"/>
                      <w:szCs w:val="21"/>
                    </w:rPr>
                  </w:pPr>
                  <w:r>
                    <w:rPr>
                      <w:rFonts w:hint="eastAsia" w:ascii="宋体" w:hAnsi="宋体" w:cs="宋体"/>
                      <w:szCs w:val="21"/>
                    </w:rPr>
                    <w:t>废气</w:t>
                  </w:r>
                </w:p>
              </w:tc>
              <w:tc>
                <w:tcPr>
                  <w:tcW w:w="3166" w:type="dxa"/>
                  <w:vAlign w:val="center"/>
                </w:tcPr>
                <w:p>
                  <w:pPr>
                    <w:jc w:val="center"/>
                    <w:rPr>
                      <w:rFonts w:ascii="宋体" w:hAnsi="宋体" w:cs="宋体"/>
                      <w:szCs w:val="21"/>
                    </w:rPr>
                  </w:pPr>
                  <w:r>
                    <w:rPr>
                      <w:rFonts w:hint="eastAsia" w:ascii="宋体" w:hAnsi="宋体" w:cs="宋体"/>
                      <w:szCs w:val="21"/>
                    </w:rPr>
                    <w:t>破捆工序</w:t>
                  </w:r>
                </w:p>
              </w:tc>
              <w:tc>
                <w:tcPr>
                  <w:tcW w:w="2850" w:type="dxa"/>
                  <w:vAlign w:val="center"/>
                </w:tcPr>
                <w:p>
                  <w:pPr>
                    <w:jc w:val="center"/>
                    <w:rPr>
                      <w:rFonts w:ascii="宋体" w:hAnsi="宋体" w:cs="宋体"/>
                      <w:szCs w:val="21"/>
                    </w:rPr>
                  </w:pPr>
                  <w:r>
                    <w:rPr>
                      <w:rFonts w:hint="eastAsia" w:ascii="宋体" w:hAnsi="宋体" w:cs="宋体"/>
                      <w:szCs w:val="21"/>
                    </w:rPr>
                    <w:t>粉尘</w:t>
                  </w:r>
                </w:p>
              </w:tc>
              <w:tc>
                <w:tcPr>
                  <w:tcW w:w="1427" w:type="dxa"/>
                  <w:vAlign w:val="center"/>
                </w:tcPr>
                <w:p>
                  <w:pPr>
                    <w:jc w:val="center"/>
                    <w:rPr>
                      <w:rFonts w:ascii="宋体" w:hAnsi="宋体" w:cs="宋体"/>
                      <w:szCs w:val="21"/>
                    </w:rPr>
                  </w:pPr>
                  <w:r>
                    <w:rPr>
                      <w:rFonts w:hint="eastAsia" w:ascii="宋体" w:hAnsi="宋体" w:cs="宋体"/>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9" w:type="dxa"/>
                  <w:vMerge w:val="continue"/>
                  <w:vAlign w:val="center"/>
                </w:tcPr>
                <w:p>
                  <w:pPr>
                    <w:jc w:val="center"/>
                    <w:rPr>
                      <w:rFonts w:ascii="宋体" w:hAnsi="宋体" w:cs="宋体"/>
                      <w:szCs w:val="21"/>
                    </w:rPr>
                  </w:pPr>
                </w:p>
              </w:tc>
              <w:tc>
                <w:tcPr>
                  <w:tcW w:w="3166" w:type="dxa"/>
                  <w:vAlign w:val="center"/>
                </w:tcPr>
                <w:p>
                  <w:pPr>
                    <w:jc w:val="center"/>
                    <w:rPr>
                      <w:rFonts w:ascii="宋体" w:hAnsi="宋体" w:cs="宋体"/>
                      <w:szCs w:val="21"/>
                    </w:rPr>
                  </w:pPr>
                  <w:r>
                    <w:rPr>
                      <w:rFonts w:hint="eastAsia" w:ascii="宋体" w:hAnsi="宋体" w:cs="宋体"/>
                      <w:szCs w:val="21"/>
                    </w:rPr>
                    <w:t>粉碎打绒工序</w:t>
                  </w:r>
                </w:p>
              </w:tc>
              <w:tc>
                <w:tcPr>
                  <w:tcW w:w="2850" w:type="dxa"/>
                  <w:vAlign w:val="center"/>
                </w:tcPr>
                <w:p>
                  <w:pPr>
                    <w:jc w:val="center"/>
                    <w:rPr>
                      <w:rFonts w:ascii="宋体" w:hAnsi="宋体" w:cs="宋体"/>
                      <w:szCs w:val="21"/>
                    </w:rPr>
                  </w:pPr>
                  <w:r>
                    <w:rPr>
                      <w:rFonts w:hint="eastAsia" w:ascii="宋体" w:hAnsi="宋体" w:cs="宋体"/>
                      <w:szCs w:val="21"/>
                    </w:rPr>
                    <w:t>粉尘</w:t>
                  </w:r>
                </w:p>
              </w:tc>
              <w:tc>
                <w:tcPr>
                  <w:tcW w:w="1427" w:type="dxa"/>
                  <w:vAlign w:val="center"/>
                </w:tcPr>
                <w:p>
                  <w:pPr>
                    <w:jc w:val="center"/>
                    <w:rPr>
                      <w:rFonts w:ascii="宋体" w:hAnsi="宋体" w:cs="宋体"/>
                      <w:szCs w:val="21"/>
                    </w:rPr>
                  </w:pPr>
                  <w:r>
                    <w:rPr>
                      <w:rFonts w:hint="eastAsia" w:ascii="宋体" w:hAnsi="宋体" w:cs="宋体"/>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9" w:type="dxa"/>
                  <w:vMerge w:val="continue"/>
                  <w:vAlign w:val="center"/>
                </w:tcPr>
                <w:p>
                  <w:pPr>
                    <w:jc w:val="center"/>
                    <w:rPr>
                      <w:rFonts w:ascii="宋体" w:hAnsi="宋体" w:cs="宋体"/>
                      <w:szCs w:val="21"/>
                    </w:rPr>
                  </w:pPr>
                </w:p>
              </w:tc>
              <w:tc>
                <w:tcPr>
                  <w:tcW w:w="3166" w:type="dxa"/>
                  <w:vAlign w:val="center"/>
                </w:tcPr>
                <w:p>
                  <w:pPr>
                    <w:jc w:val="center"/>
                    <w:rPr>
                      <w:rFonts w:ascii="宋体" w:hAnsi="宋体" w:cs="宋体"/>
                      <w:szCs w:val="21"/>
                    </w:rPr>
                  </w:pPr>
                  <w:r>
                    <w:rPr>
                      <w:rFonts w:hint="eastAsia" w:ascii="宋体" w:hAnsi="宋体" w:cs="宋体"/>
                      <w:szCs w:val="21"/>
                    </w:rPr>
                    <w:t>卷条工序</w:t>
                  </w:r>
                </w:p>
              </w:tc>
              <w:tc>
                <w:tcPr>
                  <w:tcW w:w="2850" w:type="dxa"/>
                  <w:vAlign w:val="center"/>
                </w:tcPr>
                <w:p>
                  <w:pPr>
                    <w:jc w:val="center"/>
                    <w:rPr>
                      <w:rFonts w:ascii="宋体" w:hAnsi="宋体" w:cs="宋体"/>
                      <w:szCs w:val="21"/>
                    </w:rPr>
                  </w:pPr>
                  <w:r>
                    <w:rPr>
                      <w:rFonts w:hint="eastAsia" w:ascii="宋体" w:hAnsi="宋体" w:cs="宋体"/>
                      <w:szCs w:val="21"/>
                    </w:rPr>
                    <w:t>粉尘</w:t>
                  </w:r>
                </w:p>
              </w:tc>
              <w:tc>
                <w:tcPr>
                  <w:tcW w:w="1427" w:type="dxa"/>
                  <w:vAlign w:val="center"/>
                </w:tcPr>
                <w:p>
                  <w:pPr>
                    <w:jc w:val="center"/>
                    <w:rPr>
                      <w:rFonts w:ascii="宋体" w:hAnsi="宋体" w:cs="宋体"/>
                      <w:szCs w:val="21"/>
                    </w:rPr>
                  </w:pPr>
                  <w:r>
                    <w:rPr>
                      <w:rFonts w:hint="eastAsia" w:ascii="宋体" w:hAnsi="宋体" w:cs="宋体"/>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9" w:type="dxa"/>
                  <w:vMerge w:val="restart"/>
                  <w:vAlign w:val="center"/>
                </w:tcPr>
                <w:p>
                  <w:pPr>
                    <w:jc w:val="center"/>
                    <w:rPr>
                      <w:rFonts w:ascii="宋体" w:hAnsi="宋体" w:cs="宋体"/>
                      <w:szCs w:val="21"/>
                    </w:rPr>
                  </w:pPr>
                  <w:r>
                    <w:rPr>
                      <w:rFonts w:hint="eastAsia" w:ascii="宋体" w:hAnsi="宋体" w:cs="宋体"/>
                      <w:szCs w:val="21"/>
                    </w:rPr>
                    <w:t>固废</w:t>
                  </w:r>
                </w:p>
              </w:tc>
              <w:tc>
                <w:tcPr>
                  <w:tcW w:w="3166" w:type="dxa"/>
                  <w:vAlign w:val="center"/>
                </w:tcPr>
                <w:p>
                  <w:pPr>
                    <w:jc w:val="center"/>
                    <w:rPr>
                      <w:rFonts w:ascii="宋体" w:hAnsi="宋体" w:cs="宋体"/>
                      <w:szCs w:val="21"/>
                    </w:rPr>
                  </w:pPr>
                  <w:r>
                    <w:rPr>
                      <w:rFonts w:hint="eastAsia" w:ascii="宋体" w:hAnsi="宋体" w:cs="宋体"/>
                      <w:szCs w:val="21"/>
                    </w:rPr>
                    <w:t>职工生活</w:t>
                  </w:r>
                </w:p>
              </w:tc>
              <w:tc>
                <w:tcPr>
                  <w:tcW w:w="2850" w:type="dxa"/>
                  <w:vAlign w:val="center"/>
                </w:tcPr>
                <w:p>
                  <w:pPr>
                    <w:jc w:val="center"/>
                    <w:rPr>
                      <w:rFonts w:ascii="宋体" w:hAnsi="宋体" w:cs="宋体"/>
                      <w:szCs w:val="21"/>
                    </w:rPr>
                  </w:pPr>
                  <w:r>
                    <w:rPr>
                      <w:rFonts w:hint="eastAsia" w:ascii="宋体" w:hAnsi="宋体" w:cs="宋体"/>
                      <w:szCs w:val="21"/>
                    </w:rPr>
                    <w:t>生活垃圾、化粪池污泥</w:t>
                  </w:r>
                </w:p>
              </w:tc>
              <w:tc>
                <w:tcPr>
                  <w:tcW w:w="1427" w:type="dxa"/>
                  <w:vAlign w:val="center"/>
                </w:tcPr>
                <w:p>
                  <w:pPr>
                    <w:jc w:val="center"/>
                    <w:rPr>
                      <w:rFonts w:ascii="宋体" w:hAnsi="宋体" w:cs="宋体"/>
                      <w:szCs w:val="21"/>
                    </w:rPr>
                  </w:pPr>
                  <w:r>
                    <w:rPr>
                      <w:rFonts w:hint="eastAsia" w:ascii="宋体" w:hAnsi="宋体" w:cs="宋体"/>
                      <w:szCs w:val="21"/>
                    </w:rPr>
                    <w:t>间断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9" w:type="dxa"/>
                  <w:vMerge w:val="continue"/>
                  <w:vAlign w:val="center"/>
                </w:tcPr>
                <w:p>
                  <w:pPr>
                    <w:jc w:val="center"/>
                    <w:rPr>
                      <w:rFonts w:ascii="宋体" w:hAnsi="宋体" w:cs="宋体"/>
                      <w:szCs w:val="21"/>
                    </w:rPr>
                  </w:pPr>
                </w:p>
              </w:tc>
              <w:tc>
                <w:tcPr>
                  <w:tcW w:w="3166" w:type="dxa"/>
                  <w:vAlign w:val="center"/>
                </w:tcPr>
                <w:p>
                  <w:pPr>
                    <w:jc w:val="center"/>
                    <w:rPr>
                      <w:rFonts w:ascii="宋体" w:hAnsi="宋体" w:cs="宋体"/>
                      <w:color w:val="FF0000"/>
                      <w:szCs w:val="21"/>
                      <w:u w:val="single"/>
                    </w:rPr>
                  </w:pPr>
                  <w:r>
                    <w:rPr>
                      <w:rFonts w:hint="eastAsia" w:ascii="宋体" w:hAnsi="宋体" w:cs="宋体"/>
                      <w:color w:val="FF0000"/>
                      <w:szCs w:val="21"/>
                      <w:u w:val="single"/>
                    </w:rPr>
                    <w:t>粉碎、打绒</w:t>
                  </w:r>
                </w:p>
              </w:tc>
              <w:tc>
                <w:tcPr>
                  <w:tcW w:w="2850" w:type="dxa"/>
                  <w:vAlign w:val="center"/>
                </w:tcPr>
                <w:p>
                  <w:pPr>
                    <w:jc w:val="center"/>
                    <w:rPr>
                      <w:rFonts w:ascii="宋体" w:hAnsi="宋体" w:cs="宋体"/>
                      <w:color w:val="FF0000"/>
                      <w:szCs w:val="21"/>
                      <w:u w:val="single"/>
                    </w:rPr>
                  </w:pPr>
                  <w:r>
                    <w:rPr>
                      <w:rFonts w:hint="eastAsia" w:ascii="宋体" w:hAnsi="宋体" w:cs="宋体"/>
                      <w:color w:val="FF0000"/>
                      <w:szCs w:val="21"/>
                      <w:u w:val="single"/>
                    </w:rPr>
                    <w:t>艾粉</w:t>
                  </w:r>
                </w:p>
              </w:tc>
              <w:tc>
                <w:tcPr>
                  <w:tcW w:w="1427" w:type="dxa"/>
                  <w:vAlign w:val="center"/>
                </w:tcPr>
                <w:p>
                  <w:pPr>
                    <w:jc w:val="center"/>
                    <w:rPr>
                      <w:rFonts w:ascii="宋体" w:hAnsi="宋体" w:cs="宋体"/>
                      <w:color w:val="FF0000"/>
                      <w:szCs w:val="21"/>
                      <w:u w:val="single"/>
                    </w:rPr>
                  </w:pPr>
                  <w:r>
                    <w:rPr>
                      <w:rFonts w:hint="eastAsia" w:ascii="宋体" w:hAnsi="宋体" w:cs="宋体"/>
                      <w:color w:val="FF0000"/>
                      <w:szCs w:val="21"/>
                      <w:u w:val="single"/>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9" w:type="dxa"/>
                  <w:vMerge w:val="continue"/>
                  <w:vAlign w:val="center"/>
                </w:tcPr>
                <w:p>
                  <w:pPr>
                    <w:jc w:val="center"/>
                    <w:rPr>
                      <w:rFonts w:ascii="宋体" w:hAnsi="宋体" w:cs="宋体"/>
                      <w:szCs w:val="21"/>
                    </w:rPr>
                  </w:pPr>
                </w:p>
              </w:tc>
              <w:tc>
                <w:tcPr>
                  <w:tcW w:w="3166" w:type="dxa"/>
                  <w:vAlign w:val="center"/>
                </w:tcPr>
                <w:p>
                  <w:pPr>
                    <w:jc w:val="center"/>
                    <w:rPr>
                      <w:rFonts w:ascii="宋体" w:hAnsi="宋体" w:cs="宋体"/>
                      <w:color w:val="FF0000"/>
                      <w:szCs w:val="21"/>
                      <w:u w:val="single"/>
                    </w:rPr>
                  </w:pPr>
                  <w:r>
                    <w:rPr>
                      <w:rFonts w:hint="eastAsia" w:ascii="宋体" w:hAnsi="宋体" w:cs="宋体"/>
                      <w:color w:val="FF0000"/>
                      <w:szCs w:val="21"/>
                      <w:u w:val="single"/>
                    </w:rPr>
                    <w:t>除尘器运行</w:t>
                  </w:r>
                </w:p>
              </w:tc>
              <w:tc>
                <w:tcPr>
                  <w:tcW w:w="2850" w:type="dxa"/>
                  <w:vAlign w:val="center"/>
                </w:tcPr>
                <w:p>
                  <w:pPr>
                    <w:jc w:val="center"/>
                    <w:rPr>
                      <w:rFonts w:ascii="宋体" w:hAnsi="宋体" w:cs="宋体"/>
                      <w:color w:val="FF0000"/>
                      <w:szCs w:val="21"/>
                      <w:u w:val="single"/>
                    </w:rPr>
                  </w:pPr>
                  <w:r>
                    <w:rPr>
                      <w:rFonts w:hint="eastAsia" w:ascii="宋体" w:hAnsi="宋体" w:cs="宋体"/>
                      <w:color w:val="FF0000"/>
                      <w:szCs w:val="21"/>
                      <w:u w:val="single"/>
                    </w:rPr>
                    <w:t>艾粉</w:t>
                  </w:r>
                </w:p>
              </w:tc>
              <w:tc>
                <w:tcPr>
                  <w:tcW w:w="1427" w:type="dxa"/>
                  <w:vAlign w:val="center"/>
                </w:tcPr>
                <w:p>
                  <w:pPr>
                    <w:jc w:val="center"/>
                    <w:rPr>
                      <w:rFonts w:ascii="宋体" w:hAnsi="宋体" w:cs="宋体"/>
                      <w:color w:val="FF0000"/>
                      <w:szCs w:val="21"/>
                      <w:u w:val="single"/>
                    </w:rPr>
                  </w:pPr>
                  <w:r>
                    <w:rPr>
                      <w:rFonts w:hint="eastAsia" w:ascii="宋体" w:hAnsi="宋体" w:cs="宋体"/>
                      <w:color w:val="FF0000"/>
                      <w:szCs w:val="21"/>
                      <w:u w:val="single"/>
                    </w:rPr>
                    <w:t>间断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9" w:type="dxa"/>
                  <w:vMerge w:val="continue"/>
                  <w:vAlign w:val="center"/>
                </w:tcPr>
                <w:p>
                  <w:pPr>
                    <w:jc w:val="center"/>
                    <w:rPr>
                      <w:rFonts w:ascii="宋体" w:hAnsi="宋体" w:cs="宋体"/>
                      <w:szCs w:val="21"/>
                    </w:rPr>
                  </w:pPr>
                </w:p>
              </w:tc>
              <w:tc>
                <w:tcPr>
                  <w:tcW w:w="3166" w:type="dxa"/>
                  <w:vAlign w:val="center"/>
                </w:tcPr>
                <w:p>
                  <w:pPr>
                    <w:jc w:val="center"/>
                    <w:rPr>
                      <w:rFonts w:ascii="宋体" w:hAnsi="宋体" w:cs="宋体"/>
                      <w:szCs w:val="21"/>
                    </w:rPr>
                  </w:pPr>
                  <w:r>
                    <w:rPr>
                      <w:rFonts w:hint="eastAsia" w:ascii="宋体" w:hAnsi="宋体" w:cs="宋体"/>
                      <w:szCs w:val="21"/>
                    </w:rPr>
                    <w:t>原料包装</w:t>
                  </w:r>
                </w:p>
              </w:tc>
              <w:tc>
                <w:tcPr>
                  <w:tcW w:w="2850" w:type="dxa"/>
                  <w:vAlign w:val="center"/>
                </w:tcPr>
                <w:p>
                  <w:pPr>
                    <w:jc w:val="center"/>
                    <w:rPr>
                      <w:rFonts w:ascii="宋体" w:hAnsi="宋体" w:cs="宋体"/>
                      <w:szCs w:val="21"/>
                    </w:rPr>
                  </w:pPr>
                  <w:r>
                    <w:rPr>
                      <w:rFonts w:hint="eastAsia" w:ascii="宋体" w:hAnsi="宋体" w:cs="宋体"/>
                      <w:szCs w:val="21"/>
                    </w:rPr>
                    <w:t>废包装材料</w:t>
                  </w:r>
                </w:p>
              </w:tc>
              <w:tc>
                <w:tcPr>
                  <w:tcW w:w="1427" w:type="dxa"/>
                  <w:vAlign w:val="center"/>
                </w:tcPr>
                <w:p>
                  <w:pPr>
                    <w:jc w:val="center"/>
                    <w:rPr>
                      <w:rFonts w:ascii="宋体" w:hAnsi="宋体" w:cs="宋体"/>
                      <w:szCs w:val="21"/>
                    </w:rPr>
                  </w:pPr>
                  <w:r>
                    <w:rPr>
                      <w:rFonts w:hint="eastAsia" w:ascii="宋体" w:hAnsi="宋体" w:cs="宋体"/>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9" w:type="dxa"/>
                  <w:vAlign w:val="center"/>
                </w:tcPr>
                <w:p>
                  <w:pPr>
                    <w:jc w:val="center"/>
                    <w:rPr>
                      <w:rFonts w:ascii="宋体" w:hAnsi="宋体" w:cs="宋体"/>
                      <w:szCs w:val="21"/>
                    </w:rPr>
                  </w:pPr>
                  <w:r>
                    <w:rPr>
                      <w:rFonts w:hint="eastAsia" w:ascii="宋体" w:hAnsi="宋体" w:cs="宋体"/>
                      <w:szCs w:val="21"/>
                    </w:rPr>
                    <w:t>噪声</w:t>
                  </w:r>
                </w:p>
              </w:tc>
              <w:tc>
                <w:tcPr>
                  <w:tcW w:w="3166" w:type="dxa"/>
                  <w:vAlign w:val="center"/>
                </w:tcPr>
                <w:p>
                  <w:pPr>
                    <w:jc w:val="center"/>
                    <w:rPr>
                      <w:rFonts w:ascii="宋体" w:hAnsi="宋体" w:cs="宋体"/>
                      <w:szCs w:val="21"/>
                    </w:rPr>
                  </w:pPr>
                  <w:r>
                    <w:rPr>
                      <w:rFonts w:hint="eastAsia" w:ascii="宋体" w:hAnsi="宋体" w:cs="宋体"/>
                      <w:szCs w:val="21"/>
                    </w:rPr>
                    <w:t>破捆机、粉碎打绒一体机、卷条机、切柱机等运行过程</w:t>
                  </w:r>
                </w:p>
              </w:tc>
              <w:tc>
                <w:tcPr>
                  <w:tcW w:w="2850" w:type="dxa"/>
                  <w:vAlign w:val="center"/>
                </w:tcPr>
                <w:p>
                  <w:pPr>
                    <w:jc w:val="center"/>
                    <w:rPr>
                      <w:rFonts w:ascii="宋体" w:hAnsi="宋体" w:cs="宋体"/>
                      <w:szCs w:val="21"/>
                    </w:rPr>
                  </w:pPr>
                  <w:r>
                    <w:rPr>
                      <w:rFonts w:hint="eastAsia" w:ascii="宋体" w:hAnsi="宋体" w:cs="宋体"/>
                      <w:szCs w:val="21"/>
                    </w:rPr>
                    <w:t>噪声</w:t>
                  </w:r>
                </w:p>
              </w:tc>
              <w:tc>
                <w:tcPr>
                  <w:tcW w:w="1427" w:type="dxa"/>
                  <w:vAlign w:val="center"/>
                </w:tcPr>
                <w:p>
                  <w:pPr>
                    <w:jc w:val="center"/>
                    <w:rPr>
                      <w:rFonts w:ascii="宋体" w:hAnsi="宋体" w:cs="宋体"/>
                      <w:szCs w:val="21"/>
                    </w:rPr>
                  </w:pPr>
                  <w:r>
                    <w:rPr>
                      <w:rFonts w:hint="eastAsia" w:ascii="宋体" w:hAnsi="宋体" w:cs="宋体"/>
                      <w:szCs w:val="21"/>
                    </w:rPr>
                    <w:t>连续</w:t>
                  </w:r>
                </w:p>
              </w:tc>
            </w:tr>
          </w:tbl>
          <w:p>
            <w:pPr>
              <w:pStyle w:val="2"/>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456" w:type="dxa"/>
            <w:tcBorders>
              <w:tl2br w:val="nil"/>
              <w:tr2bl w:val="nil"/>
            </w:tcBorders>
            <w:vAlign w:val="center"/>
          </w:tcPr>
          <w:p>
            <w:pPr>
              <w:pStyle w:val="24"/>
              <w:adjustRightInd w:val="0"/>
              <w:snapToGrid w:val="0"/>
              <w:spacing w:before="0" w:beforeAutospacing="0" w:after="0" w:afterAutospacing="0" w:line="360" w:lineRule="auto"/>
              <w:jc w:val="center"/>
              <w:rPr>
                <w:rFonts w:ascii="Times New Roman" w:hAnsi="Times New Roman"/>
                <w:kern w:val="21"/>
                <w:szCs w:val="24"/>
              </w:rPr>
            </w:pPr>
            <w:r>
              <w:rPr>
                <w:rFonts w:ascii="Times New Roman" w:hAnsi="Times New Roman"/>
                <w:bCs/>
                <w:kern w:val="21"/>
                <w:szCs w:val="24"/>
              </w:rPr>
              <w:t>与项目有关的原有环境污染问题</w:t>
            </w:r>
          </w:p>
        </w:tc>
        <w:tc>
          <w:tcPr>
            <w:tcW w:w="9230" w:type="dxa"/>
            <w:tcBorders>
              <w:tl2br w:val="nil"/>
              <w:tr2bl w:val="nil"/>
            </w:tcBorders>
            <w:vAlign w:val="center"/>
          </w:tcPr>
          <w:p>
            <w:pPr>
              <w:tabs>
                <w:tab w:val="left" w:pos="1081"/>
              </w:tabs>
              <w:adjustRightInd w:val="0"/>
              <w:snapToGrid w:val="0"/>
              <w:spacing w:line="360" w:lineRule="auto"/>
              <w:ind w:firstLine="480" w:firstLineChars="200"/>
              <w:rPr>
                <w:color w:val="000000"/>
                <w:sz w:val="24"/>
              </w:rPr>
            </w:pPr>
            <w:r>
              <w:rPr>
                <w:color w:val="000000"/>
                <w:sz w:val="24"/>
              </w:rPr>
              <w:t>本项目位于</w:t>
            </w:r>
            <w:r>
              <w:rPr>
                <w:sz w:val="24"/>
                <w:szCs w:val="24"/>
              </w:rPr>
              <w:t>南阳市卧龙区蒲山镇棉花库路口向西20米路北</w:t>
            </w:r>
            <w:r>
              <w:rPr>
                <w:rFonts w:hint="eastAsia"/>
                <w:color w:val="000000"/>
                <w:sz w:val="24"/>
              </w:rPr>
              <w:t>，租赁车间和场地进行建设，经现场调查，项目租赁生产车间目前为空置状态</w:t>
            </w:r>
            <w:r>
              <w:rPr>
                <w:color w:val="000000"/>
                <w:sz w:val="24"/>
              </w:rPr>
              <w:t>，因此不存在与本项目有关的原有污染环境问题。</w:t>
            </w:r>
          </w:p>
          <w:p>
            <w:pPr>
              <w:pStyle w:val="40"/>
              <w:adjustRightInd/>
              <w:snapToGrid/>
              <w:spacing w:line="520" w:lineRule="exact"/>
              <w:ind w:firstLine="0" w:firstLineChars="0"/>
              <w:jc w:val="left"/>
              <w:rPr>
                <w:color w:val="auto"/>
                <w:szCs w:val="24"/>
              </w:rPr>
            </w:pPr>
          </w:p>
        </w:tc>
      </w:tr>
    </w:tbl>
    <w:p>
      <w:pPr>
        <w:pStyle w:val="2"/>
        <w:ind w:firstLine="0"/>
        <w:sectPr>
          <w:pgSz w:w="11906" w:h="16838"/>
          <w:pgMar w:top="1440" w:right="1531" w:bottom="1440" w:left="1531" w:header="851" w:footer="992" w:gutter="0"/>
          <w:cols w:space="425" w:num="1"/>
          <w:docGrid w:type="lines" w:linePitch="312" w:charSpace="0"/>
        </w:sectPr>
      </w:pPr>
    </w:p>
    <w:p>
      <w:pPr>
        <w:numPr>
          <w:ilvl w:val="0"/>
          <w:numId w:val="1"/>
        </w:numPr>
        <w:jc w:val="center"/>
        <w:outlineLvl w:val="0"/>
        <w:rPr>
          <w:rFonts w:eastAsia="黑体"/>
          <w:snapToGrid w:val="0"/>
          <w:kern w:val="21"/>
          <w:sz w:val="30"/>
          <w:szCs w:val="30"/>
        </w:rPr>
      </w:pPr>
      <w:bookmarkStart w:id="3" w:name="_Toc172623723"/>
      <w:r>
        <w:rPr>
          <w:rFonts w:eastAsia="黑体"/>
          <w:snapToGrid w:val="0"/>
          <w:kern w:val="21"/>
          <w:sz w:val="30"/>
          <w:szCs w:val="30"/>
        </w:rPr>
        <w:t>区域环境质量现状、环境保护目标及评价标准</w:t>
      </w:r>
      <w:bookmarkEnd w:id="3"/>
    </w:p>
    <w:tbl>
      <w:tblPr>
        <w:tblStyle w:val="26"/>
        <w:tblW w:w="9083"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2"/>
        <w:gridCol w:w="83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732" w:type="dxa"/>
            <w:tcBorders>
              <w:tl2br w:val="nil"/>
              <w:tr2bl w:val="nil"/>
            </w:tcBorders>
            <w:vAlign w:val="center"/>
          </w:tcPr>
          <w:p>
            <w:pPr>
              <w:adjustRightInd w:val="0"/>
              <w:snapToGrid w:val="0"/>
              <w:spacing w:line="520" w:lineRule="exact"/>
              <w:jc w:val="center"/>
              <w:rPr>
                <w:kern w:val="21"/>
                <w:sz w:val="24"/>
                <w:szCs w:val="24"/>
              </w:rPr>
            </w:pPr>
            <w:r>
              <w:rPr>
                <w:kern w:val="21"/>
                <w:sz w:val="24"/>
                <w:szCs w:val="24"/>
              </w:rPr>
              <w:t>区域</w:t>
            </w:r>
          </w:p>
          <w:p>
            <w:pPr>
              <w:adjustRightInd w:val="0"/>
              <w:snapToGrid w:val="0"/>
              <w:spacing w:line="520" w:lineRule="exact"/>
              <w:jc w:val="center"/>
              <w:rPr>
                <w:kern w:val="21"/>
                <w:sz w:val="24"/>
                <w:szCs w:val="24"/>
              </w:rPr>
            </w:pPr>
            <w:r>
              <w:rPr>
                <w:kern w:val="21"/>
                <w:sz w:val="24"/>
                <w:szCs w:val="24"/>
              </w:rPr>
              <w:t>环境</w:t>
            </w:r>
          </w:p>
          <w:p>
            <w:pPr>
              <w:adjustRightInd w:val="0"/>
              <w:snapToGrid w:val="0"/>
              <w:spacing w:line="520" w:lineRule="exact"/>
              <w:jc w:val="center"/>
              <w:rPr>
                <w:kern w:val="21"/>
                <w:sz w:val="24"/>
                <w:szCs w:val="24"/>
              </w:rPr>
            </w:pPr>
            <w:r>
              <w:rPr>
                <w:kern w:val="21"/>
                <w:sz w:val="24"/>
                <w:szCs w:val="24"/>
              </w:rPr>
              <w:t>质量</w:t>
            </w:r>
          </w:p>
          <w:p>
            <w:pPr>
              <w:adjustRightInd w:val="0"/>
              <w:snapToGrid w:val="0"/>
              <w:spacing w:line="520" w:lineRule="exact"/>
              <w:jc w:val="center"/>
              <w:rPr>
                <w:kern w:val="21"/>
                <w:sz w:val="24"/>
                <w:szCs w:val="24"/>
              </w:rPr>
            </w:pPr>
            <w:r>
              <w:rPr>
                <w:kern w:val="21"/>
                <w:sz w:val="24"/>
                <w:szCs w:val="24"/>
              </w:rPr>
              <w:t>现状</w:t>
            </w:r>
          </w:p>
        </w:tc>
        <w:tc>
          <w:tcPr>
            <w:tcW w:w="8351" w:type="dxa"/>
            <w:tcBorders>
              <w:tl2br w:val="nil"/>
              <w:tr2bl w:val="nil"/>
            </w:tcBorders>
            <w:vAlign w:val="center"/>
          </w:tcPr>
          <w:p>
            <w:pPr>
              <w:tabs>
                <w:tab w:val="left" w:pos="1081"/>
              </w:tabs>
              <w:adjustRightInd w:val="0"/>
              <w:snapToGrid w:val="0"/>
              <w:spacing w:line="360" w:lineRule="auto"/>
              <w:ind w:firstLine="482" w:firstLineChars="200"/>
              <w:jc w:val="left"/>
              <w:rPr>
                <w:rFonts w:eastAsiaTheme="minorEastAsia"/>
                <w:b/>
                <w:sz w:val="24"/>
                <w:szCs w:val="24"/>
              </w:rPr>
            </w:pPr>
            <w:r>
              <w:rPr>
                <w:rFonts w:eastAsiaTheme="minorEastAsia"/>
                <w:b/>
                <w:sz w:val="24"/>
                <w:szCs w:val="24"/>
              </w:rPr>
              <w:t>1、环境空气质量现状</w:t>
            </w:r>
          </w:p>
          <w:p>
            <w:pPr>
              <w:tabs>
                <w:tab w:val="left" w:pos="1081"/>
              </w:tabs>
              <w:adjustRightInd w:val="0"/>
              <w:snapToGrid w:val="0"/>
              <w:spacing w:line="360" w:lineRule="auto"/>
              <w:ind w:firstLine="480" w:firstLineChars="200"/>
              <w:jc w:val="left"/>
              <w:rPr>
                <w:sz w:val="24"/>
                <w:szCs w:val="24"/>
              </w:rPr>
            </w:pPr>
            <w:r>
              <w:rPr>
                <w:rFonts w:hint="eastAsia"/>
                <w:sz w:val="24"/>
                <w:szCs w:val="24"/>
              </w:rPr>
              <w:t>本项目位于</w:t>
            </w:r>
            <w:r>
              <w:rPr>
                <w:sz w:val="24"/>
                <w:szCs w:val="24"/>
              </w:rPr>
              <w:t>南阳市卧龙区蒲山镇棉花库路口向西20米路北</w:t>
            </w:r>
            <w:r>
              <w:rPr>
                <w:rFonts w:hint="eastAsia"/>
                <w:sz w:val="24"/>
                <w:szCs w:val="24"/>
              </w:rPr>
              <w:t>，根据环境空气质量功能区划分，项目所在地区域划分为二类功能区，根据《2023年河南省南阳市生态环境质量报告书》（南阳市生态环境局），卧龙区环境空气六项主要污染物中，主要超标污染物为细颗粒物和可吸入颗粒物。区域环境空气质量现状评价见下表</w:t>
            </w:r>
            <w:r>
              <w:rPr>
                <w:sz w:val="24"/>
                <w:szCs w:val="24"/>
              </w:rPr>
              <w:t>。</w:t>
            </w:r>
          </w:p>
          <w:p>
            <w:pPr>
              <w:tabs>
                <w:tab w:val="left" w:pos="1081"/>
              </w:tabs>
              <w:adjustRightInd w:val="0"/>
              <w:snapToGrid w:val="0"/>
              <w:spacing w:line="360" w:lineRule="auto"/>
              <w:jc w:val="center"/>
              <w:rPr>
                <w:b/>
                <w:sz w:val="24"/>
                <w:szCs w:val="24"/>
              </w:rPr>
            </w:pPr>
            <w:r>
              <w:rPr>
                <w:b/>
                <w:sz w:val="24"/>
                <w:szCs w:val="24"/>
              </w:rPr>
              <w:t xml:space="preserve">表3-1       </w:t>
            </w:r>
            <w:r>
              <w:rPr>
                <w:rFonts w:hint="eastAsia"/>
                <w:b/>
                <w:sz w:val="24"/>
                <w:szCs w:val="24"/>
              </w:rPr>
              <w:t>卧龙区2023</w:t>
            </w:r>
            <w:r>
              <w:rPr>
                <w:b/>
                <w:sz w:val="24"/>
                <w:szCs w:val="24"/>
              </w:rPr>
              <w:t>环境空气质量统计数据一览表</w:t>
            </w:r>
          </w:p>
          <w:tbl>
            <w:tblPr>
              <w:tblStyle w:val="26"/>
              <w:tblW w:w="812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4"/>
              <w:gridCol w:w="948"/>
              <w:gridCol w:w="1663"/>
              <w:gridCol w:w="1276"/>
              <w:gridCol w:w="1276"/>
              <w:gridCol w:w="969"/>
              <w:gridCol w:w="8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2" w:hRule="atLeast"/>
                <w:jc w:val="center"/>
              </w:trPr>
              <w:tc>
                <w:tcPr>
                  <w:tcW w:w="1184" w:type="dxa"/>
                  <w:vMerge w:val="restart"/>
                  <w:tcBorders>
                    <w:top w:val="single" w:color="auto" w:sz="4" w:space="0"/>
                    <w:left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hint="eastAsia" w:ascii="Times New Roman"/>
                      <w:color w:val="000000"/>
                      <w:lang w:val="en-GB"/>
                    </w:rPr>
                    <w:t>区域</w:t>
                  </w:r>
                  <w:r>
                    <w:rPr>
                      <w:rFonts w:ascii="Times New Roman"/>
                      <w:color w:val="000000"/>
                      <w:lang w:val="en-GB"/>
                    </w:rPr>
                    <w:t>名称</w:t>
                  </w:r>
                </w:p>
              </w:tc>
              <w:tc>
                <w:tcPr>
                  <w:tcW w:w="948" w:type="dxa"/>
                  <w:vMerge w:val="restart"/>
                  <w:tcBorders>
                    <w:top w:val="single" w:color="auto" w:sz="4" w:space="0"/>
                    <w:left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污染物</w:t>
                  </w:r>
                </w:p>
              </w:tc>
              <w:tc>
                <w:tcPr>
                  <w:tcW w:w="1663" w:type="dxa"/>
                  <w:vMerge w:val="restart"/>
                  <w:tcBorders>
                    <w:top w:val="single" w:color="auto" w:sz="4" w:space="0"/>
                    <w:left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评价指标</w:t>
                  </w:r>
                </w:p>
              </w:tc>
              <w:tc>
                <w:tcPr>
                  <w:tcW w:w="1276" w:type="dxa"/>
                  <w:vMerge w:val="restart"/>
                  <w:tcBorders>
                    <w:top w:val="single" w:color="auto" w:sz="4" w:space="0"/>
                    <w:left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现状浓度</w:t>
                  </w:r>
                </w:p>
                <w:p>
                  <w:pPr>
                    <w:pStyle w:val="37"/>
                    <w:spacing w:beforeLines="0" w:afterLines="0" w:line="240" w:lineRule="auto"/>
                    <w:rPr>
                      <w:rFonts w:ascii="Times New Roman"/>
                      <w:color w:val="000000"/>
                      <w:lang w:val="en-GB"/>
                    </w:rPr>
                  </w:pPr>
                  <w:r>
                    <w:rPr>
                      <w:rFonts w:ascii="Times New Roman"/>
                      <w:color w:val="000000"/>
                      <w:lang w:val="en-GB"/>
                    </w:rPr>
                    <w:t>（ug/m</w:t>
                  </w:r>
                  <w:r>
                    <w:rPr>
                      <w:rFonts w:ascii="Times New Roman"/>
                      <w:color w:val="000000"/>
                      <w:vertAlign w:val="superscript"/>
                      <w:lang w:val="en-GB"/>
                    </w:rPr>
                    <w:t>3</w:t>
                  </w:r>
                  <w:r>
                    <w:rPr>
                      <w:rFonts w:ascii="Times New Roman"/>
                      <w:color w:val="000000"/>
                      <w:lang w:val="en-GB"/>
                    </w:rPr>
                    <w:t>）</w:t>
                  </w:r>
                </w:p>
              </w:tc>
              <w:tc>
                <w:tcPr>
                  <w:tcW w:w="1276" w:type="dxa"/>
                  <w:vMerge w:val="restart"/>
                  <w:tcBorders>
                    <w:top w:val="single" w:color="auto" w:sz="4" w:space="0"/>
                    <w:left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标准值</w:t>
                  </w:r>
                </w:p>
                <w:p>
                  <w:pPr>
                    <w:pStyle w:val="37"/>
                    <w:spacing w:beforeLines="0" w:afterLines="0" w:line="240" w:lineRule="auto"/>
                    <w:rPr>
                      <w:rFonts w:ascii="Times New Roman"/>
                      <w:color w:val="000000"/>
                      <w:lang w:val="en-GB"/>
                    </w:rPr>
                  </w:pPr>
                  <w:r>
                    <w:rPr>
                      <w:rFonts w:ascii="Times New Roman"/>
                      <w:color w:val="000000"/>
                      <w:lang w:val="en-GB"/>
                    </w:rPr>
                    <w:t>（ug/m</w:t>
                  </w:r>
                  <w:r>
                    <w:rPr>
                      <w:rFonts w:ascii="Times New Roman"/>
                      <w:color w:val="000000"/>
                      <w:vertAlign w:val="superscript"/>
                      <w:lang w:val="en-GB"/>
                    </w:rPr>
                    <w:t>3</w:t>
                  </w:r>
                  <w:r>
                    <w:rPr>
                      <w:rFonts w:ascii="Times New Roman"/>
                      <w:color w:val="000000"/>
                      <w:lang w:val="en-GB"/>
                    </w:rPr>
                    <w:t>）</w:t>
                  </w:r>
                </w:p>
              </w:tc>
              <w:tc>
                <w:tcPr>
                  <w:tcW w:w="969" w:type="dxa"/>
                  <w:vMerge w:val="restart"/>
                  <w:tcBorders>
                    <w:top w:val="single" w:color="auto" w:sz="4" w:space="0"/>
                    <w:left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占标率</w:t>
                  </w:r>
                </w:p>
              </w:tc>
              <w:tc>
                <w:tcPr>
                  <w:tcW w:w="809" w:type="dxa"/>
                  <w:vMerge w:val="restart"/>
                  <w:tcBorders>
                    <w:top w:val="single" w:color="auto" w:sz="4" w:space="0"/>
                    <w:left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3" w:hRule="atLeast"/>
                <w:jc w:val="center"/>
              </w:trPr>
              <w:tc>
                <w:tcPr>
                  <w:tcW w:w="1184" w:type="dxa"/>
                  <w:vMerge w:val="continue"/>
                  <w:tcBorders>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p>
              </w:tc>
              <w:tc>
                <w:tcPr>
                  <w:tcW w:w="948" w:type="dxa"/>
                  <w:vMerge w:val="continue"/>
                  <w:tcBorders>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p>
              </w:tc>
              <w:tc>
                <w:tcPr>
                  <w:tcW w:w="1663" w:type="dxa"/>
                  <w:vMerge w:val="continue"/>
                  <w:tcBorders>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p>
              </w:tc>
              <w:tc>
                <w:tcPr>
                  <w:tcW w:w="1276" w:type="dxa"/>
                  <w:vMerge w:val="continue"/>
                  <w:tcBorders>
                    <w:left w:val="single" w:color="auto" w:sz="4" w:space="0"/>
                    <w:right w:val="single" w:color="auto" w:sz="4" w:space="0"/>
                  </w:tcBorders>
                  <w:vAlign w:val="center"/>
                </w:tcPr>
                <w:p>
                  <w:pPr>
                    <w:pStyle w:val="37"/>
                    <w:spacing w:beforeLines="0" w:afterLines="0" w:line="240" w:lineRule="auto"/>
                    <w:rPr>
                      <w:rFonts w:ascii="Times New Roman"/>
                      <w:color w:val="000000"/>
                      <w:lang w:val="en-GB"/>
                    </w:rPr>
                  </w:pPr>
                </w:p>
              </w:tc>
              <w:tc>
                <w:tcPr>
                  <w:tcW w:w="1276" w:type="dxa"/>
                  <w:vMerge w:val="continue"/>
                  <w:tcBorders>
                    <w:left w:val="single" w:color="auto" w:sz="4" w:space="0"/>
                    <w:right w:val="single" w:color="auto" w:sz="4" w:space="0"/>
                  </w:tcBorders>
                  <w:vAlign w:val="center"/>
                </w:tcPr>
                <w:p>
                  <w:pPr>
                    <w:pStyle w:val="37"/>
                    <w:spacing w:beforeLines="0" w:afterLines="0" w:line="240" w:lineRule="auto"/>
                    <w:rPr>
                      <w:rFonts w:ascii="Times New Roman"/>
                      <w:color w:val="000000"/>
                      <w:lang w:val="en-GB"/>
                    </w:rPr>
                  </w:pPr>
                </w:p>
              </w:tc>
              <w:tc>
                <w:tcPr>
                  <w:tcW w:w="969" w:type="dxa"/>
                  <w:vMerge w:val="continue"/>
                  <w:tcBorders>
                    <w:left w:val="single" w:color="auto" w:sz="4" w:space="0"/>
                    <w:right w:val="single" w:color="auto" w:sz="4" w:space="0"/>
                  </w:tcBorders>
                  <w:vAlign w:val="center"/>
                </w:tcPr>
                <w:p>
                  <w:pPr>
                    <w:pStyle w:val="37"/>
                    <w:spacing w:beforeLines="0" w:afterLines="0" w:line="240" w:lineRule="auto"/>
                    <w:rPr>
                      <w:rFonts w:ascii="Times New Roman"/>
                      <w:color w:val="000000"/>
                      <w:lang w:val="en-GB"/>
                    </w:rPr>
                  </w:pPr>
                </w:p>
              </w:tc>
              <w:tc>
                <w:tcPr>
                  <w:tcW w:w="809" w:type="dxa"/>
                  <w:vMerge w:val="continue"/>
                  <w:tcBorders>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1184" w:type="dxa"/>
                  <w:vMerge w:val="restart"/>
                  <w:tcBorders>
                    <w:top w:val="single" w:color="auto" w:sz="4" w:space="0"/>
                    <w:left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hint="eastAsia" w:ascii="Times New Roman"/>
                      <w:color w:val="000000"/>
                      <w:lang w:val="en-GB"/>
                    </w:rPr>
                    <w:t>卧龙区</w:t>
                  </w:r>
                </w:p>
              </w:tc>
              <w:tc>
                <w:tcPr>
                  <w:tcW w:w="948" w:type="dxa"/>
                  <w:tcBorders>
                    <w:top w:val="single" w:color="auto" w:sz="4" w:space="0"/>
                    <w:left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SO</w:t>
                  </w:r>
                  <w:r>
                    <w:rPr>
                      <w:rFonts w:ascii="Times New Roman"/>
                      <w:color w:val="000000"/>
                      <w:vertAlign w:val="subscript"/>
                      <w:lang w:val="en-GB"/>
                    </w:rPr>
                    <w:t>2</w:t>
                  </w:r>
                </w:p>
              </w:tc>
              <w:tc>
                <w:tcPr>
                  <w:tcW w:w="1663"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年平均浓度</w:t>
                  </w:r>
                </w:p>
              </w:tc>
              <w:tc>
                <w:tcPr>
                  <w:tcW w:w="1276"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hint="eastAsia" w:ascii="Times New Roman"/>
                      <w:color w:val="000000"/>
                    </w:rPr>
                    <w:t>6</w:t>
                  </w:r>
                </w:p>
              </w:tc>
              <w:tc>
                <w:tcPr>
                  <w:tcW w:w="1276"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60</w:t>
                  </w:r>
                </w:p>
              </w:tc>
              <w:tc>
                <w:tcPr>
                  <w:tcW w:w="969"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rPr>
                  </w:pPr>
                  <w:r>
                    <w:rPr>
                      <w:rFonts w:hint="eastAsia" w:ascii="Times New Roman"/>
                      <w:color w:val="000000"/>
                    </w:rPr>
                    <w:t>10</w:t>
                  </w:r>
                  <w:r>
                    <w:rPr>
                      <w:rFonts w:ascii="Times New Roman"/>
                      <w:color w:val="000000"/>
                      <w:lang w:val="en-GB"/>
                    </w:rPr>
                    <w:t>%</w:t>
                  </w:r>
                </w:p>
              </w:tc>
              <w:tc>
                <w:tcPr>
                  <w:tcW w:w="809"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7" w:hRule="atLeast"/>
                <w:jc w:val="center"/>
              </w:trPr>
              <w:tc>
                <w:tcPr>
                  <w:tcW w:w="1184" w:type="dxa"/>
                  <w:vMerge w:val="continue"/>
                  <w:tcBorders>
                    <w:left w:val="single" w:color="auto" w:sz="4" w:space="0"/>
                    <w:right w:val="single" w:color="auto" w:sz="4" w:space="0"/>
                  </w:tcBorders>
                  <w:vAlign w:val="center"/>
                </w:tcPr>
                <w:p>
                  <w:pPr>
                    <w:pStyle w:val="37"/>
                    <w:spacing w:beforeLines="0" w:afterLines="0" w:line="240" w:lineRule="auto"/>
                    <w:rPr>
                      <w:rFonts w:ascii="Times New Roman"/>
                      <w:color w:val="000000"/>
                      <w:lang w:val="en-GB"/>
                    </w:rPr>
                  </w:pPr>
                </w:p>
              </w:tc>
              <w:tc>
                <w:tcPr>
                  <w:tcW w:w="948" w:type="dxa"/>
                  <w:tcBorders>
                    <w:top w:val="single" w:color="auto" w:sz="4" w:space="0"/>
                    <w:left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NO</w:t>
                  </w:r>
                  <w:r>
                    <w:rPr>
                      <w:rFonts w:ascii="Times New Roman"/>
                      <w:color w:val="000000"/>
                      <w:vertAlign w:val="subscript"/>
                      <w:lang w:val="en-GB"/>
                    </w:rPr>
                    <w:t>2</w:t>
                  </w:r>
                </w:p>
              </w:tc>
              <w:tc>
                <w:tcPr>
                  <w:tcW w:w="1663"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年平均浓度</w:t>
                  </w:r>
                </w:p>
              </w:tc>
              <w:tc>
                <w:tcPr>
                  <w:tcW w:w="1276"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rPr>
                  </w:pPr>
                  <w:r>
                    <w:rPr>
                      <w:rFonts w:hint="eastAsia" w:ascii="Times New Roman"/>
                      <w:color w:val="000000"/>
                    </w:rPr>
                    <w:t>25</w:t>
                  </w:r>
                </w:p>
              </w:tc>
              <w:tc>
                <w:tcPr>
                  <w:tcW w:w="1276"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40</w:t>
                  </w:r>
                </w:p>
              </w:tc>
              <w:tc>
                <w:tcPr>
                  <w:tcW w:w="969"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rPr>
                  </w:pPr>
                  <w:r>
                    <w:rPr>
                      <w:rFonts w:hint="eastAsia" w:ascii="Times New Roman"/>
                      <w:color w:val="000000"/>
                    </w:rPr>
                    <w:t>62.</w:t>
                  </w:r>
                  <w:r>
                    <w:rPr>
                      <w:rFonts w:ascii="Times New Roman"/>
                      <w:color w:val="000000"/>
                    </w:rPr>
                    <w:t>5</w:t>
                  </w:r>
                  <w:r>
                    <w:rPr>
                      <w:rFonts w:ascii="Times New Roman"/>
                      <w:color w:val="000000"/>
                      <w:lang w:val="en-GB"/>
                    </w:rPr>
                    <w:t>%</w:t>
                  </w:r>
                </w:p>
              </w:tc>
              <w:tc>
                <w:tcPr>
                  <w:tcW w:w="809"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rPr>
                  </w:pPr>
                  <w:r>
                    <w:rPr>
                      <w:rFonts w:ascii="Times New Roman"/>
                      <w:color w:val="00000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7" w:hRule="atLeast"/>
                <w:jc w:val="center"/>
              </w:trPr>
              <w:tc>
                <w:tcPr>
                  <w:tcW w:w="1184" w:type="dxa"/>
                  <w:vMerge w:val="continue"/>
                  <w:tcBorders>
                    <w:left w:val="single" w:color="auto" w:sz="4" w:space="0"/>
                    <w:right w:val="single" w:color="auto" w:sz="4" w:space="0"/>
                  </w:tcBorders>
                  <w:vAlign w:val="center"/>
                </w:tcPr>
                <w:p>
                  <w:pPr>
                    <w:pStyle w:val="37"/>
                    <w:spacing w:beforeLines="0" w:afterLines="0" w:line="240" w:lineRule="auto"/>
                    <w:rPr>
                      <w:rFonts w:ascii="Times New Roman"/>
                      <w:color w:val="000000"/>
                      <w:lang w:val="en-GB"/>
                    </w:rPr>
                  </w:pPr>
                </w:p>
              </w:tc>
              <w:tc>
                <w:tcPr>
                  <w:tcW w:w="948" w:type="dxa"/>
                  <w:tcBorders>
                    <w:top w:val="single" w:color="auto" w:sz="4" w:space="0"/>
                    <w:left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PM</w:t>
                  </w:r>
                  <w:r>
                    <w:rPr>
                      <w:rFonts w:ascii="Times New Roman"/>
                      <w:color w:val="000000"/>
                      <w:vertAlign w:val="subscript"/>
                      <w:lang w:val="en-GB"/>
                    </w:rPr>
                    <w:t>10</w:t>
                  </w:r>
                </w:p>
              </w:tc>
              <w:tc>
                <w:tcPr>
                  <w:tcW w:w="1663"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年平均浓度</w:t>
                  </w:r>
                </w:p>
              </w:tc>
              <w:tc>
                <w:tcPr>
                  <w:tcW w:w="1276"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rPr>
                  </w:pPr>
                  <w:r>
                    <w:rPr>
                      <w:rFonts w:hint="eastAsia" w:ascii="Times New Roman"/>
                      <w:color w:val="000000"/>
                    </w:rPr>
                    <w:t>77</w:t>
                  </w:r>
                </w:p>
              </w:tc>
              <w:tc>
                <w:tcPr>
                  <w:tcW w:w="1276"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70</w:t>
                  </w:r>
                </w:p>
              </w:tc>
              <w:tc>
                <w:tcPr>
                  <w:tcW w:w="969"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rPr>
                  </w:pPr>
                  <w:r>
                    <w:rPr>
                      <w:rFonts w:ascii="Times New Roman"/>
                      <w:color w:val="000000"/>
                    </w:rPr>
                    <w:t>1</w:t>
                  </w:r>
                  <w:r>
                    <w:rPr>
                      <w:rFonts w:hint="eastAsia" w:ascii="Times New Roman"/>
                      <w:color w:val="000000"/>
                    </w:rPr>
                    <w:t>10</w:t>
                  </w:r>
                  <w:r>
                    <w:rPr>
                      <w:rFonts w:ascii="Times New Roman"/>
                      <w:color w:val="000000"/>
                      <w:lang w:val="en-GB"/>
                    </w:rPr>
                    <w:t>%</w:t>
                  </w:r>
                </w:p>
              </w:tc>
              <w:tc>
                <w:tcPr>
                  <w:tcW w:w="809"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rPr>
                  </w:pPr>
                  <w:r>
                    <w:rPr>
                      <w:rFonts w:ascii="Times New Roman"/>
                      <w:color w:val="000000"/>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7" w:hRule="atLeast"/>
                <w:jc w:val="center"/>
              </w:trPr>
              <w:tc>
                <w:tcPr>
                  <w:tcW w:w="1184" w:type="dxa"/>
                  <w:vMerge w:val="continue"/>
                  <w:tcBorders>
                    <w:left w:val="single" w:color="auto" w:sz="4" w:space="0"/>
                    <w:right w:val="single" w:color="auto" w:sz="4" w:space="0"/>
                  </w:tcBorders>
                  <w:vAlign w:val="center"/>
                </w:tcPr>
                <w:p>
                  <w:pPr>
                    <w:pStyle w:val="37"/>
                    <w:spacing w:beforeLines="0" w:afterLines="0" w:line="240" w:lineRule="auto"/>
                    <w:rPr>
                      <w:rFonts w:ascii="Times New Roman"/>
                      <w:color w:val="000000"/>
                      <w:lang w:val="en-GB"/>
                    </w:rPr>
                  </w:pPr>
                </w:p>
              </w:tc>
              <w:tc>
                <w:tcPr>
                  <w:tcW w:w="948" w:type="dxa"/>
                  <w:tcBorders>
                    <w:top w:val="single" w:color="auto" w:sz="4" w:space="0"/>
                    <w:left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PM</w:t>
                  </w:r>
                  <w:r>
                    <w:rPr>
                      <w:rFonts w:ascii="Times New Roman"/>
                      <w:color w:val="000000"/>
                      <w:vertAlign w:val="subscript"/>
                      <w:lang w:val="en-GB"/>
                    </w:rPr>
                    <w:t>2.5</w:t>
                  </w:r>
                </w:p>
              </w:tc>
              <w:tc>
                <w:tcPr>
                  <w:tcW w:w="1663"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年平均浓度</w:t>
                  </w:r>
                </w:p>
              </w:tc>
              <w:tc>
                <w:tcPr>
                  <w:tcW w:w="1276"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rPr>
                  </w:pPr>
                  <w:r>
                    <w:rPr>
                      <w:rFonts w:hint="eastAsia" w:ascii="Times New Roman"/>
                      <w:color w:val="000000"/>
                    </w:rPr>
                    <w:t>45</w:t>
                  </w:r>
                </w:p>
              </w:tc>
              <w:tc>
                <w:tcPr>
                  <w:tcW w:w="1276"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35</w:t>
                  </w:r>
                </w:p>
              </w:tc>
              <w:tc>
                <w:tcPr>
                  <w:tcW w:w="969"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rPr>
                  </w:pPr>
                  <w:r>
                    <w:rPr>
                      <w:rFonts w:ascii="Times New Roman"/>
                      <w:color w:val="000000"/>
                    </w:rPr>
                    <w:t>128.</w:t>
                  </w:r>
                  <w:r>
                    <w:rPr>
                      <w:rFonts w:hint="eastAsia" w:ascii="Times New Roman"/>
                      <w:color w:val="000000"/>
                    </w:rPr>
                    <w:t>57</w:t>
                  </w:r>
                  <w:r>
                    <w:rPr>
                      <w:rFonts w:ascii="Times New Roman"/>
                      <w:color w:val="000000"/>
                      <w:lang w:val="en-GB"/>
                    </w:rPr>
                    <w:t>%</w:t>
                  </w:r>
                </w:p>
              </w:tc>
              <w:tc>
                <w:tcPr>
                  <w:tcW w:w="809"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rPr>
                  </w:pPr>
                  <w:r>
                    <w:rPr>
                      <w:rFonts w:ascii="Times New Roman"/>
                      <w:color w:val="000000"/>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184" w:type="dxa"/>
                  <w:vMerge w:val="continue"/>
                  <w:tcBorders>
                    <w:left w:val="single" w:color="auto" w:sz="4" w:space="0"/>
                    <w:right w:val="single" w:color="auto" w:sz="4" w:space="0"/>
                  </w:tcBorders>
                  <w:vAlign w:val="center"/>
                </w:tcPr>
                <w:p>
                  <w:pPr>
                    <w:pStyle w:val="37"/>
                    <w:spacing w:beforeLines="0" w:afterLines="0" w:line="240" w:lineRule="auto"/>
                    <w:rPr>
                      <w:rFonts w:ascii="Times New Roman"/>
                      <w:color w:val="000000"/>
                      <w:lang w:val="en-GB"/>
                    </w:rPr>
                  </w:pPr>
                </w:p>
              </w:tc>
              <w:tc>
                <w:tcPr>
                  <w:tcW w:w="948"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CO</w:t>
                  </w:r>
                </w:p>
              </w:tc>
              <w:tc>
                <w:tcPr>
                  <w:tcW w:w="1663"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24小时平均第95百分位数</w:t>
                  </w:r>
                </w:p>
              </w:tc>
              <w:tc>
                <w:tcPr>
                  <w:tcW w:w="1276"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1.</w:t>
                  </w:r>
                  <w:r>
                    <w:rPr>
                      <w:rFonts w:hint="eastAsia" w:ascii="Times New Roman"/>
                      <w:color w:val="000000"/>
                      <w:lang w:val="en-GB"/>
                    </w:rPr>
                    <w:t>0</w:t>
                  </w:r>
                  <w:r>
                    <w:rPr>
                      <w:rFonts w:ascii="Times New Roman"/>
                      <w:color w:val="000000"/>
                      <w:lang w:val="en-GB"/>
                    </w:rPr>
                    <w:t>mg/m</w:t>
                  </w:r>
                  <w:r>
                    <w:rPr>
                      <w:rFonts w:ascii="Times New Roman"/>
                      <w:color w:val="000000"/>
                      <w:vertAlign w:val="superscript"/>
                      <w:lang w:val="en-GB"/>
                    </w:rPr>
                    <w:t>3</w:t>
                  </w:r>
                </w:p>
              </w:tc>
              <w:tc>
                <w:tcPr>
                  <w:tcW w:w="1276"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4mg/m</w:t>
                  </w:r>
                  <w:r>
                    <w:rPr>
                      <w:rFonts w:ascii="Times New Roman"/>
                      <w:color w:val="000000"/>
                      <w:vertAlign w:val="superscript"/>
                      <w:lang w:val="en-GB"/>
                    </w:rPr>
                    <w:t>3</w:t>
                  </w:r>
                </w:p>
              </w:tc>
              <w:tc>
                <w:tcPr>
                  <w:tcW w:w="969"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hint="eastAsia" w:ascii="Times New Roman"/>
                      <w:color w:val="000000"/>
                      <w:lang w:val="en-GB"/>
                    </w:rPr>
                    <w:t>25</w:t>
                  </w:r>
                  <w:r>
                    <w:rPr>
                      <w:rFonts w:ascii="Times New Roman"/>
                      <w:color w:val="000000"/>
                      <w:lang w:val="en-GB"/>
                    </w:rPr>
                    <w:t>%</w:t>
                  </w:r>
                </w:p>
              </w:tc>
              <w:tc>
                <w:tcPr>
                  <w:tcW w:w="809"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rPr>
                  </w:pPr>
                  <w:r>
                    <w:rPr>
                      <w:rFonts w:ascii="Times New Roman"/>
                      <w:color w:val="00000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184" w:type="dxa"/>
                  <w:vMerge w:val="continue"/>
                  <w:tcBorders>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p>
              </w:tc>
              <w:tc>
                <w:tcPr>
                  <w:tcW w:w="948"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O</w:t>
                  </w:r>
                  <w:r>
                    <w:rPr>
                      <w:rFonts w:ascii="Times New Roman"/>
                      <w:color w:val="000000"/>
                      <w:vertAlign w:val="subscript"/>
                      <w:lang w:val="en-GB"/>
                    </w:rPr>
                    <w:t>3</w:t>
                  </w:r>
                </w:p>
              </w:tc>
              <w:tc>
                <w:tcPr>
                  <w:tcW w:w="1663"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最大8小时滑动平均值的第90百分位数</w:t>
                  </w:r>
                </w:p>
              </w:tc>
              <w:tc>
                <w:tcPr>
                  <w:tcW w:w="1276"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rPr>
                  </w:pPr>
                  <w:r>
                    <w:rPr>
                      <w:rFonts w:hint="eastAsia" w:ascii="Times New Roman"/>
                      <w:color w:val="000000"/>
                    </w:rPr>
                    <w:t>152</w:t>
                  </w:r>
                </w:p>
              </w:tc>
              <w:tc>
                <w:tcPr>
                  <w:tcW w:w="1276"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lang w:val="en-GB"/>
                    </w:rPr>
                  </w:pPr>
                  <w:r>
                    <w:rPr>
                      <w:rFonts w:ascii="Times New Roman"/>
                      <w:color w:val="000000"/>
                      <w:lang w:val="en-GB"/>
                    </w:rPr>
                    <w:t>160</w:t>
                  </w:r>
                </w:p>
              </w:tc>
              <w:tc>
                <w:tcPr>
                  <w:tcW w:w="969"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rPr>
                  </w:pPr>
                  <w:r>
                    <w:rPr>
                      <w:rFonts w:hint="eastAsia" w:ascii="Times New Roman"/>
                      <w:color w:val="000000"/>
                    </w:rPr>
                    <w:t>95</w:t>
                  </w:r>
                  <w:r>
                    <w:rPr>
                      <w:rFonts w:ascii="Times New Roman"/>
                      <w:color w:val="000000"/>
                      <w:lang w:val="en-GB"/>
                    </w:rPr>
                    <w:t>%</w:t>
                  </w:r>
                </w:p>
              </w:tc>
              <w:tc>
                <w:tcPr>
                  <w:tcW w:w="809" w:type="dxa"/>
                  <w:tcBorders>
                    <w:top w:val="single" w:color="auto" w:sz="4" w:space="0"/>
                    <w:left w:val="single" w:color="auto" w:sz="4" w:space="0"/>
                    <w:bottom w:val="single" w:color="auto" w:sz="4" w:space="0"/>
                    <w:right w:val="single" w:color="auto" w:sz="4" w:space="0"/>
                  </w:tcBorders>
                  <w:vAlign w:val="center"/>
                </w:tcPr>
                <w:p>
                  <w:pPr>
                    <w:pStyle w:val="37"/>
                    <w:spacing w:beforeLines="0" w:afterLines="0" w:line="240" w:lineRule="auto"/>
                    <w:rPr>
                      <w:rFonts w:ascii="Times New Roman"/>
                      <w:color w:val="000000"/>
                    </w:rPr>
                  </w:pPr>
                  <w:r>
                    <w:rPr>
                      <w:rFonts w:hint="eastAsia" w:ascii="Times New Roman"/>
                      <w:color w:val="000000"/>
                    </w:rPr>
                    <w:t>达标</w:t>
                  </w:r>
                </w:p>
              </w:tc>
            </w:tr>
          </w:tbl>
          <w:p>
            <w:pPr>
              <w:adjustRightInd w:val="0"/>
              <w:snapToGrid w:val="0"/>
              <w:spacing w:line="360" w:lineRule="auto"/>
              <w:ind w:firstLine="480" w:firstLineChars="200"/>
              <w:textAlignment w:val="baseline"/>
              <w:rPr>
                <w:bCs/>
                <w:color w:val="000000"/>
                <w:kern w:val="0"/>
                <w:sz w:val="24"/>
              </w:rPr>
            </w:pPr>
            <w:r>
              <w:rPr>
                <w:rFonts w:hint="eastAsia"/>
                <w:bCs/>
                <w:color w:val="000000"/>
                <w:kern w:val="0"/>
                <w:sz w:val="24"/>
              </w:rPr>
              <w:t>对照2023年度南阳市生态环境质量报告数据，卧龙区SO</w:t>
            </w:r>
            <w:r>
              <w:rPr>
                <w:rFonts w:hint="eastAsia"/>
                <w:bCs/>
                <w:color w:val="000000"/>
                <w:kern w:val="0"/>
                <w:sz w:val="24"/>
                <w:vertAlign w:val="subscript"/>
              </w:rPr>
              <w:t>2</w:t>
            </w:r>
            <w:r>
              <w:rPr>
                <w:rFonts w:hint="eastAsia"/>
                <w:bCs/>
                <w:color w:val="000000"/>
                <w:kern w:val="0"/>
                <w:sz w:val="24"/>
              </w:rPr>
              <w:t>、NO</w:t>
            </w:r>
            <w:r>
              <w:rPr>
                <w:rFonts w:hint="eastAsia"/>
                <w:bCs/>
                <w:color w:val="000000"/>
                <w:kern w:val="0"/>
                <w:sz w:val="24"/>
                <w:vertAlign w:val="subscript"/>
              </w:rPr>
              <w:t>X</w:t>
            </w:r>
            <w:r>
              <w:rPr>
                <w:rFonts w:hint="eastAsia"/>
                <w:bCs/>
                <w:color w:val="000000"/>
                <w:kern w:val="0"/>
                <w:sz w:val="24"/>
              </w:rPr>
              <w:t>年均浓度值、相应百分位浓度，CO、O</w:t>
            </w:r>
            <w:r>
              <w:rPr>
                <w:rFonts w:hint="eastAsia"/>
                <w:bCs/>
                <w:color w:val="000000"/>
                <w:kern w:val="0"/>
                <w:sz w:val="24"/>
                <w:vertAlign w:val="subscript"/>
              </w:rPr>
              <w:t>3</w:t>
            </w:r>
            <w:r>
              <w:rPr>
                <w:rFonts w:hint="eastAsia"/>
                <w:bCs/>
                <w:color w:val="000000"/>
                <w:kern w:val="0"/>
                <w:sz w:val="24"/>
              </w:rPr>
              <w:t>年百分位浓度值可以满足《环境空气质量标准》（GB3095-2012）二级标准限值，PM</w:t>
            </w:r>
            <w:r>
              <w:rPr>
                <w:rFonts w:hint="eastAsia"/>
                <w:bCs/>
                <w:color w:val="000000"/>
                <w:kern w:val="0"/>
                <w:sz w:val="24"/>
                <w:vertAlign w:val="subscript"/>
              </w:rPr>
              <w:t>2.5</w:t>
            </w:r>
            <w:r>
              <w:rPr>
                <w:rFonts w:hint="eastAsia"/>
                <w:bCs/>
                <w:color w:val="000000"/>
                <w:kern w:val="0"/>
                <w:sz w:val="24"/>
              </w:rPr>
              <w:t>和PM</w:t>
            </w:r>
            <w:r>
              <w:rPr>
                <w:rFonts w:hint="eastAsia"/>
                <w:bCs/>
                <w:color w:val="000000"/>
                <w:kern w:val="0"/>
                <w:sz w:val="24"/>
                <w:vertAlign w:val="subscript"/>
              </w:rPr>
              <w:t>10</w:t>
            </w:r>
            <w:r>
              <w:rPr>
                <w:rFonts w:hint="eastAsia"/>
                <w:bCs/>
                <w:color w:val="000000"/>
                <w:kern w:val="0"/>
                <w:sz w:val="24"/>
              </w:rPr>
              <w:t>不满足《环境空气质量标准》（GB3095-2012）二级标准限值，区域环境质量状况一般，属于不达标区。</w:t>
            </w:r>
          </w:p>
          <w:p>
            <w:pPr>
              <w:adjustRightInd w:val="0"/>
              <w:snapToGrid w:val="0"/>
              <w:spacing w:line="360" w:lineRule="auto"/>
              <w:ind w:firstLine="480" w:firstLineChars="200"/>
              <w:textAlignment w:val="baseline"/>
              <w:rPr>
                <w:sz w:val="24"/>
                <w:szCs w:val="24"/>
              </w:rPr>
            </w:pPr>
            <w:r>
              <w:rPr>
                <w:rFonts w:hint="eastAsia"/>
                <w:bCs/>
                <w:color w:val="000000"/>
                <w:kern w:val="0"/>
                <w:sz w:val="24"/>
              </w:rPr>
              <w:t>针对目前环境空气质量现状，卧龙区按照《南阳市2024年蓝天保卫战实施方案》（宛环委办[2024]21号）等文件相关要求，出台一系列相应的大气污染防治管控文件，以“两降一控一升”为目标，以污染防治攻坚10个专项行动为抓手，以改善环境空气质量为核心，实施PM</w:t>
            </w:r>
            <w:r>
              <w:rPr>
                <w:rFonts w:hint="eastAsia"/>
                <w:bCs/>
                <w:color w:val="000000"/>
                <w:kern w:val="0"/>
                <w:sz w:val="24"/>
                <w:vertAlign w:val="subscript"/>
              </w:rPr>
              <w:t>2.5</w:t>
            </w:r>
            <w:r>
              <w:rPr>
                <w:rFonts w:hint="eastAsia"/>
                <w:bCs/>
                <w:color w:val="000000"/>
                <w:kern w:val="0"/>
                <w:sz w:val="24"/>
              </w:rPr>
              <w:t>和臭氧污染协同控制，推进VOCs和NO</w:t>
            </w:r>
            <w:r>
              <w:rPr>
                <w:rFonts w:hint="eastAsia"/>
                <w:bCs/>
                <w:color w:val="000000"/>
                <w:kern w:val="0"/>
                <w:sz w:val="24"/>
                <w:vertAlign w:val="subscript"/>
              </w:rPr>
              <w:t>X</w:t>
            </w:r>
            <w:r>
              <w:rPr>
                <w:rFonts w:hint="eastAsia"/>
                <w:bCs/>
                <w:color w:val="000000"/>
                <w:kern w:val="0"/>
                <w:sz w:val="24"/>
              </w:rPr>
              <w:t>协同减排，强化区域大气污染协同治理，突出精准治污，科学治污、依法治污、铁腕治污、全民治污，加强物料堆场、施工工地、工</w:t>
            </w:r>
            <w:r>
              <w:rPr>
                <w:rFonts w:hint="eastAsia"/>
                <w:sz w:val="24"/>
                <w:szCs w:val="24"/>
              </w:rPr>
              <w:t>业企业等管理，切实减少细颗粒物产生及排放，改善当地环境质量。随着相关政策措施的逐步落实，区域空气质量将逐渐好转</w:t>
            </w:r>
            <w:r>
              <w:rPr>
                <w:sz w:val="24"/>
                <w:szCs w:val="24"/>
              </w:rPr>
              <w:t>。</w:t>
            </w:r>
          </w:p>
          <w:p>
            <w:pPr>
              <w:tabs>
                <w:tab w:val="left" w:pos="1081"/>
              </w:tabs>
              <w:adjustRightInd w:val="0"/>
              <w:snapToGrid w:val="0"/>
              <w:spacing w:line="360" w:lineRule="auto"/>
              <w:ind w:firstLine="482" w:firstLineChars="200"/>
              <w:jc w:val="left"/>
              <w:rPr>
                <w:rFonts w:eastAsiaTheme="minorEastAsia"/>
                <w:b/>
                <w:sz w:val="24"/>
                <w:szCs w:val="24"/>
              </w:rPr>
            </w:pPr>
            <w:r>
              <w:rPr>
                <w:rFonts w:eastAsiaTheme="minorEastAsia"/>
                <w:b/>
                <w:sz w:val="24"/>
                <w:szCs w:val="24"/>
              </w:rPr>
              <w:t>2、地表水环境质量现状</w:t>
            </w:r>
          </w:p>
          <w:p>
            <w:pPr>
              <w:adjustRightInd w:val="0"/>
              <w:snapToGrid w:val="0"/>
              <w:spacing w:line="360" w:lineRule="auto"/>
              <w:ind w:firstLine="480" w:firstLineChars="200"/>
              <w:rPr>
                <w:rFonts w:hAnsi="宋体"/>
                <w:color w:val="FF0000"/>
                <w:sz w:val="24"/>
                <w:u w:val="single"/>
              </w:rPr>
            </w:pPr>
            <w:r>
              <w:rPr>
                <w:color w:val="FF0000"/>
                <w:sz w:val="24"/>
                <w:szCs w:val="24"/>
                <w:u w:val="single"/>
              </w:rPr>
              <w:t>项目区附近主要地表水体为</w:t>
            </w:r>
            <w:r>
              <w:rPr>
                <w:rFonts w:hint="eastAsia"/>
                <w:color w:val="FF0000"/>
                <w:sz w:val="24"/>
                <w:szCs w:val="24"/>
                <w:u w:val="single"/>
              </w:rPr>
              <w:t>西侧630m的跃进渠，最终汇入白河</w:t>
            </w:r>
            <w:r>
              <w:rPr>
                <w:color w:val="FF0000"/>
                <w:sz w:val="24"/>
                <w:szCs w:val="24"/>
                <w:u w:val="single"/>
              </w:rPr>
              <w:t>。根据南阳市地表水功能区划，</w:t>
            </w:r>
            <w:r>
              <w:rPr>
                <w:rFonts w:hint="eastAsia"/>
                <w:color w:val="FF0000"/>
                <w:sz w:val="24"/>
                <w:szCs w:val="24"/>
                <w:u w:val="single"/>
              </w:rPr>
              <w:t>白河</w:t>
            </w:r>
            <w:r>
              <w:rPr>
                <w:color w:val="FF0000"/>
                <w:sz w:val="24"/>
                <w:szCs w:val="24"/>
                <w:u w:val="single"/>
              </w:rPr>
              <w:t>评价河段水质执行《地表水环境质量标准》（GB3838-2002）</w:t>
            </w:r>
            <w:r>
              <w:rPr>
                <w:rFonts w:hint="eastAsia" w:ascii="宋体" w:hAnsi="宋体" w:cs="宋体"/>
                <w:color w:val="FF0000"/>
                <w:sz w:val="24"/>
                <w:szCs w:val="24"/>
                <w:u w:val="single"/>
              </w:rPr>
              <w:t>Ⅱ</w:t>
            </w:r>
            <w:r>
              <w:rPr>
                <w:color w:val="FF0000"/>
                <w:sz w:val="24"/>
                <w:szCs w:val="24"/>
                <w:u w:val="single"/>
              </w:rPr>
              <w:t>类水体要求。</w:t>
            </w:r>
            <w:r>
              <w:rPr>
                <w:rFonts w:hint="eastAsia" w:hAnsi="宋体"/>
                <w:color w:val="FF0000"/>
                <w:sz w:val="24"/>
                <w:u w:val="single"/>
              </w:rPr>
              <w:t>根据《2023年南阳市生态环境质量报告书》，2023年白河盆窑断面水质数据见表3-2。</w:t>
            </w:r>
          </w:p>
          <w:p>
            <w:pPr>
              <w:adjustRightInd w:val="0"/>
              <w:snapToGrid w:val="0"/>
              <w:spacing w:line="360" w:lineRule="auto"/>
              <w:textAlignment w:val="baseline"/>
              <w:rPr>
                <w:color w:val="000000"/>
                <w:sz w:val="24"/>
              </w:rPr>
            </w:pPr>
            <w:r>
              <w:rPr>
                <w:b/>
                <w:sz w:val="24"/>
                <w:szCs w:val="24"/>
              </w:rPr>
              <w:t>表3-</w:t>
            </w:r>
            <w:r>
              <w:rPr>
                <w:rFonts w:hint="eastAsia"/>
                <w:b/>
                <w:sz w:val="24"/>
                <w:szCs w:val="24"/>
              </w:rPr>
              <w:t>2</w:t>
            </w:r>
            <w:r>
              <w:rPr>
                <w:b/>
                <w:sz w:val="24"/>
                <w:szCs w:val="24"/>
              </w:rPr>
              <w:t xml:space="preserve">  </w:t>
            </w:r>
            <w:r>
              <w:rPr>
                <w:rFonts w:hint="eastAsia"/>
                <w:b/>
                <w:sz w:val="24"/>
                <w:szCs w:val="24"/>
              </w:rPr>
              <w:t>白河（白河盆窑断面）现状监测结果一览表 单位：mg/L（pH除外）</w:t>
            </w:r>
          </w:p>
          <w:tbl>
            <w:tblPr>
              <w:tblStyle w:val="27"/>
              <w:tblW w:w="812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53"/>
              <w:gridCol w:w="1353"/>
              <w:gridCol w:w="1353"/>
              <w:gridCol w:w="1353"/>
              <w:gridCol w:w="1354"/>
              <w:gridCol w:w="135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353" w:type="dxa"/>
                  <w:vAlign w:val="center"/>
                </w:tcPr>
                <w:p>
                  <w:pPr>
                    <w:adjustRightInd w:val="0"/>
                    <w:snapToGrid w:val="0"/>
                    <w:jc w:val="center"/>
                    <w:textAlignment w:val="baseline"/>
                    <w:rPr>
                      <w:color w:val="000000"/>
                    </w:rPr>
                  </w:pPr>
                  <w:r>
                    <w:rPr>
                      <w:rFonts w:hint="eastAsia"/>
                      <w:color w:val="000000"/>
                    </w:rPr>
                    <w:t>时间</w:t>
                  </w:r>
                </w:p>
              </w:tc>
              <w:tc>
                <w:tcPr>
                  <w:tcW w:w="1353" w:type="dxa"/>
                  <w:vAlign w:val="center"/>
                </w:tcPr>
                <w:p>
                  <w:pPr>
                    <w:adjustRightInd w:val="0"/>
                    <w:snapToGrid w:val="0"/>
                    <w:jc w:val="center"/>
                    <w:textAlignment w:val="baseline"/>
                    <w:rPr>
                      <w:color w:val="000000"/>
                    </w:rPr>
                  </w:pPr>
                  <w:r>
                    <w:rPr>
                      <w:rFonts w:hint="eastAsia"/>
                      <w:color w:val="000000"/>
                    </w:rPr>
                    <w:t>pH</w:t>
                  </w:r>
                </w:p>
              </w:tc>
              <w:tc>
                <w:tcPr>
                  <w:tcW w:w="1353" w:type="dxa"/>
                  <w:vAlign w:val="center"/>
                </w:tcPr>
                <w:p>
                  <w:pPr>
                    <w:adjustRightInd w:val="0"/>
                    <w:snapToGrid w:val="0"/>
                    <w:jc w:val="center"/>
                    <w:textAlignment w:val="baseline"/>
                    <w:rPr>
                      <w:color w:val="000000"/>
                    </w:rPr>
                  </w:pPr>
                  <w:r>
                    <w:rPr>
                      <w:rFonts w:hint="eastAsia"/>
                      <w:color w:val="000000"/>
                    </w:rPr>
                    <w:t>CODcr</w:t>
                  </w:r>
                </w:p>
              </w:tc>
              <w:tc>
                <w:tcPr>
                  <w:tcW w:w="1353" w:type="dxa"/>
                  <w:vAlign w:val="center"/>
                </w:tcPr>
                <w:p>
                  <w:pPr>
                    <w:adjustRightInd w:val="0"/>
                    <w:snapToGrid w:val="0"/>
                    <w:jc w:val="center"/>
                    <w:textAlignment w:val="baseline"/>
                    <w:rPr>
                      <w:color w:val="000000"/>
                    </w:rPr>
                  </w:pPr>
                  <w:r>
                    <w:rPr>
                      <w:rFonts w:hint="eastAsia"/>
                      <w:color w:val="000000"/>
                    </w:rPr>
                    <w:t>BOD</w:t>
                  </w:r>
                  <w:r>
                    <w:rPr>
                      <w:rFonts w:hint="eastAsia"/>
                      <w:color w:val="000000"/>
                      <w:vertAlign w:val="subscript"/>
                    </w:rPr>
                    <w:t>5</w:t>
                  </w:r>
                </w:p>
              </w:tc>
              <w:tc>
                <w:tcPr>
                  <w:tcW w:w="1354" w:type="dxa"/>
                  <w:vAlign w:val="center"/>
                </w:tcPr>
                <w:p>
                  <w:pPr>
                    <w:adjustRightInd w:val="0"/>
                    <w:snapToGrid w:val="0"/>
                    <w:jc w:val="center"/>
                    <w:textAlignment w:val="baseline"/>
                    <w:rPr>
                      <w:color w:val="000000"/>
                    </w:rPr>
                  </w:pPr>
                  <w:r>
                    <w:rPr>
                      <w:rFonts w:hint="eastAsia"/>
                      <w:color w:val="000000"/>
                    </w:rPr>
                    <w:t>氨氮</w:t>
                  </w:r>
                </w:p>
              </w:tc>
              <w:tc>
                <w:tcPr>
                  <w:tcW w:w="1354" w:type="dxa"/>
                  <w:vAlign w:val="center"/>
                </w:tcPr>
                <w:p>
                  <w:pPr>
                    <w:adjustRightInd w:val="0"/>
                    <w:snapToGrid w:val="0"/>
                    <w:jc w:val="center"/>
                    <w:textAlignment w:val="baseline"/>
                    <w:rPr>
                      <w:color w:val="000000"/>
                    </w:rPr>
                  </w:pPr>
                  <w:r>
                    <w:rPr>
                      <w:rFonts w:hint="eastAsia"/>
                      <w:color w:val="000000"/>
                    </w:rPr>
                    <w:t>总磷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353" w:type="dxa"/>
                  <w:vAlign w:val="center"/>
                </w:tcPr>
                <w:p>
                  <w:pPr>
                    <w:adjustRightInd w:val="0"/>
                    <w:snapToGrid w:val="0"/>
                    <w:jc w:val="center"/>
                    <w:textAlignment w:val="baseline"/>
                    <w:rPr>
                      <w:color w:val="000000"/>
                    </w:rPr>
                  </w:pPr>
                  <w:r>
                    <w:rPr>
                      <w:rFonts w:hint="eastAsia"/>
                      <w:color w:val="000000"/>
                    </w:rPr>
                    <w:t>2023年</w:t>
                  </w:r>
                </w:p>
              </w:tc>
              <w:tc>
                <w:tcPr>
                  <w:tcW w:w="1353" w:type="dxa"/>
                  <w:vAlign w:val="center"/>
                </w:tcPr>
                <w:p>
                  <w:pPr>
                    <w:adjustRightInd w:val="0"/>
                    <w:snapToGrid w:val="0"/>
                    <w:jc w:val="center"/>
                    <w:textAlignment w:val="baseline"/>
                    <w:rPr>
                      <w:color w:val="000000"/>
                    </w:rPr>
                  </w:pPr>
                  <w:r>
                    <w:rPr>
                      <w:rFonts w:hint="eastAsia"/>
                      <w:color w:val="000000"/>
                    </w:rPr>
                    <w:t>7.5</w:t>
                  </w:r>
                </w:p>
              </w:tc>
              <w:tc>
                <w:tcPr>
                  <w:tcW w:w="1353" w:type="dxa"/>
                  <w:vAlign w:val="center"/>
                </w:tcPr>
                <w:p>
                  <w:pPr>
                    <w:adjustRightInd w:val="0"/>
                    <w:snapToGrid w:val="0"/>
                    <w:jc w:val="center"/>
                    <w:textAlignment w:val="baseline"/>
                    <w:rPr>
                      <w:color w:val="000000"/>
                    </w:rPr>
                  </w:pPr>
                  <w:r>
                    <w:rPr>
                      <w:rFonts w:hint="eastAsia"/>
                      <w:color w:val="000000"/>
                    </w:rPr>
                    <w:t>12.1</w:t>
                  </w:r>
                </w:p>
              </w:tc>
              <w:tc>
                <w:tcPr>
                  <w:tcW w:w="1353" w:type="dxa"/>
                  <w:vAlign w:val="center"/>
                </w:tcPr>
                <w:p>
                  <w:pPr>
                    <w:adjustRightInd w:val="0"/>
                    <w:snapToGrid w:val="0"/>
                    <w:jc w:val="center"/>
                    <w:textAlignment w:val="baseline"/>
                    <w:rPr>
                      <w:color w:val="000000"/>
                    </w:rPr>
                  </w:pPr>
                  <w:r>
                    <w:rPr>
                      <w:rFonts w:hint="eastAsia"/>
                      <w:color w:val="000000"/>
                    </w:rPr>
                    <w:t>2.2</w:t>
                  </w:r>
                </w:p>
              </w:tc>
              <w:tc>
                <w:tcPr>
                  <w:tcW w:w="1354" w:type="dxa"/>
                  <w:vAlign w:val="center"/>
                </w:tcPr>
                <w:p>
                  <w:pPr>
                    <w:adjustRightInd w:val="0"/>
                    <w:snapToGrid w:val="0"/>
                    <w:jc w:val="center"/>
                    <w:textAlignment w:val="baseline"/>
                    <w:rPr>
                      <w:color w:val="000000"/>
                    </w:rPr>
                  </w:pPr>
                  <w:r>
                    <w:rPr>
                      <w:rFonts w:hint="eastAsia"/>
                      <w:color w:val="000000"/>
                    </w:rPr>
                    <w:t>0.03</w:t>
                  </w:r>
                </w:p>
              </w:tc>
              <w:tc>
                <w:tcPr>
                  <w:tcW w:w="1354" w:type="dxa"/>
                  <w:vAlign w:val="center"/>
                </w:tcPr>
                <w:p>
                  <w:pPr>
                    <w:adjustRightInd w:val="0"/>
                    <w:snapToGrid w:val="0"/>
                    <w:jc w:val="center"/>
                    <w:textAlignment w:val="baseline"/>
                    <w:rPr>
                      <w:color w:val="000000"/>
                    </w:rPr>
                  </w:pPr>
                  <w:r>
                    <w:rPr>
                      <w:rFonts w:hint="eastAsia"/>
                      <w:color w:val="000000"/>
                    </w:rPr>
                    <w:t>0.03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353" w:type="dxa"/>
                  <w:vAlign w:val="center"/>
                </w:tcPr>
                <w:p>
                  <w:pPr>
                    <w:adjustRightInd w:val="0"/>
                    <w:snapToGrid w:val="0"/>
                    <w:jc w:val="center"/>
                    <w:textAlignment w:val="baseline"/>
                    <w:rPr>
                      <w:color w:val="000000"/>
                    </w:rPr>
                  </w:pPr>
                  <w:r>
                    <w:rPr>
                      <w:rFonts w:hint="eastAsia"/>
                      <w:color w:val="000000"/>
                    </w:rPr>
                    <w:t>标准值</w:t>
                  </w:r>
                </w:p>
              </w:tc>
              <w:tc>
                <w:tcPr>
                  <w:tcW w:w="1353" w:type="dxa"/>
                  <w:vAlign w:val="center"/>
                </w:tcPr>
                <w:p>
                  <w:pPr>
                    <w:adjustRightInd w:val="0"/>
                    <w:snapToGrid w:val="0"/>
                    <w:jc w:val="center"/>
                    <w:textAlignment w:val="baseline"/>
                    <w:rPr>
                      <w:color w:val="000000"/>
                    </w:rPr>
                  </w:pPr>
                  <w:r>
                    <w:rPr>
                      <w:rFonts w:hint="eastAsia"/>
                      <w:color w:val="000000"/>
                    </w:rPr>
                    <w:t>6-9</w:t>
                  </w:r>
                </w:p>
              </w:tc>
              <w:tc>
                <w:tcPr>
                  <w:tcW w:w="1353" w:type="dxa"/>
                  <w:vAlign w:val="center"/>
                </w:tcPr>
                <w:p>
                  <w:pPr>
                    <w:adjustRightInd w:val="0"/>
                    <w:snapToGrid w:val="0"/>
                    <w:jc w:val="center"/>
                    <w:textAlignment w:val="baseline"/>
                    <w:rPr>
                      <w:color w:val="000000"/>
                    </w:rPr>
                  </w:pPr>
                  <w:r>
                    <w:rPr>
                      <w:rFonts w:hint="eastAsia"/>
                      <w:color w:val="000000"/>
                    </w:rPr>
                    <w:t>15</w:t>
                  </w:r>
                </w:p>
              </w:tc>
              <w:tc>
                <w:tcPr>
                  <w:tcW w:w="1353" w:type="dxa"/>
                  <w:vAlign w:val="center"/>
                </w:tcPr>
                <w:p>
                  <w:pPr>
                    <w:adjustRightInd w:val="0"/>
                    <w:snapToGrid w:val="0"/>
                    <w:jc w:val="center"/>
                    <w:textAlignment w:val="baseline"/>
                    <w:rPr>
                      <w:color w:val="000000"/>
                    </w:rPr>
                  </w:pPr>
                  <w:r>
                    <w:rPr>
                      <w:rFonts w:hint="eastAsia"/>
                      <w:color w:val="000000"/>
                    </w:rPr>
                    <w:t>3</w:t>
                  </w:r>
                </w:p>
              </w:tc>
              <w:tc>
                <w:tcPr>
                  <w:tcW w:w="1354" w:type="dxa"/>
                  <w:vAlign w:val="center"/>
                </w:tcPr>
                <w:p>
                  <w:pPr>
                    <w:adjustRightInd w:val="0"/>
                    <w:snapToGrid w:val="0"/>
                    <w:jc w:val="center"/>
                    <w:textAlignment w:val="baseline"/>
                    <w:rPr>
                      <w:color w:val="000000"/>
                    </w:rPr>
                  </w:pPr>
                  <w:r>
                    <w:rPr>
                      <w:rFonts w:hint="eastAsia"/>
                      <w:color w:val="000000"/>
                    </w:rPr>
                    <w:t>0.5</w:t>
                  </w:r>
                </w:p>
              </w:tc>
              <w:tc>
                <w:tcPr>
                  <w:tcW w:w="1354" w:type="dxa"/>
                  <w:vAlign w:val="center"/>
                </w:tcPr>
                <w:p>
                  <w:pPr>
                    <w:adjustRightInd w:val="0"/>
                    <w:snapToGrid w:val="0"/>
                    <w:jc w:val="center"/>
                    <w:textAlignment w:val="baseline"/>
                    <w:rPr>
                      <w:color w:val="000000"/>
                    </w:rPr>
                  </w:pPr>
                  <w:r>
                    <w:rPr>
                      <w:rFonts w:hint="eastAsia"/>
                      <w:color w:val="000000"/>
                    </w:rPr>
                    <w:t>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353" w:type="dxa"/>
                  <w:vAlign w:val="center"/>
                </w:tcPr>
                <w:p>
                  <w:pPr>
                    <w:adjustRightInd w:val="0"/>
                    <w:snapToGrid w:val="0"/>
                    <w:jc w:val="center"/>
                    <w:textAlignment w:val="baseline"/>
                    <w:rPr>
                      <w:color w:val="000000"/>
                    </w:rPr>
                  </w:pPr>
                  <w:r>
                    <w:rPr>
                      <w:rFonts w:hint="eastAsia"/>
                      <w:color w:val="000000"/>
                    </w:rPr>
                    <w:t>是否达标</w:t>
                  </w:r>
                </w:p>
              </w:tc>
              <w:tc>
                <w:tcPr>
                  <w:tcW w:w="1353" w:type="dxa"/>
                  <w:vAlign w:val="center"/>
                </w:tcPr>
                <w:p>
                  <w:pPr>
                    <w:adjustRightInd w:val="0"/>
                    <w:snapToGrid w:val="0"/>
                    <w:jc w:val="center"/>
                    <w:textAlignment w:val="baseline"/>
                    <w:rPr>
                      <w:color w:val="000000"/>
                    </w:rPr>
                  </w:pPr>
                  <w:r>
                    <w:rPr>
                      <w:rFonts w:hint="eastAsia"/>
                      <w:color w:val="000000"/>
                    </w:rPr>
                    <w:t>达标</w:t>
                  </w:r>
                </w:p>
              </w:tc>
              <w:tc>
                <w:tcPr>
                  <w:tcW w:w="1353" w:type="dxa"/>
                  <w:vAlign w:val="center"/>
                </w:tcPr>
                <w:p>
                  <w:pPr>
                    <w:adjustRightInd w:val="0"/>
                    <w:snapToGrid w:val="0"/>
                    <w:jc w:val="center"/>
                    <w:textAlignment w:val="baseline"/>
                    <w:rPr>
                      <w:color w:val="000000"/>
                    </w:rPr>
                  </w:pPr>
                  <w:r>
                    <w:rPr>
                      <w:rFonts w:hint="eastAsia"/>
                      <w:color w:val="000000"/>
                    </w:rPr>
                    <w:t>达标</w:t>
                  </w:r>
                </w:p>
              </w:tc>
              <w:tc>
                <w:tcPr>
                  <w:tcW w:w="1353" w:type="dxa"/>
                  <w:vAlign w:val="center"/>
                </w:tcPr>
                <w:p>
                  <w:pPr>
                    <w:adjustRightInd w:val="0"/>
                    <w:snapToGrid w:val="0"/>
                    <w:jc w:val="center"/>
                    <w:textAlignment w:val="baseline"/>
                    <w:rPr>
                      <w:color w:val="000000"/>
                    </w:rPr>
                  </w:pPr>
                  <w:r>
                    <w:rPr>
                      <w:rFonts w:hint="eastAsia"/>
                      <w:color w:val="000000"/>
                    </w:rPr>
                    <w:t>达标</w:t>
                  </w:r>
                </w:p>
              </w:tc>
              <w:tc>
                <w:tcPr>
                  <w:tcW w:w="1354" w:type="dxa"/>
                  <w:vAlign w:val="center"/>
                </w:tcPr>
                <w:p>
                  <w:pPr>
                    <w:adjustRightInd w:val="0"/>
                    <w:snapToGrid w:val="0"/>
                    <w:jc w:val="center"/>
                    <w:textAlignment w:val="baseline"/>
                    <w:rPr>
                      <w:color w:val="000000"/>
                    </w:rPr>
                  </w:pPr>
                  <w:r>
                    <w:rPr>
                      <w:rFonts w:hint="eastAsia"/>
                      <w:color w:val="000000"/>
                    </w:rPr>
                    <w:t>达标</w:t>
                  </w:r>
                </w:p>
              </w:tc>
              <w:tc>
                <w:tcPr>
                  <w:tcW w:w="1354" w:type="dxa"/>
                  <w:vAlign w:val="center"/>
                </w:tcPr>
                <w:p>
                  <w:pPr>
                    <w:adjustRightInd w:val="0"/>
                    <w:snapToGrid w:val="0"/>
                    <w:jc w:val="center"/>
                    <w:textAlignment w:val="baseline"/>
                    <w:rPr>
                      <w:color w:val="000000"/>
                    </w:rPr>
                  </w:pPr>
                  <w:r>
                    <w:rPr>
                      <w:rFonts w:hint="eastAsia"/>
                      <w:color w:val="000000"/>
                    </w:rPr>
                    <w:t>达标</w:t>
                  </w:r>
                </w:p>
              </w:tc>
            </w:tr>
          </w:tbl>
          <w:p>
            <w:pPr>
              <w:adjustRightInd w:val="0"/>
              <w:snapToGrid w:val="0"/>
              <w:spacing w:line="360" w:lineRule="auto"/>
              <w:ind w:firstLine="480" w:firstLineChars="200"/>
              <w:textAlignment w:val="baseline"/>
              <w:rPr>
                <w:bCs/>
                <w:color w:val="FF0000"/>
                <w:kern w:val="0"/>
                <w:sz w:val="24"/>
                <w:u w:val="single"/>
              </w:rPr>
            </w:pPr>
            <w:r>
              <w:rPr>
                <w:rFonts w:hint="eastAsia"/>
                <w:bCs/>
                <w:color w:val="FF0000"/>
                <w:kern w:val="0"/>
                <w:sz w:val="24"/>
                <w:u w:val="single"/>
              </w:rPr>
              <w:t>根据上表可知2023年白河盆窑断面处化学需氧量、五日生化需氧量、氨氮、总磷满足《地表水环境质量标准》（GB3838-2002）Ⅱ类标准限值要求，评价河段水体环境质量较好。</w:t>
            </w:r>
          </w:p>
          <w:p>
            <w:pPr>
              <w:tabs>
                <w:tab w:val="left" w:pos="1081"/>
              </w:tabs>
              <w:adjustRightInd w:val="0"/>
              <w:snapToGrid w:val="0"/>
              <w:spacing w:line="360" w:lineRule="auto"/>
              <w:ind w:firstLine="482" w:firstLineChars="200"/>
              <w:jc w:val="left"/>
              <w:rPr>
                <w:rFonts w:eastAsiaTheme="minorEastAsia"/>
                <w:b/>
                <w:sz w:val="24"/>
                <w:szCs w:val="24"/>
              </w:rPr>
            </w:pPr>
            <w:r>
              <w:rPr>
                <w:rFonts w:eastAsiaTheme="minorEastAsia"/>
                <w:b/>
                <w:sz w:val="24"/>
                <w:szCs w:val="24"/>
              </w:rPr>
              <w:t>3、声环境质量现状</w:t>
            </w:r>
          </w:p>
          <w:p>
            <w:pPr>
              <w:tabs>
                <w:tab w:val="left" w:pos="1081"/>
              </w:tabs>
              <w:adjustRightInd w:val="0"/>
              <w:snapToGrid w:val="0"/>
              <w:spacing w:line="360" w:lineRule="auto"/>
              <w:ind w:firstLine="480" w:firstLineChars="200"/>
              <w:rPr>
                <w:color w:val="000000"/>
                <w:sz w:val="24"/>
              </w:rPr>
            </w:pPr>
            <w:r>
              <w:rPr>
                <w:rFonts w:hint="eastAsia"/>
                <w:bCs/>
                <w:color w:val="000000"/>
                <w:kern w:val="0"/>
                <w:sz w:val="24"/>
              </w:rPr>
              <w:t>本项目位于</w:t>
            </w:r>
            <w:r>
              <w:rPr>
                <w:color w:val="000000"/>
                <w:sz w:val="24"/>
              </w:rPr>
              <w:t>南阳市卧龙区蒲山镇棉花库路口向西20米路北</w:t>
            </w:r>
            <w:r>
              <w:rPr>
                <w:rFonts w:hint="eastAsia"/>
                <w:bCs/>
                <w:color w:val="000000"/>
                <w:kern w:val="0"/>
                <w:sz w:val="24"/>
              </w:rPr>
              <w:t>，项目选址属于2类区。</w:t>
            </w:r>
            <w:r>
              <w:rPr>
                <w:rFonts w:hint="eastAsia"/>
                <w:color w:val="000000"/>
                <w:sz w:val="24"/>
              </w:rPr>
              <w:t>经现场调查，项目厂界北侧和东侧紧邻居民区，建设单位委托河南省煦邦检测技术有限责任公司于2024年10月11日对项目北侧和东侧居民点声环境进行监测，监测数据见下表。</w:t>
            </w:r>
          </w:p>
          <w:p>
            <w:pPr>
              <w:adjustRightInd w:val="0"/>
              <w:snapToGrid w:val="0"/>
              <w:spacing w:line="360" w:lineRule="auto"/>
              <w:jc w:val="center"/>
              <w:textAlignment w:val="baseline"/>
              <w:rPr>
                <w:b/>
                <w:sz w:val="24"/>
                <w:szCs w:val="24"/>
              </w:rPr>
            </w:pPr>
            <w:r>
              <w:rPr>
                <w:b/>
                <w:sz w:val="24"/>
                <w:szCs w:val="24"/>
              </w:rPr>
              <w:t>表3-</w:t>
            </w:r>
            <w:r>
              <w:rPr>
                <w:rFonts w:hint="eastAsia"/>
                <w:b/>
                <w:sz w:val="24"/>
                <w:szCs w:val="24"/>
              </w:rPr>
              <w:t>3</w:t>
            </w:r>
            <w:r>
              <w:rPr>
                <w:b/>
                <w:sz w:val="24"/>
                <w:szCs w:val="24"/>
              </w:rPr>
              <w:t xml:space="preserve">  </w:t>
            </w:r>
            <w:r>
              <w:rPr>
                <w:rFonts w:hint="eastAsia"/>
                <w:b/>
                <w:sz w:val="24"/>
                <w:szCs w:val="24"/>
              </w:rPr>
              <w:t>敏感点现状监测结果一览表</w:t>
            </w:r>
          </w:p>
          <w:tbl>
            <w:tblPr>
              <w:tblStyle w:val="27"/>
              <w:tblW w:w="812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706"/>
              <w:gridCol w:w="2707"/>
              <w:gridCol w:w="270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706" w:type="dxa"/>
                  <w:vMerge w:val="restart"/>
                  <w:vAlign w:val="center"/>
                </w:tcPr>
                <w:p>
                  <w:pPr>
                    <w:pStyle w:val="2"/>
                    <w:spacing w:after="0"/>
                    <w:ind w:left="0" w:leftChars="0" w:firstLine="0"/>
                    <w:jc w:val="center"/>
                  </w:pPr>
                  <w:r>
                    <w:rPr>
                      <w:rFonts w:hint="eastAsia"/>
                    </w:rPr>
                    <w:t>检测时间</w:t>
                  </w:r>
                </w:p>
              </w:tc>
              <w:tc>
                <w:tcPr>
                  <w:tcW w:w="5414" w:type="dxa"/>
                  <w:gridSpan w:val="2"/>
                  <w:vAlign w:val="center"/>
                </w:tcPr>
                <w:p>
                  <w:pPr>
                    <w:pStyle w:val="2"/>
                    <w:spacing w:after="0"/>
                    <w:ind w:left="0" w:leftChars="0" w:firstLine="0"/>
                    <w:jc w:val="center"/>
                  </w:pPr>
                  <w:r>
                    <w:rPr>
                      <w:rFonts w:hint="eastAsia"/>
                    </w:rPr>
                    <w:t>2024.10.11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706" w:type="dxa"/>
                  <w:vMerge w:val="continue"/>
                  <w:vAlign w:val="center"/>
                </w:tcPr>
                <w:p>
                  <w:pPr>
                    <w:pStyle w:val="2"/>
                    <w:spacing w:after="0"/>
                    <w:ind w:left="0" w:leftChars="0" w:firstLine="0"/>
                    <w:jc w:val="center"/>
                  </w:pPr>
                </w:p>
              </w:tc>
              <w:tc>
                <w:tcPr>
                  <w:tcW w:w="2707" w:type="dxa"/>
                  <w:vAlign w:val="center"/>
                </w:tcPr>
                <w:p>
                  <w:pPr>
                    <w:pStyle w:val="2"/>
                    <w:spacing w:after="0"/>
                    <w:ind w:left="0" w:leftChars="0" w:firstLine="0"/>
                    <w:jc w:val="center"/>
                  </w:pPr>
                  <w:r>
                    <w:rPr>
                      <w:rFonts w:hint="eastAsia"/>
                    </w:rPr>
                    <w:t>昼间（Leq）</w:t>
                  </w:r>
                </w:p>
              </w:tc>
              <w:tc>
                <w:tcPr>
                  <w:tcW w:w="2707" w:type="dxa"/>
                  <w:vAlign w:val="center"/>
                </w:tcPr>
                <w:p>
                  <w:pPr>
                    <w:pStyle w:val="2"/>
                    <w:spacing w:after="0"/>
                    <w:ind w:left="0" w:leftChars="0" w:firstLine="0"/>
                    <w:jc w:val="center"/>
                  </w:pPr>
                  <w:r>
                    <w:rPr>
                      <w:rFonts w:hint="eastAsia"/>
                    </w:rPr>
                    <w:t>夜间（Leq）</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706" w:type="dxa"/>
                  <w:vAlign w:val="center"/>
                </w:tcPr>
                <w:p>
                  <w:pPr>
                    <w:pStyle w:val="2"/>
                    <w:spacing w:after="0"/>
                    <w:ind w:left="0" w:leftChars="0" w:firstLine="0"/>
                    <w:jc w:val="center"/>
                  </w:pPr>
                  <w:r>
                    <w:rPr>
                      <w:rFonts w:hint="eastAsia"/>
                    </w:rPr>
                    <w:t>检测点位</w:t>
                  </w:r>
                </w:p>
              </w:tc>
              <w:tc>
                <w:tcPr>
                  <w:tcW w:w="2707" w:type="dxa"/>
                  <w:vAlign w:val="center"/>
                </w:tcPr>
                <w:p>
                  <w:pPr>
                    <w:pStyle w:val="2"/>
                    <w:spacing w:after="0"/>
                    <w:ind w:left="0" w:leftChars="0" w:firstLine="0"/>
                    <w:jc w:val="center"/>
                  </w:pPr>
                  <w:r>
                    <w:rPr>
                      <w:rFonts w:hint="eastAsia"/>
                    </w:rPr>
                    <w:t>测定结果dB（A）</w:t>
                  </w:r>
                </w:p>
              </w:tc>
              <w:tc>
                <w:tcPr>
                  <w:tcW w:w="2707" w:type="dxa"/>
                  <w:vAlign w:val="center"/>
                </w:tcPr>
                <w:p>
                  <w:pPr>
                    <w:pStyle w:val="2"/>
                    <w:spacing w:after="0"/>
                    <w:ind w:left="0" w:leftChars="0" w:firstLine="0"/>
                    <w:jc w:val="center"/>
                  </w:pPr>
                  <w:r>
                    <w:rPr>
                      <w:rFonts w:hint="eastAsia"/>
                    </w:rPr>
                    <w:t>测定结果dB（A）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706" w:type="dxa"/>
                  <w:vAlign w:val="center"/>
                </w:tcPr>
                <w:p>
                  <w:pPr>
                    <w:pStyle w:val="2"/>
                    <w:spacing w:after="0"/>
                    <w:ind w:left="0" w:leftChars="0" w:firstLine="0"/>
                    <w:jc w:val="center"/>
                  </w:pPr>
                  <w:r>
                    <w:rPr>
                      <w:rFonts w:hint="eastAsia"/>
                    </w:rPr>
                    <w:t>北侧陈庄居民</w:t>
                  </w:r>
                </w:p>
              </w:tc>
              <w:tc>
                <w:tcPr>
                  <w:tcW w:w="2707" w:type="dxa"/>
                  <w:vAlign w:val="center"/>
                </w:tcPr>
                <w:p>
                  <w:pPr>
                    <w:pStyle w:val="2"/>
                    <w:spacing w:after="0"/>
                    <w:ind w:left="0" w:leftChars="0" w:firstLine="0"/>
                    <w:jc w:val="center"/>
                  </w:pPr>
                  <w:r>
                    <w:rPr>
                      <w:rFonts w:hint="eastAsia"/>
                    </w:rPr>
                    <w:t>51.2</w:t>
                  </w:r>
                </w:p>
              </w:tc>
              <w:tc>
                <w:tcPr>
                  <w:tcW w:w="2707" w:type="dxa"/>
                  <w:vAlign w:val="center"/>
                </w:tcPr>
                <w:p>
                  <w:pPr>
                    <w:pStyle w:val="2"/>
                    <w:spacing w:after="0"/>
                    <w:ind w:left="0" w:leftChars="0" w:firstLine="0"/>
                    <w:jc w:val="center"/>
                  </w:pPr>
                  <w:r>
                    <w:rPr>
                      <w:rFonts w:hint="eastAsia"/>
                    </w:rPr>
                    <w:t>41.0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706" w:type="dxa"/>
                  <w:vAlign w:val="center"/>
                </w:tcPr>
                <w:p>
                  <w:pPr>
                    <w:pStyle w:val="2"/>
                    <w:spacing w:after="0"/>
                    <w:ind w:left="0" w:leftChars="0" w:firstLine="0"/>
                    <w:jc w:val="center"/>
                  </w:pPr>
                  <w:r>
                    <w:rPr>
                      <w:rFonts w:hint="eastAsia"/>
                    </w:rPr>
                    <w:t>东侧陈庄居民</w:t>
                  </w:r>
                </w:p>
              </w:tc>
              <w:tc>
                <w:tcPr>
                  <w:tcW w:w="2707" w:type="dxa"/>
                  <w:vAlign w:val="center"/>
                </w:tcPr>
                <w:p>
                  <w:pPr>
                    <w:pStyle w:val="2"/>
                    <w:spacing w:after="0"/>
                    <w:ind w:left="0" w:leftChars="0" w:firstLine="0"/>
                    <w:jc w:val="center"/>
                  </w:pPr>
                  <w:r>
                    <w:rPr>
                      <w:rFonts w:hint="eastAsia"/>
                    </w:rPr>
                    <w:t>54.9</w:t>
                  </w:r>
                </w:p>
              </w:tc>
              <w:tc>
                <w:tcPr>
                  <w:tcW w:w="2707" w:type="dxa"/>
                  <w:vAlign w:val="center"/>
                </w:tcPr>
                <w:p>
                  <w:pPr>
                    <w:pStyle w:val="2"/>
                    <w:spacing w:after="0"/>
                    <w:ind w:left="0" w:leftChars="0" w:firstLine="0"/>
                    <w:jc w:val="center"/>
                  </w:pPr>
                  <w:r>
                    <w:rPr>
                      <w:rFonts w:hint="eastAsia"/>
                    </w:rPr>
                    <w:t>44.4</w:t>
                  </w:r>
                </w:p>
              </w:tc>
            </w:tr>
          </w:tbl>
          <w:p>
            <w:pPr>
              <w:tabs>
                <w:tab w:val="left" w:pos="1081"/>
              </w:tabs>
              <w:adjustRightInd w:val="0"/>
              <w:snapToGrid w:val="0"/>
              <w:spacing w:line="360" w:lineRule="auto"/>
              <w:ind w:firstLine="480" w:firstLineChars="200"/>
              <w:rPr>
                <w:bCs/>
                <w:color w:val="000000"/>
                <w:kern w:val="0"/>
                <w:sz w:val="24"/>
              </w:rPr>
            </w:pPr>
            <w:r>
              <w:rPr>
                <w:rFonts w:hint="eastAsia"/>
                <w:bCs/>
                <w:color w:val="000000"/>
                <w:kern w:val="0"/>
                <w:sz w:val="24"/>
              </w:rPr>
              <w:t>由上表可知，项目周围敏感点均能达到《声环境质量标准》（GB3096-2008）中2类区标准，区域声环境质量良好。</w:t>
            </w:r>
          </w:p>
          <w:p>
            <w:pPr>
              <w:tabs>
                <w:tab w:val="left" w:pos="1081"/>
              </w:tabs>
              <w:adjustRightInd w:val="0"/>
              <w:snapToGrid w:val="0"/>
              <w:spacing w:line="360" w:lineRule="auto"/>
              <w:ind w:firstLine="482" w:firstLineChars="200"/>
              <w:jc w:val="left"/>
              <w:rPr>
                <w:rFonts w:eastAsiaTheme="minorEastAsia"/>
                <w:b/>
                <w:color w:val="000000" w:themeColor="text1"/>
                <w:sz w:val="24"/>
                <w:szCs w:val="24"/>
              </w:rPr>
            </w:pPr>
            <w:r>
              <w:rPr>
                <w:rFonts w:hint="eastAsia" w:eastAsiaTheme="minorEastAsia"/>
                <w:b/>
                <w:color w:val="000000" w:themeColor="text1"/>
                <w:sz w:val="24"/>
                <w:szCs w:val="24"/>
              </w:rPr>
              <w:t>4、地下水、土壤环境质量现状</w:t>
            </w:r>
          </w:p>
          <w:p>
            <w:pPr>
              <w:adjustRightInd w:val="0"/>
              <w:snapToGrid w:val="0"/>
              <w:spacing w:line="360" w:lineRule="auto"/>
              <w:ind w:firstLine="480" w:firstLineChars="200"/>
              <w:rPr>
                <w:color w:val="000000" w:themeColor="text1"/>
                <w:sz w:val="24"/>
              </w:rPr>
            </w:pPr>
            <w:r>
              <w:rPr>
                <w:rFonts w:hint="eastAsia"/>
                <w:color w:val="000000" w:themeColor="text1"/>
                <w:sz w:val="24"/>
              </w:rPr>
              <w:t>本项目营运期厂区构筑物及地面均进行硬化，营运过程不存在地下水、土壤污染途径，</w:t>
            </w:r>
            <w:r>
              <w:rPr>
                <w:rFonts w:hint="eastAsia"/>
                <w:color w:val="000000"/>
                <w:sz w:val="24"/>
              </w:rPr>
              <w:t>根据编制技术指南要求，</w:t>
            </w:r>
            <w:r>
              <w:rPr>
                <w:rFonts w:hint="eastAsia"/>
                <w:color w:val="000000" w:themeColor="text1"/>
                <w:sz w:val="24"/>
              </w:rPr>
              <w:t>因此项目可不开展地下水及土壤现状质量调查。</w:t>
            </w:r>
          </w:p>
          <w:p>
            <w:pPr>
              <w:tabs>
                <w:tab w:val="left" w:pos="1081"/>
              </w:tabs>
              <w:adjustRightInd w:val="0"/>
              <w:snapToGrid w:val="0"/>
              <w:spacing w:line="360" w:lineRule="auto"/>
              <w:ind w:firstLine="482" w:firstLineChars="200"/>
              <w:rPr>
                <w:b/>
                <w:color w:val="000000"/>
                <w:sz w:val="24"/>
              </w:rPr>
            </w:pPr>
            <w:r>
              <w:rPr>
                <w:rFonts w:hint="eastAsia"/>
                <w:b/>
                <w:color w:val="000000"/>
                <w:sz w:val="24"/>
              </w:rPr>
              <w:t>5、生态环境</w:t>
            </w:r>
          </w:p>
          <w:p>
            <w:pPr>
              <w:adjustRightInd w:val="0"/>
              <w:snapToGrid w:val="0"/>
              <w:spacing w:line="360" w:lineRule="auto"/>
              <w:ind w:firstLine="480" w:firstLineChars="200"/>
            </w:pPr>
            <w:r>
              <w:rPr>
                <w:rFonts w:hint="eastAsia"/>
                <w:color w:val="000000" w:themeColor="text1"/>
                <w:sz w:val="24"/>
              </w:rPr>
              <w:t>本项目位于卧龙区蒲山镇</w:t>
            </w:r>
            <w:r>
              <w:rPr>
                <w:color w:val="000000"/>
                <w:sz w:val="24"/>
              </w:rPr>
              <w:t>棉花库路口向西20米路北</w:t>
            </w:r>
            <w:r>
              <w:rPr>
                <w:rFonts w:hint="eastAsia"/>
                <w:color w:val="000000" w:themeColor="text1"/>
                <w:sz w:val="24"/>
              </w:rPr>
              <w:t>，项目周边无生态环境敏感目标，根据编制技术指南要求，项目不需进行生态现状调查。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923" w:hRule="atLeast"/>
          <w:jc w:val="center"/>
        </w:trPr>
        <w:tc>
          <w:tcPr>
            <w:tcW w:w="732" w:type="dxa"/>
            <w:tcBorders>
              <w:tl2br w:val="nil"/>
              <w:tr2bl w:val="nil"/>
            </w:tcBorders>
            <w:vAlign w:val="center"/>
          </w:tcPr>
          <w:p>
            <w:pPr>
              <w:adjustRightInd w:val="0"/>
              <w:snapToGrid w:val="0"/>
              <w:spacing w:line="520" w:lineRule="exact"/>
              <w:jc w:val="center"/>
              <w:rPr>
                <w:kern w:val="21"/>
                <w:sz w:val="24"/>
                <w:szCs w:val="24"/>
              </w:rPr>
            </w:pPr>
            <w:r>
              <w:rPr>
                <w:kern w:val="21"/>
                <w:sz w:val="24"/>
                <w:szCs w:val="24"/>
              </w:rPr>
              <w:t>环境</w:t>
            </w:r>
          </w:p>
          <w:p>
            <w:pPr>
              <w:adjustRightInd w:val="0"/>
              <w:snapToGrid w:val="0"/>
              <w:spacing w:line="520" w:lineRule="exact"/>
              <w:jc w:val="center"/>
              <w:rPr>
                <w:kern w:val="21"/>
                <w:sz w:val="24"/>
                <w:szCs w:val="24"/>
              </w:rPr>
            </w:pPr>
            <w:r>
              <w:rPr>
                <w:kern w:val="21"/>
                <w:sz w:val="24"/>
                <w:szCs w:val="24"/>
              </w:rPr>
              <w:t>保护</w:t>
            </w:r>
          </w:p>
          <w:p>
            <w:pPr>
              <w:adjustRightInd w:val="0"/>
              <w:snapToGrid w:val="0"/>
              <w:spacing w:line="520" w:lineRule="exact"/>
              <w:jc w:val="center"/>
              <w:rPr>
                <w:kern w:val="21"/>
                <w:sz w:val="24"/>
                <w:szCs w:val="24"/>
              </w:rPr>
            </w:pPr>
            <w:r>
              <w:rPr>
                <w:kern w:val="21"/>
                <w:sz w:val="24"/>
                <w:szCs w:val="24"/>
              </w:rPr>
              <w:t>目标</w:t>
            </w:r>
          </w:p>
        </w:tc>
        <w:tc>
          <w:tcPr>
            <w:tcW w:w="8351" w:type="dxa"/>
            <w:tcBorders>
              <w:tl2br w:val="nil"/>
              <w:tr2bl w:val="nil"/>
            </w:tcBorders>
            <w:vAlign w:val="center"/>
          </w:tcPr>
          <w:p>
            <w:pPr>
              <w:tabs>
                <w:tab w:val="left" w:pos="1081"/>
              </w:tabs>
              <w:adjustRightInd w:val="0"/>
              <w:snapToGrid w:val="0"/>
              <w:spacing w:line="360" w:lineRule="auto"/>
              <w:ind w:firstLine="480" w:firstLineChars="200"/>
              <w:rPr>
                <w:color w:val="000000"/>
                <w:sz w:val="24"/>
                <w:lang w:val="en-GB"/>
              </w:rPr>
            </w:pPr>
            <w:r>
              <w:rPr>
                <w:color w:val="000000"/>
                <w:sz w:val="24"/>
                <w:lang w:val="en-GB"/>
              </w:rPr>
              <w:t>经现场调查，项目厂界外500m范围内无自然保护区、无风景名胜区，无地下水集中式饮用水水源和热水、矿泉水、温泉等特殊地下水资源；项目用地范围内无生态环境保护目标。项目周边环境保护目标详见表3</w:t>
            </w:r>
            <w:r>
              <w:rPr>
                <w:rFonts w:hint="eastAsia"/>
                <w:color w:val="000000"/>
                <w:sz w:val="24"/>
                <w:lang w:val="en-GB"/>
              </w:rPr>
              <w:t>-4</w:t>
            </w:r>
            <w:r>
              <w:rPr>
                <w:color w:val="000000"/>
                <w:sz w:val="24"/>
                <w:lang w:val="en-GB"/>
              </w:rPr>
              <w:t>。</w:t>
            </w:r>
          </w:p>
          <w:p>
            <w:pPr>
              <w:tabs>
                <w:tab w:val="left" w:pos="1081"/>
              </w:tabs>
              <w:adjustRightInd w:val="0"/>
              <w:snapToGrid w:val="0"/>
              <w:spacing w:line="360" w:lineRule="auto"/>
              <w:jc w:val="center"/>
              <w:rPr>
                <w:b/>
                <w:sz w:val="24"/>
                <w:szCs w:val="24"/>
              </w:rPr>
            </w:pPr>
            <w:bookmarkStart w:id="4" w:name="_Ref385408842"/>
            <w:r>
              <w:rPr>
                <w:b/>
                <w:sz w:val="24"/>
                <w:szCs w:val="24"/>
              </w:rPr>
              <w:t>表3-</w:t>
            </w:r>
            <w:r>
              <w:rPr>
                <w:rFonts w:hint="eastAsia"/>
                <w:b/>
                <w:sz w:val="24"/>
                <w:szCs w:val="24"/>
              </w:rPr>
              <w:t>4</w:t>
            </w:r>
            <w:r>
              <w:rPr>
                <w:b/>
                <w:sz w:val="24"/>
                <w:szCs w:val="24"/>
              </w:rPr>
              <w:t xml:space="preserve">     环境保护目标一览表</w:t>
            </w:r>
          </w:p>
          <w:bookmarkEnd w:id="4"/>
          <w:tbl>
            <w:tblPr>
              <w:tblStyle w:val="26"/>
              <w:tblW w:w="81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2"/>
              <w:gridCol w:w="885"/>
              <w:gridCol w:w="790"/>
              <w:gridCol w:w="790"/>
              <w:gridCol w:w="650"/>
              <w:gridCol w:w="691"/>
              <w:gridCol w:w="1838"/>
              <w:gridCol w:w="827"/>
              <w:gridCol w:w="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rPr>
              <w:tc>
                <w:tcPr>
                  <w:tcW w:w="802" w:type="dxa"/>
                  <w:vMerge w:val="restart"/>
                  <w:shd w:val="clear" w:color="auto" w:fill="auto"/>
                  <w:vAlign w:val="center"/>
                </w:tcPr>
                <w:p>
                  <w:pPr>
                    <w:jc w:val="center"/>
                    <w:rPr>
                      <w:color w:val="000000"/>
                      <w:szCs w:val="21"/>
                    </w:rPr>
                  </w:pPr>
                  <w:r>
                    <w:rPr>
                      <w:color w:val="000000"/>
                      <w:szCs w:val="21"/>
                    </w:rPr>
                    <w:t>环境要素</w:t>
                  </w:r>
                </w:p>
              </w:tc>
              <w:tc>
                <w:tcPr>
                  <w:tcW w:w="885" w:type="dxa"/>
                  <w:vMerge w:val="restart"/>
                  <w:shd w:val="clear" w:color="auto" w:fill="auto"/>
                  <w:vAlign w:val="center"/>
                </w:tcPr>
                <w:p>
                  <w:pPr>
                    <w:jc w:val="center"/>
                    <w:rPr>
                      <w:color w:val="000000"/>
                      <w:szCs w:val="21"/>
                    </w:rPr>
                  </w:pPr>
                  <w:r>
                    <w:rPr>
                      <w:color w:val="000000"/>
                      <w:szCs w:val="21"/>
                    </w:rPr>
                    <w:t>名称</w:t>
                  </w:r>
                </w:p>
              </w:tc>
              <w:tc>
                <w:tcPr>
                  <w:tcW w:w="1580" w:type="dxa"/>
                  <w:gridSpan w:val="2"/>
                  <w:shd w:val="clear" w:color="auto" w:fill="auto"/>
                  <w:vAlign w:val="center"/>
                </w:tcPr>
                <w:p>
                  <w:pPr>
                    <w:jc w:val="center"/>
                    <w:rPr>
                      <w:color w:val="000000"/>
                      <w:szCs w:val="21"/>
                    </w:rPr>
                  </w:pPr>
                  <w:r>
                    <w:rPr>
                      <w:color w:val="000000"/>
                      <w:szCs w:val="21"/>
                    </w:rPr>
                    <w:t>坐标</w:t>
                  </w:r>
                </w:p>
              </w:tc>
              <w:tc>
                <w:tcPr>
                  <w:tcW w:w="650" w:type="dxa"/>
                  <w:vMerge w:val="restart"/>
                  <w:shd w:val="clear" w:color="auto" w:fill="auto"/>
                  <w:vAlign w:val="center"/>
                </w:tcPr>
                <w:p>
                  <w:pPr>
                    <w:jc w:val="center"/>
                    <w:rPr>
                      <w:color w:val="000000"/>
                      <w:szCs w:val="21"/>
                    </w:rPr>
                  </w:pPr>
                  <w:r>
                    <w:rPr>
                      <w:color w:val="000000"/>
                      <w:szCs w:val="21"/>
                    </w:rPr>
                    <w:t>保护对象</w:t>
                  </w:r>
                </w:p>
              </w:tc>
              <w:tc>
                <w:tcPr>
                  <w:tcW w:w="691" w:type="dxa"/>
                  <w:vMerge w:val="restart"/>
                  <w:shd w:val="clear" w:color="auto" w:fill="auto"/>
                  <w:vAlign w:val="center"/>
                </w:tcPr>
                <w:p>
                  <w:pPr>
                    <w:jc w:val="center"/>
                    <w:rPr>
                      <w:color w:val="000000"/>
                      <w:szCs w:val="21"/>
                    </w:rPr>
                  </w:pPr>
                  <w:r>
                    <w:rPr>
                      <w:color w:val="000000"/>
                      <w:szCs w:val="21"/>
                    </w:rPr>
                    <w:t>保护内容</w:t>
                  </w:r>
                </w:p>
              </w:tc>
              <w:tc>
                <w:tcPr>
                  <w:tcW w:w="1838" w:type="dxa"/>
                  <w:vMerge w:val="restart"/>
                  <w:shd w:val="clear" w:color="auto" w:fill="auto"/>
                  <w:vAlign w:val="center"/>
                </w:tcPr>
                <w:p>
                  <w:pPr>
                    <w:jc w:val="center"/>
                    <w:rPr>
                      <w:color w:val="000000"/>
                      <w:szCs w:val="21"/>
                    </w:rPr>
                  </w:pPr>
                  <w:r>
                    <w:rPr>
                      <w:color w:val="000000"/>
                      <w:szCs w:val="21"/>
                    </w:rPr>
                    <w:t>环境功能区</w:t>
                  </w:r>
                </w:p>
              </w:tc>
              <w:tc>
                <w:tcPr>
                  <w:tcW w:w="827" w:type="dxa"/>
                  <w:vMerge w:val="restart"/>
                  <w:shd w:val="clear" w:color="auto" w:fill="auto"/>
                  <w:vAlign w:val="center"/>
                </w:tcPr>
                <w:p>
                  <w:pPr>
                    <w:jc w:val="center"/>
                    <w:rPr>
                      <w:color w:val="000000"/>
                      <w:szCs w:val="21"/>
                    </w:rPr>
                  </w:pPr>
                  <w:r>
                    <w:rPr>
                      <w:color w:val="000000"/>
                      <w:szCs w:val="21"/>
                    </w:rPr>
                    <w:t>相对厂址方位</w:t>
                  </w:r>
                </w:p>
              </w:tc>
              <w:tc>
                <w:tcPr>
                  <w:tcW w:w="852" w:type="dxa"/>
                  <w:vMerge w:val="restart"/>
                  <w:shd w:val="clear" w:color="auto" w:fill="auto"/>
                  <w:vAlign w:val="center"/>
                </w:tcPr>
                <w:p>
                  <w:pPr>
                    <w:jc w:val="center"/>
                    <w:rPr>
                      <w:color w:val="000000"/>
                      <w:szCs w:val="21"/>
                    </w:rPr>
                  </w:pPr>
                  <w:r>
                    <w:rPr>
                      <w:color w:val="000000"/>
                      <w:szCs w:val="21"/>
                    </w:rPr>
                    <w:t>相对厂界距离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4" w:hRule="atLeast"/>
              </w:trPr>
              <w:tc>
                <w:tcPr>
                  <w:tcW w:w="802" w:type="dxa"/>
                  <w:vMerge w:val="continue"/>
                  <w:shd w:val="clear" w:color="auto" w:fill="auto"/>
                  <w:vAlign w:val="center"/>
                </w:tcPr>
                <w:p>
                  <w:pPr>
                    <w:jc w:val="center"/>
                    <w:rPr>
                      <w:color w:val="000000"/>
                      <w:szCs w:val="21"/>
                    </w:rPr>
                  </w:pPr>
                </w:p>
              </w:tc>
              <w:tc>
                <w:tcPr>
                  <w:tcW w:w="885" w:type="dxa"/>
                  <w:vMerge w:val="continue"/>
                  <w:shd w:val="clear" w:color="auto" w:fill="auto"/>
                  <w:vAlign w:val="center"/>
                </w:tcPr>
                <w:p>
                  <w:pPr>
                    <w:jc w:val="center"/>
                    <w:rPr>
                      <w:color w:val="000000"/>
                      <w:szCs w:val="21"/>
                    </w:rPr>
                  </w:pPr>
                </w:p>
              </w:tc>
              <w:tc>
                <w:tcPr>
                  <w:tcW w:w="790" w:type="dxa"/>
                  <w:shd w:val="clear" w:color="auto" w:fill="auto"/>
                  <w:vAlign w:val="center"/>
                </w:tcPr>
                <w:p>
                  <w:pPr>
                    <w:jc w:val="center"/>
                    <w:rPr>
                      <w:color w:val="000000"/>
                      <w:szCs w:val="21"/>
                    </w:rPr>
                  </w:pPr>
                  <w:r>
                    <w:rPr>
                      <w:color w:val="000000"/>
                      <w:szCs w:val="21"/>
                    </w:rPr>
                    <w:t>经度</w:t>
                  </w:r>
                </w:p>
              </w:tc>
              <w:tc>
                <w:tcPr>
                  <w:tcW w:w="790" w:type="dxa"/>
                  <w:shd w:val="clear" w:color="auto" w:fill="auto"/>
                  <w:vAlign w:val="center"/>
                </w:tcPr>
                <w:p>
                  <w:pPr>
                    <w:jc w:val="center"/>
                    <w:rPr>
                      <w:color w:val="000000"/>
                      <w:szCs w:val="21"/>
                    </w:rPr>
                  </w:pPr>
                  <w:r>
                    <w:rPr>
                      <w:color w:val="000000"/>
                      <w:szCs w:val="21"/>
                    </w:rPr>
                    <w:t>纬度</w:t>
                  </w:r>
                </w:p>
              </w:tc>
              <w:tc>
                <w:tcPr>
                  <w:tcW w:w="650" w:type="dxa"/>
                  <w:vMerge w:val="continue"/>
                  <w:shd w:val="clear" w:color="auto" w:fill="auto"/>
                  <w:vAlign w:val="center"/>
                </w:tcPr>
                <w:p>
                  <w:pPr>
                    <w:jc w:val="center"/>
                    <w:rPr>
                      <w:color w:val="000000"/>
                      <w:szCs w:val="21"/>
                    </w:rPr>
                  </w:pPr>
                </w:p>
              </w:tc>
              <w:tc>
                <w:tcPr>
                  <w:tcW w:w="691" w:type="dxa"/>
                  <w:vMerge w:val="continue"/>
                  <w:shd w:val="clear" w:color="auto" w:fill="auto"/>
                  <w:vAlign w:val="center"/>
                </w:tcPr>
                <w:p>
                  <w:pPr>
                    <w:jc w:val="center"/>
                    <w:rPr>
                      <w:color w:val="000000"/>
                      <w:szCs w:val="21"/>
                    </w:rPr>
                  </w:pPr>
                </w:p>
              </w:tc>
              <w:tc>
                <w:tcPr>
                  <w:tcW w:w="1838" w:type="dxa"/>
                  <w:vMerge w:val="continue"/>
                  <w:shd w:val="clear" w:color="auto" w:fill="auto"/>
                  <w:vAlign w:val="center"/>
                </w:tcPr>
                <w:p>
                  <w:pPr>
                    <w:jc w:val="center"/>
                    <w:rPr>
                      <w:color w:val="000000"/>
                      <w:szCs w:val="21"/>
                    </w:rPr>
                  </w:pPr>
                </w:p>
              </w:tc>
              <w:tc>
                <w:tcPr>
                  <w:tcW w:w="827" w:type="dxa"/>
                  <w:vMerge w:val="continue"/>
                  <w:shd w:val="clear" w:color="auto" w:fill="auto"/>
                  <w:vAlign w:val="center"/>
                </w:tcPr>
                <w:p>
                  <w:pPr>
                    <w:jc w:val="center"/>
                    <w:rPr>
                      <w:color w:val="000000"/>
                      <w:szCs w:val="21"/>
                    </w:rPr>
                  </w:pPr>
                </w:p>
              </w:tc>
              <w:tc>
                <w:tcPr>
                  <w:tcW w:w="852" w:type="dxa"/>
                  <w:vMerge w:val="continue"/>
                  <w:shd w:val="clear" w:color="auto" w:fill="auto"/>
                  <w:vAlign w:val="center"/>
                </w:tcPr>
                <w:p>
                  <w:pPr>
                    <w:jc w:val="cente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8" w:hRule="atLeast"/>
              </w:trPr>
              <w:tc>
                <w:tcPr>
                  <w:tcW w:w="802" w:type="dxa"/>
                  <w:vMerge w:val="restart"/>
                  <w:shd w:val="clear" w:color="auto" w:fill="auto"/>
                  <w:vAlign w:val="center"/>
                </w:tcPr>
                <w:p>
                  <w:pPr>
                    <w:jc w:val="center"/>
                    <w:rPr>
                      <w:color w:val="000000"/>
                      <w:szCs w:val="21"/>
                    </w:rPr>
                  </w:pPr>
                  <w:r>
                    <w:rPr>
                      <w:color w:val="000000"/>
                      <w:szCs w:val="21"/>
                    </w:rPr>
                    <w:t>大气环境</w:t>
                  </w:r>
                </w:p>
              </w:tc>
              <w:tc>
                <w:tcPr>
                  <w:tcW w:w="885" w:type="dxa"/>
                  <w:shd w:val="clear" w:color="auto" w:fill="auto"/>
                  <w:vAlign w:val="center"/>
                </w:tcPr>
                <w:p>
                  <w:pPr>
                    <w:adjustRightInd w:val="0"/>
                    <w:snapToGrid w:val="0"/>
                    <w:jc w:val="center"/>
                    <w:rPr>
                      <w:color w:val="000000"/>
                      <w:szCs w:val="21"/>
                    </w:rPr>
                  </w:pPr>
                  <w:r>
                    <w:rPr>
                      <w:rFonts w:hint="eastAsia" w:hAnsi="宋体"/>
                      <w:color w:val="000000"/>
                      <w:szCs w:val="21"/>
                    </w:rPr>
                    <w:t>东侧陈庄</w:t>
                  </w:r>
                  <w:r>
                    <w:rPr>
                      <w:rFonts w:hint="eastAsia"/>
                      <w:color w:val="000000"/>
                      <w:szCs w:val="21"/>
                    </w:rPr>
                    <w:t>散户</w:t>
                  </w:r>
                </w:p>
              </w:tc>
              <w:tc>
                <w:tcPr>
                  <w:tcW w:w="790" w:type="dxa"/>
                  <w:shd w:val="clear" w:color="auto" w:fill="auto"/>
                  <w:vAlign w:val="center"/>
                </w:tcPr>
                <w:p>
                  <w:pPr>
                    <w:ind w:left="-105" w:leftChars="-50" w:right="-105" w:rightChars="-50"/>
                    <w:jc w:val="center"/>
                    <w:rPr>
                      <w:color w:val="000000"/>
                      <w:szCs w:val="21"/>
                    </w:rPr>
                  </w:pPr>
                  <w:r>
                    <w:rPr>
                      <w:color w:val="000000"/>
                      <w:szCs w:val="21"/>
                    </w:rPr>
                    <w:t>112.5929</w:t>
                  </w:r>
                </w:p>
              </w:tc>
              <w:tc>
                <w:tcPr>
                  <w:tcW w:w="790" w:type="dxa"/>
                  <w:shd w:val="clear" w:color="auto" w:fill="auto"/>
                  <w:vAlign w:val="center"/>
                </w:tcPr>
                <w:p>
                  <w:pPr>
                    <w:ind w:left="-105" w:leftChars="-50" w:right="-105" w:rightChars="-50"/>
                    <w:jc w:val="center"/>
                    <w:rPr>
                      <w:color w:val="000000"/>
                      <w:szCs w:val="21"/>
                    </w:rPr>
                  </w:pPr>
                  <w:r>
                    <w:rPr>
                      <w:color w:val="000000"/>
                      <w:szCs w:val="21"/>
                    </w:rPr>
                    <w:t>33.1074</w:t>
                  </w:r>
                </w:p>
              </w:tc>
              <w:tc>
                <w:tcPr>
                  <w:tcW w:w="650" w:type="dxa"/>
                  <w:shd w:val="clear" w:color="auto" w:fill="auto"/>
                  <w:vAlign w:val="center"/>
                </w:tcPr>
                <w:p>
                  <w:pPr>
                    <w:jc w:val="center"/>
                    <w:rPr>
                      <w:color w:val="000000"/>
                      <w:szCs w:val="21"/>
                    </w:rPr>
                  </w:pPr>
                  <w:r>
                    <w:rPr>
                      <w:rFonts w:hint="eastAsia"/>
                      <w:color w:val="000000"/>
                      <w:szCs w:val="21"/>
                    </w:rPr>
                    <w:t>居民</w:t>
                  </w:r>
                </w:p>
              </w:tc>
              <w:tc>
                <w:tcPr>
                  <w:tcW w:w="691" w:type="dxa"/>
                  <w:shd w:val="clear" w:color="auto" w:fill="auto"/>
                  <w:vAlign w:val="center"/>
                </w:tcPr>
                <w:p>
                  <w:pPr>
                    <w:jc w:val="center"/>
                    <w:rPr>
                      <w:color w:val="000000"/>
                      <w:szCs w:val="21"/>
                    </w:rPr>
                  </w:pPr>
                  <w:r>
                    <w:rPr>
                      <w:rFonts w:hint="eastAsia"/>
                      <w:color w:val="000000"/>
                      <w:szCs w:val="21"/>
                    </w:rPr>
                    <w:t>人群</w:t>
                  </w:r>
                </w:p>
              </w:tc>
              <w:tc>
                <w:tcPr>
                  <w:tcW w:w="1838" w:type="dxa"/>
                  <w:vMerge w:val="restart"/>
                  <w:shd w:val="clear" w:color="auto" w:fill="auto"/>
                  <w:vAlign w:val="center"/>
                </w:tcPr>
                <w:p>
                  <w:pPr>
                    <w:jc w:val="center"/>
                    <w:rPr>
                      <w:color w:val="000000"/>
                      <w:szCs w:val="21"/>
                    </w:rPr>
                  </w:pPr>
                  <w:r>
                    <w:rPr>
                      <w:color w:val="000000"/>
                      <w:szCs w:val="21"/>
                    </w:rPr>
                    <w:t>《环境空气质量标准》（GB3095-2012）二级标准</w:t>
                  </w:r>
                </w:p>
              </w:tc>
              <w:tc>
                <w:tcPr>
                  <w:tcW w:w="827" w:type="dxa"/>
                  <w:shd w:val="clear" w:color="auto" w:fill="auto"/>
                  <w:vAlign w:val="center"/>
                </w:tcPr>
                <w:p>
                  <w:pPr>
                    <w:jc w:val="center"/>
                    <w:rPr>
                      <w:color w:val="000000"/>
                      <w:szCs w:val="21"/>
                    </w:rPr>
                  </w:pPr>
                  <w:r>
                    <w:rPr>
                      <w:rFonts w:hint="eastAsia"/>
                      <w:color w:val="000000"/>
                      <w:szCs w:val="21"/>
                    </w:rPr>
                    <w:t>E</w:t>
                  </w:r>
                </w:p>
              </w:tc>
              <w:tc>
                <w:tcPr>
                  <w:tcW w:w="852" w:type="dxa"/>
                  <w:shd w:val="clear" w:color="auto" w:fill="auto"/>
                  <w:vAlign w:val="center"/>
                </w:tcPr>
                <w:p>
                  <w:pPr>
                    <w:jc w:val="center"/>
                    <w:rPr>
                      <w:color w:val="000000"/>
                      <w:szCs w:val="21"/>
                    </w:rPr>
                  </w:pPr>
                  <w:r>
                    <w:rPr>
                      <w:rFonts w:hint="eastAsia"/>
                      <w:color w:val="000000"/>
                      <w:szCs w:val="21"/>
                    </w:rPr>
                    <w:t>10</w:t>
                  </w:r>
                  <w:r>
                    <w:rPr>
                      <w:color w:val="000000"/>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8" w:hRule="atLeast"/>
              </w:trPr>
              <w:tc>
                <w:tcPr>
                  <w:tcW w:w="802" w:type="dxa"/>
                  <w:vMerge w:val="continue"/>
                  <w:shd w:val="clear" w:color="auto" w:fill="auto"/>
                  <w:vAlign w:val="center"/>
                </w:tcPr>
                <w:p>
                  <w:pPr>
                    <w:jc w:val="center"/>
                    <w:rPr>
                      <w:color w:val="000000"/>
                      <w:szCs w:val="21"/>
                    </w:rPr>
                  </w:pPr>
                </w:p>
              </w:tc>
              <w:tc>
                <w:tcPr>
                  <w:tcW w:w="885" w:type="dxa"/>
                  <w:shd w:val="clear" w:color="auto" w:fill="auto"/>
                  <w:vAlign w:val="center"/>
                </w:tcPr>
                <w:p>
                  <w:pPr>
                    <w:adjustRightInd w:val="0"/>
                    <w:snapToGrid w:val="0"/>
                    <w:jc w:val="center"/>
                    <w:rPr>
                      <w:rFonts w:hAnsi="宋体"/>
                      <w:color w:val="000000"/>
                      <w:szCs w:val="21"/>
                    </w:rPr>
                  </w:pPr>
                  <w:r>
                    <w:rPr>
                      <w:rFonts w:hint="eastAsia" w:hAnsi="宋体"/>
                      <w:color w:val="000000"/>
                      <w:szCs w:val="21"/>
                    </w:rPr>
                    <w:t>北侧陈庄散户</w:t>
                  </w:r>
                </w:p>
              </w:tc>
              <w:tc>
                <w:tcPr>
                  <w:tcW w:w="790" w:type="dxa"/>
                  <w:shd w:val="clear" w:color="auto" w:fill="auto"/>
                  <w:vAlign w:val="center"/>
                </w:tcPr>
                <w:p>
                  <w:pPr>
                    <w:ind w:left="-105" w:leftChars="-50" w:right="-105" w:rightChars="-50"/>
                    <w:jc w:val="center"/>
                    <w:rPr>
                      <w:color w:val="000000"/>
                      <w:szCs w:val="21"/>
                    </w:rPr>
                  </w:pPr>
                  <w:r>
                    <w:rPr>
                      <w:color w:val="000000"/>
                      <w:szCs w:val="21"/>
                    </w:rPr>
                    <w:t>112.5931</w:t>
                  </w:r>
                </w:p>
              </w:tc>
              <w:tc>
                <w:tcPr>
                  <w:tcW w:w="790" w:type="dxa"/>
                  <w:shd w:val="clear" w:color="auto" w:fill="auto"/>
                  <w:vAlign w:val="center"/>
                </w:tcPr>
                <w:p>
                  <w:pPr>
                    <w:ind w:left="-105" w:leftChars="-50" w:right="-105" w:rightChars="-50"/>
                    <w:jc w:val="center"/>
                    <w:rPr>
                      <w:color w:val="000000"/>
                      <w:szCs w:val="21"/>
                    </w:rPr>
                  </w:pPr>
                  <w:r>
                    <w:rPr>
                      <w:color w:val="000000"/>
                      <w:szCs w:val="21"/>
                    </w:rPr>
                    <w:t>33.1078</w:t>
                  </w:r>
                </w:p>
              </w:tc>
              <w:tc>
                <w:tcPr>
                  <w:tcW w:w="650" w:type="dxa"/>
                  <w:shd w:val="clear" w:color="auto" w:fill="auto"/>
                  <w:vAlign w:val="center"/>
                </w:tcPr>
                <w:p>
                  <w:pPr>
                    <w:jc w:val="center"/>
                    <w:rPr>
                      <w:color w:val="000000"/>
                      <w:szCs w:val="21"/>
                    </w:rPr>
                  </w:pPr>
                  <w:r>
                    <w:rPr>
                      <w:rFonts w:hint="eastAsia"/>
                      <w:color w:val="000000"/>
                      <w:szCs w:val="21"/>
                    </w:rPr>
                    <w:t>居民</w:t>
                  </w:r>
                </w:p>
              </w:tc>
              <w:tc>
                <w:tcPr>
                  <w:tcW w:w="691" w:type="dxa"/>
                  <w:shd w:val="clear" w:color="auto" w:fill="auto"/>
                  <w:vAlign w:val="center"/>
                </w:tcPr>
                <w:p>
                  <w:pPr>
                    <w:jc w:val="center"/>
                    <w:rPr>
                      <w:color w:val="000000"/>
                      <w:szCs w:val="21"/>
                    </w:rPr>
                  </w:pPr>
                  <w:r>
                    <w:rPr>
                      <w:rFonts w:hint="eastAsia"/>
                      <w:color w:val="000000"/>
                      <w:szCs w:val="21"/>
                    </w:rPr>
                    <w:t>人群</w:t>
                  </w:r>
                </w:p>
              </w:tc>
              <w:tc>
                <w:tcPr>
                  <w:tcW w:w="1838" w:type="dxa"/>
                  <w:vMerge w:val="continue"/>
                  <w:shd w:val="clear" w:color="auto" w:fill="auto"/>
                  <w:vAlign w:val="center"/>
                </w:tcPr>
                <w:p>
                  <w:pPr>
                    <w:jc w:val="center"/>
                    <w:rPr>
                      <w:color w:val="000000"/>
                      <w:szCs w:val="21"/>
                    </w:rPr>
                  </w:pPr>
                </w:p>
              </w:tc>
              <w:tc>
                <w:tcPr>
                  <w:tcW w:w="827" w:type="dxa"/>
                  <w:shd w:val="clear" w:color="auto" w:fill="auto"/>
                  <w:vAlign w:val="center"/>
                </w:tcPr>
                <w:p>
                  <w:pPr>
                    <w:jc w:val="center"/>
                    <w:rPr>
                      <w:color w:val="000000"/>
                      <w:szCs w:val="21"/>
                    </w:rPr>
                  </w:pPr>
                  <w:r>
                    <w:rPr>
                      <w:rFonts w:hint="eastAsia"/>
                      <w:color w:val="000000"/>
                      <w:szCs w:val="21"/>
                    </w:rPr>
                    <w:t>N</w:t>
                  </w:r>
                </w:p>
              </w:tc>
              <w:tc>
                <w:tcPr>
                  <w:tcW w:w="852" w:type="dxa"/>
                  <w:shd w:val="clear" w:color="auto" w:fill="auto"/>
                  <w:vAlign w:val="center"/>
                </w:tcPr>
                <w:p>
                  <w:pPr>
                    <w:jc w:val="center"/>
                    <w:rPr>
                      <w:color w:val="000000"/>
                      <w:szCs w:val="21"/>
                    </w:rPr>
                  </w:pPr>
                  <w:r>
                    <w:rPr>
                      <w:rFonts w:hint="eastAsia"/>
                      <w:color w:val="000000"/>
                      <w:szCs w:val="21"/>
                    </w:rPr>
                    <w:t>26m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8" w:hRule="atLeast"/>
              </w:trPr>
              <w:tc>
                <w:tcPr>
                  <w:tcW w:w="802" w:type="dxa"/>
                  <w:vMerge w:val="continue"/>
                  <w:shd w:val="clear" w:color="auto" w:fill="auto"/>
                  <w:vAlign w:val="center"/>
                </w:tcPr>
                <w:p>
                  <w:pPr>
                    <w:jc w:val="center"/>
                    <w:rPr>
                      <w:color w:val="000000"/>
                      <w:szCs w:val="21"/>
                    </w:rPr>
                  </w:pPr>
                </w:p>
              </w:tc>
              <w:tc>
                <w:tcPr>
                  <w:tcW w:w="885" w:type="dxa"/>
                  <w:shd w:val="clear" w:color="auto" w:fill="auto"/>
                  <w:vAlign w:val="center"/>
                </w:tcPr>
                <w:p>
                  <w:pPr>
                    <w:adjustRightInd w:val="0"/>
                    <w:snapToGrid w:val="0"/>
                    <w:jc w:val="center"/>
                    <w:rPr>
                      <w:color w:val="000000"/>
                      <w:szCs w:val="21"/>
                    </w:rPr>
                  </w:pPr>
                  <w:r>
                    <w:rPr>
                      <w:rFonts w:hint="eastAsia" w:hAnsi="宋体"/>
                      <w:color w:val="000000"/>
                      <w:szCs w:val="21"/>
                    </w:rPr>
                    <w:t>熊坟岗</w:t>
                  </w:r>
                </w:p>
              </w:tc>
              <w:tc>
                <w:tcPr>
                  <w:tcW w:w="790" w:type="dxa"/>
                  <w:shd w:val="clear" w:color="auto" w:fill="auto"/>
                  <w:vAlign w:val="center"/>
                </w:tcPr>
                <w:p>
                  <w:pPr>
                    <w:ind w:left="-105" w:leftChars="-50" w:right="-105" w:rightChars="-50"/>
                    <w:jc w:val="center"/>
                    <w:rPr>
                      <w:color w:val="000000"/>
                      <w:szCs w:val="21"/>
                    </w:rPr>
                  </w:pPr>
                  <w:r>
                    <w:rPr>
                      <w:color w:val="000000"/>
                      <w:szCs w:val="21"/>
                    </w:rPr>
                    <w:t>112.5909</w:t>
                  </w:r>
                </w:p>
              </w:tc>
              <w:tc>
                <w:tcPr>
                  <w:tcW w:w="790" w:type="dxa"/>
                  <w:shd w:val="clear" w:color="auto" w:fill="auto"/>
                  <w:vAlign w:val="center"/>
                </w:tcPr>
                <w:p>
                  <w:pPr>
                    <w:ind w:left="-105" w:leftChars="-50" w:right="-105" w:rightChars="-50"/>
                    <w:jc w:val="center"/>
                    <w:rPr>
                      <w:color w:val="000000"/>
                      <w:szCs w:val="21"/>
                    </w:rPr>
                  </w:pPr>
                  <w:r>
                    <w:rPr>
                      <w:color w:val="000000"/>
                      <w:szCs w:val="21"/>
                    </w:rPr>
                    <w:t>33.1045</w:t>
                  </w:r>
                </w:p>
              </w:tc>
              <w:tc>
                <w:tcPr>
                  <w:tcW w:w="650" w:type="dxa"/>
                  <w:shd w:val="clear" w:color="auto" w:fill="auto"/>
                  <w:vAlign w:val="center"/>
                </w:tcPr>
                <w:p>
                  <w:pPr>
                    <w:jc w:val="center"/>
                    <w:rPr>
                      <w:color w:val="000000"/>
                      <w:szCs w:val="21"/>
                    </w:rPr>
                  </w:pPr>
                  <w:r>
                    <w:rPr>
                      <w:rFonts w:hint="eastAsia"/>
                      <w:color w:val="000000"/>
                      <w:szCs w:val="21"/>
                    </w:rPr>
                    <w:t>居民</w:t>
                  </w:r>
                </w:p>
              </w:tc>
              <w:tc>
                <w:tcPr>
                  <w:tcW w:w="691" w:type="dxa"/>
                  <w:shd w:val="clear" w:color="auto" w:fill="auto"/>
                  <w:vAlign w:val="center"/>
                </w:tcPr>
                <w:p>
                  <w:pPr>
                    <w:jc w:val="center"/>
                    <w:rPr>
                      <w:color w:val="000000"/>
                      <w:szCs w:val="21"/>
                    </w:rPr>
                  </w:pPr>
                  <w:r>
                    <w:rPr>
                      <w:rFonts w:hint="eastAsia"/>
                      <w:color w:val="000000"/>
                      <w:szCs w:val="21"/>
                    </w:rPr>
                    <w:t>人群</w:t>
                  </w:r>
                </w:p>
              </w:tc>
              <w:tc>
                <w:tcPr>
                  <w:tcW w:w="1838" w:type="dxa"/>
                  <w:vMerge w:val="continue"/>
                  <w:shd w:val="clear" w:color="auto" w:fill="auto"/>
                  <w:vAlign w:val="center"/>
                </w:tcPr>
                <w:p>
                  <w:pPr>
                    <w:jc w:val="center"/>
                    <w:rPr>
                      <w:color w:val="000000"/>
                      <w:szCs w:val="21"/>
                    </w:rPr>
                  </w:pPr>
                </w:p>
              </w:tc>
              <w:tc>
                <w:tcPr>
                  <w:tcW w:w="827" w:type="dxa"/>
                  <w:shd w:val="clear" w:color="auto" w:fill="auto"/>
                  <w:vAlign w:val="center"/>
                </w:tcPr>
                <w:p>
                  <w:pPr>
                    <w:jc w:val="center"/>
                    <w:rPr>
                      <w:color w:val="000000"/>
                      <w:szCs w:val="21"/>
                    </w:rPr>
                  </w:pPr>
                  <w:r>
                    <w:rPr>
                      <w:rFonts w:hint="eastAsia"/>
                      <w:color w:val="000000"/>
                      <w:szCs w:val="21"/>
                    </w:rPr>
                    <w:t>S</w:t>
                  </w:r>
                </w:p>
              </w:tc>
              <w:tc>
                <w:tcPr>
                  <w:tcW w:w="852" w:type="dxa"/>
                  <w:shd w:val="clear" w:color="auto" w:fill="auto"/>
                  <w:vAlign w:val="center"/>
                </w:tcPr>
                <w:p>
                  <w:pPr>
                    <w:jc w:val="center"/>
                    <w:rPr>
                      <w:color w:val="000000"/>
                      <w:szCs w:val="21"/>
                    </w:rPr>
                  </w:pPr>
                  <w:r>
                    <w:rPr>
                      <w:rFonts w:hint="eastAsia"/>
                      <w:color w:val="000000"/>
                      <w:szCs w:val="21"/>
                    </w:rPr>
                    <w:t>266</w:t>
                  </w:r>
                  <w:r>
                    <w:rPr>
                      <w:color w:val="000000"/>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8" w:hRule="atLeast"/>
              </w:trPr>
              <w:tc>
                <w:tcPr>
                  <w:tcW w:w="802" w:type="dxa"/>
                  <w:vMerge w:val="continue"/>
                  <w:shd w:val="clear" w:color="auto" w:fill="auto"/>
                  <w:vAlign w:val="center"/>
                </w:tcPr>
                <w:p>
                  <w:pPr>
                    <w:jc w:val="center"/>
                    <w:rPr>
                      <w:color w:val="000000"/>
                      <w:szCs w:val="21"/>
                    </w:rPr>
                  </w:pPr>
                </w:p>
              </w:tc>
              <w:tc>
                <w:tcPr>
                  <w:tcW w:w="885" w:type="dxa"/>
                  <w:shd w:val="clear" w:color="auto" w:fill="auto"/>
                  <w:vAlign w:val="center"/>
                </w:tcPr>
                <w:p>
                  <w:pPr>
                    <w:adjustRightInd w:val="0"/>
                    <w:snapToGrid w:val="0"/>
                    <w:jc w:val="center"/>
                    <w:rPr>
                      <w:rFonts w:hAnsi="宋体"/>
                      <w:color w:val="000000"/>
                      <w:szCs w:val="21"/>
                    </w:rPr>
                  </w:pPr>
                  <w:r>
                    <w:rPr>
                      <w:rFonts w:hint="eastAsia" w:hAnsi="宋体"/>
                      <w:color w:val="000000"/>
                      <w:szCs w:val="21"/>
                    </w:rPr>
                    <w:t>余庄</w:t>
                  </w:r>
                </w:p>
              </w:tc>
              <w:tc>
                <w:tcPr>
                  <w:tcW w:w="790" w:type="dxa"/>
                  <w:shd w:val="clear" w:color="auto" w:fill="auto"/>
                  <w:vAlign w:val="center"/>
                </w:tcPr>
                <w:p>
                  <w:pPr>
                    <w:ind w:left="-105" w:leftChars="-50" w:right="-105" w:rightChars="-50"/>
                    <w:jc w:val="center"/>
                    <w:rPr>
                      <w:color w:val="000000"/>
                      <w:szCs w:val="21"/>
                    </w:rPr>
                  </w:pPr>
                  <w:r>
                    <w:rPr>
                      <w:color w:val="000000"/>
                      <w:szCs w:val="21"/>
                    </w:rPr>
                    <w:t>112.5942</w:t>
                  </w:r>
                </w:p>
              </w:tc>
              <w:tc>
                <w:tcPr>
                  <w:tcW w:w="790" w:type="dxa"/>
                  <w:shd w:val="clear" w:color="auto" w:fill="auto"/>
                  <w:vAlign w:val="center"/>
                </w:tcPr>
                <w:p>
                  <w:pPr>
                    <w:ind w:left="-105" w:leftChars="-50" w:right="-105" w:rightChars="-50"/>
                    <w:jc w:val="center"/>
                    <w:rPr>
                      <w:color w:val="000000"/>
                      <w:szCs w:val="21"/>
                    </w:rPr>
                  </w:pPr>
                  <w:r>
                    <w:rPr>
                      <w:color w:val="000000"/>
                      <w:szCs w:val="21"/>
                    </w:rPr>
                    <w:t>33.1027</w:t>
                  </w:r>
                </w:p>
              </w:tc>
              <w:tc>
                <w:tcPr>
                  <w:tcW w:w="650" w:type="dxa"/>
                  <w:shd w:val="clear" w:color="auto" w:fill="auto"/>
                  <w:vAlign w:val="center"/>
                </w:tcPr>
                <w:p>
                  <w:pPr>
                    <w:jc w:val="center"/>
                    <w:rPr>
                      <w:color w:val="000000"/>
                      <w:szCs w:val="21"/>
                    </w:rPr>
                  </w:pPr>
                  <w:r>
                    <w:rPr>
                      <w:rFonts w:hint="eastAsia"/>
                      <w:color w:val="000000"/>
                      <w:szCs w:val="21"/>
                    </w:rPr>
                    <w:t>居民</w:t>
                  </w:r>
                </w:p>
              </w:tc>
              <w:tc>
                <w:tcPr>
                  <w:tcW w:w="691" w:type="dxa"/>
                  <w:shd w:val="clear" w:color="auto" w:fill="auto"/>
                  <w:vAlign w:val="center"/>
                </w:tcPr>
                <w:p>
                  <w:pPr>
                    <w:jc w:val="center"/>
                    <w:rPr>
                      <w:color w:val="000000"/>
                      <w:szCs w:val="21"/>
                    </w:rPr>
                  </w:pPr>
                  <w:r>
                    <w:rPr>
                      <w:rFonts w:hint="eastAsia"/>
                      <w:color w:val="000000"/>
                      <w:szCs w:val="21"/>
                    </w:rPr>
                    <w:t>人群</w:t>
                  </w:r>
                </w:p>
              </w:tc>
              <w:tc>
                <w:tcPr>
                  <w:tcW w:w="1838" w:type="dxa"/>
                  <w:vMerge w:val="continue"/>
                  <w:shd w:val="clear" w:color="auto" w:fill="auto"/>
                  <w:vAlign w:val="center"/>
                </w:tcPr>
                <w:p>
                  <w:pPr>
                    <w:jc w:val="center"/>
                    <w:rPr>
                      <w:color w:val="000000"/>
                      <w:szCs w:val="21"/>
                    </w:rPr>
                  </w:pPr>
                </w:p>
              </w:tc>
              <w:tc>
                <w:tcPr>
                  <w:tcW w:w="827" w:type="dxa"/>
                  <w:shd w:val="clear" w:color="auto" w:fill="auto"/>
                  <w:vAlign w:val="center"/>
                </w:tcPr>
                <w:p>
                  <w:pPr>
                    <w:jc w:val="center"/>
                    <w:rPr>
                      <w:color w:val="000000"/>
                      <w:szCs w:val="21"/>
                    </w:rPr>
                  </w:pPr>
                  <w:r>
                    <w:rPr>
                      <w:rFonts w:hint="eastAsia"/>
                      <w:color w:val="000000"/>
                      <w:szCs w:val="21"/>
                    </w:rPr>
                    <w:t>SE</w:t>
                  </w:r>
                </w:p>
              </w:tc>
              <w:tc>
                <w:tcPr>
                  <w:tcW w:w="852" w:type="dxa"/>
                  <w:shd w:val="clear" w:color="auto" w:fill="auto"/>
                  <w:vAlign w:val="center"/>
                </w:tcPr>
                <w:p>
                  <w:pPr>
                    <w:jc w:val="center"/>
                    <w:rPr>
                      <w:color w:val="000000"/>
                      <w:szCs w:val="21"/>
                    </w:rPr>
                  </w:pPr>
                  <w:r>
                    <w:rPr>
                      <w:rFonts w:hint="eastAsia"/>
                      <w:color w:val="000000"/>
                      <w:szCs w:val="21"/>
                    </w:rPr>
                    <w:t>410m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8" w:hRule="atLeast"/>
              </w:trPr>
              <w:tc>
                <w:tcPr>
                  <w:tcW w:w="802" w:type="dxa"/>
                  <w:vMerge w:val="continue"/>
                  <w:shd w:val="clear" w:color="auto" w:fill="auto"/>
                  <w:vAlign w:val="center"/>
                </w:tcPr>
                <w:p>
                  <w:pPr>
                    <w:jc w:val="center"/>
                    <w:rPr>
                      <w:color w:val="000000"/>
                      <w:szCs w:val="21"/>
                    </w:rPr>
                  </w:pPr>
                </w:p>
              </w:tc>
              <w:tc>
                <w:tcPr>
                  <w:tcW w:w="885" w:type="dxa"/>
                  <w:shd w:val="clear" w:color="auto" w:fill="auto"/>
                  <w:vAlign w:val="center"/>
                </w:tcPr>
                <w:p>
                  <w:pPr>
                    <w:adjustRightInd w:val="0"/>
                    <w:snapToGrid w:val="0"/>
                    <w:jc w:val="center"/>
                    <w:rPr>
                      <w:bCs/>
                      <w:color w:val="000000"/>
                      <w:szCs w:val="21"/>
                    </w:rPr>
                  </w:pPr>
                  <w:r>
                    <w:rPr>
                      <w:rFonts w:hint="eastAsia" w:hAnsi="宋体"/>
                      <w:bCs/>
                      <w:color w:val="000000"/>
                      <w:szCs w:val="21"/>
                    </w:rPr>
                    <w:t>姜庄</w:t>
                  </w:r>
                </w:p>
              </w:tc>
              <w:tc>
                <w:tcPr>
                  <w:tcW w:w="790" w:type="dxa"/>
                  <w:shd w:val="clear" w:color="auto" w:fill="auto"/>
                  <w:vAlign w:val="center"/>
                </w:tcPr>
                <w:p>
                  <w:pPr>
                    <w:ind w:left="-105" w:leftChars="-50" w:right="-105" w:rightChars="-50"/>
                    <w:jc w:val="center"/>
                    <w:rPr>
                      <w:color w:val="000000"/>
                      <w:szCs w:val="21"/>
                    </w:rPr>
                  </w:pPr>
                  <w:r>
                    <w:rPr>
                      <w:color w:val="000000"/>
                      <w:szCs w:val="21"/>
                    </w:rPr>
                    <w:t>112.5935</w:t>
                  </w:r>
                </w:p>
              </w:tc>
              <w:tc>
                <w:tcPr>
                  <w:tcW w:w="790" w:type="dxa"/>
                  <w:shd w:val="clear" w:color="auto" w:fill="auto"/>
                  <w:vAlign w:val="center"/>
                </w:tcPr>
                <w:p>
                  <w:pPr>
                    <w:ind w:left="-105" w:leftChars="-50" w:right="-105" w:rightChars="-50"/>
                    <w:jc w:val="center"/>
                    <w:rPr>
                      <w:color w:val="000000"/>
                      <w:szCs w:val="21"/>
                    </w:rPr>
                  </w:pPr>
                  <w:r>
                    <w:rPr>
                      <w:color w:val="000000"/>
                      <w:szCs w:val="21"/>
                    </w:rPr>
                    <w:t>33.1124</w:t>
                  </w:r>
                </w:p>
              </w:tc>
              <w:tc>
                <w:tcPr>
                  <w:tcW w:w="650" w:type="dxa"/>
                  <w:shd w:val="clear" w:color="auto" w:fill="auto"/>
                  <w:vAlign w:val="center"/>
                </w:tcPr>
                <w:p>
                  <w:pPr>
                    <w:jc w:val="center"/>
                    <w:rPr>
                      <w:color w:val="000000"/>
                      <w:szCs w:val="21"/>
                    </w:rPr>
                  </w:pPr>
                  <w:r>
                    <w:rPr>
                      <w:rFonts w:hint="eastAsia"/>
                      <w:color w:val="000000"/>
                      <w:szCs w:val="21"/>
                    </w:rPr>
                    <w:t>居民</w:t>
                  </w:r>
                </w:p>
              </w:tc>
              <w:tc>
                <w:tcPr>
                  <w:tcW w:w="691" w:type="dxa"/>
                  <w:shd w:val="clear" w:color="auto" w:fill="auto"/>
                  <w:vAlign w:val="center"/>
                </w:tcPr>
                <w:p>
                  <w:pPr>
                    <w:jc w:val="center"/>
                    <w:rPr>
                      <w:color w:val="000000"/>
                      <w:szCs w:val="21"/>
                    </w:rPr>
                  </w:pPr>
                  <w:r>
                    <w:rPr>
                      <w:rFonts w:hint="eastAsia"/>
                      <w:color w:val="000000"/>
                      <w:szCs w:val="21"/>
                    </w:rPr>
                    <w:t>人群</w:t>
                  </w:r>
                </w:p>
              </w:tc>
              <w:tc>
                <w:tcPr>
                  <w:tcW w:w="1838" w:type="dxa"/>
                  <w:vMerge w:val="continue"/>
                  <w:shd w:val="clear" w:color="auto" w:fill="auto"/>
                  <w:vAlign w:val="center"/>
                </w:tcPr>
                <w:p>
                  <w:pPr>
                    <w:jc w:val="center"/>
                    <w:rPr>
                      <w:color w:val="000000"/>
                      <w:szCs w:val="21"/>
                    </w:rPr>
                  </w:pPr>
                </w:p>
              </w:tc>
              <w:tc>
                <w:tcPr>
                  <w:tcW w:w="827" w:type="dxa"/>
                  <w:shd w:val="clear" w:color="auto" w:fill="auto"/>
                  <w:vAlign w:val="center"/>
                </w:tcPr>
                <w:p>
                  <w:pPr>
                    <w:jc w:val="center"/>
                    <w:rPr>
                      <w:color w:val="000000"/>
                      <w:szCs w:val="21"/>
                    </w:rPr>
                  </w:pPr>
                  <w:r>
                    <w:rPr>
                      <w:rFonts w:hint="eastAsia"/>
                      <w:color w:val="000000"/>
                      <w:szCs w:val="21"/>
                    </w:rPr>
                    <w:t>N</w:t>
                  </w:r>
                </w:p>
              </w:tc>
              <w:tc>
                <w:tcPr>
                  <w:tcW w:w="852" w:type="dxa"/>
                  <w:shd w:val="clear" w:color="auto" w:fill="auto"/>
                  <w:vAlign w:val="center"/>
                </w:tcPr>
                <w:p>
                  <w:pPr>
                    <w:jc w:val="center"/>
                    <w:rPr>
                      <w:color w:val="000000"/>
                      <w:szCs w:val="21"/>
                    </w:rPr>
                  </w:pPr>
                  <w:r>
                    <w:rPr>
                      <w:rFonts w:hint="eastAsia"/>
                      <w:color w:val="000000"/>
                      <w:szCs w:val="21"/>
                    </w:rPr>
                    <w:t>480</w:t>
                  </w:r>
                  <w:r>
                    <w:rPr>
                      <w:color w:val="000000"/>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9" w:hRule="atLeast"/>
              </w:trPr>
              <w:tc>
                <w:tcPr>
                  <w:tcW w:w="802" w:type="dxa"/>
                  <w:vMerge w:val="restart"/>
                  <w:shd w:val="clear" w:color="auto" w:fill="auto"/>
                  <w:vAlign w:val="center"/>
                </w:tcPr>
                <w:p>
                  <w:pPr>
                    <w:jc w:val="center"/>
                    <w:rPr>
                      <w:color w:val="000000"/>
                      <w:szCs w:val="21"/>
                    </w:rPr>
                  </w:pPr>
                  <w:r>
                    <w:rPr>
                      <w:color w:val="000000"/>
                      <w:szCs w:val="21"/>
                    </w:rPr>
                    <w:t>地表水环境</w:t>
                  </w:r>
                </w:p>
              </w:tc>
              <w:tc>
                <w:tcPr>
                  <w:tcW w:w="885" w:type="dxa"/>
                  <w:shd w:val="clear" w:color="auto" w:fill="auto"/>
                  <w:vAlign w:val="center"/>
                </w:tcPr>
                <w:p>
                  <w:pPr>
                    <w:jc w:val="center"/>
                    <w:rPr>
                      <w:color w:val="000000"/>
                      <w:szCs w:val="21"/>
                    </w:rPr>
                  </w:pPr>
                  <w:r>
                    <w:rPr>
                      <w:rFonts w:hint="eastAsia"/>
                      <w:color w:val="000000"/>
                      <w:szCs w:val="21"/>
                    </w:rPr>
                    <w:t>南水北调中线工程</w:t>
                  </w:r>
                </w:p>
              </w:tc>
              <w:tc>
                <w:tcPr>
                  <w:tcW w:w="790" w:type="dxa"/>
                  <w:shd w:val="clear" w:color="auto" w:fill="auto"/>
                  <w:vAlign w:val="center"/>
                </w:tcPr>
                <w:p>
                  <w:pPr>
                    <w:ind w:left="-105" w:leftChars="-50" w:right="-105" w:rightChars="-50"/>
                    <w:jc w:val="center"/>
                    <w:rPr>
                      <w:color w:val="000000"/>
                      <w:szCs w:val="21"/>
                    </w:rPr>
                  </w:pPr>
                  <w:r>
                    <w:rPr>
                      <w:color w:val="000000"/>
                      <w:szCs w:val="21"/>
                    </w:rPr>
                    <w:t>/</w:t>
                  </w:r>
                </w:p>
              </w:tc>
              <w:tc>
                <w:tcPr>
                  <w:tcW w:w="790" w:type="dxa"/>
                  <w:shd w:val="clear" w:color="auto" w:fill="auto"/>
                  <w:vAlign w:val="center"/>
                </w:tcPr>
                <w:p>
                  <w:pPr>
                    <w:ind w:left="-105" w:leftChars="-50" w:right="-105" w:rightChars="-50"/>
                    <w:jc w:val="center"/>
                    <w:rPr>
                      <w:color w:val="000000"/>
                      <w:szCs w:val="21"/>
                    </w:rPr>
                  </w:pPr>
                  <w:r>
                    <w:rPr>
                      <w:color w:val="000000"/>
                      <w:szCs w:val="21"/>
                    </w:rPr>
                    <w:t>/</w:t>
                  </w:r>
                </w:p>
              </w:tc>
              <w:tc>
                <w:tcPr>
                  <w:tcW w:w="650" w:type="dxa"/>
                  <w:shd w:val="clear" w:color="auto" w:fill="auto"/>
                  <w:vAlign w:val="center"/>
                </w:tcPr>
                <w:p>
                  <w:pPr>
                    <w:jc w:val="center"/>
                    <w:rPr>
                      <w:color w:val="000000"/>
                      <w:szCs w:val="21"/>
                    </w:rPr>
                  </w:pPr>
                  <w:r>
                    <w:rPr>
                      <w:color w:val="000000"/>
                      <w:szCs w:val="21"/>
                    </w:rPr>
                    <w:t>/</w:t>
                  </w:r>
                </w:p>
              </w:tc>
              <w:tc>
                <w:tcPr>
                  <w:tcW w:w="691" w:type="dxa"/>
                  <w:shd w:val="clear" w:color="auto" w:fill="auto"/>
                  <w:vAlign w:val="center"/>
                </w:tcPr>
                <w:p>
                  <w:pPr>
                    <w:jc w:val="center"/>
                    <w:rPr>
                      <w:color w:val="000000"/>
                      <w:szCs w:val="21"/>
                    </w:rPr>
                  </w:pPr>
                  <w:r>
                    <w:rPr>
                      <w:color w:val="000000"/>
                      <w:szCs w:val="21"/>
                    </w:rPr>
                    <w:t>/</w:t>
                  </w:r>
                </w:p>
              </w:tc>
              <w:tc>
                <w:tcPr>
                  <w:tcW w:w="1838" w:type="dxa"/>
                  <w:shd w:val="clear" w:color="auto" w:fill="auto"/>
                  <w:vAlign w:val="center"/>
                </w:tcPr>
                <w:p>
                  <w:pPr>
                    <w:jc w:val="center"/>
                    <w:rPr>
                      <w:color w:val="000000"/>
                      <w:szCs w:val="21"/>
                    </w:rPr>
                  </w:pPr>
                  <w:r>
                    <w:rPr>
                      <w:color w:val="000000"/>
                      <w:szCs w:val="21"/>
                    </w:rPr>
                    <w:t>《地表水环境质量标准》（GB3838-2002）</w:t>
                  </w:r>
                  <w:r>
                    <w:rPr>
                      <w:rFonts w:hint="eastAsia" w:ascii="宋体" w:hAnsi="宋体"/>
                    </w:rPr>
                    <w:t>Ⅱ</w:t>
                  </w:r>
                  <w:r>
                    <w:rPr>
                      <w:color w:val="000000"/>
                      <w:szCs w:val="21"/>
                    </w:rPr>
                    <w:t>类标准</w:t>
                  </w:r>
                </w:p>
              </w:tc>
              <w:tc>
                <w:tcPr>
                  <w:tcW w:w="827" w:type="dxa"/>
                  <w:shd w:val="clear" w:color="auto" w:fill="auto"/>
                  <w:vAlign w:val="center"/>
                </w:tcPr>
                <w:p>
                  <w:pPr>
                    <w:jc w:val="center"/>
                    <w:rPr>
                      <w:color w:val="000000"/>
                      <w:szCs w:val="21"/>
                    </w:rPr>
                  </w:pPr>
                  <w:r>
                    <w:rPr>
                      <w:rFonts w:hint="eastAsia"/>
                      <w:color w:val="000000"/>
                      <w:szCs w:val="21"/>
                    </w:rPr>
                    <w:t>SE</w:t>
                  </w:r>
                </w:p>
              </w:tc>
              <w:tc>
                <w:tcPr>
                  <w:tcW w:w="852" w:type="dxa"/>
                  <w:shd w:val="clear" w:color="auto" w:fill="auto"/>
                  <w:vAlign w:val="center"/>
                </w:tcPr>
                <w:p>
                  <w:pPr>
                    <w:jc w:val="center"/>
                    <w:rPr>
                      <w:color w:val="000000"/>
                      <w:szCs w:val="21"/>
                    </w:rPr>
                  </w:pPr>
                  <w:r>
                    <w:rPr>
                      <w:rFonts w:hint="eastAsia"/>
                      <w:color w:val="000000"/>
                      <w:szCs w:val="21"/>
                    </w:rPr>
                    <w:t>1.65k</w:t>
                  </w:r>
                  <w:r>
                    <w:rPr>
                      <w:color w:val="000000"/>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1" w:hRule="atLeast"/>
              </w:trPr>
              <w:tc>
                <w:tcPr>
                  <w:tcW w:w="802" w:type="dxa"/>
                  <w:vMerge w:val="continue"/>
                  <w:shd w:val="clear" w:color="auto" w:fill="auto"/>
                  <w:vAlign w:val="center"/>
                </w:tcPr>
                <w:p>
                  <w:pPr>
                    <w:jc w:val="center"/>
                    <w:rPr>
                      <w:color w:val="000000"/>
                      <w:szCs w:val="21"/>
                    </w:rPr>
                  </w:pPr>
                </w:p>
              </w:tc>
              <w:tc>
                <w:tcPr>
                  <w:tcW w:w="885" w:type="dxa"/>
                  <w:shd w:val="clear" w:color="auto" w:fill="auto"/>
                  <w:vAlign w:val="center"/>
                </w:tcPr>
                <w:p>
                  <w:pPr>
                    <w:jc w:val="center"/>
                    <w:rPr>
                      <w:color w:val="FF0000"/>
                      <w:szCs w:val="21"/>
                      <w:u w:val="single"/>
                    </w:rPr>
                  </w:pPr>
                  <w:r>
                    <w:rPr>
                      <w:rFonts w:hint="eastAsia"/>
                      <w:color w:val="FF0000"/>
                      <w:szCs w:val="21"/>
                      <w:u w:val="single"/>
                    </w:rPr>
                    <w:t>白河</w:t>
                  </w:r>
                </w:p>
              </w:tc>
              <w:tc>
                <w:tcPr>
                  <w:tcW w:w="790" w:type="dxa"/>
                  <w:shd w:val="clear" w:color="auto" w:fill="auto"/>
                  <w:vAlign w:val="center"/>
                </w:tcPr>
                <w:p>
                  <w:pPr>
                    <w:ind w:left="-105" w:leftChars="-50" w:right="-105" w:rightChars="-50"/>
                    <w:jc w:val="center"/>
                    <w:rPr>
                      <w:color w:val="FF0000"/>
                      <w:szCs w:val="21"/>
                      <w:u w:val="single"/>
                    </w:rPr>
                  </w:pPr>
                  <w:r>
                    <w:rPr>
                      <w:color w:val="FF0000"/>
                      <w:szCs w:val="21"/>
                      <w:u w:val="single"/>
                    </w:rPr>
                    <w:t>/</w:t>
                  </w:r>
                </w:p>
              </w:tc>
              <w:tc>
                <w:tcPr>
                  <w:tcW w:w="790" w:type="dxa"/>
                  <w:shd w:val="clear" w:color="auto" w:fill="auto"/>
                  <w:vAlign w:val="center"/>
                </w:tcPr>
                <w:p>
                  <w:pPr>
                    <w:ind w:left="-105" w:leftChars="-50" w:right="-105" w:rightChars="-50"/>
                    <w:jc w:val="center"/>
                    <w:rPr>
                      <w:color w:val="FF0000"/>
                      <w:szCs w:val="21"/>
                      <w:u w:val="single"/>
                    </w:rPr>
                  </w:pPr>
                  <w:r>
                    <w:rPr>
                      <w:color w:val="FF0000"/>
                      <w:szCs w:val="21"/>
                      <w:u w:val="single"/>
                    </w:rPr>
                    <w:t>/</w:t>
                  </w:r>
                </w:p>
              </w:tc>
              <w:tc>
                <w:tcPr>
                  <w:tcW w:w="650" w:type="dxa"/>
                  <w:shd w:val="clear" w:color="auto" w:fill="auto"/>
                  <w:vAlign w:val="center"/>
                </w:tcPr>
                <w:p>
                  <w:pPr>
                    <w:jc w:val="center"/>
                    <w:rPr>
                      <w:color w:val="FF0000"/>
                      <w:szCs w:val="21"/>
                      <w:u w:val="single"/>
                    </w:rPr>
                  </w:pPr>
                  <w:r>
                    <w:rPr>
                      <w:color w:val="FF0000"/>
                      <w:szCs w:val="21"/>
                      <w:u w:val="single"/>
                    </w:rPr>
                    <w:t>/</w:t>
                  </w:r>
                </w:p>
              </w:tc>
              <w:tc>
                <w:tcPr>
                  <w:tcW w:w="691" w:type="dxa"/>
                  <w:shd w:val="clear" w:color="auto" w:fill="auto"/>
                  <w:vAlign w:val="center"/>
                </w:tcPr>
                <w:p>
                  <w:pPr>
                    <w:jc w:val="center"/>
                    <w:rPr>
                      <w:color w:val="FF0000"/>
                      <w:szCs w:val="21"/>
                      <w:u w:val="single"/>
                    </w:rPr>
                  </w:pPr>
                  <w:r>
                    <w:rPr>
                      <w:color w:val="FF0000"/>
                      <w:szCs w:val="21"/>
                      <w:u w:val="single"/>
                    </w:rPr>
                    <w:t>/</w:t>
                  </w:r>
                </w:p>
              </w:tc>
              <w:tc>
                <w:tcPr>
                  <w:tcW w:w="1838" w:type="dxa"/>
                  <w:shd w:val="clear" w:color="auto" w:fill="auto"/>
                  <w:vAlign w:val="center"/>
                </w:tcPr>
                <w:p>
                  <w:pPr>
                    <w:jc w:val="center"/>
                    <w:rPr>
                      <w:color w:val="FF0000"/>
                      <w:szCs w:val="21"/>
                      <w:u w:val="single"/>
                    </w:rPr>
                  </w:pPr>
                  <w:r>
                    <w:rPr>
                      <w:color w:val="FF0000"/>
                      <w:szCs w:val="21"/>
                      <w:u w:val="single"/>
                    </w:rPr>
                    <w:t>《地表水环境质量标准》（GB3838-2002）</w:t>
                  </w:r>
                  <w:r>
                    <w:rPr>
                      <w:rFonts w:hint="eastAsia" w:ascii="宋体" w:hAnsi="宋体"/>
                      <w:color w:val="FF0000"/>
                      <w:u w:val="single"/>
                    </w:rPr>
                    <w:t>Ⅱ</w:t>
                  </w:r>
                  <w:r>
                    <w:rPr>
                      <w:color w:val="FF0000"/>
                      <w:szCs w:val="21"/>
                      <w:u w:val="single"/>
                    </w:rPr>
                    <w:t>类标准</w:t>
                  </w:r>
                </w:p>
              </w:tc>
              <w:tc>
                <w:tcPr>
                  <w:tcW w:w="827" w:type="dxa"/>
                  <w:shd w:val="clear" w:color="auto" w:fill="auto"/>
                  <w:vAlign w:val="center"/>
                </w:tcPr>
                <w:p>
                  <w:pPr>
                    <w:jc w:val="center"/>
                    <w:rPr>
                      <w:color w:val="FF0000"/>
                      <w:szCs w:val="21"/>
                      <w:u w:val="single"/>
                    </w:rPr>
                  </w:pPr>
                  <w:r>
                    <w:rPr>
                      <w:rFonts w:hint="eastAsia"/>
                      <w:color w:val="FF0000"/>
                      <w:szCs w:val="21"/>
                      <w:u w:val="single"/>
                    </w:rPr>
                    <w:t>E</w:t>
                  </w:r>
                </w:p>
              </w:tc>
              <w:tc>
                <w:tcPr>
                  <w:tcW w:w="852" w:type="dxa"/>
                  <w:shd w:val="clear" w:color="auto" w:fill="auto"/>
                  <w:vAlign w:val="center"/>
                </w:tcPr>
                <w:p>
                  <w:pPr>
                    <w:jc w:val="center"/>
                    <w:rPr>
                      <w:color w:val="FF0000"/>
                      <w:szCs w:val="21"/>
                      <w:u w:val="single"/>
                    </w:rPr>
                  </w:pPr>
                  <w:r>
                    <w:rPr>
                      <w:rFonts w:hint="eastAsia"/>
                      <w:color w:val="FF0000"/>
                      <w:szCs w:val="21"/>
                      <w:u w:val="single"/>
                    </w:rPr>
                    <w:t>3.5</w:t>
                  </w:r>
                  <w:r>
                    <w:rPr>
                      <w:color w:val="FF0000"/>
                      <w:szCs w:val="21"/>
                      <w:u w:val="single"/>
                    </w:rPr>
                    <w:t>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1" w:hRule="atLeast"/>
              </w:trPr>
              <w:tc>
                <w:tcPr>
                  <w:tcW w:w="802" w:type="dxa"/>
                  <w:vMerge w:val="restart"/>
                  <w:shd w:val="clear" w:color="auto" w:fill="auto"/>
                  <w:vAlign w:val="center"/>
                </w:tcPr>
                <w:p>
                  <w:pPr>
                    <w:jc w:val="center"/>
                    <w:rPr>
                      <w:color w:val="000000"/>
                      <w:szCs w:val="21"/>
                    </w:rPr>
                  </w:pPr>
                  <w:r>
                    <w:rPr>
                      <w:rFonts w:hint="eastAsia"/>
                      <w:color w:val="000000"/>
                      <w:szCs w:val="21"/>
                    </w:rPr>
                    <w:t xml:space="preserve">声环境 </w:t>
                  </w:r>
                </w:p>
              </w:tc>
              <w:tc>
                <w:tcPr>
                  <w:tcW w:w="885" w:type="dxa"/>
                  <w:shd w:val="clear" w:color="auto" w:fill="auto"/>
                  <w:vAlign w:val="center"/>
                </w:tcPr>
                <w:p>
                  <w:pPr>
                    <w:adjustRightInd w:val="0"/>
                    <w:snapToGrid w:val="0"/>
                    <w:jc w:val="center"/>
                    <w:rPr>
                      <w:color w:val="000000"/>
                      <w:szCs w:val="21"/>
                    </w:rPr>
                  </w:pPr>
                  <w:r>
                    <w:rPr>
                      <w:rFonts w:hint="eastAsia" w:hAnsi="宋体"/>
                      <w:color w:val="000000"/>
                      <w:szCs w:val="21"/>
                    </w:rPr>
                    <w:t>东侧陈庄</w:t>
                  </w:r>
                  <w:r>
                    <w:rPr>
                      <w:rFonts w:hint="eastAsia"/>
                      <w:color w:val="000000"/>
                      <w:szCs w:val="21"/>
                    </w:rPr>
                    <w:t>散户</w:t>
                  </w:r>
                </w:p>
              </w:tc>
              <w:tc>
                <w:tcPr>
                  <w:tcW w:w="790" w:type="dxa"/>
                  <w:shd w:val="clear" w:color="auto" w:fill="auto"/>
                  <w:vAlign w:val="center"/>
                </w:tcPr>
                <w:p>
                  <w:pPr>
                    <w:ind w:left="-105" w:leftChars="-50" w:right="-105" w:rightChars="-50"/>
                    <w:jc w:val="center"/>
                    <w:rPr>
                      <w:color w:val="000000"/>
                      <w:szCs w:val="21"/>
                    </w:rPr>
                  </w:pPr>
                  <w:r>
                    <w:rPr>
                      <w:color w:val="000000"/>
                      <w:szCs w:val="21"/>
                    </w:rPr>
                    <w:t>112.5929</w:t>
                  </w:r>
                </w:p>
              </w:tc>
              <w:tc>
                <w:tcPr>
                  <w:tcW w:w="790" w:type="dxa"/>
                  <w:shd w:val="clear" w:color="auto" w:fill="auto"/>
                  <w:vAlign w:val="center"/>
                </w:tcPr>
                <w:p>
                  <w:pPr>
                    <w:ind w:left="-105" w:leftChars="-50" w:right="-105" w:rightChars="-50"/>
                    <w:jc w:val="center"/>
                    <w:rPr>
                      <w:color w:val="000000"/>
                      <w:szCs w:val="21"/>
                    </w:rPr>
                  </w:pPr>
                  <w:r>
                    <w:rPr>
                      <w:color w:val="000000"/>
                      <w:szCs w:val="21"/>
                    </w:rPr>
                    <w:t>33.1074</w:t>
                  </w:r>
                </w:p>
              </w:tc>
              <w:tc>
                <w:tcPr>
                  <w:tcW w:w="650" w:type="dxa"/>
                  <w:shd w:val="clear" w:color="auto" w:fill="auto"/>
                  <w:vAlign w:val="center"/>
                </w:tcPr>
                <w:p>
                  <w:pPr>
                    <w:jc w:val="center"/>
                    <w:rPr>
                      <w:color w:val="000000"/>
                      <w:szCs w:val="21"/>
                    </w:rPr>
                  </w:pPr>
                  <w:r>
                    <w:rPr>
                      <w:rFonts w:hint="eastAsia"/>
                      <w:color w:val="000000"/>
                      <w:szCs w:val="21"/>
                    </w:rPr>
                    <w:t>居民</w:t>
                  </w:r>
                </w:p>
              </w:tc>
              <w:tc>
                <w:tcPr>
                  <w:tcW w:w="691" w:type="dxa"/>
                  <w:shd w:val="clear" w:color="auto" w:fill="auto"/>
                  <w:vAlign w:val="center"/>
                </w:tcPr>
                <w:p>
                  <w:pPr>
                    <w:jc w:val="center"/>
                    <w:rPr>
                      <w:color w:val="000000"/>
                      <w:szCs w:val="21"/>
                    </w:rPr>
                  </w:pPr>
                  <w:r>
                    <w:rPr>
                      <w:rFonts w:hint="eastAsia"/>
                      <w:color w:val="000000"/>
                      <w:szCs w:val="21"/>
                    </w:rPr>
                    <w:t>人群</w:t>
                  </w:r>
                </w:p>
              </w:tc>
              <w:tc>
                <w:tcPr>
                  <w:tcW w:w="1838" w:type="dxa"/>
                  <w:vMerge w:val="restart"/>
                  <w:shd w:val="clear" w:color="auto" w:fill="auto"/>
                  <w:vAlign w:val="center"/>
                </w:tcPr>
                <w:p>
                  <w:pPr>
                    <w:jc w:val="center"/>
                    <w:rPr>
                      <w:color w:val="000000"/>
                      <w:szCs w:val="21"/>
                    </w:rPr>
                  </w:pPr>
                  <w:r>
                    <w:rPr>
                      <w:rFonts w:hint="eastAsia"/>
                      <w:color w:val="000000"/>
                      <w:szCs w:val="21"/>
                    </w:rPr>
                    <w:t>《声环境质量标准》（GB3096-2008）2类区标准</w:t>
                  </w:r>
                </w:p>
              </w:tc>
              <w:tc>
                <w:tcPr>
                  <w:tcW w:w="827" w:type="dxa"/>
                  <w:shd w:val="clear" w:color="auto" w:fill="auto"/>
                  <w:vAlign w:val="center"/>
                </w:tcPr>
                <w:p>
                  <w:pPr>
                    <w:jc w:val="center"/>
                    <w:rPr>
                      <w:color w:val="000000"/>
                      <w:szCs w:val="21"/>
                    </w:rPr>
                  </w:pPr>
                  <w:r>
                    <w:rPr>
                      <w:rFonts w:hint="eastAsia"/>
                      <w:color w:val="000000"/>
                      <w:szCs w:val="21"/>
                    </w:rPr>
                    <w:t>E</w:t>
                  </w:r>
                </w:p>
              </w:tc>
              <w:tc>
                <w:tcPr>
                  <w:tcW w:w="852" w:type="dxa"/>
                  <w:shd w:val="clear" w:color="auto" w:fill="auto"/>
                  <w:vAlign w:val="center"/>
                </w:tcPr>
                <w:p>
                  <w:pPr>
                    <w:jc w:val="center"/>
                    <w:rPr>
                      <w:color w:val="000000"/>
                      <w:szCs w:val="21"/>
                    </w:rPr>
                  </w:pPr>
                  <w:r>
                    <w:rPr>
                      <w:rFonts w:hint="eastAsia"/>
                      <w:color w:val="000000"/>
                      <w:szCs w:val="21"/>
                    </w:rPr>
                    <w:t>10</w:t>
                  </w:r>
                  <w:r>
                    <w:rPr>
                      <w:color w:val="000000"/>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1" w:hRule="atLeast"/>
              </w:trPr>
              <w:tc>
                <w:tcPr>
                  <w:tcW w:w="802" w:type="dxa"/>
                  <w:vMerge w:val="continue"/>
                  <w:shd w:val="clear" w:color="auto" w:fill="auto"/>
                  <w:vAlign w:val="center"/>
                </w:tcPr>
                <w:p>
                  <w:pPr>
                    <w:jc w:val="center"/>
                    <w:rPr>
                      <w:color w:val="000000"/>
                      <w:szCs w:val="21"/>
                    </w:rPr>
                  </w:pPr>
                </w:p>
              </w:tc>
              <w:tc>
                <w:tcPr>
                  <w:tcW w:w="885" w:type="dxa"/>
                  <w:shd w:val="clear" w:color="auto" w:fill="auto"/>
                  <w:vAlign w:val="center"/>
                </w:tcPr>
                <w:p>
                  <w:pPr>
                    <w:adjustRightInd w:val="0"/>
                    <w:snapToGrid w:val="0"/>
                    <w:jc w:val="center"/>
                    <w:rPr>
                      <w:rFonts w:hAnsi="宋体"/>
                      <w:color w:val="000000"/>
                      <w:szCs w:val="21"/>
                    </w:rPr>
                  </w:pPr>
                  <w:r>
                    <w:rPr>
                      <w:rFonts w:hint="eastAsia" w:hAnsi="宋体"/>
                      <w:color w:val="000000"/>
                      <w:szCs w:val="21"/>
                    </w:rPr>
                    <w:t>北侧陈庄散户</w:t>
                  </w:r>
                </w:p>
              </w:tc>
              <w:tc>
                <w:tcPr>
                  <w:tcW w:w="790" w:type="dxa"/>
                  <w:shd w:val="clear" w:color="auto" w:fill="auto"/>
                  <w:vAlign w:val="center"/>
                </w:tcPr>
                <w:p>
                  <w:pPr>
                    <w:ind w:left="-105" w:leftChars="-50" w:right="-105" w:rightChars="-50"/>
                    <w:jc w:val="center"/>
                    <w:rPr>
                      <w:color w:val="000000"/>
                      <w:szCs w:val="21"/>
                    </w:rPr>
                  </w:pPr>
                  <w:r>
                    <w:rPr>
                      <w:color w:val="000000"/>
                      <w:szCs w:val="21"/>
                    </w:rPr>
                    <w:t>112.5931</w:t>
                  </w:r>
                </w:p>
              </w:tc>
              <w:tc>
                <w:tcPr>
                  <w:tcW w:w="790" w:type="dxa"/>
                  <w:shd w:val="clear" w:color="auto" w:fill="auto"/>
                  <w:vAlign w:val="center"/>
                </w:tcPr>
                <w:p>
                  <w:pPr>
                    <w:ind w:left="-105" w:leftChars="-50" w:right="-105" w:rightChars="-50"/>
                    <w:jc w:val="center"/>
                    <w:rPr>
                      <w:color w:val="000000"/>
                      <w:szCs w:val="21"/>
                    </w:rPr>
                  </w:pPr>
                  <w:r>
                    <w:rPr>
                      <w:color w:val="000000"/>
                      <w:szCs w:val="21"/>
                    </w:rPr>
                    <w:t>33.1078</w:t>
                  </w:r>
                </w:p>
              </w:tc>
              <w:tc>
                <w:tcPr>
                  <w:tcW w:w="650" w:type="dxa"/>
                  <w:shd w:val="clear" w:color="auto" w:fill="auto"/>
                  <w:vAlign w:val="center"/>
                </w:tcPr>
                <w:p>
                  <w:pPr>
                    <w:jc w:val="center"/>
                    <w:rPr>
                      <w:color w:val="000000"/>
                      <w:szCs w:val="21"/>
                    </w:rPr>
                  </w:pPr>
                  <w:r>
                    <w:rPr>
                      <w:rFonts w:hint="eastAsia"/>
                      <w:color w:val="000000"/>
                      <w:szCs w:val="21"/>
                    </w:rPr>
                    <w:t>居民</w:t>
                  </w:r>
                </w:p>
              </w:tc>
              <w:tc>
                <w:tcPr>
                  <w:tcW w:w="691" w:type="dxa"/>
                  <w:shd w:val="clear" w:color="auto" w:fill="auto"/>
                  <w:vAlign w:val="center"/>
                </w:tcPr>
                <w:p>
                  <w:pPr>
                    <w:jc w:val="center"/>
                    <w:rPr>
                      <w:color w:val="000000"/>
                      <w:szCs w:val="21"/>
                    </w:rPr>
                  </w:pPr>
                  <w:r>
                    <w:rPr>
                      <w:rFonts w:hint="eastAsia"/>
                      <w:color w:val="000000"/>
                      <w:szCs w:val="21"/>
                    </w:rPr>
                    <w:t>人群</w:t>
                  </w:r>
                </w:p>
              </w:tc>
              <w:tc>
                <w:tcPr>
                  <w:tcW w:w="1838" w:type="dxa"/>
                  <w:vMerge w:val="continue"/>
                  <w:shd w:val="clear" w:color="auto" w:fill="auto"/>
                  <w:vAlign w:val="center"/>
                </w:tcPr>
                <w:p>
                  <w:pPr>
                    <w:jc w:val="center"/>
                    <w:rPr>
                      <w:color w:val="000000"/>
                      <w:szCs w:val="21"/>
                    </w:rPr>
                  </w:pPr>
                </w:p>
              </w:tc>
              <w:tc>
                <w:tcPr>
                  <w:tcW w:w="827" w:type="dxa"/>
                  <w:shd w:val="clear" w:color="auto" w:fill="auto"/>
                  <w:vAlign w:val="center"/>
                </w:tcPr>
                <w:p>
                  <w:pPr>
                    <w:jc w:val="center"/>
                    <w:rPr>
                      <w:color w:val="000000"/>
                      <w:szCs w:val="21"/>
                    </w:rPr>
                  </w:pPr>
                  <w:r>
                    <w:rPr>
                      <w:rFonts w:hint="eastAsia"/>
                      <w:color w:val="000000"/>
                      <w:szCs w:val="21"/>
                    </w:rPr>
                    <w:t>N</w:t>
                  </w:r>
                </w:p>
              </w:tc>
              <w:tc>
                <w:tcPr>
                  <w:tcW w:w="852" w:type="dxa"/>
                  <w:shd w:val="clear" w:color="auto" w:fill="auto"/>
                  <w:vAlign w:val="center"/>
                </w:tcPr>
                <w:p>
                  <w:pPr>
                    <w:jc w:val="center"/>
                    <w:rPr>
                      <w:color w:val="000000"/>
                      <w:szCs w:val="21"/>
                    </w:rPr>
                  </w:pPr>
                  <w:r>
                    <w:rPr>
                      <w:rFonts w:hint="eastAsia"/>
                      <w:color w:val="000000"/>
                      <w:szCs w:val="21"/>
                    </w:rPr>
                    <w:t>26m</w:t>
                  </w:r>
                </w:p>
              </w:tc>
            </w:tr>
          </w:tbl>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99" w:hRule="atLeast"/>
          <w:jc w:val="center"/>
        </w:trPr>
        <w:tc>
          <w:tcPr>
            <w:tcW w:w="732" w:type="dxa"/>
            <w:tcBorders>
              <w:tl2br w:val="nil"/>
              <w:tr2bl w:val="nil"/>
            </w:tcBorders>
            <w:vAlign w:val="center"/>
          </w:tcPr>
          <w:p>
            <w:pPr>
              <w:adjustRightInd w:val="0"/>
              <w:snapToGrid w:val="0"/>
              <w:spacing w:line="520" w:lineRule="exact"/>
              <w:jc w:val="center"/>
              <w:rPr>
                <w:kern w:val="21"/>
                <w:sz w:val="24"/>
                <w:szCs w:val="24"/>
              </w:rPr>
            </w:pPr>
            <w:r>
              <w:rPr>
                <w:kern w:val="21"/>
                <w:sz w:val="24"/>
                <w:szCs w:val="24"/>
              </w:rPr>
              <w:t>污染</w:t>
            </w:r>
          </w:p>
          <w:p>
            <w:pPr>
              <w:adjustRightInd w:val="0"/>
              <w:snapToGrid w:val="0"/>
              <w:spacing w:line="520" w:lineRule="exact"/>
              <w:jc w:val="center"/>
              <w:rPr>
                <w:kern w:val="21"/>
                <w:sz w:val="24"/>
                <w:szCs w:val="24"/>
              </w:rPr>
            </w:pPr>
            <w:r>
              <w:rPr>
                <w:kern w:val="21"/>
                <w:sz w:val="24"/>
                <w:szCs w:val="24"/>
              </w:rPr>
              <w:t>物排</w:t>
            </w:r>
          </w:p>
          <w:p>
            <w:pPr>
              <w:adjustRightInd w:val="0"/>
              <w:snapToGrid w:val="0"/>
              <w:spacing w:line="520" w:lineRule="exact"/>
              <w:jc w:val="center"/>
              <w:rPr>
                <w:kern w:val="21"/>
                <w:sz w:val="24"/>
                <w:szCs w:val="24"/>
              </w:rPr>
            </w:pPr>
            <w:r>
              <w:rPr>
                <w:kern w:val="21"/>
                <w:sz w:val="24"/>
                <w:szCs w:val="24"/>
              </w:rPr>
              <w:t>放控</w:t>
            </w:r>
          </w:p>
          <w:p>
            <w:pPr>
              <w:adjustRightInd w:val="0"/>
              <w:snapToGrid w:val="0"/>
              <w:spacing w:line="520" w:lineRule="exact"/>
              <w:jc w:val="center"/>
              <w:rPr>
                <w:kern w:val="21"/>
                <w:sz w:val="24"/>
                <w:szCs w:val="24"/>
              </w:rPr>
            </w:pPr>
            <w:r>
              <w:rPr>
                <w:kern w:val="21"/>
                <w:sz w:val="24"/>
                <w:szCs w:val="24"/>
              </w:rPr>
              <w:t>制标</w:t>
            </w:r>
          </w:p>
          <w:p>
            <w:pPr>
              <w:adjustRightInd w:val="0"/>
              <w:snapToGrid w:val="0"/>
              <w:spacing w:line="520" w:lineRule="exact"/>
              <w:jc w:val="center"/>
              <w:rPr>
                <w:kern w:val="21"/>
                <w:sz w:val="24"/>
                <w:szCs w:val="24"/>
              </w:rPr>
            </w:pPr>
            <w:r>
              <w:rPr>
                <w:kern w:val="21"/>
                <w:sz w:val="24"/>
                <w:szCs w:val="24"/>
              </w:rPr>
              <w:t>准</w:t>
            </w:r>
          </w:p>
        </w:tc>
        <w:tc>
          <w:tcPr>
            <w:tcW w:w="8351" w:type="dxa"/>
            <w:tcBorders>
              <w:tl2br w:val="nil"/>
              <w:tr2bl w:val="nil"/>
            </w:tcBorders>
          </w:tcPr>
          <w:tbl>
            <w:tblPr>
              <w:tblStyle w:val="26"/>
              <w:tblW w:w="812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
              <w:gridCol w:w="3292"/>
              <w:gridCol w:w="1269"/>
              <w:gridCol w:w="28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10" w:type="dxa"/>
                  <w:vAlign w:val="center"/>
                </w:tcPr>
                <w:p>
                  <w:pPr>
                    <w:adjustRightInd w:val="0"/>
                    <w:snapToGrid w:val="0"/>
                    <w:spacing w:line="320" w:lineRule="exact"/>
                    <w:jc w:val="center"/>
                    <w:rPr>
                      <w:color w:val="000000"/>
                      <w:szCs w:val="21"/>
                    </w:rPr>
                  </w:pPr>
                  <w:r>
                    <w:rPr>
                      <w:color w:val="000000"/>
                      <w:szCs w:val="21"/>
                    </w:rPr>
                    <w:t>类别</w:t>
                  </w:r>
                </w:p>
              </w:tc>
              <w:tc>
                <w:tcPr>
                  <w:tcW w:w="3292" w:type="dxa"/>
                  <w:vAlign w:val="center"/>
                </w:tcPr>
                <w:p>
                  <w:pPr>
                    <w:adjustRightInd w:val="0"/>
                    <w:snapToGrid w:val="0"/>
                    <w:spacing w:line="320" w:lineRule="exact"/>
                    <w:jc w:val="center"/>
                    <w:rPr>
                      <w:color w:val="000000"/>
                      <w:szCs w:val="21"/>
                    </w:rPr>
                  </w:pPr>
                  <w:r>
                    <w:rPr>
                      <w:color w:val="000000"/>
                      <w:szCs w:val="21"/>
                    </w:rPr>
                    <w:t>执行标准</w:t>
                  </w:r>
                </w:p>
              </w:tc>
              <w:tc>
                <w:tcPr>
                  <w:tcW w:w="4123" w:type="dxa"/>
                  <w:gridSpan w:val="2"/>
                  <w:vAlign w:val="center"/>
                </w:tcPr>
                <w:p>
                  <w:pPr>
                    <w:adjustRightInd w:val="0"/>
                    <w:snapToGrid w:val="0"/>
                    <w:spacing w:line="320" w:lineRule="exact"/>
                    <w:jc w:val="center"/>
                    <w:rPr>
                      <w:color w:val="000000"/>
                      <w:szCs w:val="21"/>
                    </w:rPr>
                  </w:pPr>
                  <w:r>
                    <w:rPr>
                      <w:color w:val="000000"/>
                      <w:szCs w:val="21"/>
                    </w:rPr>
                    <w:t>标准</w:t>
                  </w:r>
                  <w:r>
                    <w:rPr>
                      <w:rFonts w:hint="eastAsia"/>
                      <w:color w:val="000000"/>
                      <w:szCs w:val="21"/>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4" w:hRule="atLeast"/>
                <w:jc w:val="center"/>
              </w:trPr>
              <w:tc>
                <w:tcPr>
                  <w:tcW w:w="710" w:type="dxa"/>
                  <w:vMerge w:val="restart"/>
                  <w:vAlign w:val="center"/>
                </w:tcPr>
                <w:p>
                  <w:pPr>
                    <w:pStyle w:val="24"/>
                    <w:spacing w:line="320" w:lineRule="exact"/>
                    <w:jc w:val="center"/>
                    <w:rPr>
                      <w:color w:val="000000"/>
                      <w:sz w:val="21"/>
                      <w:szCs w:val="21"/>
                    </w:rPr>
                  </w:pPr>
                  <w:r>
                    <w:rPr>
                      <w:rFonts w:hint="eastAsia"/>
                      <w:color w:val="000000"/>
                      <w:sz w:val="21"/>
                      <w:szCs w:val="21"/>
                    </w:rPr>
                    <w:t>废气</w:t>
                  </w:r>
                </w:p>
              </w:tc>
              <w:tc>
                <w:tcPr>
                  <w:tcW w:w="3292" w:type="dxa"/>
                  <w:vMerge w:val="restart"/>
                  <w:vAlign w:val="center"/>
                </w:tcPr>
                <w:p>
                  <w:pPr>
                    <w:pStyle w:val="24"/>
                    <w:spacing w:line="320" w:lineRule="exact"/>
                    <w:jc w:val="center"/>
                    <w:rPr>
                      <w:rFonts w:ascii="Times New Roman" w:hAnsi="Times New Roman"/>
                      <w:color w:val="000000"/>
                      <w:kern w:val="2"/>
                      <w:sz w:val="21"/>
                      <w:szCs w:val="21"/>
                    </w:rPr>
                  </w:pPr>
                  <w:r>
                    <w:rPr>
                      <w:rFonts w:hint="eastAsia" w:ascii="Times New Roman" w:hAnsi="Times New Roman"/>
                      <w:color w:val="000000"/>
                      <w:kern w:val="2"/>
                      <w:sz w:val="21"/>
                      <w:szCs w:val="21"/>
                    </w:rPr>
                    <w:t>《大气污染物综合排放标准》（GB16297-1996）表2二级标准</w:t>
                  </w:r>
                </w:p>
              </w:tc>
              <w:tc>
                <w:tcPr>
                  <w:tcW w:w="1269" w:type="dxa"/>
                  <w:vMerge w:val="restart"/>
                  <w:vAlign w:val="center"/>
                </w:tcPr>
                <w:p>
                  <w:pPr>
                    <w:adjustRightInd w:val="0"/>
                    <w:snapToGrid w:val="0"/>
                    <w:spacing w:line="320" w:lineRule="exact"/>
                    <w:jc w:val="center"/>
                    <w:rPr>
                      <w:color w:val="000000"/>
                      <w:szCs w:val="21"/>
                    </w:rPr>
                  </w:pPr>
                  <w:r>
                    <w:rPr>
                      <w:rFonts w:hint="eastAsia"/>
                      <w:color w:val="000000"/>
                      <w:szCs w:val="21"/>
                    </w:rPr>
                    <w:t>颗粒物</w:t>
                  </w:r>
                </w:p>
              </w:tc>
              <w:tc>
                <w:tcPr>
                  <w:tcW w:w="2854" w:type="dxa"/>
                  <w:vAlign w:val="center"/>
                </w:tcPr>
                <w:p>
                  <w:pPr>
                    <w:adjustRightInd w:val="0"/>
                    <w:snapToGrid w:val="0"/>
                    <w:spacing w:line="320" w:lineRule="exact"/>
                    <w:jc w:val="center"/>
                    <w:rPr>
                      <w:color w:val="000000"/>
                      <w:szCs w:val="21"/>
                    </w:rPr>
                  </w:pPr>
                  <w:r>
                    <w:rPr>
                      <w:rFonts w:hint="eastAsia"/>
                      <w:color w:val="000000"/>
                      <w:szCs w:val="21"/>
                    </w:rPr>
                    <w:t>排放限值120</w:t>
                  </w:r>
                  <w:r>
                    <w:rPr>
                      <w:color w:val="000000"/>
                      <w:szCs w:val="21"/>
                    </w:rPr>
                    <w:t>mg/m</w:t>
                  </w:r>
                  <w:r>
                    <w:rPr>
                      <w:color w:val="000000"/>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4" w:hRule="atLeast"/>
                <w:jc w:val="center"/>
              </w:trPr>
              <w:tc>
                <w:tcPr>
                  <w:tcW w:w="710" w:type="dxa"/>
                  <w:vMerge w:val="continue"/>
                  <w:vAlign w:val="center"/>
                </w:tcPr>
                <w:p>
                  <w:pPr>
                    <w:pStyle w:val="24"/>
                    <w:spacing w:line="320" w:lineRule="exact"/>
                    <w:jc w:val="center"/>
                    <w:rPr>
                      <w:color w:val="000000"/>
                      <w:sz w:val="21"/>
                      <w:szCs w:val="21"/>
                    </w:rPr>
                  </w:pPr>
                </w:p>
              </w:tc>
              <w:tc>
                <w:tcPr>
                  <w:tcW w:w="3292" w:type="dxa"/>
                  <w:vMerge w:val="continue"/>
                  <w:vAlign w:val="center"/>
                </w:tcPr>
                <w:p>
                  <w:pPr>
                    <w:pStyle w:val="24"/>
                    <w:spacing w:line="320" w:lineRule="exact"/>
                    <w:jc w:val="center"/>
                    <w:rPr>
                      <w:rFonts w:ascii="Times New Roman" w:hAnsi="Times New Roman"/>
                      <w:color w:val="000000"/>
                      <w:kern w:val="2"/>
                      <w:sz w:val="21"/>
                      <w:szCs w:val="21"/>
                    </w:rPr>
                  </w:pPr>
                </w:p>
              </w:tc>
              <w:tc>
                <w:tcPr>
                  <w:tcW w:w="1269" w:type="dxa"/>
                  <w:vMerge w:val="continue"/>
                  <w:vAlign w:val="center"/>
                </w:tcPr>
                <w:p>
                  <w:pPr>
                    <w:adjustRightInd w:val="0"/>
                    <w:snapToGrid w:val="0"/>
                    <w:spacing w:line="320" w:lineRule="exact"/>
                    <w:jc w:val="center"/>
                    <w:rPr>
                      <w:color w:val="000000"/>
                      <w:szCs w:val="21"/>
                    </w:rPr>
                  </w:pPr>
                </w:p>
              </w:tc>
              <w:tc>
                <w:tcPr>
                  <w:tcW w:w="2854" w:type="dxa"/>
                  <w:vAlign w:val="center"/>
                </w:tcPr>
                <w:p>
                  <w:pPr>
                    <w:adjustRightInd w:val="0"/>
                    <w:snapToGrid w:val="0"/>
                    <w:spacing w:line="320" w:lineRule="exact"/>
                    <w:jc w:val="center"/>
                    <w:rPr>
                      <w:color w:val="000000"/>
                      <w:szCs w:val="21"/>
                    </w:rPr>
                  </w:pPr>
                  <w:r>
                    <w:rPr>
                      <w:rFonts w:hint="eastAsia"/>
                      <w:color w:val="000000"/>
                      <w:szCs w:val="21"/>
                    </w:rPr>
                    <w:t>最高允许排放速率3.5kg/h（15m高排气筒）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2" w:hRule="atLeast"/>
                <w:jc w:val="center"/>
              </w:trPr>
              <w:tc>
                <w:tcPr>
                  <w:tcW w:w="710" w:type="dxa"/>
                  <w:vMerge w:val="continue"/>
                  <w:vAlign w:val="center"/>
                </w:tcPr>
                <w:p>
                  <w:pPr>
                    <w:pStyle w:val="24"/>
                    <w:spacing w:line="320" w:lineRule="exact"/>
                    <w:jc w:val="center"/>
                    <w:rPr>
                      <w:color w:val="000000"/>
                      <w:sz w:val="21"/>
                      <w:szCs w:val="21"/>
                    </w:rPr>
                  </w:pPr>
                </w:p>
              </w:tc>
              <w:tc>
                <w:tcPr>
                  <w:tcW w:w="3292" w:type="dxa"/>
                  <w:vMerge w:val="continue"/>
                  <w:vAlign w:val="center"/>
                </w:tcPr>
                <w:p>
                  <w:pPr>
                    <w:pStyle w:val="24"/>
                    <w:spacing w:line="320" w:lineRule="exact"/>
                    <w:jc w:val="center"/>
                    <w:rPr>
                      <w:rFonts w:ascii="Times New Roman" w:hAnsi="Times New Roman"/>
                      <w:color w:val="000000"/>
                      <w:kern w:val="2"/>
                      <w:sz w:val="21"/>
                      <w:szCs w:val="21"/>
                    </w:rPr>
                  </w:pPr>
                </w:p>
              </w:tc>
              <w:tc>
                <w:tcPr>
                  <w:tcW w:w="1269" w:type="dxa"/>
                  <w:vMerge w:val="continue"/>
                  <w:vAlign w:val="center"/>
                </w:tcPr>
                <w:p>
                  <w:pPr>
                    <w:adjustRightInd w:val="0"/>
                    <w:snapToGrid w:val="0"/>
                    <w:spacing w:line="320" w:lineRule="exact"/>
                    <w:jc w:val="center"/>
                    <w:rPr>
                      <w:color w:val="000000"/>
                      <w:szCs w:val="21"/>
                    </w:rPr>
                  </w:pPr>
                </w:p>
              </w:tc>
              <w:tc>
                <w:tcPr>
                  <w:tcW w:w="2854" w:type="dxa"/>
                  <w:vAlign w:val="center"/>
                </w:tcPr>
                <w:p>
                  <w:pPr>
                    <w:adjustRightInd w:val="0"/>
                    <w:snapToGrid w:val="0"/>
                    <w:spacing w:line="320" w:lineRule="exact"/>
                    <w:jc w:val="center"/>
                    <w:rPr>
                      <w:color w:val="000000"/>
                      <w:szCs w:val="21"/>
                    </w:rPr>
                  </w:pPr>
                  <w:r>
                    <w:rPr>
                      <w:rFonts w:hint="eastAsia"/>
                      <w:color w:val="000000"/>
                      <w:szCs w:val="21"/>
                    </w:rPr>
                    <w:t>企业边界大气污染物浓度限值1.0</w:t>
                  </w:r>
                  <w:r>
                    <w:rPr>
                      <w:color w:val="000000"/>
                      <w:szCs w:val="21"/>
                    </w:rPr>
                    <w:t>mg/m</w:t>
                  </w:r>
                  <w:r>
                    <w:rPr>
                      <w:color w:val="000000"/>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3" w:hRule="atLeast"/>
                <w:jc w:val="center"/>
              </w:trPr>
              <w:tc>
                <w:tcPr>
                  <w:tcW w:w="710" w:type="dxa"/>
                  <w:vMerge w:val="continue"/>
                  <w:vAlign w:val="center"/>
                </w:tcPr>
                <w:p>
                  <w:pPr>
                    <w:adjustRightInd w:val="0"/>
                    <w:snapToGrid w:val="0"/>
                    <w:spacing w:line="320" w:lineRule="exact"/>
                    <w:jc w:val="center"/>
                    <w:rPr>
                      <w:color w:val="000000"/>
                      <w:szCs w:val="21"/>
                    </w:rPr>
                  </w:pPr>
                </w:p>
              </w:tc>
              <w:tc>
                <w:tcPr>
                  <w:tcW w:w="3292" w:type="dxa"/>
                  <w:vAlign w:val="center"/>
                </w:tcPr>
                <w:p>
                  <w:pPr>
                    <w:spacing w:before="60" w:after="60"/>
                    <w:jc w:val="center"/>
                    <w:rPr>
                      <w:rFonts w:ascii="宋体" w:hAnsi="宋体" w:cs="宋体"/>
                      <w:szCs w:val="21"/>
                    </w:rPr>
                  </w:pPr>
                  <w:r>
                    <w:rPr>
                      <w:rFonts w:hint="eastAsia" w:ascii="宋体" w:hAnsi="宋体" w:cs="宋体"/>
                      <w:szCs w:val="21"/>
                    </w:rPr>
                    <w:t>《河南省重污染天气通用行业应急减排措施制定技术指南》（</w:t>
                  </w:r>
                  <w:r>
                    <w:rPr>
                      <w:szCs w:val="21"/>
                    </w:rPr>
                    <w:t>2024年修订稿</w:t>
                  </w:r>
                  <w:r>
                    <w:rPr>
                      <w:rFonts w:hint="eastAsia" w:ascii="宋体" w:hAnsi="宋体" w:cs="宋体"/>
                      <w:szCs w:val="21"/>
                    </w:rPr>
                    <w:t>）“通用涉PM企业绩效引领性指标”</w:t>
                  </w:r>
                </w:p>
              </w:tc>
              <w:tc>
                <w:tcPr>
                  <w:tcW w:w="1269" w:type="dxa"/>
                  <w:vAlign w:val="center"/>
                </w:tcPr>
                <w:p>
                  <w:pPr>
                    <w:spacing w:line="320" w:lineRule="exact"/>
                    <w:ind w:left="-25" w:firstLine="25"/>
                    <w:jc w:val="center"/>
                    <w:rPr>
                      <w:color w:val="000000"/>
                      <w:szCs w:val="21"/>
                    </w:rPr>
                  </w:pPr>
                  <w:r>
                    <w:rPr>
                      <w:rFonts w:hint="eastAsia"/>
                      <w:color w:val="000000"/>
                      <w:szCs w:val="21"/>
                    </w:rPr>
                    <w:t>PM</w:t>
                  </w:r>
                </w:p>
              </w:tc>
              <w:tc>
                <w:tcPr>
                  <w:tcW w:w="2854" w:type="dxa"/>
                  <w:vAlign w:val="center"/>
                </w:tcPr>
                <w:p>
                  <w:pPr>
                    <w:spacing w:line="320" w:lineRule="exact"/>
                    <w:jc w:val="center"/>
                    <w:rPr>
                      <w:bCs/>
                      <w:color w:val="000000"/>
                      <w:szCs w:val="21"/>
                    </w:rPr>
                  </w:pPr>
                  <w:r>
                    <w:rPr>
                      <w:rFonts w:hint="eastAsia"/>
                      <w:color w:val="000000"/>
                    </w:rPr>
                    <w:t>排放限值不高于10</w:t>
                  </w:r>
                  <w:r>
                    <w:rPr>
                      <w:color w:val="000000"/>
                    </w:rPr>
                    <w:t>mg/m</w:t>
                  </w:r>
                  <w:r>
                    <w:rPr>
                      <w:color w:val="000000"/>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1" w:hRule="atLeast"/>
                <w:jc w:val="center"/>
              </w:trPr>
              <w:tc>
                <w:tcPr>
                  <w:tcW w:w="710" w:type="dxa"/>
                  <w:vMerge w:val="restart"/>
                  <w:vAlign w:val="center"/>
                </w:tcPr>
                <w:p>
                  <w:pPr>
                    <w:adjustRightInd w:val="0"/>
                    <w:snapToGrid w:val="0"/>
                    <w:spacing w:line="320" w:lineRule="exact"/>
                    <w:jc w:val="center"/>
                    <w:rPr>
                      <w:color w:val="000000"/>
                      <w:szCs w:val="21"/>
                    </w:rPr>
                  </w:pPr>
                  <w:r>
                    <w:rPr>
                      <w:color w:val="000000"/>
                      <w:szCs w:val="21"/>
                    </w:rPr>
                    <w:t>噪声</w:t>
                  </w:r>
                </w:p>
              </w:tc>
              <w:tc>
                <w:tcPr>
                  <w:tcW w:w="3292" w:type="dxa"/>
                  <w:vMerge w:val="restart"/>
                  <w:vAlign w:val="center"/>
                </w:tcPr>
                <w:p>
                  <w:pPr>
                    <w:adjustRightInd w:val="0"/>
                    <w:snapToGrid w:val="0"/>
                    <w:spacing w:line="320" w:lineRule="exact"/>
                    <w:jc w:val="center"/>
                    <w:rPr>
                      <w:color w:val="000000"/>
                      <w:szCs w:val="21"/>
                    </w:rPr>
                  </w:pPr>
                  <w:r>
                    <w:rPr>
                      <w:color w:val="000000"/>
                      <w:szCs w:val="21"/>
                    </w:rPr>
                    <w:t>《工业企业厂界环境噪声排放标准》</w:t>
                  </w:r>
                  <w:r>
                    <w:rPr>
                      <w:rFonts w:hint="eastAsia"/>
                      <w:color w:val="000000"/>
                      <w:szCs w:val="21"/>
                    </w:rPr>
                    <w:t>（</w:t>
                  </w:r>
                  <w:r>
                    <w:rPr>
                      <w:color w:val="000000"/>
                      <w:szCs w:val="21"/>
                    </w:rPr>
                    <w:t>GB12348-2008</w:t>
                  </w:r>
                  <w:r>
                    <w:rPr>
                      <w:rFonts w:hint="eastAsia"/>
                      <w:color w:val="000000"/>
                      <w:szCs w:val="21"/>
                    </w:rPr>
                    <w:t>）</w:t>
                  </w:r>
                  <w:r>
                    <w:rPr>
                      <w:color w:val="000000"/>
                      <w:szCs w:val="21"/>
                    </w:rPr>
                    <w:t>中</w:t>
                  </w:r>
                  <w:r>
                    <w:rPr>
                      <w:rFonts w:hint="eastAsia"/>
                      <w:color w:val="000000"/>
                      <w:szCs w:val="21"/>
                    </w:rPr>
                    <w:t>2类标准</w:t>
                  </w:r>
                </w:p>
              </w:tc>
              <w:tc>
                <w:tcPr>
                  <w:tcW w:w="1269" w:type="dxa"/>
                  <w:vAlign w:val="center"/>
                </w:tcPr>
                <w:p>
                  <w:pPr>
                    <w:adjustRightInd w:val="0"/>
                    <w:snapToGrid w:val="0"/>
                    <w:spacing w:line="320" w:lineRule="exact"/>
                    <w:jc w:val="center"/>
                    <w:rPr>
                      <w:color w:val="000000"/>
                      <w:szCs w:val="21"/>
                    </w:rPr>
                  </w:pPr>
                  <w:r>
                    <w:rPr>
                      <w:color w:val="000000"/>
                      <w:szCs w:val="21"/>
                    </w:rPr>
                    <w:t>昼间</w:t>
                  </w:r>
                </w:p>
              </w:tc>
              <w:tc>
                <w:tcPr>
                  <w:tcW w:w="2854" w:type="dxa"/>
                  <w:vAlign w:val="center"/>
                </w:tcPr>
                <w:p>
                  <w:pPr>
                    <w:spacing w:line="320" w:lineRule="exact"/>
                    <w:jc w:val="center"/>
                    <w:rPr>
                      <w:color w:val="000000"/>
                      <w:szCs w:val="21"/>
                    </w:rPr>
                  </w:pPr>
                  <w:r>
                    <w:rPr>
                      <w:color w:val="000000"/>
                      <w:szCs w:val="21"/>
                    </w:rPr>
                    <w:t>6</w:t>
                  </w:r>
                  <w:r>
                    <w:rPr>
                      <w:rFonts w:hint="eastAsia"/>
                      <w:color w:val="000000"/>
                      <w:szCs w:val="21"/>
                    </w:rPr>
                    <w:t>0dB（A）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hRule="atLeast"/>
                <w:jc w:val="center"/>
              </w:trPr>
              <w:tc>
                <w:tcPr>
                  <w:tcW w:w="710" w:type="dxa"/>
                  <w:vMerge w:val="continue"/>
                  <w:vAlign w:val="center"/>
                </w:tcPr>
                <w:p>
                  <w:pPr>
                    <w:adjustRightInd w:val="0"/>
                    <w:snapToGrid w:val="0"/>
                    <w:spacing w:line="320" w:lineRule="exact"/>
                    <w:jc w:val="center"/>
                    <w:rPr>
                      <w:color w:val="000000"/>
                      <w:szCs w:val="21"/>
                    </w:rPr>
                  </w:pPr>
                </w:p>
              </w:tc>
              <w:tc>
                <w:tcPr>
                  <w:tcW w:w="3292" w:type="dxa"/>
                  <w:vMerge w:val="continue"/>
                  <w:vAlign w:val="center"/>
                </w:tcPr>
                <w:p>
                  <w:pPr>
                    <w:adjustRightInd w:val="0"/>
                    <w:snapToGrid w:val="0"/>
                    <w:spacing w:line="320" w:lineRule="exact"/>
                    <w:jc w:val="center"/>
                    <w:rPr>
                      <w:color w:val="000000"/>
                      <w:szCs w:val="21"/>
                    </w:rPr>
                  </w:pPr>
                </w:p>
              </w:tc>
              <w:tc>
                <w:tcPr>
                  <w:tcW w:w="1269" w:type="dxa"/>
                  <w:vAlign w:val="center"/>
                </w:tcPr>
                <w:p>
                  <w:pPr>
                    <w:adjustRightInd w:val="0"/>
                    <w:snapToGrid w:val="0"/>
                    <w:spacing w:line="320" w:lineRule="exact"/>
                    <w:jc w:val="center"/>
                    <w:rPr>
                      <w:color w:val="000000"/>
                      <w:szCs w:val="21"/>
                    </w:rPr>
                  </w:pPr>
                  <w:r>
                    <w:rPr>
                      <w:color w:val="000000"/>
                      <w:szCs w:val="21"/>
                    </w:rPr>
                    <w:t>夜间</w:t>
                  </w:r>
                </w:p>
              </w:tc>
              <w:tc>
                <w:tcPr>
                  <w:tcW w:w="2854" w:type="dxa"/>
                  <w:vAlign w:val="center"/>
                </w:tcPr>
                <w:p>
                  <w:pPr>
                    <w:adjustRightInd w:val="0"/>
                    <w:snapToGrid w:val="0"/>
                    <w:spacing w:line="320" w:lineRule="exact"/>
                    <w:jc w:val="center"/>
                    <w:rPr>
                      <w:color w:val="000000"/>
                      <w:szCs w:val="21"/>
                    </w:rPr>
                  </w:pPr>
                  <w:r>
                    <w:rPr>
                      <w:color w:val="000000"/>
                      <w:szCs w:val="21"/>
                    </w:rPr>
                    <w:t>5</w:t>
                  </w:r>
                  <w:r>
                    <w:rPr>
                      <w:rFonts w:hint="eastAsia"/>
                      <w:color w:val="000000"/>
                      <w:szCs w:val="21"/>
                    </w:rPr>
                    <w:t>0dB（A）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8" w:hRule="atLeast"/>
                <w:jc w:val="center"/>
              </w:trPr>
              <w:tc>
                <w:tcPr>
                  <w:tcW w:w="710" w:type="dxa"/>
                  <w:vAlign w:val="center"/>
                </w:tcPr>
                <w:p>
                  <w:pPr>
                    <w:spacing w:line="320" w:lineRule="exact"/>
                    <w:jc w:val="center"/>
                    <w:rPr>
                      <w:color w:val="000000"/>
                      <w:szCs w:val="21"/>
                    </w:rPr>
                  </w:pPr>
                  <w:r>
                    <w:rPr>
                      <w:rFonts w:hint="eastAsia"/>
                      <w:color w:val="000000"/>
                      <w:szCs w:val="21"/>
                    </w:rPr>
                    <w:t>固体废物</w:t>
                  </w:r>
                </w:p>
              </w:tc>
              <w:tc>
                <w:tcPr>
                  <w:tcW w:w="7415" w:type="dxa"/>
                  <w:gridSpan w:val="3"/>
                  <w:vAlign w:val="center"/>
                </w:tcPr>
                <w:p>
                  <w:pPr>
                    <w:spacing w:line="320" w:lineRule="exact"/>
                    <w:jc w:val="center"/>
                    <w:rPr>
                      <w:color w:val="000000"/>
                      <w:szCs w:val="21"/>
                    </w:rPr>
                  </w:pPr>
                  <w:r>
                    <w:rPr>
                      <w:color w:val="000000"/>
                      <w:szCs w:val="21"/>
                    </w:rPr>
                    <w:t>一般工业固体废物执行《一般工业固体废物贮存</w:t>
                  </w:r>
                  <w:r>
                    <w:rPr>
                      <w:rFonts w:hint="eastAsia"/>
                      <w:color w:val="000000"/>
                      <w:szCs w:val="21"/>
                    </w:rPr>
                    <w:t>和填埋</w:t>
                  </w:r>
                  <w:r>
                    <w:rPr>
                      <w:color w:val="000000"/>
                      <w:szCs w:val="21"/>
                    </w:rPr>
                    <w:t>污染控制标准》（GB18599-20</w:t>
                  </w:r>
                  <w:r>
                    <w:rPr>
                      <w:rFonts w:hint="eastAsia"/>
                      <w:color w:val="000000"/>
                      <w:szCs w:val="21"/>
                    </w:rPr>
                    <w:t>20</w:t>
                  </w:r>
                  <w:r>
                    <w:rPr>
                      <w:color w:val="000000"/>
                      <w:szCs w:val="21"/>
                    </w:rPr>
                    <w:t>）中要求</w:t>
                  </w:r>
                </w:p>
              </w:tc>
            </w:tr>
          </w:tbl>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 w:hRule="atLeast"/>
          <w:jc w:val="center"/>
        </w:trPr>
        <w:tc>
          <w:tcPr>
            <w:tcW w:w="732" w:type="dxa"/>
            <w:tcBorders>
              <w:tl2br w:val="nil"/>
              <w:tr2bl w:val="nil"/>
            </w:tcBorders>
            <w:vAlign w:val="center"/>
          </w:tcPr>
          <w:p>
            <w:pPr>
              <w:adjustRightInd w:val="0"/>
              <w:snapToGrid w:val="0"/>
              <w:spacing w:line="520" w:lineRule="exact"/>
              <w:jc w:val="center"/>
              <w:rPr>
                <w:kern w:val="21"/>
                <w:sz w:val="24"/>
                <w:szCs w:val="24"/>
              </w:rPr>
            </w:pPr>
            <w:r>
              <w:rPr>
                <w:kern w:val="21"/>
                <w:sz w:val="24"/>
                <w:szCs w:val="24"/>
              </w:rPr>
              <w:t>总量</w:t>
            </w:r>
          </w:p>
          <w:p>
            <w:pPr>
              <w:adjustRightInd w:val="0"/>
              <w:snapToGrid w:val="0"/>
              <w:spacing w:line="520" w:lineRule="exact"/>
              <w:jc w:val="center"/>
              <w:rPr>
                <w:kern w:val="21"/>
                <w:sz w:val="24"/>
                <w:szCs w:val="24"/>
              </w:rPr>
            </w:pPr>
            <w:r>
              <w:rPr>
                <w:kern w:val="21"/>
                <w:sz w:val="24"/>
                <w:szCs w:val="24"/>
              </w:rPr>
              <w:t>控制</w:t>
            </w:r>
          </w:p>
          <w:p>
            <w:pPr>
              <w:adjustRightInd w:val="0"/>
              <w:snapToGrid w:val="0"/>
              <w:spacing w:line="520" w:lineRule="exact"/>
              <w:jc w:val="center"/>
              <w:rPr>
                <w:kern w:val="21"/>
                <w:sz w:val="24"/>
                <w:szCs w:val="24"/>
              </w:rPr>
            </w:pPr>
            <w:r>
              <w:rPr>
                <w:kern w:val="21"/>
                <w:sz w:val="24"/>
                <w:szCs w:val="24"/>
              </w:rPr>
              <w:t>指标</w:t>
            </w:r>
          </w:p>
        </w:tc>
        <w:tc>
          <w:tcPr>
            <w:tcW w:w="8351" w:type="dxa"/>
            <w:tcBorders>
              <w:tl2br w:val="nil"/>
              <w:tr2bl w:val="nil"/>
            </w:tcBorders>
            <w:vAlign w:val="center"/>
          </w:tcPr>
          <w:p>
            <w:pPr>
              <w:adjustRightInd w:val="0"/>
              <w:snapToGrid w:val="0"/>
              <w:spacing w:line="360" w:lineRule="auto"/>
              <w:ind w:firstLine="588" w:firstLineChars="245"/>
              <w:rPr>
                <w:color w:val="000000"/>
                <w:sz w:val="24"/>
              </w:rPr>
            </w:pPr>
            <w:r>
              <w:rPr>
                <w:rFonts w:hint="eastAsia"/>
                <w:color w:val="000000"/>
                <w:sz w:val="24"/>
              </w:rPr>
              <w:t>废水总量控制指标：项目营运期废水主要为职工生活污水，</w:t>
            </w:r>
            <w:r>
              <w:rPr>
                <w:rFonts w:hint="eastAsia"/>
                <w:bCs/>
                <w:color w:val="000000"/>
                <w:sz w:val="24"/>
              </w:rPr>
              <w:t>经化粪池处理后</w:t>
            </w:r>
            <w:r>
              <w:rPr>
                <w:rFonts w:hint="eastAsia"/>
                <w:color w:val="000000"/>
                <w:sz w:val="24"/>
              </w:rPr>
              <w:t>用于周围农田施肥。</w:t>
            </w:r>
          </w:p>
          <w:p>
            <w:pPr>
              <w:adjustRightInd w:val="0"/>
              <w:snapToGrid w:val="0"/>
              <w:spacing w:line="360" w:lineRule="auto"/>
              <w:ind w:firstLine="480" w:firstLineChars="200"/>
              <w:rPr>
                <w:kern w:val="21"/>
                <w:sz w:val="24"/>
                <w:szCs w:val="24"/>
              </w:rPr>
            </w:pPr>
            <w:r>
              <w:rPr>
                <w:rFonts w:hint="eastAsia"/>
                <w:color w:val="000000"/>
                <w:sz w:val="24"/>
              </w:rPr>
              <w:t>大气总量控制指标：本项目生产过程中大气污染物主要为颗粒物</w:t>
            </w:r>
            <w:r>
              <w:rPr>
                <w:color w:val="000000"/>
                <w:sz w:val="24"/>
              </w:rPr>
              <w:t>，项目</w:t>
            </w:r>
            <w:r>
              <w:rPr>
                <w:rFonts w:hint="eastAsia"/>
                <w:color w:val="000000"/>
                <w:sz w:val="24"/>
              </w:rPr>
              <w:t>大气</w:t>
            </w:r>
            <w:r>
              <w:rPr>
                <w:color w:val="000000"/>
                <w:sz w:val="24"/>
              </w:rPr>
              <w:t>总量控制指标</w:t>
            </w:r>
            <w:r>
              <w:rPr>
                <w:rFonts w:hint="eastAsia"/>
                <w:color w:val="000000"/>
                <w:sz w:val="24"/>
              </w:rPr>
              <w:t>为：颗粒物0.02026t/a（有组织）</w:t>
            </w:r>
            <w:r>
              <w:rPr>
                <w:color w:val="000000"/>
                <w:sz w:val="24"/>
              </w:rPr>
              <w:t>。</w:t>
            </w:r>
            <w:r>
              <w:rPr>
                <w:rFonts w:hint="eastAsia"/>
                <w:color w:val="000000"/>
                <w:sz w:val="24"/>
              </w:rPr>
              <w:t>卧龙区属于空气不达标区，排放量需倍量替代，替代量为0.04052t/a。</w:t>
            </w:r>
          </w:p>
        </w:tc>
      </w:tr>
    </w:tbl>
    <w:p>
      <w:pPr>
        <w:pStyle w:val="2"/>
        <w:ind w:firstLine="0"/>
        <w:sectPr>
          <w:pgSz w:w="11906" w:h="16838"/>
          <w:pgMar w:top="1440" w:right="1800" w:bottom="1440" w:left="1800" w:header="851" w:footer="992" w:gutter="0"/>
          <w:cols w:space="425" w:num="1"/>
          <w:docGrid w:type="lines" w:linePitch="312" w:charSpace="0"/>
        </w:sectPr>
      </w:pPr>
    </w:p>
    <w:p>
      <w:pPr>
        <w:numPr>
          <w:ilvl w:val="0"/>
          <w:numId w:val="1"/>
        </w:numPr>
        <w:jc w:val="center"/>
        <w:outlineLvl w:val="0"/>
        <w:rPr>
          <w:rFonts w:eastAsia="黑体"/>
          <w:snapToGrid w:val="0"/>
          <w:kern w:val="21"/>
          <w:sz w:val="30"/>
          <w:szCs w:val="30"/>
        </w:rPr>
      </w:pPr>
      <w:bookmarkStart w:id="5" w:name="_Toc172623724"/>
      <w:r>
        <w:rPr>
          <w:rFonts w:eastAsia="黑体"/>
          <w:snapToGrid w:val="0"/>
          <w:kern w:val="21"/>
          <w:sz w:val="30"/>
          <w:szCs w:val="30"/>
        </w:rPr>
        <w:t>主要环境影响和保护措施</w:t>
      </w:r>
      <w:bookmarkEnd w:id="5"/>
    </w:p>
    <w:tbl>
      <w:tblPr>
        <w:tblStyle w:val="26"/>
        <w:tblpPr w:leftFromText="180" w:rightFromText="180" w:vertAnchor="text" w:tblpY="1"/>
        <w:tblOverlap w:val="never"/>
        <w:tblW w:w="844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46"/>
        <w:gridCol w:w="799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91" w:hRule="atLeast"/>
        </w:trPr>
        <w:tc>
          <w:tcPr>
            <w:tcW w:w="446" w:type="dxa"/>
            <w:tcBorders>
              <w:tl2br w:val="nil"/>
              <w:tr2bl w:val="nil"/>
            </w:tcBorders>
            <w:tcMar>
              <w:left w:w="28" w:type="dxa"/>
              <w:right w:w="28" w:type="dxa"/>
            </w:tcMar>
            <w:vAlign w:val="center"/>
          </w:tcPr>
          <w:p>
            <w:pPr>
              <w:pStyle w:val="24"/>
              <w:adjustRightInd w:val="0"/>
              <w:snapToGrid w:val="0"/>
              <w:spacing w:before="0" w:beforeAutospacing="0" w:after="0" w:afterAutospacing="0" w:line="360" w:lineRule="auto"/>
              <w:jc w:val="center"/>
              <w:rPr>
                <w:rFonts w:ascii="Times New Roman" w:hAnsi="Times New Roman"/>
                <w:kern w:val="21"/>
                <w:szCs w:val="24"/>
              </w:rPr>
            </w:pPr>
            <w:r>
              <w:rPr>
                <w:rFonts w:ascii="Times New Roman" w:hAnsi="Times New Roman"/>
                <w:kern w:val="21"/>
                <w:szCs w:val="24"/>
              </w:rPr>
              <w:t>施工</w:t>
            </w:r>
          </w:p>
          <w:p>
            <w:pPr>
              <w:pStyle w:val="24"/>
              <w:adjustRightInd w:val="0"/>
              <w:snapToGrid w:val="0"/>
              <w:spacing w:before="0" w:beforeAutospacing="0" w:after="0" w:afterAutospacing="0" w:line="360" w:lineRule="auto"/>
              <w:jc w:val="center"/>
              <w:rPr>
                <w:rFonts w:ascii="Times New Roman" w:hAnsi="Times New Roman"/>
                <w:kern w:val="21"/>
                <w:szCs w:val="24"/>
              </w:rPr>
            </w:pPr>
            <w:r>
              <w:rPr>
                <w:rFonts w:ascii="Times New Roman" w:hAnsi="Times New Roman"/>
                <w:kern w:val="21"/>
                <w:szCs w:val="24"/>
              </w:rPr>
              <w:t>期环</w:t>
            </w:r>
          </w:p>
          <w:p>
            <w:pPr>
              <w:pStyle w:val="24"/>
              <w:adjustRightInd w:val="0"/>
              <w:snapToGrid w:val="0"/>
              <w:spacing w:before="0" w:beforeAutospacing="0" w:after="0" w:afterAutospacing="0" w:line="360" w:lineRule="auto"/>
              <w:jc w:val="center"/>
              <w:rPr>
                <w:rFonts w:ascii="Times New Roman" w:hAnsi="Times New Roman"/>
                <w:kern w:val="21"/>
                <w:szCs w:val="24"/>
              </w:rPr>
            </w:pPr>
            <w:r>
              <w:rPr>
                <w:rFonts w:ascii="Times New Roman" w:hAnsi="Times New Roman"/>
                <w:kern w:val="21"/>
                <w:szCs w:val="24"/>
              </w:rPr>
              <w:t>境保</w:t>
            </w:r>
          </w:p>
          <w:p>
            <w:pPr>
              <w:pStyle w:val="24"/>
              <w:adjustRightInd w:val="0"/>
              <w:snapToGrid w:val="0"/>
              <w:spacing w:before="0" w:beforeAutospacing="0" w:after="0" w:afterAutospacing="0" w:line="360" w:lineRule="auto"/>
              <w:jc w:val="center"/>
              <w:rPr>
                <w:rFonts w:ascii="Times New Roman" w:hAnsi="Times New Roman"/>
                <w:kern w:val="21"/>
                <w:szCs w:val="24"/>
              </w:rPr>
            </w:pPr>
            <w:r>
              <w:rPr>
                <w:rFonts w:ascii="Times New Roman" w:hAnsi="Times New Roman"/>
                <w:kern w:val="21"/>
                <w:szCs w:val="24"/>
              </w:rPr>
              <w:t>护措</w:t>
            </w:r>
          </w:p>
          <w:p>
            <w:pPr>
              <w:pStyle w:val="24"/>
              <w:adjustRightInd w:val="0"/>
              <w:snapToGrid w:val="0"/>
              <w:spacing w:before="0" w:beforeAutospacing="0" w:after="0" w:afterAutospacing="0" w:line="360" w:lineRule="auto"/>
              <w:jc w:val="center"/>
              <w:rPr>
                <w:rFonts w:ascii="Times New Roman" w:hAnsi="Times New Roman"/>
                <w:bCs/>
                <w:kern w:val="21"/>
                <w:sz w:val="21"/>
                <w:szCs w:val="21"/>
              </w:rPr>
            </w:pPr>
            <w:r>
              <w:rPr>
                <w:rFonts w:ascii="Times New Roman" w:hAnsi="Times New Roman"/>
                <w:kern w:val="21"/>
                <w:szCs w:val="24"/>
              </w:rPr>
              <w:t>施</w:t>
            </w:r>
          </w:p>
        </w:tc>
        <w:tc>
          <w:tcPr>
            <w:tcW w:w="7996" w:type="dxa"/>
            <w:tcBorders>
              <w:tl2br w:val="nil"/>
              <w:tr2bl w:val="nil"/>
            </w:tcBorders>
            <w:vAlign w:val="center"/>
          </w:tcPr>
          <w:p>
            <w:pPr>
              <w:tabs>
                <w:tab w:val="left" w:pos="1081"/>
              </w:tabs>
              <w:adjustRightInd w:val="0"/>
              <w:snapToGrid w:val="0"/>
              <w:spacing w:line="360" w:lineRule="auto"/>
              <w:ind w:firstLine="480" w:firstLineChars="200"/>
              <w:jc w:val="left"/>
              <w:rPr>
                <w:bCs/>
                <w:kern w:val="21"/>
                <w:sz w:val="24"/>
                <w:szCs w:val="24"/>
              </w:rPr>
            </w:pPr>
            <w:r>
              <w:rPr>
                <w:rFonts w:hint="eastAsia"/>
                <w:color w:val="000000"/>
                <w:sz w:val="24"/>
              </w:rPr>
              <w:t>本项目租赁现有生产车间进行建设，不新增建筑物，因此，施工期仅进行生产设备、环保设施的安装调试，主要污染来自于设备设施安装过程中产生的噪声，经厂房隔声，距离衰减后预计对周边环境影响不大。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446" w:type="dxa"/>
            <w:tcBorders>
              <w:tl2br w:val="nil"/>
              <w:tr2bl w:val="nil"/>
            </w:tcBorders>
            <w:tcMar>
              <w:left w:w="28" w:type="dxa"/>
              <w:right w:w="28" w:type="dxa"/>
            </w:tcMar>
            <w:vAlign w:val="center"/>
          </w:tcPr>
          <w:p>
            <w:pPr>
              <w:adjustRightInd w:val="0"/>
              <w:snapToGrid w:val="0"/>
              <w:spacing w:line="360" w:lineRule="auto"/>
              <w:jc w:val="center"/>
              <w:rPr>
                <w:bCs/>
                <w:kern w:val="21"/>
                <w:sz w:val="24"/>
                <w:szCs w:val="24"/>
              </w:rPr>
            </w:pPr>
            <w:r>
              <w:rPr>
                <w:bCs/>
                <w:kern w:val="21"/>
                <w:sz w:val="24"/>
                <w:szCs w:val="24"/>
              </w:rPr>
              <w:t>运营</w:t>
            </w:r>
          </w:p>
          <w:p>
            <w:pPr>
              <w:adjustRightInd w:val="0"/>
              <w:snapToGrid w:val="0"/>
              <w:spacing w:line="360" w:lineRule="auto"/>
              <w:jc w:val="center"/>
              <w:rPr>
                <w:bCs/>
                <w:kern w:val="21"/>
                <w:sz w:val="24"/>
                <w:szCs w:val="24"/>
              </w:rPr>
            </w:pPr>
            <w:r>
              <w:rPr>
                <w:bCs/>
                <w:kern w:val="21"/>
                <w:sz w:val="24"/>
                <w:szCs w:val="24"/>
              </w:rPr>
              <w:t>期环</w:t>
            </w:r>
          </w:p>
          <w:p>
            <w:pPr>
              <w:adjustRightInd w:val="0"/>
              <w:snapToGrid w:val="0"/>
              <w:spacing w:line="360" w:lineRule="auto"/>
              <w:jc w:val="center"/>
              <w:rPr>
                <w:bCs/>
                <w:kern w:val="21"/>
                <w:sz w:val="24"/>
                <w:szCs w:val="24"/>
              </w:rPr>
            </w:pPr>
            <w:r>
              <w:rPr>
                <w:bCs/>
                <w:kern w:val="21"/>
                <w:sz w:val="24"/>
                <w:szCs w:val="24"/>
              </w:rPr>
              <w:t>境影</w:t>
            </w:r>
          </w:p>
          <w:p>
            <w:pPr>
              <w:adjustRightInd w:val="0"/>
              <w:snapToGrid w:val="0"/>
              <w:spacing w:line="360" w:lineRule="auto"/>
              <w:jc w:val="center"/>
              <w:rPr>
                <w:bCs/>
                <w:kern w:val="21"/>
                <w:sz w:val="24"/>
                <w:szCs w:val="24"/>
              </w:rPr>
            </w:pPr>
            <w:r>
              <w:rPr>
                <w:bCs/>
                <w:kern w:val="21"/>
                <w:sz w:val="24"/>
                <w:szCs w:val="24"/>
              </w:rPr>
              <w:t>响和</w:t>
            </w:r>
          </w:p>
          <w:p>
            <w:pPr>
              <w:adjustRightInd w:val="0"/>
              <w:snapToGrid w:val="0"/>
              <w:spacing w:line="360" w:lineRule="auto"/>
              <w:jc w:val="center"/>
              <w:rPr>
                <w:bCs/>
                <w:kern w:val="21"/>
                <w:sz w:val="24"/>
                <w:szCs w:val="24"/>
              </w:rPr>
            </w:pPr>
            <w:r>
              <w:rPr>
                <w:bCs/>
                <w:kern w:val="21"/>
                <w:sz w:val="24"/>
                <w:szCs w:val="24"/>
              </w:rPr>
              <w:t>保护</w:t>
            </w:r>
          </w:p>
          <w:p>
            <w:pPr>
              <w:adjustRightInd w:val="0"/>
              <w:snapToGrid w:val="0"/>
              <w:spacing w:line="360" w:lineRule="auto"/>
              <w:jc w:val="center"/>
              <w:rPr>
                <w:bCs/>
                <w:kern w:val="21"/>
                <w:szCs w:val="21"/>
              </w:rPr>
            </w:pPr>
            <w:r>
              <w:rPr>
                <w:bCs/>
                <w:kern w:val="21"/>
                <w:sz w:val="24"/>
                <w:szCs w:val="24"/>
              </w:rPr>
              <w:t>措施</w:t>
            </w:r>
          </w:p>
        </w:tc>
        <w:tc>
          <w:tcPr>
            <w:tcW w:w="7996" w:type="dxa"/>
            <w:tcBorders>
              <w:tl2br w:val="nil"/>
              <w:tr2bl w:val="nil"/>
            </w:tcBorders>
            <w:vAlign w:val="center"/>
          </w:tcPr>
          <w:p>
            <w:pPr>
              <w:tabs>
                <w:tab w:val="left" w:pos="1081"/>
              </w:tabs>
              <w:adjustRightInd w:val="0"/>
              <w:snapToGrid w:val="0"/>
              <w:spacing w:line="360" w:lineRule="auto"/>
              <w:ind w:firstLine="482" w:firstLineChars="200"/>
              <w:jc w:val="left"/>
              <w:rPr>
                <w:b/>
                <w:color w:val="000000"/>
                <w:sz w:val="24"/>
              </w:rPr>
            </w:pPr>
            <w:r>
              <w:rPr>
                <w:b/>
                <w:color w:val="000000"/>
                <w:sz w:val="24"/>
              </w:rPr>
              <w:t>1、废气</w:t>
            </w:r>
          </w:p>
          <w:p>
            <w:pPr>
              <w:tabs>
                <w:tab w:val="left" w:pos="1081"/>
              </w:tabs>
              <w:adjustRightInd w:val="0"/>
              <w:snapToGrid w:val="0"/>
              <w:spacing w:line="360" w:lineRule="auto"/>
              <w:ind w:firstLine="480" w:firstLineChars="200"/>
              <w:jc w:val="left"/>
              <w:rPr>
                <w:sz w:val="24"/>
                <w:szCs w:val="24"/>
              </w:rPr>
            </w:pPr>
            <w:r>
              <w:rPr>
                <w:sz w:val="24"/>
                <w:szCs w:val="24"/>
              </w:rPr>
              <w:t>1.1废气源强分析</w:t>
            </w:r>
          </w:p>
          <w:p>
            <w:pPr>
              <w:tabs>
                <w:tab w:val="left" w:pos="1081"/>
              </w:tabs>
              <w:adjustRightInd w:val="0"/>
              <w:snapToGrid w:val="0"/>
              <w:spacing w:line="360" w:lineRule="auto"/>
              <w:ind w:firstLine="480" w:firstLineChars="200"/>
              <w:jc w:val="left"/>
              <w:rPr>
                <w:color w:val="000000"/>
                <w:sz w:val="24"/>
              </w:rPr>
            </w:pPr>
            <w:r>
              <w:rPr>
                <w:rFonts w:hint="eastAsia"/>
                <w:color w:val="000000"/>
                <w:sz w:val="24"/>
              </w:rPr>
              <w:t>本项目营运期废气主要为艾草破捆、粉碎、提绒工序粉尘以及艾条卷制过程产生的粉尘。</w:t>
            </w:r>
          </w:p>
          <w:p>
            <w:pPr>
              <w:tabs>
                <w:tab w:val="left" w:pos="1081"/>
              </w:tabs>
              <w:adjustRightInd w:val="0"/>
              <w:snapToGrid w:val="0"/>
              <w:spacing w:line="360" w:lineRule="auto"/>
              <w:ind w:firstLine="480" w:firstLineChars="200"/>
              <w:jc w:val="left"/>
              <w:rPr>
                <w:color w:val="000000"/>
                <w:sz w:val="24"/>
              </w:rPr>
            </w:pPr>
            <w:r>
              <w:rPr>
                <w:rFonts w:hint="eastAsia"/>
                <w:color w:val="000000"/>
                <w:sz w:val="24"/>
              </w:rPr>
              <w:t>（1）破捆、粉碎、提绒工序粉尘</w:t>
            </w:r>
          </w:p>
          <w:p>
            <w:pPr>
              <w:tabs>
                <w:tab w:val="left" w:pos="1081"/>
              </w:tabs>
              <w:adjustRightInd w:val="0"/>
              <w:snapToGrid w:val="0"/>
              <w:spacing w:line="360" w:lineRule="auto"/>
              <w:ind w:firstLine="480" w:firstLineChars="200"/>
              <w:jc w:val="left"/>
              <w:rPr>
                <w:color w:val="000000"/>
                <w:sz w:val="24"/>
              </w:rPr>
            </w:pPr>
            <w:r>
              <w:rPr>
                <w:rFonts w:hint="eastAsia"/>
                <w:color w:val="000000"/>
                <w:sz w:val="24"/>
              </w:rPr>
              <w:t>由于本行业未发布污染物产污系数及源强，因此本项目污染物产生量参照同行业河南仲景故事商贸有限公司《河南仲景故事商贸有限公司艾草加工项目竣工环境保护验收监测报告表》的竣工验收监测报告(与本项目的生产工艺一致，生产规模、生产设备、治理措施基本一致，具有类比性），根据检测报告可知，验收期间艾绒日产量为1t/d，0.125t/h，该项目有组织废气处理设备进口浓度最大值为676</w:t>
            </w:r>
            <w:r>
              <w:rPr>
                <w:color w:val="000000"/>
                <w:sz w:val="24"/>
              </w:rPr>
              <w:t>mg</w:t>
            </w:r>
            <w:r>
              <w:rPr>
                <w:rFonts w:hint="eastAsia"/>
                <w:color w:val="000000"/>
                <w:sz w:val="24"/>
              </w:rPr>
              <w:t>/</w:t>
            </w:r>
            <w:r>
              <w:rPr>
                <w:color w:val="000000"/>
                <w:sz w:val="24"/>
              </w:rPr>
              <w:t>m</w:t>
            </w:r>
            <w:r>
              <w:rPr>
                <w:color w:val="000000"/>
                <w:sz w:val="24"/>
                <w:vertAlign w:val="superscript"/>
              </w:rPr>
              <w:t>3</w:t>
            </w:r>
            <w:r>
              <w:rPr>
                <w:rFonts w:hint="eastAsia"/>
                <w:color w:val="000000"/>
                <w:sz w:val="24"/>
              </w:rPr>
              <w:t>，产生速率最大值为</w:t>
            </w:r>
            <w:r>
              <w:rPr>
                <w:color w:val="000000"/>
                <w:sz w:val="24"/>
              </w:rPr>
              <w:t>1</w:t>
            </w:r>
            <w:r>
              <w:rPr>
                <w:rFonts w:hint="eastAsia"/>
                <w:color w:val="000000"/>
                <w:sz w:val="24"/>
              </w:rPr>
              <w:t>.75</w:t>
            </w:r>
            <w:r>
              <w:rPr>
                <w:color w:val="000000"/>
                <w:sz w:val="24"/>
              </w:rPr>
              <w:t>kg</w:t>
            </w:r>
            <w:r>
              <w:rPr>
                <w:rFonts w:hint="eastAsia"/>
                <w:color w:val="000000"/>
                <w:sz w:val="24"/>
              </w:rPr>
              <w:t>/</w:t>
            </w:r>
            <w:r>
              <w:rPr>
                <w:color w:val="000000"/>
                <w:sz w:val="24"/>
              </w:rPr>
              <w:t>h</w:t>
            </w:r>
            <w:r>
              <w:rPr>
                <w:rFonts w:hint="eastAsia"/>
                <w:color w:val="000000"/>
                <w:sz w:val="24"/>
              </w:rPr>
              <w:t>（废气处理设备进口风量均值为2600</w:t>
            </w:r>
            <w:r>
              <w:rPr>
                <w:color w:val="000000"/>
                <w:sz w:val="24"/>
              </w:rPr>
              <w:t>m</w:t>
            </w:r>
            <w:r>
              <w:rPr>
                <w:color w:val="000000"/>
                <w:sz w:val="24"/>
                <w:vertAlign w:val="superscript"/>
              </w:rPr>
              <w:t>3</w:t>
            </w:r>
            <w:r>
              <w:rPr>
                <w:rFonts w:hint="eastAsia"/>
                <w:color w:val="000000"/>
                <w:sz w:val="24"/>
              </w:rPr>
              <w:t>/</w:t>
            </w:r>
            <w:r>
              <w:rPr>
                <w:color w:val="000000"/>
                <w:sz w:val="24"/>
              </w:rPr>
              <w:t>h</w:t>
            </w:r>
            <w:r>
              <w:rPr>
                <w:rFonts w:hint="eastAsia"/>
                <w:color w:val="000000"/>
                <w:sz w:val="24"/>
              </w:rPr>
              <w:t>，验收检测时生产工况约为85.5%），项目废气收集方式相似（破捆、破碎机等半封闭，提绒设备采用一体化环保设备即各产污点均为密闭式或设置有集气措施，废气经管道收集后统一排放），废气收集效率按照</w:t>
            </w:r>
            <w:r>
              <w:rPr>
                <w:color w:val="000000"/>
                <w:sz w:val="24"/>
              </w:rPr>
              <w:t>90</w:t>
            </w:r>
            <w:r>
              <w:rPr>
                <w:rFonts w:hint="eastAsia"/>
                <w:color w:val="000000"/>
                <w:sz w:val="24"/>
              </w:rPr>
              <w:t>%计算，项目年运行时长为</w:t>
            </w:r>
            <w:r>
              <w:rPr>
                <w:color w:val="000000"/>
                <w:sz w:val="24"/>
              </w:rPr>
              <w:t>2400h</w:t>
            </w:r>
            <w:r>
              <w:rPr>
                <w:rFonts w:hint="eastAsia"/>
                <w:color w:val="000000"/>
                <w:sz w:val="24"/>
              </w:rPr>
              <w:t>；根据计算，其整个生产过程颗粒物的产生量为：1.75（排放速率）</w:t>
            </w:r>
            <w:r>
              <w:rPr>
                <w:color w:val="000000"/>
                <w:sz w:val="24"/>
              </w:rPr>
              <w:t>/0</w:t>
            </w:r>
            <w:r>
              <w:rPr>
                <w:rFonts w:hint="eastAsia"/>
                <w:color w:val="000000"/>
                <w:sz w:val="24"/>
              </w:rPr>
              <w:t>.855（生产工况）</w:t>
            </w:r>
            <w:r>
              <w:rPr>
                <w:color w:val="000000"/>
                <w:sz w:val="24"/>
              </w:rPr>
              <w:t>/0.9</w:t>
            </w:r>
            <w:r>
              <w:rPr>
                <w:rFonts w:hint="eastAsia"/>
                <w:color w:val="000000"/>
                <w:sz w:val="24"/>
              </w:rPr>
              <w:t>（收集效率）=2.274kg/h，则破捆、粉碎、提绒工序粉尘产生系数为18.2kg/t-产品（艾绒）。</w:t>
            </w:r>
          </w:p>
          <w:p>
            <w:pPr>
              <w:tabs>
                <w:tab w:val="left" w:pos="1081"/>
              </w:tabs>
              <w:adjustRightInd w:val="0"/>
              <w:snapToGrid w:val="0"/>
              <w:spacing w:line="360" w:lineRule="auto"/>
              <w:ind w:firstLine="480" w:firstLineChars="200"/>
              <w:jc w:val="left"/>
              <w:rPr>
                <w:color w:val="000000"/>
                <w:sz w:val="24"/>
              </w:rPr>
            </w:pPr>
            <w:r>
              <w:rPr>
                <w:rFonts w:hint="eastAsia"/>
                <w:color w:val="000000"/>
                <w:sz w:val="24"/>
              </w:rPr>
              <w:t>根据类比，本项目艾绒生产量为80t/a，则破捆、粉碎、提绒工序产生粉尘量为1.456t/a。环评建议，破捆机进料口上方设置集气罩（1个），提绒机出料口安装集气罩（5个），收集粉尘经一套脉冲袋式除尘器处理后经一根15m高排气筒（DA001）排放；破捆工序采用密闭皮带输送物料，粉碎到提绒工序均采用管道风力输送。废气收集效率按照</w:t>
            </w:r>
            <w:r>
              <w:rPr>
                <w:color w:val="000000"/>
                <w:sz w:val="24"/>
              </w:rPr>
              <w:t>90</w:t>
            </w:r>
            <w:r>
              <w:rPr>
                <w:rFonts w:hint="eastAsia"/>
                <w:color w:val="000000"/>
                <w:sz w:val="24"/>
              </w:rPr>
              <w:t>%计算，除尘器风量选择为3</w:t>
            </w:r>
            <w:r>
              <w:rPr>
                <w:color w:val="000000"/>
                <w:sz w:val="24"/>
              </w:rPr>
              <w:t>000m</w:t>
            </w:r>
            <w:r>
              <w:rPr>
                <w:color w:val="000000"/>
                <w:sz w:val="24"/>
                <w:vertAlign w:val="superscript"/>
              </w:rPr>
              <w:t>3</w:t>
            </w:r>
            <w:r>
              <w:rPr>
                <w:rFonts w:hint="eastAsia"/>
                <w:color w:val="000000"/>
                <w:sz w:val="24"/>
              </w:rPr>
              <w:t>/</w:t>
            </w:r>
            <w:r>
              <w:rPr>
                <w:color w:val="000000"/>
                <w:sz w:val="24"/>
              </w:rPr>
              <w:t>h</w:t>
            </w:r>
            <w:r>
              <w:rPr>
                <w:rFonts w:hint="eastAsia"/>
                <w:color w:val="000000"/>
                <w:sz w:val="24"/>
              </w:rPr>
              <w:t>，项目年运行时长为1920</w:t>
            </w:r>
            <w:r>
              <w:rPr>
                <w:color w:val="000000"/>
                <w:sz w:val="24"/>
              </w:rPr>
              <w:t>h</w:t>
            </w:r>
            <w:r>
              <w:rPr>
                <w:rFonts w:hint="eastAsia"/>
                <w:color w:val="000000"/>
                <w:sz w:val="24"/>
              </w:rPr>
              <w:t>；收集粉尘量为1.31t/a，产生速率为0.68kg/h，产生浓度为266.7mg/m</w:t>
            </w:r>
            <w:r>
              <w:rPr>
                <w:rFonts w:hint="eastAsia"/>
                <w:color w:val="000000"/>
                <w:sz w:val="24"/>
                <w:vertAlign w:val="superscript"/>
              </w:rPr>
              <w:t>3</w:t>
            </w:r>
            <w:r>
              <w:rPr>
                <w:rFonts w:hint="eastAsia"/>
                <w:color w:val="000000"/>
                <w:sz w:val="24"/>
              </w:rPr>
              <w:t>，脉冲袋式除尘器设计处理效率为</w:t>
            </w:r>
            <w:r>
              <w:rPr>
                <w:color w:val="000000"/>
                <w:sz w:val="24"/>
              </w:rPr>
              <w:t>99</w:t>
            </w:r>
            <w:r>
              <w:rPr>
                <w:rFonts w:hint="eastAsia"/>
                <w:color w:val="000000"/>
                <w:sz w:val="24"/>
              </w:rPr>
              <w:t>%以上，本项目按照</w:t>
            </w:r>
            <w:r>
              <w:rPr>
                <w:color w:val="000000"/>
                <w:sz w:val="24"/>
              </w:rPr>
              <w:t>99</w:t>
            </w:r>
            <w:r>
              <w:rPr>
                <w:rFonts w:hint="eastAsia"/>
                <w:color w:val="000000"/>
                <w:sz w:val="24"/>
              </w:rPr>
              <w:t>%计算，则处理后粉尘排放量为0.0131t/a，排放速率为0.0068kg/h，排放浓度为2.67mg/m</w:t>
            </w:r>
            <w:r>
              <w:rPr>
                <w:rFonts w:hint="eastAsia"/>
                <w:color w:val="000000"/>
                <w:sz w:val="24"/>
                <w:vertAlign w:val="superscript"/>
              </w:rPr>
              <w:t>3</w:t>
            </w:r>
            <w:r>
              <w:rPr>
                <w:rFonts w:hint="eastAsia"/>
                <w:color w:val="000000"/>
                <w:sz w:val="24"/>
              </w:rPr>
              <w:t>。</w:t>
            </w:r>
          </w:p>
          <w:p>
            <w:pPr>
              <w:tabs>
                <w:tab w:val="left" w:pos="1081"/>
              </w:tabs>
              <w:adjustRightInd w:val="0"/>
              <w:snapToGrid w:val="0"/>
              <w:spacing w:line="360" w:lineRule="auto"/>
              <w:ind w:firstLine="480" w:firstLineChars="200"/>
              <w:jc w:val="left"/>
              <w:rPr>
                <w:color w:val="000000"/>
                <w:sz w:val="24"/>
              </w:rPr>
            </w:pPr>
            <w:r>
              <w:rPr>
                <w:rFonts w:hint="eastAsia"/>
                <w:color w:val="000000"/>
                <w:sz w:val="24"/>
              </w:rPr>
              <w:t>未被收集的粉尘为0.146t/a，在密闭厂房内经车间阻隔后在车间内沉降，沉降量以</w:t>
            </w:r>
            <w:r>
              <w:rPr>
                <w:color w:val="000000"/>
                <w:sz w:val="24"/>
              </w:rPr>
              <w:t>80</w:t>
            </w:r>
            <w:r>
              <w:rPr>
                <w:rFonts w:hint="eastAsia"/>
                <w:color w:val="000000"/>
                <w:sz w:val="24"/>
              </w:rPr>
              <w:t>%计算，无组织排放量为0.0292t/a。</w:t>
            </w:r>
          </w:p>
          <w:p>
            <w:pPr>
              <w:tabs>
                <w:tab w:val="left" w:pos="1081"/>
              </w:tabs>
              <w:adjustRightInd w:val="0"/>
              <w:snapToGrid w:val="0"/>
              <w:spacing w:line="360" w:lineRule="auto"/>
              <w:ind w:firstLine="480" w:firstLineChars="200"/>
              <w:jc w:val="left"/>
              <w:rPr>
                <w:color w:val="000000"/>
                <w:sz w:val="24"/>
              </w:rPr>
            </w:pPr>
            <w:r>
              <w:rPr>
                <w:rFonts w:hint="eastAsia"/>
                <w:color w:val="000000"/>
                <w:sz w:val="24"/>
              </w:rPr>
              <w:t>（2）卷条工序粉尘</w:t>
            </w:r>
          </w:p>
          <w:p>
            <w:pPr>
              <w:tabs>
                <w:tab w:val="left" w:pos="1081"/>
              </w:tabs>
              <w:adjustRightInd w:val="0"/>
              <w:snapToGrid w:val="0"/>
              <w:spacing w:line="360" w:lineRule="auto"/>
              <w:ind w:firstLine="480" w:firstLineChars="200"/>
              <w:jc w:val="left"/>
              <w:rPr>
                <w:color w:val="000000"/>
                <w:sz w:val="24"/>
              </w:rPr>
            </w:pPr>
            <w:r>
              <w:rPr>
                <w:rFonts w:hint="eastAsia"/>
                <w:color w:val="000000"/>
                <w:sz w:val="24"/>
              </w:rPr>
              <w:t>本项目卷条工序粉尘产生量参照同行业河南仲景故事商贸有限公司《河南仲景故事商贸有限公司艾草加工项目竣工环境保护验收监测报告表》的竣工验收监测报告(与本项目的生产工艺一致，生产规模、生产设备、治理措施基本一致，具有类比性），根据检测报告可知，验收期间艾条日产量为0.4t/d，0.05t/h，该项目卷条有组织废气处理设备进口浓度最大值为490</w:t>
            </w:r>
            <w:r>
              <w:rPr>
                <w:color w:val="000000"/>
                <w:sz w:val="24"/>
              </w:rPr>
              <w:t>mg</w:t>
            </w:r>
            <w:r>
              <w:rPr>
                <w:rFonts w:hint="eastAsia"/>
                <w:color w:val="000000"/>
                <w:sz w:val="24"/>
              </w:rPr>
              <w:t>/</w:t>
            </w:r>
            <w:r>
              <w:rPr>
                <w:color w:val="000000"/>
                <w:sz w:val="24"/>
              </w:rPr>
              <w:t>m</w:t>
            </w:r>
            <w:r>
              <w:rPr>
                <w:color w:val="000000"/>
                <w:sz w:val="24"/>
                <w:vertAlign w:val="superscript"/>
              </w:rPr>
              <w:t>3</w:t>
            </w:r>
            <w:r>
              <w:rPr>
                <w:rFonts w:hint="eastAsia"/>
                <w:color w:val="000000"/>
                <w:sz w:val="24"/>
              </w:rPr>
              <w:t>，产生速率最大值为0.489</w:t>
            </w:r>
            <w:r>
              <w:rPr>
                <w:color w:val="000000"/>
                <w:sz w:val="24"/>
              </w:rPr>
              <w:t>kg</w:t>
            </w:r>
            <w:r>
              <w:rPr>
                <w:rFonts w:hint="eastAsia"/>
                <w:color w:val="000000"/>
                <w:sz w:val="24"/>
              </w:rPr>
              <w:t>/</w:t>
            </w:r>
            <w:r>
              <w:rPr>
                <w:color w:val="000000"/>
                <w:sz w:val="24"/>
              </w:rPr>
              <w:t>h</w:t>
            </w:r>
            <w:r>
              <w:rPr>
                <w:rFonts w:hint="eastAsia"/>
                <w:color w:val="000000"/>
                <w:sz w:val="24"/>
              </w:rPr>
              <w:t>（废气处理设备进口风量均值为1000</w:t>
            </w:r>
            <w:r>
              <w:rPr>
                <w:color w:val="000000"/>
                <w:sz w:val="24"/>
              </w:rPr>
              <w:t>m</w:t>
            </w:r>
            <w:r>
              <w:rPr>
                <w:color w:val="000000"/>
                <w:sz w:val="24"/>
                <w:vertAlign w:val="superscript"/>
              </w:rPr>
              <w:t>3</w:t>
            </w:r>
            <w:r>
              <w:rPr>
                <w:rFonts w:hint="eastAsia"/>
                <w:color w:val="000000"/>
                <w:sz w:val="24"/>
              </w:rPr>
              <w:t>/</w:t>
            </w:r>
            <w:r>
              <w:rPr>
                <w:color w:val="000000"/>
                <w:sz w:val="24"/>
              </w:rPr>
              <w:t>h</w:t>
            </w:r>
            <w:r>
              <w:rPr>
                <w:rFonts w:hint="eastAsia"/>
                <w:color w:val="000000"/>
                <w:sz w:val="24"/>
              </w:rPr>
              <w:t>，验收检测时生产工况约为82%），项目废气收集方式相似（卷条机上方设置集气罩，废气经管道收集后统一排放），废气收集效率按照</w:t>
            </w:r>
            <w:r>
              <w:rPr>
                <w:color w:val="000000"/>
                <w:sz w:val="24"/>
              </w:rPr>
              <w:t>90</w:t>
            </w:r>
            <w:r>
              <w:rPr>
                <w:rFonts w:hint="eastAsia"/>
                <w:color w:val="000000"/>
                <w:sz w:val="24"/>
              </w:rPr>
              <w:t>%计算，项目年运行时长为</w:t>
            </w:r>
            <w:r>
              <w:rPr>
                <w:color w:val="000000"/>
                <w:sz w:val="24"/>
              </w:rPr>
              <w:t>2400h</w:t>
            </w:r>
            <w:r>
              <w:rPr>
                <w:rFonts w:hint="eastAsia"/>
                <w:color w:val="000000"/>
                <w:sz w:val="24"/>
              </w:rPr>
              <w:t>；根据计算，其整个生产过程颗粒物的产生量为：0.489（排放速率）</w:t>
            </w:r>
            <w:r>
              <w:rPr>
                <w:color w:val="000000"/>
                <w:sz w:val="24"/>
              </w:rPr>
              <w:t>/0</w:t>
            </w:r>
            <w:r>
              <w:rPr>
                <w:rFonts w:hint="eastAsia"/>
                <w:color w:val="000000"/>
                <w:sz w:val="24"/>
              </w:rPr>
              <w:t>.82（生产工况）</w:t>
            </w:r>
            <w:r>
              <w:rPr>
                <w:color w:val="000000"/>
                <w:sz w:val="24"/>
              </w:rPr>
              <w:t>/0.9</w:t>
            </w:r>
            <w:r>
              <w:rPr>
                <w:rFonts w:hint="eastAsia"/>
                <w:color w:val="000000"/>
                <w:sz w:val="24"/>
              </w:rPr>
              <w:t>（收集效率）=0.663kg/h，则卷条工序粉尘产生系数为13.26kg/t-产品（艾条）。</w:t>
            </w:r>
          </w:p>
          <w:p>
            <w:pPr>
              <w:tabs>
                <w:tab w:val="left" w:pos="1081"/>
              </w:tabs>
              <w:adjustRightInd w:val="0"/>
              <w:snapToGrid w:val="0"/>
              <w:spacing w:line="360" w:lineRule="auto"/>
              <w:ind w:firstLine="480" w:firstLineChars="200"/>
              <w:jc w:val="left"/>
              <w:rPr>
                <w:color w:val="000000"/>
                <w:sz w:val="24"/>
              </w:rPr>
            </w:pPr>
            <w:r>
              <w:rPr>
                <w:rFonts w:hint="eastAsia"/>
                <w:color w:val="000000"/>
                <w:sz w:val="24"/>
              </w:rPr>
              <w:t>根据类比，本项目艾条卷制量为60t/a，则卷条工序产生粉尘量为0.7956t/a。环评建议，卷条机上方设置集气罩（15个），收集粉尘经一套脉冲袋式除尘器处理后经一根15m高排气筒（DA002）排放；废气收集效率按照</w:t>
            </w:r>
            <w:r>
              <w:rPr>
                <w:color w:val="000000"/>
                <w:sz w:val="24"/>
              </w:rPr>
              <w:t>90</w:t>
            </w:r>
            <w:r>
              <w:rPr>
                <w:rFonts w:hint="eastAsia"/>
                <w:color w:val="000000"/>
                <w:sz w:val="24"/>
              </w:rPr>
              <w:t>%计算，除尘器风量选择为15</w:t>
            </w:r>
            <w:r>
              <w:rPr>
                <w:color w:val="000000"/>
                <w:sz w:val="24"/>
              </w:rPr>
              <w:t>00m</w:t>
            </w:r>
            <w:r>
              <w:rPr>
                <w:color w:val="000000"/>
                <w:sz w:val="24"/>
                <w:vertAlign w:val="superscript"/>
              </w:rPr>
              <w:t>3</w:t>
            </w:r>
            <w:r>
              <w:rPr>
                <w:rFonts w:hint="eastAsia"/>
                <w:color w:val="000000"/>
                <w:sz w:val="24"/>
              </w:rPr>
              <w:t>/</w:t>
            </w:r>
            <w:r>
              <w:rPr>
                <w:color w:val="000000"/>
                <w:sz w:val="24"/>
              </w:rPr>
              <w:t>h</w:t>
            </w:r>
            <w:r>
              <w:rPr>
                <w:rFonts w:hint="eastAsia"/>
                <w:color w:val="000000"/>
                <w:sz w:val="24"/>
              </w:rPr>
              <w:t>，项目年运行时长为1920</w:t>
            </w:r>
            <w:r>
              <w:rPr>
                <w:color w:val="000000"/>
                <w:sz w:val="24"/>
              </w:rPr>
              <w:t>h</w:t>
            </w:r>
            <w:r>
              <w:rPr>
                <w:rFonts w:hint="eastAsia"/>
                <w:color w:val="000000"/>
                <w:sz w:val="24"/>
              </w:rPr>
              <w:t>；收集粉尘量为0.716t/a，产生速率为0.373kg/h，产生浓度为248.7mg/m</w:t>
            </w:r>
            <w:r>
              <w:rPr>
                <w:rFonts w:hint="eastAsia"/>
                <w:color w:val="000000"/>
                <w:sz w:val="24"/>
                <w:vertAlign w:val="superscript"/>
              </w:rPr>
              <w:t>3</w:t>
            </w:r>
            <w:r>
              <w:rPr>
                <w:rFonts w:hint="eastAsia"/>
                <w:color w:val="000000"/>
                <w:sz w:val="24"/>
              </w:rPr>
              <w:t>，脉冲袋式除尘器设计处理效率为</w:t>
            </w:r>
            <w:r>
              <w:rPr>
                <w:color w:val="000000"/>
                <w:sz w:val="24"/>
              </w:rPr>
              <w:t>99</w:t>
            </w:r>
            <w:r>
              <w:rPr>
                <w:rFonts w:hint="eastAsia"/>
                <w:color w:val="000000"/>
                <w:sz w:val="24"/>
              </w:rPr>
              <w:t>%以上，本项目按照</w:t>
            </w:r>
            <w:r>
              <w:rPr>
                <w:color w:val="000000"/>
                <w:sz w:val="24"/>
              </w:rPr>
              <w:t>99</w:t>
            </w:r>
            <w:r>
              <w:rPr>
                <w:rFonts w:hint="eastAsia"/>
                <w:color w:val="000000"/>
                <w:sz w:val="24"/>
              </w:rPr>
              <w:t>%计算，则处理后粉尘排放量为0.00716t/a，排放速率为0.00373kg/h，排放浓度为2.487mg/m</w:t>
            </w:r>
            <w:r>
              <w:rPr>
                <w:rFonts w:hint="eastAsia"/>
                <w:color w:val="000000"/>
                <w:sz w:val="24"/>
                <w:vertAlign w:val="superscript"/>
              </w:rPr>
              <w:t>3</w:t>
            </w:r>
            <w:r>
              <w:rPr>
                <w:rFonts w:hint="eastAsia"/>
                <w:color w:val="000000"/>
                <w:sz w:val="24"/>
              </w:rPr>
              <w:t>。</w:t>
            </w:r>
          </w:p>
          <w:p>
            <w:pPr>
              <w:tabs>
                <w:tab w:val="left" w:pos="1081"/>
              </w:tabs>
              <w:adjustRightInd w:val="0"/>
              <w:snapToGrid w:val="0"/>
              <w:spacing w:line="360" w:lineRule="auto"/>
              <w:ind w:firstLine="480" w:firstLineChars="200"/>
              <w:jc w:val="left"/>
              <w:rPr>
                <w:color w:val="000000"/>
                <w:sz w:val="24"/>
              </w:rPr>
            </w:pPr>
            <w:r>
              <w:rPr>
                <w:rFonts w:hint="eastAsia"/>
                <w:color w:val="000000"/>
                <w:sz w:val="24"/>
              </w:rPr>
              <w:t>未被收集的粉尘为0.0796t/a，在密闭厂房内经车间阻隔后在车间内沉降，沉降量以</w:t>
            </w:r>
            <w:r>
              <w:rPr>
                <w:color w:val="000000"/>
                <w:sz w:val="24"/>
              </w:rPr>
              <w:t>80</w:t>
            </w:r>
            <w:r>
              <w:rPr>
                <w:rFonts w:hint="eastAsia"/>
                <w:color w:val="000000"/>
                <w:sz w:val="24"/>
              </w:rPr>
              <w:t>%计算，无组织排放量为0.01592t/a。</w:t>
            </w:r>
          </w:p>
          <w:p>
            <w:pPr>
              <w:tabs>
                <w:tab w:val="left" w:pos="1081"/>
              </w:tabs>
              <w:adjustRightInd w:val="0"/>
              <w:snapToGrid w:val="0"/>
              <w:spacing w:line="360" w:lineRule="auto"/>
              <w:ind w:firstLine="480" w:firstLineChars="200"/>
              <w:jc w:val="left"/>
              <w:rPr>
                <w:color w:val="000000"/>
                <w:sz w:val="24"/>
              </w:rPr>
            </w:pPr>
            <w:r>
              <w:rPr>
                <w:color w:val="000000"/>
                <w:sz w:val="24"/>
              </w:rPr>
              <w:t>污染物产排情况及治理措施汇总见下表。</w:t>
            </w:r>
          </w:p>
          <w:p>
            <w:pPr>
              <w:tabs>
                <w:tab w:val="left" w:pos="1081"/>
              </w:tabs>
              <w:adjustRightInd w:val="0"/>
              <w:snapToGrid w:val="0"/>
              <w:spacing w:line="360" w:lineRule="auto"/>
              <w:jc w:val="center"/>
              <w:rPr>
                <w:b/>
                <w:color w:val="000000"/>
                <w:sz w:val="24"/>
              </w:rPr>
            </w:pPr>
            <w:r>
              <w:rPr>
                <w:b/>
                <w:color w:val="000000"/>
                <w:sz w:val="24"/>
              </w:rPr>
              <w:t>表4-</w:t>
            </w:r>
            <w:r>
              <w:rPr>
                <w:rFonts w:hint="eastAsia"/>
                <w:b/>
                <w:color w:val="000000"/>
                <w:sz w:val="24"/>
              </w:rPr>
              <w:t>1</w:t>
            </w:r>
            <w:r>
              <w:rPr>
                <w:b/>
                <w:color w:val="000000"/>
                <w:sz w:val="24"/>
              </w:rPr>
              <w:t xml:space="preserve">      本项目营运期废气产排情况一览表</w:t>
            </w:r>
          </w:p>
          <w:tbl>
            <w:tblPr>
              <w:tblStyle w:val="26"/>
              <w:tblW w:w="771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033"/>
              <w:gridCol w:w="490"/>
              <w:gridCol w:w="794"/>
              <w:gridCol w:w="777"/>
              <w:gridCol w:w="1621"/>
              <w:gridCol w:w="899"/>
              <w:gridCol w:w="899"/>
              <w:gridCol w:w="7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1" w:hRule="atLeast"/>
                <w:jc w:val="center"/>
              </w:trPr>
              <w:tc>
                <w:tcPr>
                  <w:tcW w:w="1459" w:type="dxa"/>
                  <w:gridSpan w:val="2"/>
                  <w:vMerge w:val="restart"/>
                  <w:vAlign w:val="center"/>
                </w:tcPr>
                <w:p>
                  <w:pPr>
                    <w:jc w:val="center"/>
                    <w:outlineLvl w:val="0"/>
                    <w:rPr>
                      <w:color w:val="000000"/>
                      <w:szCs w:val="21"/>
                    </w:rPr>
                  </w:pPr>
                  <w:bookmarkStart w:id="6" w:name="_Toc167094977"/>
                  <w:r>
                    <w:rPr>
                      <w:rFonts w:hint="eastAsia"/>
                      <w:color w:val="000000"/>
                      <w:szCs w:val="21"/>
                    </w:rPr>
                    <w:t>排放源</w:t>
                  </w:r>
                  <w:bookmarkEnd w:id="6"/>
                </w:p>
              </w:tc>
              <w:tc>
                <w:tcPr>
                  <w:tcW w:w="490" w:type="dxa"/>
                  <w:vMerge w:val="restart"/>
                  <w:vAlign w:val="center"/>
                </w:tcPr>
                <w:p>
                  <w:pPr>
                    <w:jc w:val="center"/>
                    <w:outlineLvl w:val="0"/>
                    <w:rPr>
                      <w:color w:val="000000"/>
                      <w:szCs w:val="21"/>
                    </w:rPr>
                  </w:pPr>
                  <w:bookmarkStart w:id="7" w:name="_Toc167094978"/>
                  <w:r>
                    <w:rPr>
                      <w:color w:val="000000"/>
                      <w:szCs w:val="21"/>
                    </w:rPr>
                    <w:t>污染物</w:t>
                  </w:r>
                  <w:bookmarkEnd w:id="7"/>
                </w:p>
              </w:tc>
              <w:tc>
                <w:tcPr>
                  <w:tcW w:w="1571" w:type="dxa"/>
                  <w:gridSpan w:val="2"/>
                  <w:vAlign w:val="center"/>
                </w:tcPr>
                <w:p>
                  <w:pPr>
                    <w:jc w:val="center"/>
                    <w:outlineLvl w:val="0"/>
                    <w:rPr>
                      <w:color w:val="000000"/>
                      <w:szCs w:val="21"/>
                    </w:rPr>
                  </w:pPr>
                  <w:bookmarkStart w:id="8" w:name="_Toc167094979"/>
                  <w:r>
                    <w:rPr>
                      <w:color w:val="000000"/>
                      <w:szCs w:val="21"/>
                    </w:rPr>
                    <w:t>产生情况</w:t>
                  </w:r>
                  <w:bookmarkEnd w:id="8"/>
                </w:p>
              </w:tc>
              <w:tc>
                <w:tcPr>
                  <w:tcW w:w="1621" w:type="dxa"/>
                  <w:vMerge w:val="restart"/>
                  <w:vAlign w:val="center"/>
                </w:tcPr>
                <w:p>
                  <w:pPr>
                    <w:jc w:val="center"/>
                    <w:outlineLvl w:val="0"/>
                    <w:rPr>
                      <w:color w:val="000000"/>
                      <w:szCs w:val="21"/>
                    </w:rPr>
                  </w:pPr>
                  <w:bookmarkStart w:id="9" w:name="_Toc167094980"/>
                  <w:r>
                    <w:rPr>
                      <w:rFonts w:hint="eastAsia"/>
                      <w:color w:val="000000"/>
                      <w:szCs w:val="21"/>
                    </w:rPr>
                    <w:t>治理措施</w:t>
                  </w:r>
                  <w:bookmarkEnd w:id="9"/>
                </w:p>
              </w:tc>
              <w:tc>
                <w:tcPr>
                  <w:tcW w:w="2575" w:type="dxa"/>
                  <w:gridSpan w:val="3"/>
                  <w:vAlign w:val="center"/>
                </w:tcPr>
                <w:p>
                  <w:pPr>
                    <w:jc w:val="center"/>
                    <w:outlineLvl w:val="0"/>
                    <w:rPr>
                      <w:color w:val="000000"/>
                      <w:szCs w:val="21"/>
                    </w:rPr>
                  </w:pPr>
                  <w:bookmarkStart w:id="10" w:name="_Toc167094981"/>
                  <w:r>
                    <w:rPr>
                      <w:color w:val="000000"/>
                      <w:szCs w:val="21"/>
                    </w:rPr>
                    <w:t>排放情况</w:t>
                  </w:r>
                  <w:bookmarkEnd w:id="1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1459" w:type="dxa"/>
                  <w:gridSpan w:val="2"/>
                  <w:vMerge w:val="continue"/>
                  <w:vAlign w:val="center"/>
                </w:tcPr>
                <w:p>
                  <w:pPr>
                    <w:jc w:val="center"/>
                    <w:outlineLvl w:val="0"/>
                    <w:rPr>
                      <w:color w:val="000000"/>
                      <w:szCs w:val="21"/>
                    </w:rPr>
                  </w:pPr>
                </w:p>
              </w:tc>
              <w:tc>
                <w:tcPr>
                  <w:tcW w:w="490" w:type="dxa"/>
                  <w:vMerge w:val="continue"/>
                  <w:vAlign w:val="center"/>
                </w:tcPr>
                <w:p>
                  <w:pPr>
                    <w:jc w:val="center"/>
                    <w:outlineLvl w:val="0"/>
                    <w:rPr>
                      <w:color w:val="000000"/>
                      <w:szCs w:val="21"/>
                    </w:rPr>
                  </w:pPr>
                </w:p>
              </w:tc>
              <w:tc>
                <w:tcPr>
                  <w:tcW w:w="794" w:type="dxa"/>
                  <w:vAlign w:val="center"/>
                </w:tcPr>
                <w:p>
                  <w:pPr>
                    <w:jc w:val="center"/>
                    <w:outlineLvl w:val="0"/>
                    <w:rPr>
                      <w:color w:val="000000"/>
                      <w:szCs w:val="21"/>
                    </w:rPr>
                  </w:pPr>
                  <w:bookmarkStart w:id="11" w:name="_Toc167094982"/>
                  <w:r>
                    <w:rPr>
                      <w:color w:val="000000"/>
                      <w:szCs w:val="21"/>
                    </w:rPr>
                    <w:t>量</w:t>
                  </w:r>
                  <w:r>
                    <w:rPr>
                      <w:rFonts w:hint="eastAsia"/>
                      <w:color w:val="000000"/>
                      <w:szCs w:val="21"/>
                    </w:rPr>
                    <w:t>t/a</w:t>
                  </w:r>
                  <w:bookmarkEnd w:id="11"/>
                </w:p>
              </w:tc>
              <w:tc>
                <w:tcPr>
                  <w:tcW w:w="777" w:type="dxa"/>
                  <w:vAlign w:val="center"/>
                </w:tcPr>
                <w:p>
                  <w:pPr>
                    <w:jc w:val="center"/>
                    <w:outlineLvl w:val="0"/>
                    <w:rPr>
                      <w:color w:val="000000"/>
                      <w:szCs w:val="21"/>
                    </w:rPr>
                  </w:pPr>
                  <w:bookmarkStart w:id="12" w:name="_Toc167094983"/>
                  <w:r>
                    <w:rPr>
                      <w:color w:val="000000"/>
                      <w:szCs w:val="21"/>
                    </w:rPr>
                    <w:t>浓度mg/m</w:t>
                  </w:r>
                  <w:r>
                    <w:rPr>
                      <w:color w:val="000000"/>
                      <w:szCs w:val="21"/>
                      <w:vertAlign w:val="superscript"/>
                    </w:rPr>
                    <w:t>3</w:t>
                  </w:r>
                  <w:bookmarkEnd w:id="12"/>
                </w:p>
              </w:tc>
              <w:tc>
                <w:tcPr>
                  <w:tcW w:w="1621" w:type="dxa"/>
                  <w:vMerge w:val="continue"/>
                  <w:vAlign w:val="center"/>
                </w:tcPr>
                <w:p>
                  <w:pPr>
                    <w:jc w:val="center"/>
                    <w:outlineLvl w:val="0"/>
                    <w:rPr>
                      <w:color w:val="000000"/>
                      <w:szCs w:val="21"/>
                    </w:rPr>
                  </w:pPr>
                </w:p>
              </w:tc>
              <w:tc>
                <w:tcPr>
                  <w:tcW w:w="899" w:type="dxa"/>
                  <w:vAlign w:val="center"/>
                </w:tcPr>
                <w:p>
                  <w:pPr>
                    <w:jc w:val="center"/>
                    <w:outlineLvl w:val="0"/>
                    <w:rPr>
                      <w:color w:val="000000"/>
                      <w:szCs w:val="21"/>
                    </w:rPr>
                  </w:pPr>
                  <w:bookmarkStart w:id="13" w:name="_Toc167094984"/>
                  <w:r>
                    <w:rPr>
                      <w:color w:val="000000"/>
                      <w:szCs w:val="21"/>
                    </w:rPr>
                    <w:t>量t</w:t>
                  </w:r>
                  <w:r>
                    <w:rPr>
                      <w:rFonts w:hint="eastAsia"/>
                      <w:color w:val="000000"/>
                      <w:szCs w:val="21"/>
                    </w:rPr>
                    <w:t>/a</w:t>
                  </w:r>
                  <w:bookmarkEnd w:id="13"/>
                </w:p>
              </w:tc>
              <w:tc>
                <w:tcPr>
                  <w:tcW w:w="899" w:type="dxa"/>
                  <w:vAlign w:val="center"/>
                </w:tcPr>
                <w:p>
                  <w:pPr>
                    <w:jc w:val="center"/>
                    <w:outlineLvl w:val="0"/>
                    <w:rPr>
                      <w:color w:val="000000"/>
                      <w:szCs w:val="21"/>
                    </w:rPr>
                  </w:pPr>
                  <w:bookmarkStart w:id="14" w:name="_Toc167094985"/>
                  <w:r>
                    <w:rPr>
                      <w:rFonts w:hint="eastAsia"/>
                      <w:color w:val="000000"/>
                      <w:szCs w:val="21"/>
                    </w:rPr>
                    <w:t>速率kg/h</w:t>
                  </w:r>
                  <w:bookmarkEnd w:id="14"/>
                </w:p>
              </w:tc>
              <w:tc>
                <w:tcPr>
                  <w:tcW w:w="777" w:type="dxa"/>
                  <w:vAlign w:val="center"/>
                </w:tcPr>
                <w:p>
                  <w:pPr>
                    <w:jc w:val="center"/>
                    <w:outlineLvl w:val="0"/>
                    <w:rPr>
                      <w:color w:val="000000"/>
                      <w:szCs w:val="21"/>
                    </w:rPr>
                  </w:pPr>
                  <w:bookmarkStart w:id="15" w:name="_Toc167094986"/>
                  <w:r>
                    <w:rPr>
                      <w:color w:val="000000"/>
                      <w:szCs w:val="21"/>
                    </w:rPr>
                    <w:t>浓度mg/m</w:t>
                  </w:r>
                  <w:r>
                    <w:rPr>
                      <w:color w:val="000000"/>
                      <w:szCs w:val="21"/>
                      <w:vertAlign w:val="superscript"/>
                    </w:rPr>
                    <w:t>3</w:t>
                  </w:r>
                  <w:bookmarkEnd w:id="15"/>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72" w:hRule="atLeast"/>
                <w:jc w:val="center"/>
              </w:trPr>
              <w:tc>
                <w:tcPr>
                  <w:tcW w:w="426" w:type="dxa"/>
                  <w:vMerge w:val="restart"/>
                  <w:vAlign w:val="center"/>
                </w:tcPr>
                <w:p>
                  <w:pPr>
                    <w:jc w:val="center"/>
                    <w:outlineLvl w:val="0"/>
                    <w:rPr>
                      <w:color w:val="000000"/>
                      <w:szCs w:val="21"/>
                    </w:rPr>
                  </w:pPr>
                  <w:bookmarkStart w:id="16" w:name="_Toc167094987"/>
                  <w:r>
                    <w:rPr>
                      <w:color w:val="000000"/>
                      <w:szCs w:val="21"/>
                    </w:rPr>
                    <w:t>有组织</w:t>
                  </w:r>
                  <w:bookmarkEnd w:id="16"/>
                </w:p>
              </w:tc>
              <w:tc>
                <w:tcPr>
                  <w:tcW w:w="1033" w:type="dxa"/>
                  <w:vAlign w:val="center"/>
                </w:tcPr>
                <w:p>
                  <w:pPr>
                    <w:jc w:val="center"/>
                    <w:outlineLvl w:val="0"/>
                    <w:rPr>
                      <w:color w:val="000000"/>
                      <w:szCs w:val="21"/>
                    </w:rPr>
                  </w:pPr>
                  <w:bookmarkStart w:id="17" w:name="_Toc167094988"/>
                  <w:r>
                    <w:rPr>
                      <w:rFonts w:hint="eastAsia"/>
                      <w:color w:val="000000"/>
                      <w:szCs w:val="21"/>
                    </w:rPr>
                    <w:t>破捆、粉碎、提绒工序3000m</w:t>
                  </w:r>
                  <w:r>
                    <w:rPr>
                      <w:rFonts w:hint="eastAsia"/>
                      <w:color w:val="000000"/>
                      <w:szCs w:val="21"/>
                      <w:vertAlign w:val="superscript"/>
                    </w:rPr>
                    <w:t>3</w:t>
                  </w:r>
                  <w:r>
                    <w:rPr>
                      <w:rFonts w:hint="eastAsia"/>
                      <w:color w:val="000000"/>
                      <w:szCs w:val="21"/>
                    </w:rPr>
                    <w:t>/h</w:t>
                  </w:r>
                  <w:bookmarkEnd w:id="17"/>
                </w:p>
              </w:tc>
              <w:tc>
                <w:tcPr>
                  <w:tcW w:w="490" w:type="dxa"/>
                  <w:vAlign w:val="center"/>
                </w:tcPr>
                <w:p>
                  <w:pPr>
                    <w:jc w:val="center"/>
                    <w:outlineLvl w:val="0"/>
                    <w:rPr>
                      <w:color w:val="000000"/>
                      <w:szCs w:val="21"/>
                    </w:rPr>
                  </w:pPr>
                  <w:r>
                    <w:rPr>
                      <w:rFonts w:hint="eastAsia"/>
                      <w:color w:val="000000"/>
                      <w:szCs w:val="21"/>
                    </w:rPr>
                    <w:t>颗粒物</w:t>
                  </w:r>
                </w:p>
              </w:tc>
              <w:tc>
                <w:tcPr>
                  <w:tcW w:w="794" w:type="dxa"/>
                  <w:vAlign w:val="center"/>
                </w:tcPr>
                <w:p>
                  <w:pPr>
                    <w:jc w:val="center"/>
                    <w:outlineLvl w:val="0"/>
                    <w:rPr>
                      <w:color w:val="000000"/>
                      <w:szCs w:val="21"/>
                    </w:rPr>
                  </w:pPr>
                  <w:r>
                    <w:rPr>
                      <w:rFonts w:hint="eastAsia"/>
                      <w:color w:val="000000"/>
                      <w:szCs w:val="21"/>
                    </w:rPr>
                    <w:t>1.31</w:t>
                  </w:r>
                </w:p>
              </w:tc>
              <w:tc>
                <w:tcPr>
                  <w:tcW w:w="777" w:type="dxa"/>
                  <w:vAlign w:val="center"/>
                </w:tcPr>
                <w:p>
                  <w:pPr>
                    <w:jc w:val="center"/>
                    <w:outlineLvl w:val="0"/>
                    <w:rPr>
                      <w:color w:val="000000"/>
                      <w:szCs w:val="21"/>
                    </w:rPr>
                  </w:pPr>
                  <w:r>
                    <w:rPr>
                      <w:rFonts w:hint="eastAsia"/>
                      <w:color w:val="000000"/>
                      <w:szCs w:val="21"/>
                    </w:rPr>
                    <w:t>266.7</w:t>
                  </w:r>
                </w:p>
              </w:tc>
              <w:tc>
                <w:tcPr>
                  <w:tcW w:w="1621" w:type="dxa"/>
                  <w:vAlign w:val="center"/>
                </w:tcPr>
                <w:p>
                  <w:pPr>
                    <w:jc w:val="center"/>
                    <w:outlineLvl w:val="0"/>
                    <w:rPr>
                      <w:color w:val="000000"/>
                      <w:szCs w:val="21"/>
                    </w:rPr>
                  </w:pPr>
                  <w:r>
                    <w:rPr>
                      <w:rFonts w:hint="eastAsia" w:hAnsi="宋体"/>
                      <w:bCs/>
                      <w:color w:val="000000"/>
                    </w:rPr>
                    <w:t>破捆机进料口上方设置集气罩（1个），提绒机出料口安装集气罩（5个），收集粉尘经一套脉冲袋式除尘器处理后经一根15m高排气筒（DA001）排放</w:t>
                  </w:r>
                </w:p>
              </w:tc>
              <w:tc>
                <w:tcPr>
                  <w:tcW w:w="899" w:type="dxa"/>
                  <w:vAlign w:val="center"/>
                </w:tcPr>
                <w:p>
                  <w:pPr>
                    <w:jc w:val="center"/>
                    <w:outlineLvl w:val="0"/>
                    <w:rPr>
                      <w:color w:val="000000"/>
                      <w:szCs w:val="21"/>
                    </w:rPr>
                  </w:pPr>
                  <w:r>
                    <w:rPr>
                      <w:rFonts w:hint="eastAsia"/>
                      <w:color w:val="000000"/>
                      <w:szCs w:val="21"/>
                    </w:rPr>
                    <w:t>0.0131</w:t>
                  </w:r>
                </w:p>
              </w:tc>
              <w:tc>
                <w:tcPr>
                  <w:tcW w:w="899" w:type="dxa"/>
                  <w:vAlign w:val="center"/>
                </w:tcPr>
                <w:p>
                  <w:pPr>
                    <w:jc w:val="center"/>
                    <w:outlineLvl w:val="0"/>
                    <w:rPr>
                      <w:color w:val="000000"/>
                      <w:szCs w:val="21"/>
                    </w:rPr>
                  </w:pPr>
                  <w:r>
                    <w:rPr>
                      <w:rFonts w:hint="eastAsia"/>
                      <w:color w:val="000000"/>
                      <w:szCs w:val="21"/>
                    </w:rPr>
                    <w:t>0.0068</w:t>
                  </w:r>
                </w:p>
              </w:tc>
              <w:tc>
                <w:tcPr>
                  <w:tcW w:w="777" w:type="dxa"/>
                  <w:vAlign w:val="center"/>
                </w:tcPr>
                <w:p>
                  <w:pPr>
                    <w:jc w:val="center"/>
                    <w:outlineLvl w:val="0"/>
                    <w:rPr>
                      <w:color w:val="000000"/>
                      <w:szCs w:val="21"/>
                    </w:rPr>
                  </w:pPr>
                  <w:r>
                    <w:rPr>
                      <w:rFonts w:hint="eastAsia"/>
                      <w:color w:val="000000"/>
                      <w:szCs w:val="21"/>
                    </w:rPr>
                    <w:t>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72" w:hRule="atLeast"/>
                <w:jc w:val="center"/>
              </w:trPr>
              <w:tc>
                <w:tcPr>
                  <w:tcW w:w="426" w:type="dxa"/>
                  <w:vMerge w:val="continue"/>
                  <w:vAlign w:val="center"/>
                </w:tcPr>
                <w:p>
                  <w:pPr>
                    <w:jc w:val="center"/>
                    <w:outlineLvl w:val="0"/>
                    <w:rPr>
                      <w:color w:val="000000"/>
                      <w:szCs w:val="21"/>
                    </w:rPr>
                  </w:pPr>
                </w:p>
              </w:tc>
              <w:tc>
                <w:tcPr>
                  <w:tcW w:w="1033" w:type="dxa"/>
                  <w:vAlign w:val="center"/>
                </w:tcPr>
                <w:p>
                  <w:pPr>
                    <w:jc w:val="center"/>
                    <w:outlineLvl w:val="0"/>
                    <w:rPr>
                      <w:color w:val="000000"/>
                      <w:szCs w:val="21"/>
                    </w:rPr>
                  </w:pPr>
                  <w:r>
                    <w:rPr>
                      <w:rFonts w:hint="eastAsia"/>
                      <w:color w:val="000000"/>
                      <w:szCs w:val="21"/>
                    </w:rPr>
                    <w:t>卷条工序1000m</w:t>
                  </w:r>
                  <w:r>
                    <w:rPr>
                      <w:rFonts w:hint="eastAsia"/>
                      <w:color w:val="000000"/>
                      <w:szCs w:val="21"/>
                      <w:vertAlign w:val="superscript"/>
                    </w:rPr>
                    <w:t>3</w:t>
                  </w:r>
                  <w:r>
                    <w:rPr>
                      <w:rFonts w:hint="eastAsia"/>
                      <w:color w:val="000000"/>
                      <w:szCs w:val="21"/>
                    </w:rPr>
                    <w:t>/h</w:t>
                  </w:r>
                </w:p>
              </w:tc>
              <w:tc>
                <w:tcPr>
                  <w:tcW w:w="490" w:type="dxa"/>
                  <w:vAlign w:val="center"/>
                </w:tcPr>
                <w:p>
                  <w:pPr>
                    <w:jc w:val="center"/>
                    <w:outlineLvl w:val="0"/>
                    <w:rPr>
                      <w:color w:val="000000"/>
                      <w:szCs w:val="21"/>
                    </w:rPr>
                  </w:pPr>
                  <w:r>
                    <w:rPr>
                      <w:rFonts w:hint="eastAsia"/>
                      <w:color w:val="000000"/>
                      <w:szCs w:val="21"/>
                    </w:rPr>
                    <w:t>颗粒物</w:t>
                  </w:r>
                </w:p>
              </w:tc>
              <w:tc>
                <w:tcPr>
                  <w:tcW w:w="794" w:type="dxa"/>
                  <w:vAlign w:val="center"/>
                </w:tcPr>
                <w:p>
                  <w:pPr>
                    <w:jc w:val="center"/>
                    <w:outlineLvl w:val="0"/>
                    <w:rPr>
                      <w:color w:val="000000"/>
                      <w:szCs w:val="21"/>
                    </w:rPr>
                  </w:pPr>
                  <w:r>
                    <w:rPr>
                      <w:rFonts w:hint="eastAsia"/>
                      <w:color w:val="000000"/>
                      <w:szCs w:val="21"/>
                    </w:rPr>
                    <w:t>0.716</w:t>
                  </w:r>
                </w:p>
              </w:tc>
              <w:tc>
                <w:tcPr>
                  <w:tcW w:w="777" w:type="dxa"/>
                  <w:vAlign w:val="center"/>
                </w:tcPr>
                <w:p>
                  <w:pPr>
                    <w:jc w:val="center"/>
                    <w:outlineLvl w:val="0"/>
                    <w:rPr>
                      <w:color w:val="000000"/>
                      <w:szCs w:val="21"/>
                    </w:rPr>
                  </w:pPr>
                  <w:r>
                    <w:rPr>
                      <w:rFonts w:hint="eastAsia"/>
                      <w:color w:val="000000"/>
                      <w:szCs w:val="21"/>
                    </w:rPr>
                    <w:t>248.7</w:t>
                  </w:r>
                </w:p>
              </w:tc>
              <w:tc>
                <w:tcPr>
                  <w:tcW w:w="1621" w:type="dxa"/>
                  <w:vAlign w:val="center"/>
                </w:tcPr>
                <w:p>
                  <w:pPr>
                    <w:jc w:val="center"/>
                    <w:outlineLvl w:val="0"/>
                    <w:rPr>
                      <w:rFonts w:hAnsi="宋体"/>
                      <w:bCs/>
                      <w:color w:val="000000"/>
                    </w:rPr>
                  </w:pPr>
                  <w:r>
                    <w:rPr>
                      <w:rFonts w:hint="eastAsia" w:hAnsi="宋体"/>
                      <w:bCs/>
                      <w:color w:val="000000"/>
                    </w:rPr>
                    <w:t>卷条机上方设置集气罩（15个），收集粉尘经一套脉冲袋式除尘器处理后经一根15m高排气筒（DA002）排放</w:t>
                  </w:r>
                </w:p>
              </w:tc>
              <w:tc>
                <w:tcPr>
                  <w:tcW w:w="899" w:type="dxa"/>
                  <w:vAlign w:val="center"/>
                </w:tcPr>
                <w:p>
                  <w:pPr>
                    <w:jc w:val="center"/>
                    <w:outlineLvl w:val="0"/>
                    <w:rPr>
                      <w:color w:val="000000"/>
                      <w:szCs w:val="21"/>
                    </w:rPr>
                  </w:pPr>
                  <w:r>
                    <w:rPr>
                      <w:rFonts w:hint="eastAsia"/>
                      <w:color w:val="000000"/>
                      <w:szCs w:val="21"/>
                    </w:rPr>
                    <w:t>0.00716</w:t>
                  </w:r>
                </w:p>
              </w:tc>
              <w:tc>
                <w:tcPr>
                  <w:tcW w:w="899" w:type="dxa"/>
                  <w:vAlign w:val="center"/>
                </w:tcPr>
                <w:p>
                  <w:pPr>
                    <w:jc w:val="center"/>
                    <w:outlineLvl w:val="0"/>
                    <w:rPr>
                      <w:color w:val="000000"/>
                      <w:szCs w:val="21"/>
                    </w:rPr>
                  </w:pPr>
                  <w:r>
                    <w:rPr>
                      <w:rFonts w:hint="eastAsia"/>
                      <w:color w:val="000000"/>
                      <w:szCs w:val="21"/>
                    </w:rPr>
                    <w:t>0.00373</w:t>
                  </w:r>
                </w:p>
              </w:tc>
              <w:tc>
                <w:tcPr>
                  <w:tcW w:w="777" w:type="dxa"/>
                  <w:vAlign w:val="center"/>
                </w:tcPr>
                <w:p>
                  <w:pPr>
                    <w:jc w:val="center"/>
                    <w:outlineLvl w:val="0"/>
                    <w:rPr>
                      <w:color w:val="000000"/>
                      <w:szCs w:val="21"/>
                    </w:rPr>
                  </w:pPr>
                  <w:r>
                    <w:rPr>
                      <w:rFonts w:hint="eastAsia"/>
                      <w:color w:val="000000"/>
                      <w:szCs w:val="21"/>
                    </w:rPr>
                    <w:t>2.487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2" w:hRule="atLeast"/>
                <w:jc w:val="center"/>
              </w:trPr>
              <w:tc>
                <w:tcPr>
                  <w:tcW w:w="426" w:type="dxa"/>
                  <w:vAlign w:val="center"/>
                </w:tcPr>
                <w:p>
                  <w:pPr>
                    <w:jc w:val="center"/>
                    <w:outlineLvl w:val="0"/>
                    <w:rPr>
                      <w:color w:val="000000"/>
                      <w:szCs w:val="21"/>
                    </w:rPr>
                  </w:pPr>
                  <w:bookmarkStart w:id="18" w:name="_Toc167094996"/>
                  <w:r>
                    <w:rPr>
                      <w:color w:val="000000"/>
                      <w:szCs w:val="21"/>
                    </w:rPr>
                    <w:t>无组织</w:t>
                  </w:r>
                  <w:bookmarkEnd w:id="18"/>
                </w:p>
              </w:tc>
              <w:tc>
                <w:tcPr>
                  <w:tcW w:w="1033" w:type="dxa"/>
                  <w:vAlign w:val="center"/>
                </w:tcPr>
                <w:p>
                  <w:pPr>
                    <w:jc w:val="center"/>
                    <w:outlineLvl w:val="0"/>
                    <w:rPr>
                      <w:color w:val="000000"/>
                      <w:szCs w:val="21"/>
                    </w:rPr>
                  </w:pPr>
                  <w:bookmarkStart w:id="19" w:name="_Toc167094997"/>
                  <w:r>
                    <w:rPr>
                      <w:rFonts w:hint="eastAsia"/>
                      <w:color w:val="000000"/>
                      <w:szCs w:val="21"/>
                    </w:rPr>
                    <w:t>生产过程</w:t>
                  </w:r>
                  <w:bookmarkEnd w:id="19"/>
                </w:p>
              </w:tc>
              <w:tc>
                <w:tcPr>
                  <w:tcW w:w="490" w:type="dxa"/>
                  <w:vAlign w:val="center"/>
                </w:tcPr>
                <w:p>
                  <w:pPr>
                    <w:jc w:val="center"/>
                    <w:outlineLvl w:val="0"/>
                    <w:rPr>
                      <w:color w:val="000000"/>
                      <w:szCs w:val="21"/>
                    </w:rPr>
                  </w:pPr>
                  <w:r>
                    <w:rPr>
                      <w:rFonts w:hint="eastAsia"/>
                      <w:color w:val="000000"/>
                      <w:szCs w:val="21"/>
                    </w:rPr>
                    <w:t>颗粒物</w:t>
                  </w:r>
                </w:p>
              </w:tc>
              <w:tc>
                <w:tcPr>
                  <w:tcW w:w="794" w:type="dxa"/>
                  <w:vAlign w:val="center"/>
                </w:tcPr>
                <w:p>
                  <w:pPr>
                    <w:jc w:val="center"/>
                    <w:outlineLvl w:val="0"/>
                    <w:rPr>
                      <w:color w:val="000000"/>
                      <w:szCs w:val="21"/>
                    </w:rPr>
                  </w:pPr>
                  <w:r>
                    <w:rPr>
                      <w:rFonts w:hint="eastAsia"/>
                      <w:color w:val="000000"/>
                      <w:szCs w:val="21"/>
                    </w:rPr>
                    <w:t>0.2256</w:t>
                  </w:r>
                </w:p>
              </w:tc>
              <w:tc>
                <w:tcPr>
                  <w:tcW w:w="777" w:type="dxa"/>
                  <w:vAlign w:val="center"/>
                </w:tcPr>
                <w:p>
                  <w:pPr>
                    <w:jc w:val="center"/>
                    <w:outlineLvl w:val="0"/>
                    <w:rPr>
                      <w:color w:val="000000"/>
                      <w:szCs w:val="21"/>
                    </w:rPr>
                  </w:pPr>
                  <w:r>
                    <w:rPr>
                      <w:rFonts w:hint="eastAsia"/>
                      <w:color w:val="000000"/>
                      <w:szCs w:val="21"/>
                    </w:rPr>
                    <w:t>/</w:t>
                  </w:r>
                </w:p>
              </w:tc>
              <w:tc>
                <w:tcPr>
                  <w:tcW w:w="1621" w:type="dxa"/>
                  <w:vAlign w:val="center"/>
                </w:tcPr>
                <w:p>
                  <w:pPr>
                    <w:jc w:val="center"/>
                    <w:outlineLvl w:val="0"/>
                    <w:rPr>
                      <w:color w:val="000000"/>
                      <w:szCs w:val="21"/>
                    </w:rPr>
                  </w:pPr>
                  <w:bookmarkStart w:id="20" w:name="_Toc167095000"/>
                  <w:r>
                    <w:rPr>
                      <w:rFonts w:hint="eastAsia"/>
                      <w:color w:val="000000"/>
                      <w:szCs w:val="21"/>
                    </w:rPr>
                    <w:t>生产车间封闭，</w:t>
                  </w:r>
                  <w:bookmarkEnd w:id="20"/>
                  <w:r>
                    <w:rPr>
                      <w:rFonts w:hint="eastAsia"/>
                      <w:color w:val="000000"/>
                      <w:szCs w:val="21"/>
                    </w:rPr>
                    <w:t>自然沉降</w:t>
                  </w:r>
                </w:p>
              </w:tc>
              <w:tc>
                <w:tcPr>
                  <w:tcW w:w="899" w:type="dxa"/>
                  <w:vAlign w:val="center"/>
                </w:tcPr>
                <w:p>
                  <w:pPr>
                    <w:jc w:val="center"/>
                    <w:outlineLvl w:val="0"/>
                    <w:rPr>
                      <w:color w:val="000000"/>
                      <w:szCs w:val="21"/>
                    </w:rPr>
                  </w:pPr>
                  <w:r>
                    <w:rPr>
                      <w:rFonts w:hint="eastAsia"/>
                      <w:color w:val="000000"/>
                      <w:szCs w:val="21"/>
                    </w:rPr>
                    <w:t>0.04512</w:t>
                  </w:r>
                </w:p>
              </w:tc>
              <w:tc>
                <w:tcPr>
                  <w:tcW w:w="899" w:type="dxa"/>
                  <w:vAlign w:val="center"/>
                </w:tcPr>
                <w:p>
                  <w:pPr>
                    <w:jc w:val="center"/>
                    <w:outlineLvl w:val="0"/>
                    <w:rPr>
                      <w:color w:val="000000"/>
                      <w:szCs w:val="21"/>
                    </w:rPr>
                  </w:pPr>
                  <w:r>
                    <w:rPr>
                      <w:rFonts w:hint="eastAsia"/>
                      <w:color w:val="000000"/>
                      <w:szCs w:val="21"/>
                    </w:rPr>
                    <w:t>/</w:t>
                  </w:r>
                </w:p>
              </w:tc>
              <w:tc>
                <w:tcPr>
                  <w:tcW w:w="777" w:type="dxa"/>
                  <w:vAlign w:val="center"/>
                </w:tcPr>
                <w:p>
                  <w:pPr>
                    <w:jc w:val="center"/>
                    <w:outlineLvl w:val="0"/>
                    <w:rPr>
                      <w:color w:val="000000"/>
                      <w:szCs w:val="21"/>
                    </w:rPr>
                  </w:pPr>
                  <w:r>
                    <w:rPr>
                      <w:rFonts w:hint="eastAsia"/>
                      <w:color w:val="000000"/>
                      <w:szCs w:val="21"/>
                    </w:rPr>
                    <w:t>/</w:t>
                  </w:r>
                </w:p>
              </w:tc>
            </w:tr>
          </w:tbl>
          <w:p>
            <w:pPr>
              <w:pStyle w:val="2"/>
              <w:ind w:firstLine="482"/>
              <w:jc w:val="center"/>
              <w:rPr>
                <w:b/>
                <w:color w:val="000000"/>
                <w:sz w:val="24"/>
              </w:rPr>
            </w:pPr>
            <w:r>
              <w:rPr>
                <w:rFonts w:hint="eastAsia"/>
                <w:b/>
                <w:color w:val="000000"/>
                <w:sz w:val="24"/>
              </w:rPr>
              <w:t>表4-2     项目废气治理设施信息表</w:t>
            </w:r>
          </w:p>
          <w:tbl>
            <w:tblPr>
              <w:tblStyle w:val="26"/>
              <w:tblW w:w="777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4"/>
              <w:gridCol w:w="970"/>
              <w:gridCol w:w="3016"/>
              <w:gridCol w:w="628"/>
              <w:gridCol w:w="760"/>
              <w:gridCol w:w="1069"/>
              <w:gridCol w:w="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10" w:hRule="atLeast"/>
                <w:jc w:val="center"/>
              </w:trPr>
              <w:tc>
                <w:tcPr>
                  <w:tcW w:w="544" w:type="dxa"/>
                  <w:vAlign w:val="center"/>
                </w:tcPr>
                <w:p>
                  <w:pPr>
                    <w:spacing w:line="320" w:lineRule="exact"/>
                    <w:jc w:val="center"/>
                    <w:outlineLvl w:val="0"/>
                    <w:rPr>
                      <w:color w:val="000000"/>
                      <w:szCs w:val="21"/>
                    </w:rPr>
                  </w:pPr>
                  <w:bookmarkStart w:id="21" w:name="_Toc167095003"/>
                  <w:r>
                    <w:rPr>
                      <w:rFonts w:hint="eastAsia"/>
                      <w:color w:val="000000"/>
                      <w:szCs w:val="21"/>
                    </w:rPr>
                    <w:t>序号</w:t>
                  </w:r>
                  <w:bookmarkEnd w:id="21"/>
                </w:p>
              </w:tc>
              <w:tc>
                <w:tcPr>
                  <w:tcW w:w="970" w:type="dxa"/>
                  <w:vAlign w:val="center"/>
                </w:tcPr>
                <w:p>
                  <w:pPr>
                    <w:spacing w:line="320" w:lineRule="exact"/>
                    <w:jc w:val="center"/>
                    <w:outlineLvl w:val="0"/>
                    <w:rPr>
                      <w:color w:val="000000"/>
                      <w:szCs w:val="21"/>
                    </w:rPr>
                  </w:pPr>
                  <w:bookmarkStart w:id="22" w:name="_Toc167095004"/>
                  <w:r>
                    <w:rPr>
                      <w:rFonts w:hint="eastAsia"/>
                      <w:color w:val="000000"/>
                      <w:szCs w:val="21"/>
                    </w:rPr>
                    <w:t>产污工序</w:t>
                  </w:r>
                  <w:bookmarkEnd w:id="22"/>
                </w:p>
              </w:tc>
              <w:tc>
                <w:tcPr>
                  <w:tcW w:w="3016" w:type="dxa"/>
                  <w:vAlign w:val="center"/>
                </w:tcPr>
                <w:p>
                  <w:pPr>
                    <w:spacing w:line="320" w:lineRule="exact"/>
                    <w:jc w:val="center"/>
                    <w:outlineLvl w:val="0"/>
                    <w:rPr>
                      <w:color w:val="000000"/>
                      <w:szCs w:val="21"/>
                    </w:rPr>
                  </w:pPr>
                  <w:bookmarkStart w:id="23" w:name="_Toc167095005"/>
                  <w:r>
                    <w:rPr>
                      <w:rFonts w:hint="eastAsia"/>
                      <w:color w:val="000000"/>
                      <w:szCs w:val="21"/>
                    </w:rPr>
                    <w:t>治理措施</w:t>
                  </w:r>
                  <w:bookmarkEnd w:id="23"/>
                </w:p>
              </w:tc>
              <w:tc>
                <w:tcPr>
                  <w:tcW w:w="628" w:type="dxa"/>
                  <w:vAlign w:val="center"/>
                </w:tcPr>
                <w:p>
                  <w:pPr>
                    <w:spacing w:line="320" w:lineRule="exact"/>
                    <w:jc w:val="center"/>
                    <w:outlineLvl w:val="0"/>
                    <w:rPr>
                      <w:color w:val="000000"/>
                      <w:szCs w:val="21"/>
                    </w:rPr>
                  </w:pPr>
                  <w:bookmarkStart w:id="24" w:name="_Toc167095006"/>
                  <w:r>
                    <w:rPr>
                      <w:color w:val="000000"/>
                      <w:szCs w:val="21"/>
                    </w:rPr>
                    <w:t>收集效率</w:t>
                  </w:r>
                  <w:bookmarkEnd w:id="24"/>
                </w:p>
              </w:tc>
              <w:tc>
                <w:tcPr>
                  <w:tcW w:w="760" w:type="dxa"/>
                  <w:vAlign w:val="center"/>
                </w:tcPr>
                <w:p>
                  <w:pPr>
                    <w:spacing w:line="320" w:lineRule="exact"/>
                    <w:jc w:val="center"/>
                    <w:outlineLvl w:val="0"/>
                    <w:rPr>
                      <w:color w:val="000000"/>
                      <w:szCs w:val="21"/>
                    </w:rPr>
                  </w:pPr>
                  <w:bookmarkStart w:id="25" w:name="_Toc167095007"/>
                  <w:r>
                    <w:rPr>
                      <w:rFonts w:hint="eastAsia"/>
                      <w:color w:val="000000"/>
                      <w:szCs w:val="21"/>
                    </w:rPr>
                    <w:t>处理</w:t>
                  </w:r>
                  <w:r>
                    <w:rPr>
                      <w:color w:val="000000"/>
                      <w:szCs w:val="21"/>
                    </w:rPr>
                    <w:t>效率</w:t>
                  </w:r>
                  <w:bookmarkEnd w:id="25"/>
                </w:p>
              </w:tc>
              <w:tc>
                <w:tcPr>
                  <w:tcW w:w="1069" w:type="dxa"/>
                  <w:vAlign w:val="center"/>
                </w:tcPr>
                <w:p>
                  <w:pPr>
                    <w:spacing w:line="320" w:lineRule="exact"/>
                    <w:jc w:val="center"/>
                    <w:outlineLvl w:val="0"/>
                    <w:rPr>
                      <w:color w:val="000000"/>
                      <w:szCs w:val="21"/>
                    </w:rPr>
                  </w:pPr>
                  <w:bookmarkStart w:id="26" w:name="_Toc167095008"/>
                  <w:r>
                    <w:rPr>
                      <w:color w:val="000000"/>
                      <w:szCs w:val="21"/>
                    </w:rPr>
                    <w:t>处理能力</w:t>
                  </w:r>
                  <w:bookmarkEnd w:id="26"/>
                </w:p>
              </w:tc>
              <w:tc>
                <w:tcPr>
                  <w:tcW w:w="783" w:type="dxa"/>
                </w:tcPr>
                <w:p>
                  <w:pPr>
                    <w:spacing w:line="320" w:lineRule="exact"/>
                    <w:jc w:val="center"/>
                    <w:outlineLvl w:val="0"/>
                    <w:rPr>
                      <w:color w:val="000000"/>
                      <w:szCs w:val="21"/>
                    </w:rPr>
                  </w:pPr>
                  <w:bookmarkStart w:id="27" w:name="_Toc167095009"/>
                  <w:r>
                    <w:rPr>
                      <w:rFonts w:hint="eastAsia"/>
                      <w:color w:val="000000"/>
                      <w:szCs w:val="21"/>
                    </w:rPr>
                    <w:t>技术是否可行</w:t>
                  </w:r>
                  <w:bookmarkEnd w:id="2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4" w:hRule="atLeast"/>
                <w:jc w:val="center"/>
              </w:trPr>
              <w:tc>
                <w:tcPr>
                  <w:tcW w:w="544" w:type="dxa"/>
                  <w:vAlign w:val="center"/>
                </w:tcPr>
                <w:p>
                  <w:pPr>
                    <w:spacing w:line="320" w:lineRule="exact"/>
                    <w:jc w:val="center"/>
                    <w:outlineLvl w:val="0"/>
                    <w:rPr>
                      <w:color w:val="000000"/>
                      <w:szCs w:val="21"/>
                    </w:rPr>
                  </w:pPr>
                  <w:bookmarkStart w:id="28" w:name="_Toc167095010"/>
                  <w:r>
                    <w:rPr>
                      <w:rFonts w:hint="eastAsia"/>
                      <w:color w:val="000000"/>
                      <w:szCs w:val="21"/>
                    </w:rPr>
                    <w:t>1</w:t>
                  </w:r>
                  <w:bookmarkEnd w:id="28"/>
                </w:p>
              </w:tc>
              <w:tc>
                <w:tcPr>
                  <w:tcW w:w="970" w:type="dxa"/>
                  <w:vAlign w:val="center"/>
                </w:tcPr>
                <w:p>
                  <w:pPr>
                    <w:spacing w:line="320" w:lineRule="exact"/>
                    <w:jc w:val="center"/>
                    <w:outlineLvl w:val="0"/>
                    <w:rPr>
                      <w:color w:val="000000"/>
                      <w:szCs w:val="21"/>
                    </w:rPr>
                  </w:pPr>
                  <w:r>
                    <w:rPr>
                      <w:rFonts w:hint="eastAsia"/>
                      <w:color w:val="000000"/>
                      <w:szCs w:val="21"/>
                    </w:rPr>
                    <w:t>破捆、粉碎、提绒工序</w:t>
                  </w:r>
                </w:p>
              </w:tc>
              <w:tc>
                <w:tcPr>
                  <w:tcW w:w="3016" w:type="dxa"/>
                  <w:vAlign w:val="center"/>
                </w:tcPr>
                <w:p>
                  <w:pPr>
                    <w:jc w:val="center"/>
                    <w:outlineLvl w:val="0"/>
                    <w:rPr>
                      <w:color w:val="000000"/>
                      <w:szCs w:val="21"/>
                    </w:rPr>
                  </w:pPr>
                  <w:r>
                    <w:rPr>
                      <w:rFonts w:hint="eastAsia" w:hAnsi="宋体"/>
                      <w:bCs/>
                      <w:color w:val="000000"/>
                    </w:rPr>
                    <w:t>破捆机进料口上方设置集气罩（1个），提绒机出料口安装集气罩（5个），收集粉尘经一套脉冲袋式除尘器处理后经一根15m高排气筒（DA001）排放</w:t>
                  </w:r>
                </w:p>
              </w:tc>
              <w:tc>
                <w:tcPr>
                  <w:tcW w:w="628" w:type="dxa"/>
                  <w:vAlign w:val="center"/>
                </w:tcPr>
                <w:p>
                  <w:pPr>
                    <w:spacing w:line="320" w:lineRule="exact"/>
                    <w:jc w:val="center"/>
                    <w:outlineLvl w:val="0"/>
                    <w:rPr>
                      <w:color w:val="000000"/>
                      <w:szCs w:val="21"/>
                    </w:rPr>
                  </w:pPr>
                  <w:bookmarkStart w:id="29" w:name="_Toc167095013"/>
                  <w:r>
                    <w:rPr>
                      <w:rFonts w:hint="eastAsia"/>
                      <w:color w:val="000000"/>
                      <w:szCs w:val="21"/>
                    </w:rPr>
                    <w:t>90%</w:t>
                  </w:r>
                  <w:bookmarkEnd w:id="29"/>
                </w:p>
              </w:tc>
              <w:tc>
                <w:tcPr>
                  <w:tcW w:w="760" w:type="dxa"/>
                  <w:vAlign w:val="center"/>
                </w:tcPr>
                <w:p>
                  <w:pPr>
                    <w:spacing w:line="320" w:lineRule="exact"/>
                    <w:jc w:val="center"/>
                    <w:outlineLvl w:val="0"/>
                    <w:rPr>
                      <w:color w:val="000000"/>
                      <w:szCs w:val="21"/>
                    </w:rPr>
                  </w:pPr>
                  <w:bookmarkStart w:id="30" w:name="_Toc167095014"/>
                  <w:r>
                    <w:rPr>
                      <w:rFonts w:hint="eastAsia"/>
                      <w:color w:val="000000"/>
                      <w:szCs w:val="21"/>
                    </w:rPr>
                    <w:t>99%</w:t>
                  </w:r>
                  <w:bookmarkEnd w:id="30"/>
                </w:p>
              </w:tc>
              <w:tc>
                <w:tcPr>
                  <w:tcW w:w="1069" w:type="dxa"/>
                  <w:vAlign w:val="center"/>
                </w:tcPr>
                <w:p>
                  <w:pPr>
                    <w:spacing w:line="320" w:lineRule="exact"/>
                    <w:jc w:val="center"/>
                    <w:outlineLvl w:val="0"/>
                    <w:rPr>
                      <w:color w:val="000000"/>
                      <w:szCs w:val="21"/>
                    </w:rPr>
                  </w:pPr>
                  <w:r>
                    <w:rPr>
                      <w:rFonts w:hint="eastAsia"/>
                      <w:color w:val="000000"/>
                      <w:szCs w:val="21"/>
                    </w:rPr>
                    <w:t>3000m</w:t>
                  </w:r>
                  <w:r>
                    <w:rPr>
                      <w:rFonts w:hint="eastAsia"/>
                      <w:color w:val="000000"/>
                      <w:szCs w:val="21"/>
                      <w:vertAlign w:val="superscript"/>
                    </w:rPr>
                    <w:t>3</w:t>
                  </w:r>
                  <w:r>
                    <w:rPr>
                      <w:rFonts w:hint="eastAsia"/>
                      <w:color w:val="000000"/>
                      <w:szCs w:val="21"/>
                    </w:rPr>
                    <w:t>/h</w:t>
                  </w:r>
                </w:p>
              </w:tc>
              <w:tc>
                <w:tcPr>
                  <w:tcW w:w="783" w:type="dxa"/>
                  <w:vAlign w:val="center"/>
                </w:tcPr>
                <w:p>
                  <w:pPr>
                    <w:spacing w:line="320" w:lineRule="exact"/>
                    <w:jc w:val="center"/>
                    <w:outlineLvl w:val="0"/>
                    <w:rPr>
                      <w:color w:val="000000"/>
                    </w:rPr>
                  </w:pPr>
                  <w:bookmarkStart w:id="31" w:name="_Toc167095016"/>
                  <w:r>
                    <w:rPr>
                      <w:rFonts w:hint="eastAsia"/>
                      <w:color w:val="000000"/>
                    </w:rPr>
                    <w:t>可行</w:t>
                  </w:r>
                  <w:bookmarkEnd w:id="3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4" w:hRule="atLeast"/>
                <w:jc w:val="center"/>
              </w:trPr>
              <w:tc>
                <w:tcPr>
                  <w:tcW w:w="544" w:type="dxa"/>
                  <w:vAlign w:val="center"/>
                </w:tcPr>
                <w:p>
                  <w:pPr>
                    <w:spacing w:line="320" w:lineRule="exact"/>
                    <w:jc w:val="center"/>
                    <w:outlineLvl w:val="0"/>
                    <w:rPr>
                      <w:color w:val="000000"/>
                      <w:szCs w:val="21"/>
                    </w:rPr>
                  </w:pPr>
                  <w:r>
                    <w:rPr>
                      <w:rFonts w:hint="eastAsia"/>
                      <w:color w:val="000000"/>
                      <w:szCs w:val="21"/>
                    </w:rPr>
                    <w:t>2</w:t>
                  </w:r>
                </w:p>
              </w:tc>
              <w:tc>
                <w:tcPr>
                  <w:tcW w:w="970" w:type="dxa"/>
                  <w:vAlign w:val="center"/>
                </w:tcPr>
                <w:p>
                  <w:pPr>
                    <w:spacing w:line="320" w:lineRule="exact"/>
                    <w:jc w:val="center"/>
                    <w:outlineLvl w:val="0"/>
                    <w:rPr>
                      <w:color w:val="000000"/>
                      <w:szCs w:val="21"/>
                    </w:rPr>
                  </w:pPr>
                  <w:r>
                    <w:rPr>
                      <w:rFonts w:hint="eastAsia"/>
                      <w:color w:val="000000"/>
                      <w:szCs w:val="21"/>
                    </w:rPr>
                    <w:t>卷条工序</w:t>
                  </w:r>
                </w:p>
              </w:tc>
              <w:tc>
                <w:tcPr>
                  <w:tcW w:w="3016" w:type="dxa"/>
                  <w:vAlign w:val="center"/>
                </w:tcPr>
                <w:p>
                  <w:pPr>
                    <w:jc w:val="center"/>
                    <w:outlineLvl w:val="0"/>
                    <w:rPr>
                      <w:rFonts w:hAnsi="宋体"/>
                      <w:bCs/>
                      <w:color w:val="000000"/>
                    </w:rPr>
                  </w:pPr>
                  <w:r>
                    <w:rPr>
                      <w:rFonts w:hint="eastAsia" w:hAnsi="宋体"/>
                      <w:bCs/>
                      <w:color w:val="000000"/>
                    </w:rPr>
                    <w:t>卷条机上方设置集气罩（15个），收集粉尘经一套脉冲袋式除尘器处理后经一根15m高排气筒（DA002）排放</w:t>
                  </w:r>
                </w:p>
              </w:tc>
              <w:tc>
                <w:tcPr>
                  <w:tcW w:w="628" w:type="dxa"/>
                  <w:vAlign w:val="center"/>
                </w:tcPr>
                <w:p>
                  <w:pPr>
                    <w:spacing w:line="320" w:lineRule="exact"/>
                    <w:jc w:val="center"/>
                    <w:outlineLvl w:val="0"/>
                    <w:rPr>
                      <w:color w:val="000000"/>
                      <w:szCs w:val="21"/>
                    </w:rPr>
                  </w:pPr>
                  <w:r>
                    <w:rPr>
                      <w:rFonts w:hint="eastAsia"/>
                      <w:color w:val="000000"/>
                      <w:szCs w:val="21"/>
                    </w:rPr>
                    <w:t>90%</w:t>
                  </w:r>
                </w:p>
              </w:tc>
              <w:tc>
                <w:tcPr>
                  <w:tcW w:w="760" w:type="dxa"/>
                  <w:vAlign w:val="center"/>
                </w:tcPr>
                <w:p>
                  <w:pPr>
                    <w:spacing w:line="320" w:lineRule="exact"/>
                    <w:jc w:val="center"/>
                    <w:outlineLvl w:val="0"/>
                    <w:rPr>
                      <w:color w:val="000000"/>
                      <w:szCs w:val="21"/>
                    </w:rPr>
                  </w:pPr>
                  <w:r>
                    <w:rPr>
                      <w:rFonts w:hint="eastAsia"/>
                      <w:color w:val="000000"/>
                      <w:szCs w:val="21"/>
                    </w:rPr>
                    <w:t>99%</w:t>
                  </w:r>
                </w:p>
              </w:tc>
              <w:tc>
                <w:tcPr>
                  <w:tcW w:w="1069" w:type="dxa"/>
                  <w:vAlign w:val="center"/>
                </w:tcPr>
                <w:p>
                  <w:pPr>
                    <w:spacing w:line="320" w:lineRule="exact"/>
                    <w:jc w:val="center"/>
                    <w:outlineLvl w:val="0"/>
                    <w:rPr>
                      <w:color w:val="000000"/>
                      <w:szCs w:val="21"/>
                    </w:rPr>
                  </w:pPr>
                  <w:r>
                    <w:rPr>
                      <w:rFonts w:hint="eastAsia"/>
                      <w:color w:val="000000"/>
                      <w:szCs w:val="21"/>
                    </w:rPr>
                    <w:t>1000m</w:t>
                  </w:r>
                  <w:r>
                    <w:rPr>
                      <w:rFonts w:hint="eastAsia"/>
                      <w:color w:val="000000"/>
                      <w:szCs w:val="21"/>
                      <w:vertAlign w:val="superscript"/>
                    </w:rPr>
                    <w:t>3</w:t>
                  </w:r>
                  <w:r>
                    <w:rPr>
                      <w:rFonts w:hint="eastAsia"/>
                      <w:color w:val="000000"/>
                      <w:szCs w:val="21"/>
                    </w:rPr>
                    <w:t>/h</w:t>
                  </w:r>
                </w:p>
              </w:tc>
              <w:tc>
                <w:tcPr>
                  <w:tcW w:w="783" w:type="dxa"/>
                  <w:vAlign w:val="center"/>
                </w:tcPr>
                <w:p>
                  <w:pPr>
                    <w:spacing w:line="320" w:lineRule="exact"/>
                    <w:jc w:val="center"/>
                    <w:outlineLvl w:val="0"/>
                    <w:rPr>
                      <w:color w:val="000000"/>
                    </w:rPr>
                  </w:pPr>
                  <w:r>
                    <w:rPr>
                      <w:rFonts w:hint="eastAsia"/>
                      <w:color w:val="000000"/>
                    </w:rPr>
                    <w:t>可行</w:t>
                  </w:r>
                </w:p>
              </w:tc>
            </w:tr>
          </w:tbl>
          <w:p>
            <w:pPr>
              <w:pStyle w:val="2"/>
              <w:ind w:firstLine="482"/>
              <w:jc w:val="center"/>
              <w:rPr>
                <w:b/>
                <w:color w:val="000000"/>
                <w:sz w:val="24"/>
              </w:rPr>
            </w:pPr>
            <w:r>
              <w:rPr>
                <w:rFonts w:hint="eastAsia"/>
                <w:b/>
                <w:color w:val="000000"/>
                <w:sz w:val="24"/>
              </w:rPr>
              <w:t>表4-3       项目排放口基本信息表</w:t>
            </w:r>
          </w:p>
          <w:tbl>
            <w:tblPr>
              <w:tblStyle w:val="26"/>
              <w:tblW w:w="777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941"/>
              <w:gridCol w:w="1196"/>
              <w:gridCol w:w="1867"/>
              <w:gridCol w:w="800"/>
              <w:gridCol w:w="800"/>
              <w:gridCol w:w="846"/>
              <w:gridCol w:w="8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10" w:hRule="atLeast"/>
                <w:jc w:val="center"/>
              </w:trPr>
              <w:tc>
                <w:tcPr>
                  <w:tcW w:w="426" w:type="dxa"/>
                  <w:vAlign w:val="center"/>
                </w:tcPr>
                <w:p>
                  <w:pPr>
                    <w:spacing w:line="320" w:lineRule="exact"/>
                    <w:jc w:val="center"/>
                    <w:outlineLvl w:val="0"/>
                    <w:rPr>
                      <w:color w:val="000000"/>
                      <w:szCs w:val="21"/>
                    </w:rPr>
                  </w:pPr>
                  <w:bookmarkStart w:id="32" w:name="_Toc167095017"/>
                  <w:r>
                    <w:rPr>
                      <w:color w:val="000000"/>
                      <w:szCs w:val="21"/>
                    </w:rPr>
                    <w:t>序号</w:t>
                  </w:r>
                  <w:bookmarkEnd w:id="32"/>
                </w:p>
              </w:tc>
              <w:tc>
                <w:tcPr>
                  <w:tcW w:w="941" w:type="dxa"/>
                  <w:vAlign w:val="center"/>
                </w:tcPr>
                <w:p>
                  <w:pPr>
                    <w:spacing w:line="320" w:lineRule="exact"/>
                    <w:jc w:val="center"/>
                    <w:outlineLvl w:val="0"/>
                    <w:rPr>
                      <w:color w:val="000000"/>
                      <w:szCs w:val="21"/>
                    </w:rPr>
                  </w:pPr>
                  <w:bookmarkStart w:id="33" w:name="_Toc167095018"/>
                  <w:r>
                    <w:rPr>
                      <w:rFonts w:hint="eastAsia"/>
                      <w:color w:val="000000"/>
                      <w:szCs w:val="21"/>
                    </w:rPr>
                    <w:t>排放口</w:t>
                  </w:r>
                  <w:r>
                    <w:rPr>
                      <w:color w:val="000000"/>
                      <w:szCs w:val="21"/>
                    </w:rPr>
                    <w:t>编号</w:t>
                  </w:r>
                  <w:bookmarkEnd w:id="33"/>
                </w:p>
              </w:tc>
              <w:tc>
                <w:tcPr>
                  <w:tcW w:w="1196" w:type="dxa"/>
                  <w:vAlign w:val="center"/>
                </w:tcPr>
                <w:p>
                  <w:pPr>
                    <w:spacing w:line="320" w:lineRule="exact"/>
                    <w:jc w:val="center"/>
                    <w:outlineLvl w:val="0"/>
                    <w:rPr>
                      <w:color w:val="000000"/>
                      <w:szCs w:val="21"/>
                    </w:rPr>
                  </w:pPr>
                  <w:bookmarkStart w:id="34" w:name="_Toc167095019"/>
                  <w:r>
                    <w:rPr>
                      <w:rFonts w:hint="eastAsia"/>
                      <w:color w:val="000000"/>
                      <w:szCs w:val="21"/>
                    </w:rPr>
                    <w:t>排放口名称</w:t>
                  </w:r>
                  <w:bookmarkEnd w:id="34"/>
                </w:p>
              </w:tc>
              <w:tc>
                <w:tcPr>
                  <w:tcW w:w="1867" w:type="dxa"/>
                  <w:vAlign w:val="center"/>
                </w:tcPr>
                <w:p>
                  <w:pPr>
                    <w:spacing w:line="320" w:lineRule="exact"/>
                    <w:jc w:val="center"/>
                    <w:outlineLvl w:val="0"/>
                    <w:rPr>
                      <w:color w:val="000000"/>
                      <w:szCs w:val="21"/>
                    </w:rPr>
                  </w:pPr>
                  <w:bookmarkStart w:id="35" w:name="_Toc167095020"/>
                  <w:r>
                    <w:rPr>
                      <w:color w:val="000000"/>
                      <w:szCs w:val="21"/>
                    </w:rPr>
                    <w:t>坐标</w:t>
                  </w:r>
                  <w:bookmarkEnd w:id="35"/>
                </w:p>
              </w:tc>
              <w:tc>
                <w:tcPr>
                  <w:tcW w:w="800" w:type="dxa"/>
                  <w:vAlign w:val="center"/>
                </w:tcPr>
                <w:p>
                  <w:pPr>
                    <w:spacing w:line="320" w:lineRule="exact"/>
                    <w:jc w:val="center"/>
                    <w:outlineLvl w:val="0"/>
                    <w:rPr>
                      <w:color w:val="000000"/>
                      <w:szCs w:val="21"/>
                    </w:rPr>
                  </w:pPr>
                  <w:bookmarkStart w:id="36" w:name="_Toc167095021"/>
                  <w:r>
                    <w:rPr>
                      <w:rFonts w:hint="eastAsia"/>
                      <w:color w:val="000000"/>
                      <w:szCs w:val="21"/>
                    </w:rPr>
                    <w:t>高度（m）</w:t>
                  </w:r>
                  <w:bookmarkEnd w:id="36"/>
                </w:p>
              </w:tc>
              <w:tc>
                <w:tcPr>
                  <w:tcW w:w="800" w:type="dxa"/>
                  <w:vAlign w:val="center"/>
                </w:tcPr>
                <w:p>
                  <w:pPr>
                    <w:spacing w:line="320" w:lineRule="exact"/>
                    <w:jc w:val="center"/>
                    <w:outlineLvl w:val="0"/>
                    <w:rPr>
                      <w:color w:val="000000"/>
                      <w:szCs w:val="21"/>
                    </w:rPr>
                  </w:pPr>
                  <w:bookmarkStart w:id="37" w:name="_Toc167095022"/>
                  <w:r>
                    <w:rPr>
                      <w:rFonts w:hint="eastAsia"/>
                      <w:color w:val="000000"/>
                      <w:szCs w:val="21"/>
                    </w:rPr>
                    <w:t>内径（m）</w:t>
                  </w:r>
                  <w:bookmarkEnd w:id="37"/>
                </w:p>
              </w:tc>
              <w:tc>
                <w:tcPr>
                  <w:tcW w:w="846" w:type="dxa"/>
                  <w:vAlign w:val="center"/>
                </w:tcPr>
                <w:p>
                  <w:pPr>
                    <w:spacing w:line="320" w:lineRule="exact"/>
                    <w:jc w:val="center"/>
                    <w:outlineLvl w:val="0"/>
                    <w:rPr>
                      <w:color w:val="000000"/>
                      <w:szCs w:val="21"/>
                    </w:rPr>
                  </w:pPr>
                  <w:bookmarkStart w:id="38" w:name="_Toc167095023"/>
                  <w:r>
                    <w:rPr>
                      <w:rFonts w:hint="eastAsia"/>
                      <w:color w:val="000000"/>
                      <w:szCs w:val="21"/>
                    </w:rPr>
                    <w:t>温度（℃）</w:t>
                  </w:r>
                  <w:bookmarkEnd w:id="38"/>
                </w:p>
              </w:tc>
              <w:tc>
                <w:tcPr>
                  <w:tcW w:w="894" w:type="dxa"/>
                  <w:vAlign w:val="center"/>
                </w:tcPr>
                <w:p>
                  <w:pPr>
                    <w:spacing w:line="320" w:lineRule="exact"/>
                    <w:jc w:val="center"/>
                    <w:outlineLvl w:val="0"/>
                    <w:rPr>
                      <w:color w:val="000000"/>
                      <w:szCs w:val="21"/>
                    </w:rPr>
                  </w:pPr>
                  <w:bookmarkStart w:id="39" w:name="_Toc167095024"/>
                  <w:r>
                    <w:rPr>
                      <w:rFonts w:hint="eastAsia"/>
                      <w:color w:val="000000"/>
                      <w:szCs w:val="21"/>
                    </w:rPr>
                    <w:t>排放口类型</w:t>
                  </w:r>
                  <w:bookmarkEnd w:id="39"/>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2" w:hRule="atLeast"/>
                <w:jc w:val="center"/>
              </w:trPr>
              <w:tc>
                <w:tcPr>
                  <w:tcW w:w="426" w:type="dxa"/>
                  <w:vAlign w:val="center"/>
                </w:tcPr>
                <w:p>
                  <w:pPr>
                    <w:spacing w:line="320" w:lineRule="exact"/>
                    <w:jc w:val="center"/>
                    <w:outlineLvl w:val="0"/>
                    <w:rPr>
                      <w:color w:val="000000"/>
                      <w:szCs w:val="21"/>
                    </w:rPr>
                  </w:pPr>
                  <w:bookmarkStart w:id="40" w:name="_Toc167095025"/>
                  <w:r>
                    <w:rPr>
                      <w:rFonts w:hint="eastAsia"/>
                      <w:color w:val="000000"/>
                      <w:szCs w:val="21"/>
                    </w:rPr>
                    <w:t>1</w:t>
                  </w:r>
                  <w:bookmarkEnd w:id="40"/>
                </w:p>
              </w:tc>
              <w:tc>
                <w:tcPr>
                  <w:tcW w:w="941" w:type="dxa"/>
                  <w:vAlign w:val="center"/>
                </w:tcPr>
                <w:p>
                  <w:pPr>
                    <w:spacing w:line="320" w:lineRule="exact"/>
                    <w:jc w:val="center"/>
                    <w:outlineLvl w:val="0"/>
                    <w:rPr>
                      <w:color w:val="000000"/>
                      <w:szCs w:val="21"/>
                    </w:rPr>
                  </w:pPr>
                  <w:bookmarkStart w:id="41" w:name="_Toc167095026"/>
                  <w:r>
                    <w:rPr>
                      <w:rFonts w:hint="eastAsia"/>
                      <w:color w:val="000000"/>
                      <w:szCs w:val="21"/>
                    </w:rPr>
                    <w:t>DA001</w:t>
                  </w:r>
                  <w:bookmarkEnd w:id="41"/>
                </w:p>
              </w:tc>
              <w:tc>
                <w:tcPr>
                  <w:tcW w:w="1196" w:type="dxa"/>
                  <w:vAlign w:val="center"/>
                </w:tcPr>
                <w:p>
                  <w:pPr>
                    <w:spacing w:line="320" w:lineRule="exact"/>
                    <w:jc w:val="center"/>
                    <w:outlineLvl w:val="0"/>
                    <w:rPr>
                      <w:color w:val="000000"/>
                      <w:szCs w:val="21"/>
                    </w:rPr>
                  </w:pPr>
                  <w:bookmarkStart w:id="42" w:name="_Toc167095027"/>
                  <w:r>
                    <w:rPr>
                      <w:rFonts w:hint="eastAsia"/>
                      <w:color w:val="000000"/>
                      <w:szCs w:val="21"/>
                    </w:rPr>
                    <w:t>破捆、粉碎、提绒工序配套排气筒</w:t>
                  </w:r>
                  <w:bookmarkEnd w:id="42"/>
                </w:p>
              </w:tc>
              <w:tc>
                <w:tcPr>
                  <w:tcW w:w="1867" w:type="dxa"/>
                  <w:vAlign w:val="center"/>
                </w:tcPr>
                <w:p>
                  <w:pPr>
                    <w:spacing w:line="320" w:lineRule="exact"/>
                    <w:jc w:val="center"/>
                    <w:outlineLvl w:val="0"/>
                    <w:rPr>
                      <w:color w:val="000000"/>
                      <w:szCs w:val="21"/>
                    </w:rPr>
                  </w:pPr>
                  <w:bookmarkStart w:id="43" w:name="_Toc167095028"/>
                  <w:r>
                    <w:rPr>
                      <w:color w:val="000000"/>
                      <w:szCs w:val="21"/>
                    </w:rPr>
                    <w:t>E</w:t>
                  </w:r>
                  <w:bookmarkEnd w:id="43"/>
                  <w:r>
                    <w:rPr>
                      <w:color w:val="000000"/>
                      <w:szCs w:val="21"/>
                    </w:rPr>
                    <w:t>112°35′12.99720″</w:t>
                  </w:r>
                </w:p>
                <w:p>
                  <w:pPr>
                    <w:spacing w:line="320" w:lineRule="exact"/>
                    <w:jc w:val="center"/>
                    <w:outlineLvl w:val="0"/>
                    <w:rPr>
                      <w:color w:val="000000"/>
                      <w:szCs w:val="21"/>
                    </w:rPr>
                  </w:pPr>
                  <w:bookmarkStart w:id="44" w:name="_Toc167095029"/>
                  <w:r>
                    <w:rPr>
                      <w:color w:val="000000"/>
                      <w:szCs w:val="21"/>
                    </w:rPr>
                    <w:t>N</w:t>
                  </w:r>
                  <w:bookmarkEnd w:id="44"/>
                  <w:r>
                    <w:rPr>
                      <w:color w:val="000000"/>
                      <w:szCs w:val="21"/>
                    </w:rPr>
                    <w:t>33°6′34.90484″</w:t>
                  </w:r>
                </w:p>
              </w:tc>
              <w:tc>
                <w:tcPr>
                  <w:tcW w:w="800" w:type="dxa"/>
                  <w:vAlign w:val="center"/>
                </w:tcPr>
                <w:p>
                  <w:pPr>
                    <w:spacing w:line="320" w:lineRule="exact"/>
                    <w:jc w:val="center"/>
                    <w:outlineLvl w:val="0"/>
                    <w:rPr>
                      <w:color w:val="000000"/>
                      <w:szCs w:val="21"/>
                    </w:rPr>
                  </w:pPr>
                  <w:bookmarkStart w:id="45" w:name="_Toc167095030"/>
                  <w:r>
                    <w:rPr>
                      <w:rFonts w:hint="eastAsia"/>
                      <w:color w:val="000000"/>
                      <w:szCs w:val="21"/>
                    </w:rPr>
                    <w:t>15</w:t>
                  </w:r>
                  <w:bookmarkEnd w:id="45"/>
                </w:p>
              </w:tc>
              <w:tc>
                <w:tcPr>
                  <w:tcW w:w="800" w:type="dxa"/>
                  <w:vAlign w:val="center"/>
                </w:tcPr>
                <w:p>
                  <w:pPr>
                    <w:spacing w:line="320" w:lineRule="exact"/>
                    <w:jc w:val="center"/>
                    <w:outlineLvl w:val="0"/>
                    <w:rPr>
                      <w:color w:val="000000"/>
                      <w:szCs w:val="21"/>
                    </w:rPr>
                  </w:pPr>
                  <w:bookmarkStart w:id="46" w:name="_Toc167095031"/>
                  <w:r>
                    <w:rPr>
                      <w:rFonts w:hint="eastAsia"/>
                      <w:color w:val="000000"/>
                      <w:szCs w:val="21"/>
                    </w:rPr>
                    <w:t>0.</w:t>
                  </w:r>
                  <w:bookmarkEnd w:id="46"/>
                  <w:r>
                    <w:rPr>
                      <w:rFonts w:hint="eastAsia"/>
                      <w:color w:val="000000"/>
                      <w:szCs w:val="21"/>
                    </w:rPr>
                    <w:t>3</w:t>
                  </w:r>
                </w:p>
              </w:tc>
              <w:tc>
                <w:tcPr>
                  <w:tcW w:w="846" w:type="dxa"/>
                  <w:vAlign w:val="center"/>
                </w:tcPr>
                <w:p>
                  <w:pPr>
                    <w:spacing w:line="320" w:lineRule="exact"/>
                    <w:jc w:val="center"/>
                    <w:outlineLvl w:val="0"/>
                    <w:rPr>
                      <w:color w:val="000000"/>
                      <w:szCs w:val="21"/>
                    </w:rPr>
                  </w:pPr>
                  <w:bookmarkStart w:id="47" w:name="_Toc167095032"/>
                  <w:r>
                    <w:rPr>
                      <w:rFonts w:hint="eastAsia"/>
                      <w:color w:val="000000"/>
                      <w:szCs w:val="21"/>
                    </w:rPr>
                    <w:t>20</w:t>
                  </w:r>
                  <w:bookmarkEnd w:id="47"/>
                </w:p>
              </w:tc>
              <w:tc>
                <w:tcPr>
                  <w:tcW w:w="894" w:type="dxa"/>
                  <w:vAlign w:val="center"/>
                </w:tcPr>
                <w:p>
                  <w:pPr>
                    <w:spacing w:line="320" w:lineRule="exact"/>
                    <w:jc w:val="center"/>
                    <w:outlineLvl w:val="0"/>
                    <w:rPr>
                      <w:color w:val="000000"/>
                      <w:szCs w:val="21"/>
                    </w:rPr>
                  </w:pPr>
                  <w:bookmarkStart w:id="48" w:name="_Toc167095033"/>
                  <w:r>
                    <w:rPr>
                      <w:rFonts w:hint="eastAsia"/>
                      <w:color w:val="000000"/>
                    </w:rPr>
                    <w:t>一般排放口</w:t>
                  </w:r>
                  <w:bookmarkEnd w:id="48"/>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2" w:hRule="atLeast"/>
                <w:jc w:val="center"/>
              </w:trPr>
              <w:tc>
                <w:tcPr>
                  <w:tcW w:w="426" w:type="dxa"/>
                  <w:vAlign w:val="center"/>
                </w:tcPr>
                <w:p>
                  <w:pPr>
                    <w:spacing w:line="320" w:lineRule="exact"/>
                    <w:jc w:val="center"/>
                    <w:outlineLvl w:val="0"/>
                    <w:rPr>
                      <w:color w:val="000000"/>
                      <w:szCs w:val="21"/>
                    </w:rPr>
                  </w:pPr>
                  <w:r>
                    <w:rPr>
                      <w:rFonts w:hint="eastAsia"/>
                      <w:color w:val="000000"/>
                      <w:szCs w:val="21"/>
                    </w:rPr>
                    <w:t>2</w:t>
                  </w:r>
                </w:p>
              </w:tc>
              <w:tc>
                <w:tcPr>
                  <w:tcW w:w="941" w:type="dxa"/>
                  <w:vAlign w:val="center"/>
                </w:tcPr>
                <w:p>
                  <w:pPr>
                    <w:spacing w:line="320" w:lineRule="exact"/>
                    <w:jc w:val="center"/>
                    <w:outlineLvl w:val="0"/>
                    <w:rPr>
                      <w:color w:val="000000"/>
                      <w:szCs w:val="21"/>
                    </w:rPr>
                  </w:pPr>
                  <w:r>
                    <w:rPr>
                      <w:rFonts w:hint="eastAsia"/>
                      <w:color w:val="000000"/>
                      <w:szCs w:val="21"/>
                    </w:rPr>
                    <w:t>DA002</w:t>
                  </w:r>
                </w:p>
              </w:tc>
              <w:tc>
                <w:tcPr>
                  <w:tcW w:w="1196" w:type="dxa"/>
                  <w:vAlign w:val="center"/>
                </w:tcPr>
                <w:p>
                  <w:pPr>
                    <w:spacing w:line="320" w:lineRule="exact"/>
                    <w:jc w:val="center"/>
                    <w:outlineLvl w:val="0"/>
                    <w:rPr>
                      <w:color w:val="000000"/>
                      <w:szCs w:val="21"/>
                    </w:rPr>
                  </w:pPr>
                  <w:r>
                    <w:rPr>
                      <w:rFonts w:hint="eastAsia"/>
                      <w:color w:val="000000"/>
                      <w:szCs w:val="21"/>
                    </w:rPr>
                    <w:t>卷条工序配套排气筒</w:t>
                  </w:r>
                </w:p>
              </w:tc>
              <w:tc>
                <w:tcPr>
                  <w:tcW w:w="1867" w:type="dxa"/>
                  <w:vAlign w:val="center"/>
                </w:tcPr>
                <w:p>
                  <w:pPr>
                    <w:spacing w:line="320" w:lineRule="exact"/>
                    <w:jc w:val="center"/>
                    <w:outlineLvl w:val="0"/>
                  </w:pPr>
                  <w:r>
                    <w:rPr>
                      <w:color w:val="000000"/>
                      <w:szCs w:val="21"/>
                    </w:rPr>
                    <w:t>E112°35′13.52828″</w:t>
                  </w:r>
                </w:p>
                <w:p>
                  <w:pPr>
                    <w:spacing w:line="320" w:lineRule="exact"/>
                    <w:jc w:val="center"/>
                    <w:outlineLvl w:val="0"/>
                  </w:pPr>
                  <w:r>
                    <w:t>N33°6′34.77931″</w:t>
                  </w:r>
                </w:p>
              </w:tc>
              <w:tc>
                <w:tcPr>
                  <w:tcW w:w="800" w:type="dxa"/>
                  <w:vAlign w:val="center"/>
                </w:tcPr>
                <w:p>
                  <w:pPr>
                    <w:spacing w:line="320" w:lineRule="exact"/>
                    <w:jc w:val="center"/>
                    <w:outlineLvl w:val="0"/>
                    <w:rPr>
                      <w:color w:val="000000"/>
                      <w:szCs w:val="21"/>
                    </w:rPr>
                  </w:pPr>
                  <w:r>
                    <w:rPr>
                      <w:rFonts w:hint="eastAsia"/>
                      <w:color w:val="000000"/>
                      <w:szCs w:val="21"/>
                    </w:rPr>
                    <w:t>15</w:t>
                  </w:r>
                </w:p>
              </w:tc>
              <w:tc>
                <w:tcPr>
                  <w:tcW w:w="800" w:type="dxa"/>
                  <w:vAlign w:val="center"/>
                </w:tcPr>
                <w:p>
                  <w:pPr>
                    <w:spacing w:line="320" w:lineRule="exact"/>
                    <w:jc w:val="center"/>
                    <w:outlineLvl w:val="0"/>
                    <w:rPr>
                      <w:color w:val="000000"/>
                      <w:szCs w:val="21"/>
                    </w:rPr>
                  </w:pPr>
                  <w:r>
                    <w:rPr>
                      <w:rFonts w:hint="eastAsia"/>
                      <w:color w:val="000000"/>
                      <w:szCs w:val="21"/>
                    </w:rPr>
                    <w:t>0.2</w:t>
                  </w:r>
                </w:p>
              </w:tc>
              <w:tc>
                <w:tcPr>
                  <w:tcW w:w="846" w:type="dxa"/>
                  <w:vAlign w:val="center"/>
                </w:tcPr>
                <w:p>
                  <w:pPr>
                    <w:spacing w:line="320" w:lineRule="exact"/>
                    <w:jc w:val="center"/>
                    <w:outlineLvl w:val="0"/>
                    <w:rPr>
                      <w:color w:val="000000"/>
                      <w:szCs w:val="21"/>
                    </w:rPr>
                  </w:pPr>
                  <w:r>
                    <w:rPr>
                      <w:rFonts w:hint="eastAsia"/>
                      <w:color w:val="000000"/>
                      <w:szCs w:val="21"/>
                    </w:rPr>
                    <w:t>20</w:t>
                  </w:r>
                </w:p>
              </w:tc>
              <w:tc>
                <w:tcPr>
                  <w:tcW w:w="894" w:type="dxa"/>
                  <w:vAlign w:val="center"/>
                </w:tcPr>
                <w:p>
                  <w:pPr>
                    <w:spacing w:line="320" w:lineRule="exact"/>
                    <w:jc w:val="center"/>
                    <w:outlineLvl w:val="0"/>
                    <w:rPr>
                      <w:color w:val="000000"/>
                      <w:szCs w:val="21"/>
                    </w:rPr>
                  </w:pPr>
                  <w:r>
                    <w:rPr>
                      <w:rFonts w:hint="eastAsia"/>
                      <w:color w:val="000000"/>
                    </w:rPr>
                    <w:t>一般排放口</w:t>
                  </w:r>
                </w:p>
              </w:tc>
            </w:tr>
          </w:tbl>
          <w:p>
            <w:pPr>
              <w:tabs>
                <w:tab w:val="left" w:pos="1081"/>
              </w:tabs>
              <w:adjustRightInd w:val="0"/>
              <w:snapToGrid w:val="0"/>
              <w:spacing w:line="360" w:lineRule="auto"/>
              <w:ind w:firstLine="480" w:firstLineChars="200"/>
              <w:jc w:val="left"/>
              <w:rPr>
                <w:color w:val="000000"/>
                <w:sz w:val="24"/>
              </w:rPr>
            </w:pPr>
            <w:r>
              <w:rPr>
                <w:color w:val="000000"/>
                <w:sz w:val="24"/>
              </w:rPr>
              <w:t>1.2</w:t>
            </w:r>
            <w:r>
              <w:rPr>
                <w:rFonts w:hint="eastAsia"/>
                <w:color w:val="000000"/>
                <w:sz w:val="24"/>
              </w:rPr>
              <w:t>废气治理措施分析</w:t>
            </w:r>
          </w:p>
          <w:p>
            <w:pPr>
              <w:adjustRightInd w:val="0"/>
              <w:snapToGrid w:val="0"/>
              <w:spacing w:line="360" w:lineRule="auto"/>
              <w:ind w:firstLine="480" w:firstLineChars="200"/>
              <w:rPr>
                <w:bCs/>
                <w:color w:val="000000"/>
                <w:sz w:val="24"/>
              </w:rPr>
            </w:pPr>
            <w:r>
              <w:rPr>
                <w:bCs/>
                <w:color w:val="000000"/>
                <w:sz w:val="24"/>
              </w:rPr>
              <w:t>脉冲袋式除尘器原理：含尘气体由灰斗上部进风口后，在挡风板的作用下，气流向上流动，流速降低，部分大颗粒粉尘由于惯性力的作用被分离出来落入灰斗。含尘气体进入中箱体经滤袋的过滤净化，粉尘被阻留在滤袋的外表面，净化后的气体经滤袋口进入上箱体，由出风口排出。随着滤袋表面粉尘不断增加，除尘器进出口压差也随之上升。当除尘器阻力达到设定值时，控制系统发出清灰指令，清灰系统开始工作。首先电磁阀接到信号后立即开启，使小膜片上部气室的压缩空气被排放，由于小膜片两端受力的改变，使被小膜片关闭的排气通道开启，大膜片上部气室的压缩空气由此通道排出，大膜片两端受力改变，使大膜片动作，将关闭的输出口打开，气包内的压缩空气经由输出管和喷吹管喷入袋内，实现清灰。当控制信号停止后，电磁阀关闭，小膜片、大膜片相继复位，喷吹停止。采用袋式除尘器有以下优点：除尘效率高，可补集粒径大于0.3μm的细小粉尘。使用灵活，处理风量范围大，可以作成直接设于室内，机床附近的小型机组，也可作成大型的除尘器。结构比较简单，运行比较稳定，初期投资较少（与电除尘器比较而言），维护方便。</w:t>
            </w:r>
          </w:p>
          <w:p>
            <w:pPr>
              <w:widowControl/>
              <w:snapToGrid w:val="0"/>
              <w:spacing w:line="360" w:lineRule="auto"/>
              <w:ind w:firstLine="482"/>
              <w:rPr>
                <w:color w:val="000000"/>
                <w:sz w:val="24"/>
              </w:rPr>
            </w:pPr>
            <w:r>
              <w:rPr>
                <w:rFonts w:hint="eastAsia"/>
                <w:bCs/>
                <w:color w:val="000000"/>
                <w:sz w:val="24"/>
              </w:rPr>
              <w:t>同时参照排污许可证申领和核发技术规范中大多数行业颗粒物的污染防治措施，生产过程中产生的粉尘采用“脉冲袋式除尘器”属于可行的末端治理技术。</w:t>
            </w:r>
          </w:p>
          <w:p>
            <w:pPr>
              <w:widowControl/>
              <w:snapToGrid w:val="0"/>
              <w:spacing w:line="360" w:lineRule="auto"/>
              <w:ind w:firstLine="482"/>
              <w:rPr>
                <w:rFonts w:hAnsi="宋体"/>
                <w:color w:val="000000"/>
                <w:kern w:val="0"/>
                <w:sz w:val="24"/>
              </w:rPr>
            </w:pPr>
            <w:r>
              <w:rPr>
                <w:rFonts w:hint="eastAsia"/>
                <w:color w:val="000000"/>
                <w:sz w:val="24"/>
              </w:rPr>
              <w:t>项目各工序粉尘经脉冲式除尘器处理后最大</w:t>
            </w:r>
            <w:r>
              <w:rPr>
                <w:rFonts w:hint="eastAsia" w:hAnsi="宋体"/>
                <w:color w:val="000000"/>
                <w:kern w:val="0"/>
                <w:sz w:val="24"/>
              </w:rPr>
              <w:t>排放浓度为2.67mg/m</w:t>
            </w:r>
            <w:r>
              <w:rPr>
                <w:rFonts w:hint="eastAsia" w:hAnsi="宋体"/>
                <w:color w:val="000000"/>
                <w:kern w:val="0"/>
                <w:sz w:val="24"/>
                <w:vertAlign w:val="superscript"/>
              </w:rPr>
              <w:t>3</w:t>
            </w:r>
            <w:r>
              <w:rPr>
                <w:rFonts w:hint="eastAsia" w:hAnsi="宋体"/>
                <w:color w:val="000000"/>
                <w:kern w:val="0"/>
                <w:sz w:val="24"/>
              </w:rPr>
              <w:t>，可以满足《大气污染物综合排放标准》（GB16297-1996）表2二级标准、《河南省重污染天气通用行业应急减排措施制定技术指南》（2024年修订稿）“通用涉PM企业绩效引领性指标”，废气处理措施可行，同时环评要求建设单位定期维护、监测，确保废气稳定达标排放。</w:t>
            </w:r>
          </w:p>
          <w:p>
            <w:pPr>
              <w:widowControl/>
              <w:snapToGrid w:val="0"/>
              <w:spacing w:line="360" w:lineRule="auto"/>
              <w:ind w:firstLine="482"/>
              <w:rPr>
                <w:color w:val="FF0000"/>
                <w:sz w:val="24"/>
                <w:u w:val="single"/>
              </w:rPr>
            </w:pPr>
            <w:r>
              <w:rPr>
                <w:rFonts w:hint="eastAsia"/>
                <w:color w:val="FF0000"/>
                <w:sz w:val="24"/>
                <w:u w:val="single"/>
              </w:rPr>
              <w:t>项目东侧和北侧为居民点，项目生产过程中未收集粉尘可能会对周围居民点产生影响，因此需要加强项目无组织粉尘管控，本次环评对本项目营运期无组织管控提出如下要求：</w:t>
            </w:r>
          </w:p>
          <w:p>
            <w:pPr>
              <w:widowControl/>
              <w:snapToGrid w:val="0"/>
              <w:spacing w:line="360" w:lineRule="auto"/>
              <w:ind w:firstLine="482"/>
              <w:rPr>
                <w:color w:val="FF0000"/>
                <w:sz w:val="24"/>
                <w:u w:val="single"/>
              </w:rPr>
            </w:pPr>
            <w:r>
              <w:rPr>
                <w:rFonts w:hint="eastAsia"/>
                <w:color w:val="FF0000"/>
                <w:sz w:val="24"/>
                <w:u w:val="single"/>
              </w:rPr>
              <w:t>①</w:t>
            </w:r>
            <w:r>
              <w:rPr>
                <w:color w:val="FF0000"/>
                <w:sz w:val="24"/>
                <w:u w:val="single"/>
              </w:rPr>
              <w:t>厂房四面密闭，通道口安装卷帘门、推拉门等封闭性良好且便于开关的硬质门，在无车辆出入时将门关闭，保证空气合理流动不产生湍流；</w:t>
            </w:r>
          </w:p>
          <w:p>
            <w:pPr>
              <w:widowControl/>
              <w:snapToGrid w:val="0"/>
              <w:spacing w:line="360" w:lineRule="auto"/>
              <w:ind w:firstLine="482"/>
              <w:rPr>
                <w:color w:val="FF0000"/>
                <w:sz w:val="24"/>
                <w:u w:val="single"/>
              </w:rPr>
            </w:pPr>
            <w:r>
              <w:rPr>
                <w:rFonts w:hint="eastAsia"/>
                <w:color w:val="FF0000"/>
                <w:sz w:val="24"/>
                <w:u w:val="single"/>
              </w:rPr>
              <w:t>②</w:t>
            </w:r>
            <w:r>
              <w:rPr>
                <w:color w:val="FF0000"/>
                <w:sz w:val="24"/>
                <w:u w:val="single"/>
              </w:rPr>
              <w:t>制绒区在密闭的厂房内做隔间进行二次密闭，密闭隔间上方设置负压集气管道，集气后的废气引入废气处理设施</w:t>
            </w:r>
            <w:r>
              <w:rPr>
                <w:rFonts w:hint="eastAsia"/>
                <w:color w:val="FF0000"/>
                <w:sz w:val="24"/>
                <w:u w:val="single"/>
              </w:rPr>
              <w:t>；</w:t>
            </w:r>
          </w:p>
          <w:p>
            <w:pPr>
              <w:widowControl/>
              <w:snapToGrid w:val="0"/>
              <w:spacing w:line="360" w:lineRule="auto"/>
              <w:ind w:firstLine="482"/>
              <w:rPr>
                <w:color w:val="FF0000"/>
                <w:sz w:val="24"/>
                <w:u w:val="single"/>
              </w:rPr>
            </w:pPr>
            <w:r>
              <w:rPr>
                <w:rFonts w:hint="eastAsia"/>
                <w:color w:val="FF0000"/>
                <w:sz w:val="24"/>
                <w:u w:val="single"/>
              </w:rPr>
              <w:t>③</w:t>
            </w:r>
            <w:r>
              <w:rPr>
                <w:color w:val="FF0000"/>
                <w:sz w:val="24"/>
                <w:u w:val="single"/>
              </w:rPr>
              <w:t>卷条区在密闭的厂房内做隔间进行二次密闭，密闭隔间上方设置负压集气管道，集气后的废气引入废气处理设施。</w:t>
            </w:r>
          </w:p>
          <w:p>
            <w:pPr>
              <w:widowControl/>
              <w:snapToGrid w:val="0"/>
              <w:spacing w:line="360" w:lineRule="auto"/>
              <w:ind w:firstLine="482"/>
              <w:rPr>
                <w:color w:val="FF0000"/>
                <w:sz w:val="24"/>
                <w:u w:val="single"/>
              </w:rPr>
            </w:pPr>
            <w:r>
              <w:rPr>
                <w:rFonts w:hint="eastAsia"/>
                <w:color w:val="FF0000"/>
                <w:sz w:val="24"/>
                <w:u w:val="single"/>
              </w:rPr>
              <w:t>④</w:t>
            </w:r>
            <w:r>
              <w:rPr>
                <w:color w:val="FF0000"/>
                <w:sz w:val="24"/>
                <w:u w:val="single"/>
              </w:rPr>
              <w:t>加强环保设备维护，保证废气集气效率；</w:t>
            </w:r>
            <w:r>
              <w:rPr>
                <w:rFonts w:hint="eastAsia"/>
                <w:color w:val="FF0000"/>
                <w:sz w:val="24"/>
                <w:u w:val="single"/>
              </w:rPr>
              <w:t>同时加强日常管理定期对设备进行检修。</w:t>
            </w:r>
          </w:p>
          <w:p>
            <w:pPr>
              <w:widowControl/>
              <w:snapToGrid w:val="0"/>
              <w:spacing w:line="360" w:lineRule="auto"/>
              <w:ind w:firstLine="482"/>
              <w:rPr>
                <w:color w:val="FF0000"/>
                <w:sz w:val="24"/>
                <w:u w:val="single"/>
              </w:rPr>
            </w:pPr>
            <w:r>
              <w:rPr>
                <w:rFonts w:hint="eastAsia"/>
                <w:color w:val="FF0000"/>
                <w:sz w:val="24"/>
                <w:u w:val="single"/>
              </w:rPr>
              <w:t>⑤厂区北侧和东侧围墙外建议种植高大乔木，加强绿化，同时加强厂区洒水降尘，进一步减轻对东侧和北侧居民点影响。</w:t>
            </w:r>
          </w:p>
          <w:p>
            <w:pPr>
              <w:widowControl/>
              <w:adjustRightInd w:val="0"/>
              <w:snapToGrid w:val="0"/>
              <w:spacing w:line="360" w:lineRule="auto"/>
              <w:ind w:firstLine="482"/>
              <w:rPr>
                <w:color w:val="000000"/>
                <w:sz w:val="24"/>
              </w:rPr>
            </w:pPr>
            <w:r>
              <w:rPr>
                <w:rFonts w:hint="eastAsia"/>
                <w:color w:val="000000"/>
                <w:sz w:val="24"/>
              </w:rPr>
              <w:t>1.3污染物排放量核算</w:t>
            </w:r>
          </w:p>
          <w:p>
            <w:pPr>
              <w:tabs>
                <w:tab w:val="left" w:pos="1081"/>
              </w:tabs>
              <w:adjustRightInd w:val="0"/>
              <w:snapToGrid w:val="0"/>
              <w:spacing w:line="360" w:lineRule="auto"/>
              <w:ind w:firstLine="480" w:firstLineChars="200"/>
              <w:jc w:val="left"/>
              <w:rPr>
                <w:color w:val="000000"/>
                <w:sz w:val="24"/>
                <w:u w:val="single"/>
              </w:rPr>
            </w:pPr>
            <w:r>
              <w:rPr>
                <w:rFonts w:hint="eastAsia"/>
                <w:color w:val="000000"/>
                <w:sz w:val="24"/>
              </w:rPr>
              <w:t>本项目废气污染物排放量核算见表4-4、4-5、4-6。</w:t>
            </w:r>
          </w:p>
          <w:p>
            <w:pPr>
              <w:tabs>
                <w:tab w:val="left" w:pos="1081"/>
              </w:tabs>
              <w:adjustRightInd w:val="0"/>
              <w:snapToGrid w:val="0"/>
              <w:spacing w:line="360" w:lineRule="auto"/>
              <w:jc w:val="center"/>
              <w:rPr>
                <w:b/>
                <w:bCs/>
                <w:color w:val="000000"/>
                <w:kern w:val="0"/>
                <w:sz w:val="24"/>
              </w:rPr>
            </w:pPr>
            <w:r>
              <w:rPr>
                <w:rFonts w:hint="eastAsia"/>
                <w:b/>
                <w:bCs/>
                <w:color w:val="000000"/>
                <w:kern w:val="0"/>
                <w:sz w:val="24"/>
              </w:rPr>
              <w:t>表4-4      工程大气污染物有组织排放量核算表</w:t>
            </w:r>
          </w:p>
          <w:tbl>
            <w:tblPr>
              <w:tblStyle w:val="26"/>
              <w:tblW w:w="7764" w:type="dxa"/>
              <w:jc w:val="right"/>
              <w:tblInd w:w="0"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835"/>
              <w:gridCol w:w="1809"/>
              <w:gridCol w:w="1123"/>
              <w:gridCol w:w="1475"/>
              <w:gridCol w:w="1491"/>
              <w:gridCol w:w="1031"/>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1253" w:hRule="atLeast"/>
                <w:jc w:val="right"/>
              </w:trPr>
              <w:tc>
                <w:tcPr>
                  <w:tcW w:w="835" w:type="dxa"/>
                  <w:vAlign w:val="center"/>
                </w:tcPr>
                <w:p>
                  <w:pPr>
                    <w:pStyle w:val="62"/>
                    <w:rPr>
                      <w:color w:val="000000"/>
                      <w:szCs w:val="21"/>
                    </w:rPr>
                  </w:pPr>
                  <w:r>
                    <w:rPr>
                      <w:color w:val="000000"/>
                      <w:szCs w:val="21"/>
                    </w:rPr>
                    <w:t>排放口编号</w:t>
                  </w:r>
                </w:p>
              </w:tc>
              <w:tc>
                <w:tcPr>
                  <w:tcW w:w="1809" w:type="dxa"/>
                  <w:vAlign w:val="center"/>
                </w:tcPr>
                <w:p>
                  <w:pPr>
                    <w:pStyle w:val="62"/>
                    <w:rPr>
                      <w:color w:val="000000"/>
                      <w:szCs w:val="21"/>
                    </w:rPr>
                  </w:pPr>
                  <w:r>
                    <w:rPr>
                      <w:color w:val="000000"/>
                      <w:szCs w:val="21"/>
                    </w:rPr>
                    <w:t>产污环节</w:t>
                  </w:r>
                </w:p>
              </w:tc>
              <w:tc>
                <w:tcPr>
                  <w:tcW w:w="1123" w:type="dxa"/>
                  <w:vAlign w:val="center"/>
                </w:tcPr>
                <w:p>
                  <w:pPr>
                    <w:pStyle w:val="62"/>
                    <w:rPr>
                      <w:color w:val="000000"/>
                      <w:szCs w:val="21"/>
                    </w:rPr>
                  </w:pPr>
                  <w:r>
                    <w:rPr>
                      <w:color w:val="000000"/>
                      <w:szCs w:val="21"/>
                    </w:rPr>
                    <w:t>污染物</w:t>
                  </w:r>
                </w:p>
              </w:tc>
              <w:tc>
                <w:tcPr>
                  <w:tcW w:w="1475" w:type="dxa"/>
                  <w:vAlign w:val="center"/>
                </w:tcPr>
                <w:p>
                  <w:pPr>
                    <w:pStyle w:val="62"/>
                    <w:rPr>
                      <w:color w:val="000000"/>
                      <w:szCs w:val="21"/>
                    </w:rPr>
                  </w:pPr>
                  <w:r>
                    <w:rPr>
                      <w:rFonts w:hint="eastAsia"/>
                      <w:color w:val="000000"/>
                      <w:szCs w:val="21"/>
                    </w:rPr>
                    <w:t>核算排放浓度（mg/m</w:t>
                  </w:r>
                  <w:r>
                    <w:rPr>
                      <w:rFonts w:hint="eastAsia"/>
                      <w:color w:val="000000"/>
                      <w:szCs w:val="21"/>
                      <w:vertAlign w:val="superscript"/>
                    </w:rPr>
                    <w:t>3</w:t>
                  </w:r>
                  <w:r>
                    <w:rPr>
                      <w:rFonts w:hint="eastAsia"/>
                      <w:color w:val="000000"/>
                      <w:szCs w:val="21"/>
                    </w:rPr>
                    <w:t>）</w:t>
                  </w:r>
                </w:p>
              </w:tc>
              <w:tc>
                <w:tcPr>
                  <w:tcW w:w="1491" w:type="dxa"/>
                  <w:vAlign w:val="center"/>
                </w:tcPr>
                <w:p>
                  <w:pPr>
                    <w:pStyle w:val="62"/>
                    <w:rPr>
                      <w:color w:val="000000"/>
                      <w:szCs w:val="21"/>
                    </w:rPr>
                  </w:pPr>
                  <w:r>
                    <w:rPr>
                      <w:rFonts w:hint="eastAsia"/>
                      <w:color w:val="000000"/>
                      <w:szCs w:val="21"/>
                    </w:rPr>
                    <w:t>核算排放速率（kg/h）</w:t>
                  </w:r>
                </w:p>
              </w:tc>
              <w:tc>
                <w:tcPr>
                  <w:tcW w:w="1031" w:type="dxa"/>
                  <w:vAlign w:val="center"/>
                </w:tcPr>
                <w:p>
                  <w:pPr>
                    <w:pStyle w:val="62"/>
                    <w:rPr>
                      <w:color w:val="000000"/>
                      <w:szCs w:val="21"/>
                    </w:rPr>
                  </w:pPr>
                  <w:r>
                    <w:rPr>
                      <w:rFonts w:hint="eastAsia"/>
                      <w:color w:val="000000"/>
                      <w:szCs w:val="21"/>
                    </w:rPr>
                    <w:t>核算</w:t>
                  </w:r>
                  <w:r>
                    <w:rPr>
                      <w:color w:val="000000"/>
                      <w:szCs w:val="21"/>
                    </w:rPr>
                    <w:t>年排放量</w:t>
                  </w:r>
                  <w:r>
                    <w:rPr>
                      <w:rFonts w:hint="eastAsia"/>
                      <w:color w:val="000000"/>
                      <w:szCs w:val="21"/>
                    </w:rPr>
                    <w:t>t/a</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jc w:val="right"/>
              </w:trPr>
              <w:tc>
                <w:tcPr>
                  <w:tcW w:w="835" w:type="dxa"/>
                  <w:vAlign w:val="center"/>
                </w:tcPr>
                <w:p>
                  <w:pPr>
                    <w:pStyle w:val="62"/>
                    <w:rPr>
                      <w:color w:val="000000"/>
                      <w:szCs w:val="21"/>
                    </w:rPr>
                  </w:pPr>
                  <w:r>
                    <w:rPr>
                      <w:rFonts w:hint="eastAsia"/>
                      <w:color w:val="000000"/>
                      <w:szCs w:val="21"/>
                    </w:rPr>
                    <w:t>DA001</w:t>
                  </w:r>
                </w:p>
              </w:tc>
              <w:tc>
                <w:tcPr>
                  <w:tcW w:w="1809" w:type="dxa"/>
                  <w:vAlign w:val="center"/>
                </w:tcPr>
                <w:p>
                  <w:pPr>
                    <w:pStyle w:val="62"/>
                    <w:rPr>
                      <w:color w:val="000000"/>
                      <w:szCs w:val="21"/>
                    </w:rPr>
                  </w:pPr>
                  <w:r>
                    <w:rPr>
                      <w:rFonts w:hint="eastAsia"/>
                      <w:color w:val="000000"/>
                      <w:szCs w:val="21"/>
                    </w:rPr>
                    <w:t>破捆、粉碎、提绒过程</w:t>
                  </w:r>
                </w:p>
              </w:tc>
              <w:tc>
                <w:tcPr>
                  <w:tcW w:w="1123" w:type="dxa"/>
                  <w:vAlign w:val="center"/>
                </w:tcPr>
                <w:p>
                  <w:pPr>
                    <w:jc w:val="center"/>
                    <w:outlineLvl w:val="0"/>
                    <w:rPr>
                      <w:color w:val="000000"/>
                      <w:szCs w:val="21"/>
                    </w:rPr>
                  </w:pPr>
                  <w:r>
                    <w:rPr>
                      <w:rFonts w:hint="eastAsia"/>
                      <w:color w:val="000000"/>
                      <w:kern w:val="0"/>
                      <w:szCs w:val="21"/>
                    </w:rPr>
                    <w:t>颗粒物</w:t>
                  </w:r>
                </w:p>
              </w:tc>
              <w:tc>
                <w:tcPr>
                  <w:tcW w:w="1475" w:type="dxa"/>
                  <w:vAlign w:val="center"/>
                </w:tcPr>
                <w:p>
                  <w:pPr>
                    <w:pStyle w:val="62"/>
                    <w:rPr>
                      <w:color w:val="000000"/>
                      <w:szCs w:val="21"/>
                    </w:rPr>
                  </w:pPr>
                  <w:r>
                    <w:rPr>
                      <w:rFonts w:hint="eastAsia"/>
                      <w:color w:val="000000"/>
                      <w:szCs w:val="21"/>
                    </w:rPr>
                    <w:t>2.67</w:t>
                  </w:r>
                </w:p>
              </w:tc>
              <w:tc>
                <w:tcPr>
                  <w:tcW w:w="1491" w:type="dxa"/>
                  <w:vAlign w:val="center"/>
                </w:tcPr>
                <w:p>
                  <w:pPr>
                    <w:pStyle w:val="62"/>
                    <w:rPr>
                      <w:color w:val="000000"/>
                      <w:szCs w:val="21"/>
                    </w:rPr>
                  </w:pPr>
                  <w:r>
                    <w:rPr>
                      <w:rFonts w:hint="eastAsia"/>
                      <w:color w:val="000000"/>
                      <w:szCs w:val="21"/>
                    </w:rPr>
                    <w:t>0.0068</w:t>
                  </w:r>
                </w:p>
              </w:tc>
              <w:tc>
                <w:tcPr>
                  <w:tcW w:w="1031" w:type="dxa"/>
                  <w:vAlign w:val="center"/>
                </w:tcPr>
                <w:p>
                  <w:pPr>
                    <w:pStyle w:val="62"/>
                    <w:rPr>
                      <w:color w:val="000000"/>
                      <w:szCs w:val="21"/>
                    </w:rPr>
                  </w:pPr>
                  <w:r>
                    <w:rPr>
                      <w:rFonts w:hint="eastAsia"/>
                      <w:color w:val="000000"/>
                      <w:szCs w:val="21"/>
                    </w:rPr>
                    <w:t>0.0131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jc w:val="right"/>
              </w:trPr>
              <w:tc>
                <w:tcPr>
                  <w:tcW w:w="835" w:type="dxa"/>
                  <w:vAlign w:val="center"/>
                </w:tcPr>
                <w:p>
                  <w:pPr>
                    <w:pStyle w:val="62"/>
                    <w:rPr>
                      <w:color w:val="000000"/>
                      <w:szCs w:val="21"/>
                    </w:rPr>
                  </w:pPr>
                  <w:r>
                    <w:rPr>
                      <w:rFonts w:hint="eastAsia"/>
                      <w:color w:val="000000"/>
                      <w:szCs w:val="21"/>
                    </w:rPr>
                    <w:t>DA002</w:t>
                  </w:r>
                </w:p>
              </w:tc>
              <w:tc>
                <w:tcPr>
                  <w:tcW w:w="1809" w:type="dxa"/>
                  <w:vAlign w:val="center"/>
                </w:tcPr>
                <w:p>
                  <w:pPr>
                    <w:pStyle w:val="62"/>
                    <w:rPr>
                      <w:color w:val="000000"/>
                      <w:szCs w:val="21"/>
                    </w:rPr>
                  </w:pPr>
                  <w:r>
                    <w:rPr>
                      <w:rFonts w:hint="eastAsia"/>
                      <w:color w:val="000000"/>
                      <w:szCs w:val="21"/>
                    </w:rPr>
                    <w:t>卷条过程</w:t>
                  </w:r>
                </w:p>
              </w:tc>
              <w:tc>
                <w:tcPr>
                  <w:tcW w:w="1123" w:type="dxa"/>
                  <w:vAlign w:val="center"/>
                </w:tcPr>
                <w:p>
                  <w:pPr>
                    <w:jc w:val="center"/>
                    <w:outlineLvl w:val="0"/>
                    <w:rPr>
                      <w:color w:val="000000"/>
                      <w:kern w:val="0"/>
                      <w:szCs w:val="21"/>
                    </w:rPr>
                  </w:pPr>
                  <w:r>
                    <w:rPr>
                      <w:rFonts w:hint="eastAsia"/>
                      <w:color w:val="000000"/>
                      <w:kern w:val="0"/>
                      <w:szCs w:val="21"/>
                    </w:rPr>
                    <w:t>颗粒物</w:t>
                  </w:r>
                </w:p>
              </w:tc>
              <w:tc>
                <w:tcPr>
                  <w:tcW w:w="1475" w:type="dxa"/>
                  <w:vAlign w:val="center"/>
                </w:tcPr>
                <w:p>
                  <w:pPr>
                    <w:pStyle w:val="62"/>
                    <w:rPr>
                      <w:color w:val="000000"/>
                      <w:szCs w:val="21"/>
                    </w:rPr>
                  </w:pPr>
                  <w:r>
                    <w:rPr>
                      <w:rFonts w:hint="eastAsia"/>
                      <w:color w:val="000000"/>
                      <w:szCs w:val="21"/>
                    </w:rPr>
                    <w:t>2.487</w:t>
                  </w:r>
                </w:p>
              </w:tc>
              <w:tc>
                <w:tcPr>
                  <w:tcW w:w="1491" w:type="dxa"/>
                  <w:vAlign w:val="center"/>
                </w:tcPr>
                <w:p>
                  <w:pPr>
                    <w:pStyle w:val="62"/>
                    <w:rPr>
                      <w:color w:val="000000"/>
                      <w:szCs w:val="21"/>
                    </w:rPr>
                  </w:pPr>
                  <w:r>
                    <w:rPr>
                      <w:rFonts w:hint="eastAsia"/>
                      <w:color w:val="000000"/>
                      <w:szCs w:val="21"/>
                    </w:rPr>
                    <w:t>0.00373</w:t>
                  </w:r>
                </w:p>
              </w:tc>
              <w:tc>
                <w:tcPr>
                  <w:tcW w:w="1031" w:type="dxa"/>
                  <w:vAlign w:val="center"/>
                </w:tcPr>
                <w:p>
                  <w:pPr>
                    <w:pStyle w:val="62"/>
                    <w:rPr>
                      <w:color w:val="000000"/>
                      <w:szCs w:val="21"/>
                    </w:rPr>
                  </w:pPr>
                  <w:r>
                    <w:rPr>
                      <w:rFonts w:hint="eastAsia"/>
                      <w:color w:val="000000"/>
                      <w:szCs w:val="21"/>
                    </w:rPr>
                    <w:t>0.00716</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71" w:hRule="atLeast"/>
                <w:jc w:val="right"/>
              </w:trPr>
              <w:tc>
                <w:tcPr>
                  <w:tcW w:w="6733" w:type="dxa"/>
                  <w:gridSpan w:val="5"/>
                  <w:vAlign w:val="center"/>
                </w:tcPr>
                <w:p>
                  <w:pPr>
                    <w:pStyle w:val="62"/>
                    <w:rPr>
                      <w:color w:val="000000"/>
                      <w:kern w:val="0"/>
                      <w:szCs w:val="21"/>
                    </w:rPr>
                  </w:pPr>
                  <w:r>
                    <w:rPr>
                      <w:rFonts w:hint="eastAsia"/>
                      <w:color w:val="000000"/>
                      <w:kern w:val="0"/>
                      <w:szCs w:val="21"/>
                    </w:rPr>
                    <w:t>颗粒物</w:t>
                  </w:r>
                </w:p>
              </w:tc>
              <w:tc>
                <w:tcPr>
                  <w:tcW w:w="1031" w:type="dxa"/>
                  <w:vAlign w:val="center"/>
                </w:tcPr>
                <w:p>
                  <w:pPr>
                    <w:jc w:val="center"/>
                    <w:outlineLvl w:val="0"/>
                    <w:rPr>
                      <w:color w:val="000000"/>
                      <w:szCs w:val="21"/>
                    </w:rPr>
                  </w:pPr>
                  <w:r>
                    <w:rPr>
                      <w:color w:val="000000"/>
                      <w:szCs w:val="21"/>
                    </w:rPr>
                    <w:fldChar w:fldCharType="begin"/>
                  </w:r>
                  <w:r>
                    <w:rPr>
                      <w:color w:val="000000"/>
                      <w:szCs w:val="21"/>
                    </w:rPr>
                    <w:instrText xml:space="preserve"> =SUM(ABOVE) </w:instrText>
                  </w:r>
                  <w:r>
                    <w:rPr>
                      <w:color w:val="000000"/>
                      <w:szCs w:val="21"/>
                    </w:rPr>
                    <w:fldChar w:fldCharType="separate"/>
                  </w:r>
                  <w:r>
                    <w:rPr>
                      <w:color w:val="000000"/>
                      <w:szCs w:val="21"/>
                    </w:rPr>
                    <w:t>0.02026</w:t>
                  </w:r>
                  <w:r>
                    <w:rPr>
                      <w:color w:val="000000"/>
                      <w:szCs w:val="21"/>
                    </w:rPr>
                    <w:fldChar w:fldCharType="end"/>
                  </w:r>
                </w:p>
              </w:tc>
            </w:tr>
          </w:tbl>
          <w:p>
            <w:pPr>
              <w:tabs>
                <w:tab w:val="left" w:pos="1081"/>
              </w:tabs>
              <w:adjustRightInd w:val="0"/>
              <w:snapToGrid w:val="0"/>
              <w:spacing w:line="360" w:lineRule="auto"/>
              <w:jc w:val="center"/>
              <w:rPr>
                <w:b/>
                <w:bCs/>
                <w:color w:val="000000"/>
                <w:kern w:val="0"/>
                <w:sz w:val="24"/>
              </w:rPr>
            </w:pPr>
            <w:r>
              <w:rPr>
                <w:rFonts w:hint="eastAsia"/>
                <w:b/>
                <w:bCs/>
                <w:color w:val="000000"/>
                <w:kern w:val="0"/>
                <w:sz w:val="24"/>
              </w:rPr>
              <w:t>表4-5      工程大气污染物无组织排放量核算表</w:t>
            </w:r>
          </w:p>
          <w:tbl>
            <w:tblPr>
              <w:tblStyle w:val="26"/>
              <w:tblW w:w="7764" w:type="dxa"/>
              <w:jc w:val="right"/>
              <w:tblInd w:w="0"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800"/>
              <w:gridCol w:w="650"/>
              <w:gridCol w:w="650"/>
              <w:gridCol w:w="1765"/>
              <w:gridCol w:w="1943"/>
              <w:gridCol w:w="920"/>
              <w:gridCol w:w="1036"/>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117" w:hRule="atLeast"/>
                <w:jc w:val="right"/>
              </w:trPr>
              <w:tc>
                <w:tcPr>
                  <w:tcW w:w="800" w:type="dxa"/>
                  <w:vMerge w:val="restart"/>
                  <w:vAlign w:val="center"/>
                </w:tcPr>
                <w:p>
                  <w:pPr>
                    <w:pStyle w:val="62"/>
                    <w:rPr>
                      <w:color w:val="000000"/>
                      <w:szCs w:val="21"/>
                    </w:rPr>
                  </w:pPr>
                  <w:r>
                    <w:rPr>
                      <w:color w:val="000000"/>
                      <w:szCs w:val="21"/>
                    </w:rPr>
                    <w:t>排放口编号</w:t>
                  </w:r>
                </w:p>
              </w:tc>
              <w:tc>
                <w:tcPr>
                  <w:tcW w:w="650" w:type="dxa"/>
                  <w:vMerge w:val="restart"/>
                  <w:vAlign w:val="center"/>
                </w:tcPr>
                <w:p>
                  <w:pPr>
                    <w:pStyle w:val="62"/>
                    <w:rPr>
                      <w:color w:val="000000"/>
                      <w:szCs w:val="21"/>
                    </w:rPr>
                  </w:pPr>
                  <w:r>
                    <w:rPr>
                      <w:color w:val="000000"/>
                      <w:szCs w:val="21"/>
                    </w:rPr>
                    <w:t>产污环节</w:t>
                  </w:r>
                </w:p>
              </w:tc>
              <w:tc>
                <w:tcPr>
                  <w:tcW w:w="650" w:type="dxa"/>
                  <w:vMerge w:val="restart"/>
                  <w:vAlign w:val="center"/>
                </w:tcPr>
                <w:p>
                  <w:pPr>
                    <w:pStyle w:val="62"/>
                    <w:rPr>
                      <w:color w:val="000000"/>
                      <w:szCs w:val="21"/>
                    </w:rPr>
                  </w:pPr>
                  <w:r>
                    <w:rPr>
                      <w:color w:val="000000"/>
                      <w:szCs w:val="21"/>
                    </w:rPr>
                    <w:t>污染物</w:t>
                  </w:r>
                </w:p>
              </w:tc>
              <w:tc>
                <w:tcPr>
                  <w:tcW w:w="1765" w:type="dxa"/>
                  <w:vMerge w:val="restart"/>
                  <w:vAlign w:val="center"/>
                </w:tcPr>
                <w:p>
                  <w:pPr>
                    <w:pStyle w:val="62"/>
                    <w:rPr>
                      <w:color w:val="000000"/>
                      <w:szCs w:val="21"/>
                    </w:rPr>
                  </w:pPr>
                  <w:r>
                    <w:rPr>
                      <w:color w:val="000000"/>
                      <w:szCs w:val="21"/>
                    </w:rPr>
                    <w:t>主要污染防治措施</w:t>
                  </w:r>
                </w:p>
              </w:tc>
              <w:tc>
                <w:tcPr>
                  <w:tcW w:w="2863" w:type="dxa"/>
                  <w:gridSpan w:val="2"/>
                  <w:vAlign w:val="center"/>
                </w:tcPr>
                <w:p>
                  <w:pPr>
                    <w:pStyle w:val="62"/>
                    <w:rPr>
                      <w:color w:val="000000"/>
                      <w:szCs w:val="21"/>
                    </w:rPr>
                  </w:pPr>
                  <w:r>
                    <w:rPr>
                      <w:color w:val="000000"/>
                      <w:szCs w:val="21"/>
                    </w:rPr>
                    <w:t>国家或地方标准</w:t>
                  </w:r>
                </w:p>
              </w:tc>
              <w:tc>
                <w:tcPr>
                  <w:tcW w:w="1036" w:type="dxa"/>
                  <w:vMerge w:val="restart"/>
                  <w:vAlign w:val="center"/>
                </w:tcPr>
                <w:p>
                  <w:pPr>
                    <w:pStyle w:val="62"/>
                    <w:rPr>
                      <w:color w:val="000000"/>
                      <w:szCs w:val="21"/>
                    </w:rPr>
                  </w:pPr>
                  <w:r>
                    <w:rPr>
                      <w:color w:val="000000"/>
                      <w:szCs w:val="21"/>
                    </w:rPr>
                    <w:t>年排放量</w:t>
                  </w:r>
                  <w:r>
                    <w:rPr>
                      <w:rFonts w:hint="eastAsia"/>
                      <w:color w:val="000000"/>
                      <w:szCs w:val="21"/>
                    </w:rPr>
                    <w:t>t/a</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jc w:val="right"/>
              </w:trPr>
              <w:tc>
                <w:tcPr>
                  <w:tcW w:w="800" w:type="dxa"/>
                  <w:vMerge w:val="continue"/>
                  <w:vAlign w:val="center"/>
                </w:tcPr>
                <w:p>
                  <w:pPr>
                    <w:pStyle w:val="62"/>
                    <w:rPr>
                      <w:color w:val="000000"/>
                      <w:szCs w:val="21"/>
                    </w:rPr>
                  </w:pPr>
                </w:p>
              </w:tc>
              <w:tc>
                <w:tcPr>
                  <w:tcW w:w="650" w:type="dxa"/>
                  <w:vMerge w:val="continue"/>
                  <w:vAlign w:val="center"/>
                </w:tcPr>
                <w:p>
                  <w:pPr>
                    <w:pStyle w:val="62"/>
                    <w:rPr>
                      <w:color w:val="000000"/>
                      <w:szCs w:val="21"/>
                    </w:rPr>
                  </w:pPr>
                </w:p>
              </w:tc>
              <w:tc>
                <w:tcPr>
                  <w:tcW w:w="650" w:type="dxa"/>
                  <w:vMerge w:val="continue"/>
                  <w:vAlign w:val="center"/>
                </w:tcPr>
                <w:p>
                  <w:pPr>
                    <w:pStyle w:val="62"/>
                    <w:rPr>
                      <w:color w:val="000000"/>
                      <w:szCs w:val="21"/>
                    </w:rPr>
                  </w:pPr>
                </w:p>
              </w:tc>
              <w:tc>
                <w:tcPr>
                  <w:tcW w:w="1765" w:type="dxa"/>
                  <w:vMerge w:val="continue"/>
                  <w:vAlign w:val="center"/>
                </w:tcPr>
                <w:p>
                  <w:pPr>
                    <w:pStyle w:val="62"/>
                    <w:rPr>
                      <w:color w:val="000000"/>
                      <w:szCs w:val="21"/>
                    </w:rPr>
                  </w:pPr>
                </w:p>
              </w:tc>
              <w:tc>
                <w:tcPr>
                  <w:tcW w:w="1943" w:type="dxa"/>
                  <w:vAlign w:val="center"/>
                </w:tcPr>
                <w:p>
                  <w:pPr>
                    <w:pStyle w:val="62"/>
                    <w:rPr>
                      <w:color w:val="000000"/>
                      <w:szCs w:val="21"/>
                    </w:rPr>
                  </w:pPr>
                  <w:r>
                    <w:rPr>
                      <w:color w:val="000000"/>
                      <w:szCs w:val="21"/>
                    </w:rPr>
                    <w:t>标准名称</w:t>
                  </w:r>
                </w:p>
              </w:tc>
              <w:tc>
                <w:tcPr>
                  <w:tcW w:w="920" w:type="dxa"/>
                  <w:vAlign w:val="center"/>
                </w:tcPr>
                <w:p>
                  <w:pPr>
                    <w:pStyle w:val="62"/>
                    <w:rPr>
                      <w:color w:val="000000"/>
                      <w:szCs w:val="21"/>
                    </w:rPr>
                  </w:pPr>
                  <w:r>
                    <w:rPr>
                      <w:color w:val="000000"/>
                      <w:szCs w:val="21"/>
                    </w:rPr>
                    <w:t>浓度限值</w:t>
                  </w:r>
                  <w:r>
                    <w:rPr>
                      <w:rFonts w:hint="eastAsia"/>
                      <w:color w:val="000000"/>
                      <w:szCs w:val="21"/>
                    </w:rPr>
                    <w:t>mg/m</w:t>
                  </w:r>
                  <w:r>
                    <w:rPr>
                      <w:rFonts w:hint="eastAsia"/>
                      <w:color w:val="000000"/>
                      <w:szCs w:val="21"/>
                      <w:vertAlign w:val="superscript"/>
                    </w:rPr>
                    <w:t>3</w:t>
                  </w:r>
                </w:p>
              </w:tc>
              <w:tc>
                <w:tcPr>
                  <w:tcW w:w="1036" w:type="dxa"/>
                  <w:vMerge w:val="continue"/>
                  <w:vAlign w:val="center"/>
                </w:tcPr>
                <w:p>
                  <w:pPr>
                    <w:pStyle w:val="62"/>
                    <w:rPr>
                      <w:color w:val="000000"/>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2885" w:hRule="atLeast"/>
                <w:jc w:val="right"/>
              </w:trPr>
              <w:tc>
                <w:tcPr>
                  <w:tcW w:w="800" w:type="dxa"/>
                  <w:vAlign w:val="center"/>
                </w:tcPr>
                <w:p>
                  <w:pPr>
                    <w:pStyle w:val="62"/>
                    <w:rPr>
                      <w:color w:val="000000"/>
                      <w:szCs w:val="21"/>
                    </w:rPr>
                  </w:pPr>
                  <w:r>
                    <w:rPr>
                      <w:rFonts w:hint="eastAsia"/>
                      <w:color w:val="000000"/>
                      <w:szCs w:val="21"/>
                    </w:rPr>
                    <w:t>SA001生产车间</w:t>
                  </w:r>
                </w:p>
              </w:tc>
              <w:tc>
                <w:tcPr>
                  <w:tcW w:w="650" w:type="dxa"/>
                  <w:vAlign w:val="center"/>
                </w:tcPr>
                <w:p>
                  <w:pPr>
                    <w:jc w:val="center"/>
                    <w:rPr>
                      <w:color w:val="000000"/>
                      <w:szCs w:val="21"/>
                    </w:rPr>
                  </w:pPr>
                  <w:r>
                    <w:rPr>
                      <w:rFonts w:hint="eastAsia"/>
                      <w:color w:val="000000"/>
                      <w:szCs w:val="21"/>
                    </w:rPr>
                    <w:t>未收集粉尘</w:t>
                  </w:r>
                </w:p>
              </w:tc>
              <w:tc>
                <w:tcPr>
                  <w:tcW w:w="650" w:type="dxa"/>
                  <w:vAlign w:val="center"/>
                </w:tcPr>
                <w:p>
                  <w:pPr>
                    <w:pStyle w:val="62"/>
                    <w:rPr>
                      <w:color w:val="000000"/>
                      <w:szCs w:val="21"/>
                    </w:rPr>
                  </w:pPr>
                  <w:r>
                    <w:rPr>
                      <w:rFonts w:hint="eastAsia"/>
                      <w:color w:val="000000"/>
                      <w:kern w:val="0"/>
                      <w:szCs w:val="21"/>
                    </w:rPr>
                    <w:t>颗粒物</w:t>
                  </w:r>
                </w:p>
              </w:tc>
              <w:tc>
                <w:tcPr>
                  <w:tcW w:w="1765" w:type="dxa"/>
                  <w:vAlign w:val="center"/>
                </w:tcPr>
                <w:p>
                  <w:pPr>
                    <w:jc w:val="center"/>
                    <w:outlineLvl w:val="0"/>
                    <w:rPr>
                      <w:color w:val="000000"/>
                      <w:szCs w:val="21"/>
                    </w:rPr>
                  </w:pPr>
                  <w:r>
                    <w:rPr>
                      <w:rFonts w:hint="eastAsia"/>
                      <w:color w:val="000000"/>
                      <w:szCs w:val="21"/>
                    </w:rPr>
                    <w:t>生产车间封闭，自然沉降</w:t>
                  </w:r>
                </w:p>
              </w:tc>
              <w:tc>
                <w:tcPr>
                  <w:tcW w:w="1943" w:type="dxa"/>
                  <w:vAlign w:val="center"/>
                </w:tcPr>
                <w:p>
                  <w:pPr>
                    <w:jc w:val="center"/>
                  </w:pPr>
                  <w:r>
                    <w:rPr>
                      <w:rFonts w:hint="eastAsia"/>
                      <w:color w:val="000000"/>
                      <w:szCs w:val="21"/>
                    </w:rPr>
                    <w:t>《大气污染物综合排放标准》（GB16297-1996）表2二级标准</w:t>
                  </w:r>
                </w:p>
              </w:tc>
              <w:tc>
                <w:tcPr>
                  <w:tcW w:w="920" w:type="dxa"/>
                  <w:vAlign w:val="center"/>
                </w:tcPr>
                <w:p>
                  <w:pPr>
                    <w:pStyle w:val="61"/>
                    <w:rPr>
                      <w:color w:val="000000"/>
                      <w:szCs w:val="21"/>
                    </w:rPr>
                  </w:pPr>
                  <w:r>
                    <w:rPr>
                      <w:rFonts w:hint="eastAsia"/>
                      <w:color w:val="000000"/>
                      <w:szCs w:val="21"/>
                    </w:rPr>
                    <w:t>1.0</w:t>
                  </w:r>
                </w:p>
              </w:tc>
              <w:tc>
                <w:tcPr>
                  <w:tcW w:w="1036" w:type="dxa"/>
                  <w:vAlign w:val="center"/>
                </w:tcPr>
                <w:p>
                  <w:pPr>
                    <w:jc w:val="center"/>
                    <w:outlineLvl w:val="0"/>
                    <w:rPr>
                      <w:color w:val="000000"/>
                      <w:szCs w:val="21"/>
                    </w:rPr>
                  </w:pPr>
                  <w:r>
                    <w:rPr>
                      <w:rFonts w:hint="eastAsia"/>
                      <w:color w:val="000000"/>
                      <w:szCs w:val="21"/>
                    </w:rPr>
                    <w:t>0.04512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71" w:hRule="atLeast"/>
                <w:jc w:val="right"/>
              </w:trPr>
              <w:tc>
                <w:tcPr>
                  <w:tcW w:w="6728" w:type="dxa"/>
                  <w:gridSpan w:val="6"/>
                  <w:vAlign w:val="center"/>
                </w:tcPr>
                <w:p>
                  <w:pPr>
                    <w:pStyle w:val="62"/>
                    <w:rPr>
                      <w:color w:val="000000"/>
                      <w:szCs w:val="21"/>
                    </w:rPr>
                  </w:pPr>
                  <w:r>
                    <w:rPr>
                      <w:rFonts w:hint="eastAsia"/>
                      <w:color w:val="000000"/>
                      <w:kern w:val="0"/>
                      <w:szCs w:val="21"/>
                    </w:rPr>
                    <w:t>颗粒物</w:t>
                  </w:r>
                </w:p>
              </w:tc>
              <w:tc>
                <w:tcPr>
                  <w:tcW w:w="1036" w:type="dxa"/>
                  <w:vAlign w:val="center"/>
                </w:tcPr>
                <w:p>
                  <w:pPr>
                    <w:jc w:val="center"/>
                    <w:outlineLvl w:val="0"/>
                    <w:rPr>
                      <w:color w:val="000000"/>
                      <w:szCs w:val="21"/>
                    </w:rPr>
                  </w:pPr>
                  <w:bookmarkStart w:id="49" w:name="_Toc172623766"/>
                  <w:r>
                    <w:rPr>
                      <w:rFonts w:hint="eastAsia"/>
                      <w:color w:val="000000"/>
                      <w:szCs w:val="21"/>
                    </w:rPr>
                    <w:t>0.0</w:t>
                  </w:r>
                  <w:bookmarkEnd w:id="49"/>
                  <w:r>
                    <w:rPr>
                      <w:rFonts w:hint="eastAsia"/>
                      <w:color w:val="000000"/>
                      <w:szCs w:val="21"/>
                    </w:rPr>
                    <w:t>4512</w:t>
                  </w:r>
                </w:p>
              </w:tc>
            </w:tr>
          </w:tbl>
          <w:p>
            <w:pPr>
              <w:tabs>
                <w:tab w:val="left" w:pos="1081"/>
              </w:tabs>
              <w:adjustRightInd w:val="0"/>
              <w:snapToGrid w:val="0"/>
              <w:spacing w:line="360" w:lineRule="auto"/>
              <w:jc w:val="center"/>
              <w:rPr>
                <w:b/>
                <w:bCs/>
                <w:color w:val="000000"/>
                <w:kern w:val="0"/>
                <w:sz w:val="24"/>
              </w:rPr>
            </w:pPr>
            <w:r>
              <w:rPr>
                <w:rFonts w:hint="eastAsia"/>
                <w:b/>
                <w:bCs/>
                <w:color w:val="000000"/>
                <w:kern w:val="0"/>
                <w:sz w:val="24"/>
              </w:rPr>
              <w:t>表4-6       工程大气污染物年排放量核算表</w:t>
            </w:r>
          </w:p>
          <w:tbl>
            <w:tblPr>
              <w:tblStyle w:val="26"/>
              <w:tblW w:w="7764" w:type="dxa"/>
              <w:jc w:val="right"/>
              <w:tblInd w:w="0"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788"/>
              <w:gridCol w:w="3693"/>
              <w:gridCol w:w="3283"/>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right"/>
              </w:trPr>
              <w:tc>
                <w:tcPr>
                  <w:tcW w:w="788" w:type="dxa"/>
                </w:tcPr>
                <w:p>
                  <w:pPr>
                    <w:pStyle w:val="62"/>
                    <w:spacing w:line="360" w:lineRule="exact"/>
                    <w:rPr>
                      <w:color w:val="000000"/>
                      <w:szCs w:val="21"/>
                    </w:rPr>
                  </w:pPr>
                  <w:r>
                    <w:rPr>
                      <w:color w:val="000000"/>
                      <w:szCs w:val="21"/>
                    </w:rPr>
                    <w:t>序号</w:t>
                  </w:r>
                </w:p>
              </w:tc>
              <w:tc>
                <w:tcPr>
                  <w:tcW w:w="3693" w:type="dxa"/>
                </w:tcPr>
                <w:p>
                  <w:pPr>
                    <w:pStyle w:val="62"/>
                    <w:spacing w:line="360" w:lineRule="exact"/>
                    <w:rPr>
                      <w:color w:val="000000"/>
                      <w:szCs w:val="21"/>
                    </w:rPr>
                  </w:pPr>
                  <w:r>
                    <w:rPr>
                      <w:color w:val="000000"/>
                      <w:szCs w:val="21"/>
                    </w:rPr>
                    <w:t>污染物</w:t>
                  </w:r>
                </w:p>
              </w:tc>
              <w:tc>
                <w:tcPr>
                  <w:tcW w:w="3283" w:type="dxa"/>
                </w:tcPr>
                <w:p>
                  <w:pPr>
                    <w:pStyle w:val="62"/>
                    <w:spacing w:line="360" w:lineRule="exact"/>
                    <w:rPr>
                      <w:color w:val="000000"/>
                      <w:szCs w:val="21"/>
                    </w:rPr>
                  </w:pPr>
                  <w:r>
                    <w:rPr>
                      <w:color w:val="000000"/>
                      <w:szCs w:val="21"/>
                    </w:rPr>
                    <w:t>年排放量（t/a）</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right"/>
              </w:trPr>
              <w:tc>
                <w:tcPr>
                  <w:tcW w:w="788" w:type="dxa"/>
                </w:tcPr>
                <w:p>
                  <w:pPr>
                    <w:pStyle w:val="62"/>
                    <w:spacing w:line="360" w:lineRule="exact"/>
                    <w:rPr>
                      <w:color w:val="000000"/>
                      <w:szCs w:val="21"/>
                    </w:rPr>
                  </w:pPr>
                  <w:r>
                    <w:rPr>
                      <w:rFonts w:hint="eastAsia"/>
                      <w:color w:val="000000"/>
                      <w:szCs w:val="21"/>
                    </w:rPr>
                    <w:t>1</w:t>
                  </w:r>
                </w:p>
              </w:tc>
              <w:tc>
                <w:tcPr>
                  <w:tcW w:w="3693" w:type="dxa"/>
                  <w:vAlign w:val="center"/>
                </w:tcPr>
                <w:p>
                  <w:pPr>
                    <w:pStyle w:val="62"/>
                    <w:spacing w:line="360" w:lineRule="exact"/>
                    <w:rPr>
                      <w:color w:val="000000"/>
                      <w:szCs w:val="21"/>
                    </w:rPr>
                  </w:pPr>
                  <w:r>
                    <w:rPr>
                      <w:rFonts w:hint="eastAsia"/>
                      <w:color w:val="000000"/>
                      <w:kern w:val="0"/>
                      <w:szCs w:val="21"/>
                    </w:rPr>
                    <w:t>颗粒物</w:t>
                  </w:r>
                </w:p>
              </w:tc>
              <w:tc>
                <w:tcPr>
                  <w:tcW w:w="3283" w:type="dxa"/>
                  <w:vAlign w:val="center"/>
                </w:tcPr>
                <w:p>
                  <w:pPr>
                    <w:pStyle w:val="62"/>
                    <w:spacing w:line="360" w:lineRule="exact"/>
                    <w:rPr>
                      <w:color w:val="000000"/>
                      <w:szCs w:val="21"/>
                    </w:rPr>
                  </w:pPr>
                  <w:r>
                    <w:rPr>
                      <w:rFonts w:hint="eastAsia"/>
                      <w:color w:val="000000"/>
                    </w:rPr>
                    <w:t>0.06538</w:t>
                  </w:r>
                </w:p>
              </w:tc>
            </w:tr>
          </w:tbl>
          <w:p>
            <w:pPr>
              <w:tabs>
                <w:tab w:val="left" w:pos="1081"/>
              </w:tabs>
              <w:adjustRightInd w:val="0"/>
              <w:snapToGrid w:val="0"/>
              <w:spacing w:line="360" w:lineRule="auto"/>
              <w:ind w:firstLine="480" w:firstLineChars="200"/>
              <w:jc w:val="left"/>
              <w:rPr>
                <w:sz w:val="24"/>
                <w:szCs w:val="24"/>
              </w:rPr>
            </w:pPr>
            <w:r>
              <w:rPr>
                <w:sz w:val="24"/>
                <w:szCs w:val="24"/>
              </w:rPr>
              <w:t>1.</w:t>
            </w:r>
            <w:r>
              <w:rPr>
                <w:rFonts w:hint="eastAsia"/>
                <w:sz w:val="24"/>
                <w:szCs w:val="24"/>
              </w:rPr>
              <w:t>5非正常工况</w:t>
            </w:r>
          </w:p>
          <w:p>
            <w:pPr>
              <w:tabs>
                <w:tab w:val="left" w:pos="1081"/>
              </w:tabs>
              <w:adjustRightInd w:val="0"/>
              <w:snapToGrid w:val="0"/>
              <w:spacing w:line="360" w:lineRule="auto"/>
              <w:ind w:firstLine="480" w:firstLineChars="200"/>
              <w:jc w:val="left"/>
              <w:rPr>
                <w:sz w:val="24"/>
                <w:szCs w:val="24"/>
              </w:rPr>
            </w:pPr>
            <w:r>
              <w:rPr>
                <w:sz w:val="24"/>
                <w:szCs w:val="24"/>
              </w:rPr>
              <w:t>非正常排放是指生产过程中开停（工、炉）、设备检修、工艺设备运转异常等非正常工况下的污染物排放，以及污染物排放控制措施达不到应有效率等情况下的排放。项目环保措施出现异常时，会使污染物处理效率下降。项目非正常工况下大气污染物的排放情况具体见下表。</w:t>
            </w:r>
          </w:p>
          <w:p>
            <w:pPr>
              <w:autoSpaceDE w:val="0"/>
              <w:autoSpaceDN w:val="0"/>
              <w:adjustRightInd w:val="0"/>
              <w:snapToGrid w:val="0"/>
              <w:spacing w:line="360" w:lineRule="auto"/>
              <w:ind w:left="420"/>
              <w:jc w:val="center"/>
              <w:rPr>
                <w:b/>
                <w:color w:val="000000"/>
                <w:kern w:val="0"/>
                <w:sz w:val="24"/>
                <w:szCs w:val="21"/>
              </w:rPr>
            </w:pPr>
            <w:r>
              <w:rPr>
                <w:rFonts w:hint="eastAsia"/>
                <w:b/>
                <w:color w:val="000000"/>
                <w:kern w:val="0"/>
                <w:sz w:val="24"/>
                <w:szCs w:val="21"/>
              </w:rPr>
              <w:t xml:space="preserve">表4-7   </w:t>
            </w:r>
            <w:r>
              <w:rPr>
                <w:b/>
                <w:color w:val="000000"/>
                <w:kern w:val="0"/>
                <w:sz w:val="24"/>
                <w:szCs w:val="21"/>
              </w:rPr>
              <w:t>非正常工况下废气排放情况一览表</w:t>
            </w:r>
          </w:p>
          <w:tbl>
            <w:tblPr>
              <w:tblStyle w:val="26"/>
              <w:tblW w:w="7764"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5"/>
              <w:gridCol w:w="882"/>
              <w:gridCol w:w="1003"/>
              <w:gridCol w:w="795"/>
              <w:gridCol w:w="978"/>
              <w:gridCol w:w="1074"/>
              <w:gridCol w:w="795"/>
              <w:gridCol w:w="663"/>
              <w:gridCol w:w="73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200" w:hRule="atLeast"/>
                <w:jc w:val="center"/>
              </w:trPr>
              <w:tc>
                <w:tcPr>
                  <w:tcW w:w="835" w:type="dxa"/>
                  <w:vMerge w:val="restart"/>
                  <w:vAlign w:val="center"/>
                </w:tcPr>
                <w:p>
                  <w:pPr>
                    <w:jc w:val="center"/>
                    <w:rPr>
                      <w:color w:val="000000"/>
                      <w:lang w:val="zh-CN"/>
                    </w:rPr>
                  </w:pPr>
                  <w:r>
                    <w:rPr>
                      <w:color w:val="000000"/>
                      <w:lang w:val="zh-CN"/>
                    </w:rPr>
                    <w:t>污染源</w:t>
                  </w:r>
                </w:p>
              </w:tc>
              <w:tc>
                <w:tcPr>
                  <w:tcW w:w="882" w:type="dxa"/>
                  <w:vMerge w:val="restart"/>
                  <w:vAlign w:val="center"/>
                </w:tcPr>
                <w:p>
                  <w:pPr>
                    <w:jc w:val="center"/>
                    <w:rPr>
                      <w:color w:val="000000"/>
                      <w:lang w:val="zh-CN"/>
                    </w:rPr>
                  </w:pPr>
                  <w:r>
                    <w:rPr>
                      <w:color w:val="000000"/>
                      <w:lang w:val="zh-CN"/>
                    </w:rPr>
                    <w:t>污染物</w:t>
                  </w:r>
                </w:p>
              </w:tc>
              <w:tc>
                <w:tcPr>
                  <w:tcW w:w="1003" w:type="dxa"/>
                  <w:vMerge w:val="restart"/>
                  <w:vAlign w:val="center"/>
                </w:tcPr>
                <w:p>
                  <w:pPr>
                    <w:jc w:val="center"/>
                    <w:rPr>
                      <w:color w:val="000000"/>
                      <w:lang w:val="zh-CN"/>
                    </w:rPr>
                  </w:pPr>
                  <w:r>
                    <w:rPr>
                      <w:color w:val="000000"/>
                      <w:lang w:val="zh-CN"/>
                    </w:rPr>
                    <w:t>非正常原因</w:t>
                  </w:r>
                </w:p>
              </w:tc>
              <w:tc>
                <w:tcPr>
                  <w:tcW w:w="2847" w:type="dxa"/>
                  <w:gridSpan w:val="3"/>
                  <w:tcBorders>
                    <w:right w:val="single" w:color="auto" w:sz="4" w:space="0"/>
                  </w:tcBorders>
                  <w:vAlign w:val="center"/>
                </w:tcPr>
                <w:p>
                  <w:pPr>
                    <w:jc w:val="center"/>
                    <w:rPr>
                      <w:color w:val="000000"/>
                      <w:lang w:val="zh-CN"/>
                    </w:rPr>
                  </w:pPr>
                  <w:r>
                    <w:rPr>
                      <w:color w:val="000000"/>
                      <w:lang w:val="zh-CN"/>
                    </w:rPr>
                    <w:t>非正常排放工况</w:t>
                  </w:r>
                </w:p>
              </w:tc>
              <w:tc>
                <w:tcPr>
                  <w:tcW w:w="1458" w:type="dxa"/>
                  <w:gridSpan w:val="2"/>
                </w:tcPr>
                <w:p>
                  <w:pPr>
                    <w:jc w:val="center"/>
                    <w:rPr>
                      <w:color w:val="000000"/>
                      <w:lang w:val="zh-CN"/>
                    </w:rPr>
                  </w:pPr>
                  <w:r>
                    <w:rPr>
                      <w:color w:val="000000"/>
                      <w:lang w:val="zh-CN"/>
                    </w:rPr>
                    <w:t>执行标准</w:t>
                  </w:r>
                </w:p>
              </w:tc>
              <w:tc>
                <w:tcPr>
                  <w:tcW w:w="739" w:type="dxa"/>
                  <w:vMerge w:val="restart"/>
                  <w:vAlign w:val="center"/>
                </w:tcPr>
                <w:p>
                  <w:pPr>
                    <w:jc w:val="center"/>
                    <w:rPr>
                      <w:color w:val="000000"/>
                      <w:lang w:val="zh-CN"/>
                    </w:rPr>
                  </w:pPr>
                  <w:r>
                    <w:rPr>
                      <w:color w:val="000000"/>
                      <w:lang w:val="zh-CN"/>
                    </w:rPr>
                    <w:t>达标情况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35" w:type="dxa"/>
                  <w:vMerge w:val="continue"/>
                  <w:vAlign w:val="center"/>
                </w:tcPr>
                <w:p>
                  <w:pPr>
                    <w:jc w:val="center"/>
                    <w:rPr>
                      <w:color w:val="000000"/>
                      <w:lang w:val="zh-CN"/>
                    </w:rPr>
                  </w:pPr>
                </w:p>
              </w:tc>
              <w:tc>
                <w:tcPr>
                  <w:tcW w:w="882" w:type="dxa"/>
                  <w:vMerge w:val="continue"/>
                  <w:vAlign w:val="center"/>
                </w:tcPr>
                <w:p>
                  <w:pPr>
                    <w:jc w:val="center"/>
                    <w:rPr>
                      <w:color w:val="000000"/>
                      <w:lang w:val="zh-CN"/>
                    </w:rPr>
                  </w:pPr>
                </w:p>
              </w:tc>
              <w:tc>
                <w:tcPr>
                  <w:tcW w:w="1003" w:type="dxa"/>
                  <w:vMerge w:val="continue"/>
                  <w:vAlign w:val="center"/>
                </w:tcPr>
                <w:p>
                  <w:pPr>
                    <w:jc w:val="center"/>
                    <w:rPr>
                      <w:color w:val="000000"/>
                      <w:lang w:val="zh-CN"/>
                    </w:rPr>
                  </w:pPr>
                </w:p>
              </w:tc>
              <w:tc>
                <w:tcPr>
                  <w:tcW w:w="795" w:type="dxa"/>
                  <w:vAlign w:val="center"/>
                </w:tcPr>
                <w:p>
                  <w:pPr>
                    <w:jc w:val="center"/>
                    <w:rPr>
                      <w:color w:val="000000"/>
                      <w:lang w:val="zh-CN"/>
                    </w:rPr>
                  </w:pPr>
                  <w:r>
                    <w:rPr>
                      <w:color w:val="000000"/>
                      <w:lang w:val="zh-CN"/>
                    </w:rPr>
                    <w:t>排放</w:t>
                  </w:r>
                </w:p>
                <w:p>
                  <w:pPr>
                    <w:jc w:val="center"/>
                    <w:rPr>
                      <w:color w:val="000000"/>
                      <w:lang w:val="zh-CN"/>
                    </w:rPr>
                  </w:pPr>
                  <w:r>
                    <w:rPr>
                      <w:color w:val="000000"/>
                      <w:lang w:val="zh-CN"/>
                    </w:rPr>
                    <w:t>浓度mg/m</w:t>
                  </w:r>
                  <w:r>
                    <w:rPr>
                      <w:color w:val="000000"/>
                      <w:vertAlign w:val="superscript"/>
                      <w:lang w:val="zh-CN"/>
                    </w:rPr>
                    <w:t>3</w:t>
                  </w:r>
                </w:p>
              </w:tc>
              <w:tc>
                <w:tcPr>
                  <w:tcW w:w="978" w:type="dxa"/>
                  <w:vAlign w:val="center"/>
                </w:tcPr>
                <w:p>
                  <w:pPr>
                    <w:jc w:val="center"/>
                    <w:rPr>
                      <w:color w:val="000000"/>
                      <w:lang w:val="zh-CN"/>
                    </w:rPr>
                  </w:pPr>
                  <w:r>
                    <w:rPr>
                      <w:color w:val="000000"/>
                      <w:lang w:val="zh-CN"/>
                    </w:rPr>
                    <w:t>排放速率kg/h</w:t>
                  </w:r>
                </w:p>
              </w:tc>
              <w:tc>
                <w:tcPr>
                  <w:tcW w:w="1074" w:type="dxa"/>
                  <w:vAlign w:val="center"/>
                </w:tcPr>
                <w:p>
                  <w:pPr>
                    <w:jc w:val="center"/>
                    <w:rPr>
                      <w:color w:val="000000"/>
                      <w:lang w:val="zh-CN"/>
                    </w:rPr>
                  </w:pPr>
                  <w:r>
                    <w:rPr>
                      <w:color w:val="000000"/>
                      <w:lang w:val="zh-CN"/>
                    </w:rPr>
                    <w:t>频次及持续时间</w:t>
                  </w:r>
                </w:p>
              </w:tc>
              <w:tc>
                <w:tcPr>
                  <w:tcW w:w="795" w:type="dxa"/>
                  <w:vAlign w:val="center"/>
                </w:tcPr>
                <w:p>
                  <w:pPr>
                    <w:jc w:val="center"/>
                    <w:rPr>
                      <w:color w:val="000000"/>
                      <w:lang w:val="zh-CN"/>
                    </w:rPr>
                  </w:pPr>
                  <w:r>
                    <w:rPr>
                      <w:color w:val="000000"/>
                      <w:lang w:val="zh-CN"/>
                    </w:rPr>
                    <w:t>排放</w:t>
                  </w:r>
                </w:p>
                <w:p>
                  <w:pPr>
                    <w:jc w:val="center"/>
                    <w:rPr>
                      <w:color w:val="000000"/>
                      <w:lang w:val="zh-CN"/>
                    </w:rPr>
                  </w:pPr>
                  <w:r>
                    <w:rPr>
                      <w:color w:val="000000"/>
                      <w:lang w:val="zh-CN"/>
                    </w:rPr>
                    <w:t>浓度mg/m</w:t>
                  </w:r>
                  <w:r>
                    <w:rPr>
                      <w:color w:val="000000"/>
                      <w:vertAlign w:val="superscript"/>
                      <w:lang w:val="zh-CN"/>
                    </w:rPr>
                    <w:t>3</w:t>
                  </w:r>
                </w:p>
              </w:tc>
              <w:tc>
                <w:tcPr>
                  <w:tcW w:w="663" w:type="dxa"/>
                  <w:vAlign w:val="center"/>
                </w:tcPr>
                <w:p>
                  <w:pPr>
                    <w:jc w:val="center"/>
                    <w:rPr>
                      <w:color w:val="000000"/>
                      <w:lang w:val="zh-CN"/>
                    </w:rPr>
                  </w:pPr>
                  <w:r>
                    <w:rPr>
                      <w:color w:val="000000"/>
                      <w:lang w:val="zh-CN"/>
                    </w:rPr>
                    <w:t>排放速率kg/h</w:t>
                  </w:r>
                </w:p>
              </w:tc>
              <w:tc>
                <w:tcPr>
                  <w:tcW w:w="739" w:type="dxa"/>
                  <w:vMerge w:val="continue"/>
                  <w:vAlign w:val="center"/>
                </w:tcPr>
                <w:p>
                  <w:pPr>
                    <w:jc w:val="center"/>
                    <w:rPr>
                      <w:color w:val="000000"/>
                      <w:lang w:val="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00" w:hRule="atLeast"/>
                <w:jc w:val="center"/>
              </w:trPr>
              <w:tc>
                <w:tcPr>
                  <w:tcW w:w="835" w:type="dxa"/>
                  <w:vAlign w:val="center"/>
                </w:tcPr>
                <w:p>
                  <w:pPr>
                    <w:jc w:val="center"/>
                    <w:outlineLvl w:val="0"/>
                    <w:rPr>
                      <w:color w:val="000000"/>
                      <w:szCs w:val="21"/>
                    </w:rPr>
                  </w:pPr>
                  <w:bookmarkStart w:id="50" w:name="_Toc172623769"/>
                  <w:r>
                    <w:rPr>
                      <w:color w:val="000000"/>
                      <w:szCs w:val="21"/>
                    </w:rPr>
                    <w:t>DA001</w:t>
                  </w:r>
                  <w:bookmarkEnd w:id="50"/>
                </w:p>
              </w:tc>
              <w:tc>
                <w:tcPr>
                  <w:tcW w:w="882" w:type="dxa"/>
                  <w:vAlign w:val="center"/>
                </w:tcPr>
                <w:p>
                  <w:pPr>
                    <w:jc w:val="center"/>
                    <w:rPr>
                      <w:color w:val="000000"/>
                      <w:szCs w:val="21"/>
                    </w:rPr>
                  </w:pPr>
                  <w:r>
                    <w:rPr>
                      <w:rFonts w:hint="eastAsia"/>
                      <w:color w:val="000000"/>
                      <w:szCs w:val="21"/>
                    </w:rPr>
                    <w:t>颗粒物</w:t>
                  </w:r>
                </w:p>
              </w:tc>
              <w:tc>
                <w:tcPr>
                  <w:tcW w:w="1003" w:type="dxa"/>
                  <w:vMerge w:val="restart"/>
                  <w:vAlign w:val="center"/>
                </w:tcPr>
                <w:p>
                  <w:pPr>
                    <w:jc w:val="center"/>
                    <w:rPr>
                      <w:color w:val="000000"/>
                      <w:lang w:val="zh-CN"/>
                    </w:rPr>
                  </w:pPr>
                  <w:r>
                    <w:rPr>
                      <w:color w:val="000000"/>
                      <w:lang w:val="zh-CN"/>
                    </w:rPr>
                    <w:t>废气治理设施故障，按最不利情况考虑，处理效率为0%</w:t>
                  </w:r>
                </w:p>
              </w:tc>
              <w:tc>
                <w:tcPr>
                  <w:tcW w:w="795" w:type="dxa"/>
                  <w:vAlign w:val="center"/>
                </w:tcPr>
                <w:p>
                  <w:pPr>
                    <w:jc w:val="center"/>
                    <w:outlineLvl w:val="0"/>
                    <w:rPr>
                      <w:color w:val="000000"/>
                      <w:szCs w:val="21"/>
                    </w:rPr>
                  </w:pPr>
                  <w:r>
                    <w:rPr>
                      <w:rFonts w:hint="eastAsia"/>
                      <w:color w:val="000000"/>
                      <w:szCs w:val="21"/>
                    </w:rPr>
                    <w:t>266.7</w:t>
                  </w:r>
                </w:p>
              </w:tc>
              <w:tc>
                <w:tcPr>
                  <w:tcW w:w="978" w:type="dxa"/>
                  <w:vAlign w:val="center"/>
                </w:tcPr>
                <w:p>
                  <w:pPr>
                    <w:pStyle w:val="62"/>
                    <w:rPr>
                      <w:color w:val="000000"/>
                      <w:szCs w:val="21"/>
                    </w:rPr>
                  </w:pPr>
                  <w:r>
                    <w:rPr>
                      <w:rFonts w:hint="eastAsia"/>
                      <w:color w:val="000000"/>
                      <w:szCs w:val="21"/>
                    </w:rPr>
                    <w:t>0.68</w:t>
                  </w:r>
                </w:p>
              </w:tc>
              <w:tc>
                <w:tcPr>
                  <w:tcW w:w="1074" w:type="dxa"/>
                  <w:vMerge w:val="restart"/>
                  <w:vAlign w:val="center"/>
                </w:tcPr>
                <w:p>
                  <w:pPr>
                    <w:jc w:val="center"/>
                    <w:rPr>
                      <w:color w:val="000000"/>
                      <w:lang w:val="zh-CN"/>
                    </w:rPr>
                  </w:pPr>
                  <w:r>
                    <w:rPr>
                      <w:color w:val="000000"/>
                      <w:lang w:val="zh-CN"/>
                    </w:rPr>
                    <w:t>1-2次/a， 1h/次</w:t>
                  </w:r>
                </w:p>
              </w:tc>
              <w:tc>
                <w:tcPr>
                  <w:tcW w:w="795" w:type="dxa"/>
                  <w:vAlign w:val="center"/>
                </w:tcPr>
                <w:p>
                  <w:pPr>
                    <w:jc w:val="center"/>
                    <w:rPr>
                      <w:color w:val="000000"/>
                      <w:lang w:val="zh-CN"/>
                    </w:rPr>
                  </w:pPr>
                  <w:r>
                    <w:rPr>
                      <w:rFonts w:hint="eastAsia"/>
                      <w:color w:val="000000"/>
                      <w:lang w:val="zh-CN"/>
                    </w:rPr>
                    <w:t>10</w:t>
                  </w:r>
                </w:p>
              </w:tc>
              <w:tc>
                <w:tcPr>
                  <w:tcW w:w="663" w:type="dxa"/>
                  <w:vAlign w:val="center"/>
                </w:tcPr>
                <w:p>
                  <w:pPr>
                    <w:jc w:val="center"/>
                    <w:rPr>
                      <w:color w:val="000000"/>
                      <w:lang w:val="zh-CN"/>
                    </w:rPr>
                  </w:pPr>
                  <w:r>
                    <w:rPr>
                      <w:rFonts w:hint="eastAsia"/>
                      <w:color w:val="000000"/>
                      <w:lang w:val="zh-CN"/>
                    </w:rPr>
                    <w:t>3.5</w:t>
                  </w:r>
                </w:p>
              </w:tc>
              <w:tc>
                <w:tcPr>
                  <w:tcW w:w="739" w:type="dxa"/>
                  <w:vAlign w:val="center"/>
                </w:tcPr>
                <w:p>
                  <w:pPr>
                    <w:jc w:val="center"/>
                    <w:rPr>
                      <w:color w:val="000000"/>
                    </w:rPr>
                  </w:pPr>
                  <w:r>
                    <w:rPr>
                      <w:rFonts w:hint="eastAsia"/>
                      <w:color w:val="000000"/>
                    </w:rPr>
                    <w:t>超标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961" w:hRule="atLeast"/>
                <w:jc w:val="center"/>
              </w:trPr>
              <w:tc>
                <w:tcPr>
                  <w:tcW w:w="835" w:type="dxa"/>
                  <w:vAlign w:val="center"/>
                </w:tcPr>
                <w:p>
                  <w:pPr>
                    <w:jc w:val="center"/>
                    <w:outlineLvl w:val="0"/>
                    <w:rPr>
                      <w:color w:val="000000"/>
                      <w:szCs w:val="21"/>
                    </w:rPr>
                  </w:pPr>
                  <w:r>
                    <w:rPr>
                      <w:rFonts w:hint="eastAsia"/>
                      <w:color w:val="000000"/>
                      <w:szCs w:val="21"/>
                    </w:rPr>
                    <w:t>DA002</w:t>
                  </w:r>
                </w:p>
              </w:tc>
              <w:tc>
                <w:tcPr>
                  <w:tcW w:w="882" w:type="dxa"/>
                  <w:vAlign w:val="center"/>
                </w:tcPr>
                <w:p>
                  <w:pPr>
                    <w:jc w:val="center"/>
                    <w:rPr>
                      <w:color w:val="000000"/>
                      <w:szCs w:val="21"/>
                    </w:rPr>
                  </w:pPr>
                  <w:r>
                    <w:rPr>
                      <w:rFonts w:hint="eastAsia"/>
                      <w:color w:val="000000"/>
                      <w:szCs w:val="21"/>
                    </w:rPr>
                    <w:t>颗粒物</w:t>
                  </w:r>
                </w:p>
              </w:tc>
              <w:tc>
                <w:tcPr>
                  <w:tcW w:w="1003" w:type="dxa"/>
                  <w:vMerge w:val="continue"/>
                  <w:vAlign w:val="center"/>
                </w:tcPr>
                <w:p>
                  <w:pPr>
                    <w:jc w:val="center"/>
                    <w:rPr>
                      <w:color w:val="000000"/>
                      <w:lang w:val="zh-CN"/>
                    </w:rPr>
                  </w:pPr>
                </w:p>
              </w:tc>
              <w:tc>
                <w:tcPr>
                  <w:tcW w:w="795" w:type="dxa"/>
                  <w:vAlign w:val="center"/>
                </w:tcPr>
                <w:p>
                  <w:pPr>
                    <w:jc w:val="center"/>
                    <w:outlineLvl w:val="0"/>
                    <w:rPr>
                      <w:color w:val="000000"/>
                      <w:szCs w:val="21"/>
                    </w:rPr>
                  </w:pPr>
                  <w:r>
                    <w:rPr>
                      <w:rFonts w:hint="eastAsia"/>
                      <w:color w:val="000000"/>
                      <w:szCs w:val="21"/>
                    </w:rPr>
                    <w:t>248.7</w:t>
                  </w:r>
                </w:p>
              </w:tc>
              <w:tc>
                <w:tcPr>
                  <w:tcW w:w="978" w:type="dxa"/>
                  <w:vAlign w:val="center"/>
                </w:tcPr>
                <w:p>
                  <w:pPr>
                    <w:pStyle w:val="62"/>
                    <w:rPr>
                      <w:color w:val="000000"/>
                      <w:szCs w:val="21"/>
                    </w:rPr>
                  </w:pPr>
                  <w:r>
                    <w:rPr>
                      <w:rFonts w:hint="eastAsia"/>
                      <w:color w:val="000000"/>
                      <w:szCs w:val="21"/>
                    </w:rPr>
                    <w:t>0.373</w:t>
                  </w:r>
                </w:p>
              </w:tc>
              <w:tc>
                <w:tcPr>
                  <w:tcW w:w="1074" w:type="dxa"/>
                  <w:vMerge w:val="continue"/>
                  <w:vAlign w:val="center"/>
                </w:tcPr>
                <w:p>
                  <w:pPr>
                    <w:jc w:val="center"/>
                    <w:rPr>
                      <w:color w:val="000000"/>
                      <w:lang w:val="zh-CN"/>
                    </w:rPr>
                  </w:pPr>
                </w:p>
              </w:tc>
              <w:tc>
                <w:tcPr>
                  <w:tcW w:w="795" w:type="dxa"/>
                  <w:vAlign w:val="center"/>
                </w:tcPr>
                <w:p>
                  <w:pPr>
                    <w:jc w:val="center"/>
                    <w:rPr>
                      <w:color w:val="000000"/>
                      <w:lang w:val="zh-CN"/>
                    </w:rPr>
                  </w:pPr>
                  <w:r>
                    <w:rPr>
                      <w:rFonts w:hint="eastAsia"/>
                      <w:color w:val="000000"/>
                      <w:lang w:val="zh-CN"/>
                    </w:rPr>
                    <w:t>10</w:t>
                  </w:r>
                </w:p>
              </w:tc>
              <w:tc>
                <w:tcPr>
                  <w:tcW w:w="663" w:type="dxa"/>
                  <w:vAlign w:val="center"/>
                </w:tcPr>
                <w:p>
                  <w:pPr>
                    <w:jc w:val="center"/>
                    <w:rPr>
                      <w:color w:val="000000"/>
                      <w:lang w:val="zh-CN"/>
                    </w:rPr>
                  </w:pPr>
                  <w:r>
                    <w:rPr>
                      <w:rFonts w:hint="eastAsia"/>
                      <w:color w:val="000000"/>
                      <w:lang w:val="zh-CN"/>
                    </w:rPr>
                    <w:t>3.5</w:t>
                  </w:r>
                </w:p>
              </w:tc>
              <w:tc>
                <w:tcPr>
                  <w:tcW w:w="739" w:type="dxa"/>
                  <w:vAlign w:val="center"/>
                </w:tcPr>
                <w:p>
                  <w:pPr>
                    <w:jc w:val="center"/>
                    <w:rPr>
                      <w:color w:val="000000"/>
                    </w:rPr>
                  </w:pPr>
                  <w:r>
                    <w:rPr>
                      <w:rFonts w:hint="eastAsia"/>
                      <w:color w:val="000000"/>
                    </w:rPr>
                    <w:t>超标</w:t>
                  </w:r>
                </w:p>
              </w:tc>
            </w:tr>
          </w:tbl>
          <w:p>
            <w:pPr>
              <w:tabs>
                <w:tab w:val="left" w:pos="1081"/>
              </w:tabs>
              <w:adjustRightInd w:val="0"/>
              <w:snapToGrid w:val="0"/>
              <w:spacing w:line="360" w:lineRule="auto"/>
              <w:ind w:firstLine="480" w:firstLineChars="200"/>
              <w:rPr>
                <w:color w:val="000000"/>
                <w:sz w:val="24"/>
              </w:rPr>
            </w:pPr>
            <w:r>
              <w:rPr>
                <w:color w:val="000000"/>
                <w:sz w:val="24"/>
              </w:rPr>
              <w:t>由上表可知，非正常工况下，项目DA001</w:t>
            </w:r>
            <w:r>
              <w:rPr>
                <w:rFonts w:hint="eastAsia"/>
                <w:color w:val="000000"/>
                <w:sz w:val="24"/>
              </w:rPr>
              <w:t>、DA002</w:t>
            </w:r>
            <w:r>
              <w:rPr>
                <w:color w:val="000000"/>
                <w:sz w:val="24"/>
              </w:rPr>
              <w:t>排气筒污染物排放浓度</w:t>
            </w:r>
            <w:r>
              <w:rPr>
                <w:rFonts w:hint="eastAsia"/>
                <w:color w:val="000000"/>
                <w:sz w:val="24"/>
              </w:rPr>
              <w:t>均超标</w:t>
            </w:r>
            <w:r>
              <w:rPr>
                <w:color w:val="000000"/>
                <w:sz w:val="24"/>
              </w:rPr>
              <w:t>。为防止生产废气非正常工况排放，企业必须加强废气处理设施的管理，定期检修，确保废气处理设施正常运行，在废气处理设备停止运行或出现故障时，产生废气的各工序也必须相应停止生产。为杜绝废气非正常排放，应采取以下措施确保废气达标排放：</w:t>
            </w:r>
          </w:p>
          <w:p>
            <w:pPr>
              <w:tabs>
                <w:tab w:val="left" w:pos="1081"/>
              </w:tabs>
              <w:adjustRightInd w:val="0"/>
              <w:snapToGrid w:val="0"/>
              <w:spacing w:line="360" w:lineRule="auto"/>
              <w:ind w:firstLine="480" w:firstLineChars="200"/>
              <w:rPr>
                <w:color w:val="000000"/>
                <w:sz w:val="24"/>
              </w:rPr>
            </w:pPr>
            <w:r>
              <w:rPr>
                <w:rFonts w:hint="eastAsia" w:ascii="宋体" w:hAnsi="宋体" w:cs="宋体"/>
                <w:color w:val="000000"/>
                <w:sz w:val="24"/>
              </w:rPr>
              <w:t>①</w:t>
            </w:r>
            <w:r>
              <w:rPr>
                <w:color w:val="000000"/>
                <w:sz w:val="24"/>
              </w:rPr>
              <w:t>安排专人负责环保设备的日常维护和管理，每隔固定时间检查、汇报情况，及时发现废气处理设备的隐患，确保废气处理系统正常运行；</w:t>
            </w:r>
          </w:p>
          <w:p>
            <w:pPr>
              <w:tabs>
                <w:tab w:val="left" w:pos="1081"/>
              </w:tabs>
              <w:adjustRightInd w:val="0"/>
              <w:snapToGrid w:val="0"/>
              <w:spacing w:line="360" w:lineRule="auto"/>
              <w:ind w:firstLine="480" w:firstLineChars="200"/>
              <w:rPr>
                <w:color w:val="000000"/>
                <w:sz w:val="24"/>
              </w:rPr>
            </w:pPr>
            <w:r>
              <w:rPr>
                <w:rFonts w:hint="eastAsia" w:ascii="宋体" w:hAnsi="宋体" w:cs="宋体"/>
                <w:color w:val="000000"/>
                <w:sz w:val="24"/>
              </w:rPr>
              <w:t>②</w:t>
            </w:r>
            <w:r>
              <w:rPr>
                <w:color w:val="000000"/>
                <w:sz w:val="24"/>
              </w:rPr>
              <w:t>建立健全的环保管理机构，对环保管理人员和技术人员进行岗位培训，委托具有专业资质的环境检测单位对项目排放的各类污染物进行定期检测；</w:t>
            </w:r>
          </w:p>
          <w:p>
            <w:pPr>
              <w:adjustRightInd w:val="0"/>
              <w:snapToGrid w:val="0"/>
              <w:spacing w:line="360" w:lineRule="auto"/>
              <w:ind w:firstLine="480" w:firstLineChars="200"/>
              <w:rPr>
                <w:color w:val="000000"/>
                <w:sz w:val="24"/>
              </w:rPr>
            </w:pPr>
            <w:r>
              <w:rPr>
                <w:rFonts w:hint="eastAsia" w:ascii="宋体" w:hAnsi="宋体" w:cs="宋体"/>
                <w:color w:val="000000"/>
                <w:sz w:val="24"/>
              </w:rPr>
              <w:t>③</w:t>
            </w:r>
            <w:r>
              <w:rPr>
                <w:color w:val="000000"/>
                <w:sz w:val="24"/>
              </w:rPr>
              <w:t>应定期维护、检修废气净化装置，以保持废气处理装置的净化能力和净化容量。</w:t>
            </w:r>
          </w:p>
          <w:p>
            <w:pPr>
              <w:tabs>
                <w:tab w:val="left" w:pos="1081"/>
              </w:tabs>
              <w:adjustRightInd w:val="0"/>
              <w:snapToGrid w:val="0"/>
              <w:spacing w:line="360" w:lineRule="auto"/>
              <w:ind w:firstLine="480" w:firstLineChars="200"/>
              <w:jc w:val="left"/>
              <w:rPr>
                <w:sz w:val="24"/>
                <w:szCs w:val="24"/>
              </w:rPr>
            </w:pPr>
            <w:r>
              <w:rPr>
                <w:sz w:val="24"/>
                <w:szCs w:val="24"/>
              </w:rPr>
              <w:t>1.</w:t>
            </w:r>
            <w:r>
              <w:rPr>
                <w:rFonts w:hint="eastAsia"/>
                <w:sz w:val="24"/>
                <w:szCs w:val="24"/>
              </w:rPr>
              <w:t>6</w:t>
            </w:r>
            <w:r>
              <w:rPr>
                <w:sz w:val="24"/>
                <w:szCs w:val="24"/>
              </w:rPr>
              <w:t>废气自行监测计划</w:t>
            </w:r>
          </w:p>
          <w:p>
            <w:pPr>
              <w:tabs>
                <w:tab w:val="left" w:pos="1081"/>
              </w:tabs>
              <w:adjustRightInd w:val="0"/>
              <w:snapToGrid w:val="0"/>
              <w:spacing w:line="360" w:lineRule="auto"/>
              <w:ind w:firstLine="480" w:firstLineChars="200"/>
              <w:jc w:val="left"/>
              <w:rPr>
                <w:sz w:val="24"/>
                <w:szCs w:val="24"/>
              </w:rPr>
            </w:pPr>
            <w:r>
              <w:rPr>
                <w:sz w:val="24"/>
                <w:szCs w:val="24"/>
              </w:rPr>
              <w:t>根据</w:t>
            </w:r>
            <w:r>
              <w:rPr>
                <w:rFonts w:hint="eastAsia"/>
                <w:sz w:val="24"/>
                <w:szCs w:val="24"/>
              </w:rPr>
              <w:t>《排污单位自行监测技术指南总则》（HJ 819-2017）</w:t>
            </w:r>
            <w:r>
              <w:rPr>
                <w:sz w:val="24"/>
                <w:szCs w:val="24"/>
              </w:rPr>
              <w:t>，结合《环境影响评价技术导则 大气环境》（HJ2.2-2018）附录C.7自行监测计划，项目废气自行监测计划如下：</w:t>
            </w:r>
          </w:p>
          <w:p>
            <w:pPr>
              <w:tabs>
                <w:tab w:val="left" w:pos="1081"/>
              </w:tabs>
              <w:adjustRightInd w:val="0"/>
              <w:snapToGrid w:val="0"/>
              <w:spacing w:line="360" w:lineRule="auto"/>
              <w:jc w:val="center"/>
              <w:rPr>
                <w:b/>
                <w:bCs/>
                <w:color w:val="000000"/>
                <w:kern w:val="0"/>
                <w:sz w:val="24"/>
              </w:rPr>
            </w:pPr>
            <w:r>
              <w:rPr>
                <w:b/>
                <w:bCs/>
                <w:color w:val="000000"/>
                <w:kern w:val="0"/>
                <w:sz w:val="24"/>
              </w:rPr>
              <w:t>表4-</w:t>
            </w:r>
            <w:r>
              <w:rPr>
                <w:rFonts w:hint="eastAsia"/>
                <w:b/>
                <w:bCs/>
                <w:color w:val="000000"/>
                <w:kern w:val="0"/>
                <w:sz w:val="24"/>
              </w:rPr>
              <w:t>8</w:t>
            </w:r>
            <w:r>
              <w:rPr>
                <w:b/>
                <w:bCs/>
                <w:color w:val="000000"/>
                <w:kern w:val="0"/>
                <w:sz w:val="24"/>
              </w:rPr>
              <w:t xml:space="preserve">        项目废气监测计划表</w:t>
            </w:r>
          </w:p>
          <w:tbl>
            <w:tblPr>
              <w:tblStyle w:val="26"/>
              <w:tblW w:w="777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8"/>
              <w:gridCol w:w="1381"/>
              <w:gridCol w:w="1094"/>
              <w:gridCol w:w="880"/>
              <w:gridCol w:w="2855"/>
              <w:gridCol w:w="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48" w:type="dxa"/>
                  <w:vAlign w:val="center"/>
                </w:tcPr>
                <w:p>
                  <w:pPr>
                    <w:pStyle w:val="80"/>
                    <w:rPr>
                      <w:b/>
                      <w:bCs/>
                    </w:rPr>
                  </w:pPr>
                  <w:r>
                    <w:rPr>
                      <w:b/>
                      <w:bCs/>
                    </w:rPr>
                    <w:t>环境要素</w:t>
                  </w:r>
                </w:p>
              </w:tc>
              <w:tc>
                <w:tcPr>
                  <w:tcW w:w="1381" w:type="dxa"/>
                  <w:vAlign w:val="center"/>
                </w:tcPr>
                <w:p>
                  <w:pPr>
                    <w:pStyle w:val="80"/>
                    <w:rPr>
                      <w:b/>
                      <w:bCs/>
                    </w:rPr>
                  </w:pPr>
                  <w:r>
                    <w:rPr>
                      <w:b/>
                      <w:bCs/>
                    </w:rPr>
                    <w:t>监测位置</w:t>
                  </w:r>
                </w:p>
              </w:tc>
              <w:tc>
                <w:tcPr>
                  <w:tcW w:w="1094" w:type="dxa"/>
                  <w:vAlign w:val="center"/>
                </w:tcPr>
                <w:p>
                  <w:pPr>
                    <w:pStyle w:val="80"/>
                    <w:rPr>
                      <w:b/>
                      <w:bCs/>
                    </w:rPr>
                  </w:pPr>
                  <w:r>
                    <w:rPr>
                      <w:b/>
                      <w:bCs/>
                    </w:rPr>
                    <w:t>监测项目</w:t>
                  </w:r>
                </w:p>
              </w:tc>
              <w:tc>
                <w:tcPr>
                  <w:tcW w:w="880" w:type="dxa"/>
                  <w:vAlign w:val="center"/>
                </w:tcPr>
                <w:p>
                  <w:pPr>
                    <w:pStyle w:val="80"/>
                    <w:rPr>
                      <w:b/>
                      <w:bCs/>
                    </w:rPr>
                  </w:pPr>
                  <w:r>
                    <w:rPr>
                      <w:b/>
                      <w:bCs/>
                    </w:rPr>
                    <w:t>监测频率</w:t>
                  </w:r>
                </w:p>
              </w:tc>
              <w:tc>
                <w:tcPr>
                  <w:tcW w:w="2855" w:type="dxa"/>
                  <w:vAlign w:val="center"/>
                </w:tcPr>
                <w:p>
                  <w:pPr>
                    <w:pStyle w:val="80"/>
                    <w:rPr>
                      <w:b/>
                      <w:bCs/>
                    </w:rPr>
                  </w:pPr>
                  <w:r>
                    <w:rPr>
                      <w:b/>
                      <w:bCs/>
                    </w:rPr>
                    <w:t>执行排放标准</w:t>
                  </w:r>
                </w:p>
              </w:tc>
              <w:tc>
                <w:tcPr>
                  <w:tcW w:w="812" w:type="dxa"/>
                  <w:vAlign w:val="center"/>
                </w:tcPr>
                <w:p>
                  <w:pPr>
                    <w:pStyle w:val="80"/>
                    <w:rPr>
                      <w:b/>
                      <w:bCs/>
                    </w:rPr>
                  </w:pPr>
                  <w:r>
                    <w:rPr>
                      <w:b/>
                      <w:bCs/>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1" w:hRule="atLeast"/>
                <w:jc w:val="center"/>
              </w:trPr>
              <w:tc>
                <w:tcPr>
                  <w:tcW w:w="748" w:type="dxa"/>
                  <w:vMerge w:val="restart"/>
                  <w:vAlign w:val="center"/>
                </w:tcPr>
                <w:p>
                  <w:pPr>
                    <w:pStyle w:val="80"/>
                  </w:pPr>
                  <w:r>
                    <w:t>废气</w:t>
                  </w:r>
                </w:p>
              </w:tc>
              <w:tc>
                <w:tcPr>
                  <w:tcW w:w="1381" w:type="dxa"/>
                  <w:vAlign w:val="center"/>
                </w:tcPr>
                <w:p>
                  <w:pPr>
                    <w:pStyle w:val="80"/>
                  </w:pPr>
                  <w:r>
                    <w:t>DA001排气筒</w:t>
                  </w:r>
                  <w:r>
                    <w:rPr>
                      <w:rFonts w:hint="eastAsia"/>
                    </w:rPr>
                    <w:t>、DA002</w:t>
                  </w:r>
                  <w:r>
                    <w:t>排气筒</w:t>
                  </w:r>
                </w:p>
              </w:tc>
              <w:tc>
                <w:tcPr>
                  <w:tcW w:w="1094" w:type="dxa"/>
                  <w:vAlign w:val="center"/>
                </w:tcPr>
                <w:p>
                  <w:pPr>
                    <w:pStyle w:val="80"/>
                  </w:pPr>
                  <w:r>
                    <w:rPr>
                      <w:rFonts w:hint="eastAsia"/>
                    </w:rPr>
                    <w:t>颗粒物</w:t>
                  </w:r>
                </w:p>
              </w:tc>
              <w:tc>
                <w:tcPr>
                  <w:tcW w:w="880" w:type="dxa"/>
                  <w:vAlign w:val="center"/>
                </w:tcPr>
                <w:p>
                  <w:pPr>
                    <w:pStyle w:val="80"/>
                  </w:pPr>
                  <w:r>
                    <w:rPr>
                      <w:rFonts w:hint="eastAsia"/>
                    </w:rPr>
                    <w:t>1次/年</w:t>
                  </w:r>
                </w:p>
              </w:tc>
              <w:tc>
                <w:tcPr>
                  <w:tcW w:w="2855" w:type="dxa"/>
                  <w:vAlign w:val="center"/>
                </w:tcPr>
                <w:p>
                  <w:pPr>
                    <w:pStyle w:val="80"/>
                  </w:pPr>
                  <w:r>
                    <w:rPr>
                      <w:rFonts w:hint="eastAsia"/>
                      <w:color w:val="000000"/>
                      <w:kern w:val="2"/>
                      <w:szCs w:val="21"/>
                    </w:rPr>
                    <w:t>满足《大气污染物综合排放标准》（GB16297-1996）表2二级标准、《河南省重污染天气通用行业应急减排措施制定技术指南》（2024年修订稿）“通用涉PM企业绩效引领性指标”</w:t>
                  </w:r>
                </w:p>
              </w:tc>
              <w:tc>
                <w:tcPr>
                  <w:tcW w:w="812" w:type="dxa"/>
                  <w:vMerge w:val="restart"/>
                  <w:vAlign w:val="center"/>
                </w:tcPr>
                <w:p>
                  <w:pPr>
                    <w:pStyle w:val="80"/>
                  </w:pPr>
                  <w:r>
                    <w:t>委托有监测能力的单位实施监测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52" w:hRule="atLeast"/>
                <w:jc w:val="center"/>
              </w:trPr>
              <w:tc>
                <w:tcPr>
                  <w:tcW w:w="748" w:type="dxa"/>
                  <w:vMerge w:val="continue"/>
                  <w:vAlign w:val="center"/>
                </w:tcPr>
                <w:p>
                  <w:pPr>
                    <w:pStyle w:val="80"/>
                    <w:ind w:firstLine="480"/>
                  </w:pPr>
                </w:p>
              </w:tc>
              <w:tc>
                <w:tcPr>
                  <w:tcW w:w="1381" w:type="dxa"/>
                  <w:vAlign w:val="center"/>
                </w:tcPr>
                <w:p>
                  <w:pPr>
                    <w:pStyle w:val="80"/>
                  </w:pPr>
                  <w:r>
                    <w:t>厂界</w:t>
                  </w:r>
                </w:p>
              </w:tc>
              <w:tc>
                <w:tcPr>
                  <w:tcW w:w="1094" w:type="dxa"/>
                  <w:vAlign w:val="center"/>
                </w:tcPr>
                <w:p>
                  <w:pPr>
                    <w:pStyle w:val="80"/>
                  </w:pPr>
                  <w:r>
                    <w:rPr>
                      <w:rFonts w:hint="eastAsia"/>
                    </w:rPr>
                    <w:t>颗粒物</w:t>
                  </w:r>
                </w:p>
              </w:tc>
              <w:tc>
                <w:tcPr>
                  <w:tcW w:w="880" w:type="dxa"/>
                  <w:vAlign w:val="center"/>
                </w:tcPr>
                <w:p>
                  <w:pPr>
                    <w:pStyle w:val="80"/>
                  </w:pPr>
                  <w:r>
                    <w:rPr>
                      <w:rFonts w:hint="eastAsia"/>
                    </w:rPr>
                    <w:t>1次/年</w:t>
                  </w:r>
                </w:p>
              </w:tc>
              <w:tc>
                <w:tcPr>
                  <w:tcW w:w="2855" w:type="dxa"/>
                  <w:vAlign w:val="center"/>
                </w:tcPr>
                <w:p>
                  <w:pPr>
                    <w:pStyle w:val="80"/>
                  </w:pPr>
                  <w:r>
                    <w:rPr>
                      <w:rFonts w:hint="eastAsia"/>
                      <w:color w:val="000000"/>
                      <w:kern w:val="2"/>
                      <w:szCs w:val="21"/>
                    </w:rPr>
                    <w:t>《大气污染物综合排放标准》（GB16297-1996）表2二级标准</w:t>
                  </w:r>
                </w:p>
              </w:tc>
              <w:tc>
                <w:tcPr>
                  <w:tcW w:w="812" w:type="dxa"/>
                  <w:vMerge w:val="continue"/>
                  <w:vAlign w:val="center"/>
                </w:tcPr>
                <w:p>
                  <w:pPr>
                    <w:pStyle w:val="80"/>
                    <w:ind w:firstLine="480"/>
                  </w:pPr>
                </w:p>
              </w:tc>
            </w:tr>
          </w:tbl>
          <w:p>
            <w:pPr>
              <w:tabs>
                <w:tab w:val="left" w:pos="1081"/>
              </w:tabs>
              <w:adjustRightInd w:val="0"/>
              <w:snapToGrid w:val="0"/>
              <w:spacing w:line="360" w:lineRule="auto"/>
              <w:ind w:firstLine="480" w:firstLineChars="200"/>
              <w:jc w:val="left"/>
              <w:rPr>
                <w:sz w:val="24"/>
                <w:szCs w:val="24"/>
              </w:rPr>
            </w:pPr>
            <w:r>
              <w:rPr>
                <w:sz w:val="24"/>
                <w:szCs w:val="24"/>
              </w:rPr>
              <w:t>1.</w:t>
            </w:r>
            <w:r>
              <w:rPr>
                <w:rFonts w:hint="eastAsia"/>
                <w:sz w:val="24"/>
                <w:szCs w:val="24"/>
              </w:rPr>
              <w:t>7小结</w:t>
            </w:r>
          </w:p>
          <w:p>
            <w:pPr>
              <w:tabs>
                <w:tab w:val="left" w:pos="1081"/>
              </w:tabs>
              <w:adjustRightInd w:val="0"/>
              <w:snapToGrid w:val="0"/>
              <w:spacing w:line="360" w:lineRule="auto"/>
              <w:ind w:firstLine="480" w:firstLineChars="200"/>
              <w:rPr>
                <w:rFonts w:hAnsi="宋体"/>
                <w:color w:val="000000"/>
                <w:sz w:val="24"/>
                <w:szCs w:val="22"/>
              </w:rPr>
            </w:pPr>
            <w:r>
              <w:rPr>
                <w:rFonts w:hint="eastAsia" w:hAnsi="宋体"/>
                <w:color w:val="000000"/>
                <w:sz w:val="24"/>
                <w:szCs w:val="22"/>
              </w:rPr>
              <w:t>综上所述，项目采取本评价提出的大气污染防治措施后，有组织和无组织废气能实现达标排放，对周围大气环境影响较小。但应注意非正常工况情况，采取必要措施，最大程度上减少污染物排放</w:t>
            </w:r>
            <w:r>
              <w:rPr>
                <w:color w:val="000000"/>
                <w:sz w:val="24"/>
              </w:rPr>
              <w:t>。</w:t>
            </w:r>
          </w:p>
          <w:p>
            <w:pPr>
              <w:tabs>
                <w:tab w:val="left" w:pos="1081"/>
              </w:tabs>
              <w:adjustRightInd w:val="0"/>
              <w:snapToGrid w:val="0"/>
              <w:spacing w:line="360" w:lineRule="auto"/>
              <w:ind w:firstLine="482" w:firstLineChars="200"/>
              <w:jc w:val="left"/>
              <w:rPr>
                <w:b/>
                <w:color w:val="000000"/>
                <w:sz w:val="24"/>
              </w:rPr>
            </w:pPr>
            <w:r>
              <w:rPr>
                <w:b/>
                <w:color w:val="000000"/>
                <w:sz w:val="24"/>
              </w:rPr>
              <w:t>2、废水</w:t>
            </w:r>
          </w:p>
          <w:p>
            <w:pPr>
              <w:tabs>
                <w:tab w:val="left" w:pos="1081"/>
              </w:tabs>
              <w:adjustRightInd w:val="0"/>
              <w:snapToGrid w:val="0"/>
              <w:spacing w:line="360" w:lineRule="auto"/>
              <w:ind w:firstLine="480" w:firstLineChars="200"/>
              <w:jc w:val="left"/>
              <w:rPr>
                <w:color w:val="000000"/>
                <w:sz w:val="24"/>
              </w:rPr>
            </w:pPr>
            <w:r>
              <w:rPr>
                <w:color w:val="000000"/>
                <w:sz w:val="24"/>
              </w:rPr>
              <w:t>2.1废水源强分析</w:t>
            </w:r>
          </w:p>
          <w:p>
            <w:pPr>
              <w:tabs>
                <w:tab w:val="left" w:pos="1081"/>
              </w:tabs>
              <w:adjustRightInd w:val="0"/>
              <w:snapToGrid w:val="0"/>
              <w:spacing w:line="360" w:lineRule="auto"/>
              <w:ind w:firstLine="480" w:firstLineChars="200"/>
              <w:jc w:val="left"/>
              <w:rPr>
                <w:color w:val="000000"/>
                <w:sz w:val="24"/>
              </w:rPr>
            </w:pPr>
            <w:r>
              <w:rPr>
                <w:rFonts w:hint="eastAsia"/>
                <w:color w:val="000000"/>
                <w:sz w:val="24"/>
              </w:rPr>
              <w:t>本项目职工5人，均不在厂区食宿，参照</w:t>
            </w:r>
            <w:r>
              <w:rPr>
                <w:rFonts w:hint="eastAsia"/>
                <w:color w:val="000000" w:themeColor="text1"/>
                <w:sz w:val="24"/>
                <w:szCs w:val="22"/>
              </w:rPr>
              <w:t>根据《河南省地方标准 工业及城镇生活用水定额》（DB41/T385-2020），项目职工生活用水参照《定额》中表48中“公共管理、 社会保障和社会组织—机关用水定额—22m</w:t>
            </w:r>
            <w:r>
              <w:rPr>
                <w:rFonts w:hint="eastAsia"/>
                <w:color w:val="000000" w:themeColor="text1"/>
                <w:sz w:val="24"/>
                <w:szCs w:val="22"/>
                <w:vertAlign w:val="superscript"/>
              </w:rPr>
              <w:t>3</w:t>
            </w:r>
            <w:r>
              <w:rPr>
                <w:rFonts w:hint="eastAsia"/>
                <w:color w:val="000000" w:themeColor="text1"/>
                <w:sz w:val="24"/>
                <w:szCs w:val="22"/>
              </w:rPr>
              <w:t>/人•a（无食堂），折合60L/人•d，则项目职工生活用水量为0.3m</w:t>
            </w:r>
            <w:r>
              <w:rPr>
                <w:rFonts w:hint="eastAsia"/>
                <w:color w:val="000000" w:themeColor="text1"/>
                <w:sz w:val="24"/>
                <w:szCs w:val="22"/>
                <w:vertAlign w:val="superscript"/>
              </w:rPr>
              <w:t>3</w:t>
            </w:r>
            <w:r>
              <w:rPr>
                <w:rFonts w:hint="eastAsia"/>
                <w:color w:val="000000" w:themeColor="text1"/>
                <w:sz w:val="24"/>
                <w:szCs w:val="22"/>
              </w:rPr>
              <w:t>/d，废水产污系数取0.8，生活污水产生量为0.24m</w:t>
            </w:r>
            <w:r>
              <w:rPr>
                <w:rFonts w:hint="eastAsia"/>
                <w:color w:val="000000" w:themeColor="text1"/>
                <w:sz w:val="24"/>
                <w:szCs w:val="22"/>
                <w:vertAlign w:val="superscript"/>
              </w:rPr>
              <w:t>3</w:t>
            </w:r>
            <w:r>
              <w:rPr>
                <w:rFonts w:hint="eastAsia"/>
                <w:color w:val="000000" w:themeColor="text1"/>
                <w:sz w:val="24"/>
                <w:szCs w:val="22"/>
              </w:rPr>
              <w:t>/d</w:t>
            </w:r>
            <w:r>
              <w:rPr>
                <w:color w:val="000000" w:themeColor="text1"/>
                <w:sz w:val="24"/>
                <w:szCs w:val="22"/>
              </w:rPr>
              <w:t>。</w:t>
            </w:r>
            <w:r>
              <w:rPr>
                <w:rFonts w:hint="eastAsia"/>
                <w:color w:val="000000" w:themeColor="text1"/>
                <w:sz w:val="24"/>
                <w:szCs w:val="22"/>
              </w:rPr>
              <w:t>生活污水经配套化粪池（5m</w:t>
            </w:r>
            <w:r>
              <w:rPr>
                <w:rFonts w:hint="eastAsia"/>
                <w:color w:val="000000" w:themeColor="text1"/>
                <w:sz w:val="24"/>
                <w:szCs w:val="22"/>
                <w:vertAlign w:val="superscript"/>
              </w:rPr>
              <w:t>3</w:t>
            </w:r>
            <w:r>
              <w:rPr>
                <w:rFonts w:hint="eastAsia"/>
                <w:color w:val="000000" w:themeColor="text1"/>
                <w:sz w:val="24"/>
                <w:szCs w:val="22"/>
              </w:rPr>
              <w:t>，“三防”措施）处理后用于周围农田施肥。</w:t>
            </w:r>
          </w:p>
          <w:p>
            <w:pPr>
              <w:adjustRightInd w:val="0"/>
              <w:snapToGrid w:val="0"/>
              <w:spacing w:line="360" w:lineRule="auto"/>
              <w:ind w:left="71" w:leftChars="34" w:firstLine="480" w:firstLineChars="200"/>
              <w:rPr>
                <w:color w:val="000000"/>
                <w:sz w:val="24"/>
              </w:rPr>
            </w:pPr>
            <w:r>
              <w:rPr>
                <w:rFonts w:hint="eastAsia"/>
                <w:color w:val="000000"/>
                <w:sz w:val="24"/>
              </w:rPr>
              <w:t>2.2污水处理可行性分析</w:t>
            </w:r>
          </w:p>
          <w:p>
            <w:pPr>
              <w:tabs>
                <w:tab w:val="left" w:pos="1081"/>
              </w:tabs>
              <w:adjustRightInd w:val="0"/>
              <w:snapToGrid w:val="0"/>
              <w:spacing w:line="360" w:lineRule="auto"/>
              <w:ind w:firstLine="480" w:firstLineChars="200"/>
              <w:jc w:val="left"/>
              <w:rPr>
                <w:sz w:val="24"/>
              </w:rPr>
            </w:pPr>
            <w:r>
              <w:rPr>
                <w:color w:val="000000"/>
                <w:sz w:val="24"/>
              </w:rPr>
              <w:t>本项目</w:t>
            </w:r>
            <w:r>
              <w:rPr>
                <w:rFonts w:hint="eastAsia"/>
                <w:color w:val="000000"/>
                <w:sz w:val="24"/>
              </w:rPr>
              <w:t>职工定员5</w:t>
            </w:r>
            <w:r>
              <w:rPr>
                <w:color w:val="000000"/>
                <w:sz w:val="24"/>
              </w:rPr>
              <w:t>人</w:t>
            </w:r>
            <w:r>
              <w:rPr>
                <w:rFonts w:hint="eastAsia"/>
                <w:color w:val="000000"/>
                <w:sz w:val="24"/>
              </w:rPr>
              <w:t>，均不</w:t>
            </w:r>
            <w:r>
              <w:rPr>
                <w:color w:val="000000"/>
                <w:sz w:val="24"/>
              </w:rPr>
              <w:t>在厂区内</w:t>
            </w:r>
            <w:r>
              <w:rPr>
                <w:rFonts w:hint="eastAsia"/>
                <w:color w:val="000000"/>
                <w:sz w:val="24"/>
              </w:rPr>
              <w:t>食宿，生活污水产生量为0.24m</w:t>
            </w:r>
            <w:r>
              <w:rPr>
                <w:rFonts w:hint="eastAsia"/>
                <w:color w:val="000000"/>
                <w:sz w:val="24"/>
                <w:vertAlign w:val="superscript"/>
              </w:rPr>
              <w:t>3</w:t>
            </w:r>
            <w:r>
              <w:rPr>
                <w:rFonts w:hint="eastAsia"/>
                <w:color w:val="000000"/>
                <w:sz w:val="24"/>
              </w:rPr>
              <w:t>/d，</w:t>
            </w:r>
            <w:r>
              <w:rPr>
                <w:rFonts w:hint="eastAsia"/>
                <w:sz w:val="24"/>
              </w:rPr>
              <w:t>57.6</w:t>
            </w:r>
            <w:r>
              <w:rPr>
                <w:sz w:val="24"/>
              </w:rPr>
              <w:t>m</w:t>
            </w:r>
            <w:r>
              <w:rPr>
                <w:sz w:val="24"/>
                <w:vertAlign w:val="superscript"/>
              </w:rPr>
              <w:t>3</w:t>
            </w:r>
            <w:r>
              <w:rPr>
                <w:sz w:val="24"/>
              </w:rPr>
              <w:t>/a</w:t>
            </w:r>
            <w:r>
              <w:rPr>
                <w:rFonts w:hint="eastAsia"/>
                <w:sz w:val="24"/>
              </w:rPr>
              <w:t>，</w:t>
            </w:r>
            <w:r>
              <w:rPr>
                <w:color w:val="000000"/>
                <w:sz w:val="24"/>
              </w:rPr>
              <w:t>生活污水</w:t>
            </w:r>
            <w:r>
              <w:rPr>
                <w:rFonts w:hint="eastAsia"/>
                <w:color w:val="000000"/>
                <w:sz w:val="24"/>
              </w:rPr>
              <w:t>中</w:t>
            </w:r>
            <w:r>
              <w:rPr>
                <w:color w:val="000000"/>
                <w:sz w:val="24"/>
              </w:rPr>
              <w:t>主要污染物浓度分别</w:t>
            </w:r>
            <w:r>
              <w:rPr>
                <w:rFonts w:hint="eastAsia"/>
                <w:color w:val="000000"/>
                <w:sz w:val="24"/>
              </w:rPr>
              <w:t>为</w:t>
            </w:r>
            <w:r>
              <w:rPr>
                <w:color w:val="000000"/>
                <w:sz w:val="24"/>
              </w:rPr>
              <w:t>COD</w:t>
            </w:r>
            <w:r>
              <w:rPr>
                <w:rFonts w:hint="eastAsia"/>
                <w:color w:val="000000"/>
                <w:sz w:val="24"/>
              </w:rPr>
              <w:t>350mg/L</w:t>
            </w:r>
            <w:r>
              <w:rPr>
                <w:color w:val="000000"/>
                <w:sz w:val="24"/>
              </w:rPr>
              <w:t>、</w:t>
            </w:r>
            <w:r>
              <w:rPr>
                <w:rFonts w:hint="eastAsia"/>
                <w:color w:val="000000"/>
                <w:sz w:val="24"/>
              </w:rPr>
              <w:t>SS</w:t>
            </w:r>
            <w:r>
              <w:rPr>
                <w:color w:val="000000"/>
                <w:sz w:val="24"/>
              </w:rPr>
              <w:t>2</w:t>
            </w:r>
            <w:r>
              <w:rPr>
                <w:rFonts w:hint="eastAsia"/>
                <w:color w:val="000000"/>
                <w:sz w:val="24"/>
              </w:rPr>
              <w:t>5</w:t>
            </w:r>
            <w:r>
              <w:rPr>
                <w:color w:val="000000"/>
                <w:sz w:val="24"/>
              </w:rPr>
              <w:t>0mg/L</w:t>
            </w:r>
            <w:r>
              <w:rPr>
                <w:rFonts w:hint="eastAsia"/>
                <w:color w:val="000000"/>
                <w:sz w:val="24"/>
              </w:rPr>
              <w:t>、NH</w:t>
            </w:r>
            <w:r>
              <w:rPr>
                <w:rFonts w:hint="eastAsia"/>
                <w:color w:val="000000"/>
                <w:sz w:val="24"/>
                <w:vertAlign w:val="subscript"/>
              </w:rPr>
              <w:t>3</w:t>
            </w:r>
            <w:r>
              <w:rPr>
                <w:rFonts w:hint="eastAsia"/>
                <w:color w:val="000000"/>
                <w:sz w:val="24"/>
              </w:rPr>
              <w:t>-N30</w:t>
            </w:r>
            <w:r>
              <w:rPr>
                <w:color w:val="000000"/>
                <w:sz w:val="24"/>
              </w:rPr>
              <w:t>mg/L。项目生活污水产生量较小</w:t>
            </w:r>
            <w:r>
              <w:rPr>
                <w:rFonts w:hint="eastAsia"/>
                <w:color w:val="000000"/>
                <w:sz w:val="24"/>
              </w:rPr>
              <w:t>，评价建议生活污水</w:t>
            </w:r>
            <w:r>
              <w:rPr>
                <w:color w:val="000000"/>
                <w:sz w:val="24"/>
              </w:rPr>
              <w:t>经</w:t>
            </w:r>
            <w:r>
              <w:rPr>
                <w:rFonts w:hint="eastAsia"/>
                <w:color w:val="000000"/>
                <w:sz w:val="24"/>
              </w:rPr>
              <w:t>化粪池</w:t>
            </w:r>
            <w:r>
              <w:rPr>
                <w:rFonts w:hint="eastAsia"/>
                <w:sz w:val="24"/>
              </w:rPr>
              <w:t>（容积5m</w:t>
            </w:r>
            <w:r>
              <w:rPr>
                <w:rFonts w:hint="eastAsia"/>
                <w:sz w:val="24"/>
                <w:vertAlign w:val="superscript"/>
              </w:rPr>
              <w:t>3</w:t>
            </w:r>
            <w:r>
              <w:rPr>
                <w:rFonts w:hint="eastAsia"/>
                <w:sz w:val="24"/>
              </w:rPr>
              <w:t>，采取</w:t>
            </w:r>
            <w:r>
              <w:rPr>
                <w:rFonts w:hint="eastAsia" w:hAnsi="宋体"/>
                <w:sz w:val="24"/>
              </w:rPr>
              <w:t>三防措施</w:t>
            </w:r>
            <w:r>
              <w:rPr>
                <w:rFonts w:hint="eastAsia"/>
                <w:sz w:val="24"/>
              </w:rPr>
              <w:t>）</w:t>
            </w:r>
            <w:r>
              <w:rPr>
                <w:color w:val="000000"/>
                <w:sz w:val="24"/>
              </w:rPr>
              <w:t>处理后</w:t>
            </w:r>
            <w:r>
              <w:rPr>
                <w:rFonts w:hint="eastAsia"/>
                <w:color w:val="000000"/>
                <w:sz w:val="24"/>
              </w:rPr>
              <w:t>用于周围农田施肥，资源化利用</w:t>
            </w:r>
            <w:r>
              <w:rPr>
                <w:rFonts w:hint="eastAsia"/>
                <w:sz w:val="24"/>
              </w:rPr>
              <w:t>不外排，周围农田较多，可消纳本次项目废水，因此处置措施可行</w:t>
            </w:r>
            <w:r>
              <w:rPr>
                <w:sz w:val="24"/>
              </w:rPr>
              <w:t>。</w:t>
            </w:r>
          </w:p>
          <w:p>
            <w:pPr>
              <w:tabs>
                <w:tab w:val="left" w:pos="1081"/>
              </w:tabs>
              <w:adjustRightInd w:val="0"/>
              <w:snapToGrid w:val="0"/>
              <w:spacing w:line="360" w:lineRule="auto"/>
              <w:ind w:firstLine="480" w:firstLineChars="200"/>
              <w:jc w:val="left"/>
              <w:rPr>
                <w:sz w:val="24"/>
                <w:szCs w:val="24"/>
              </w:rPr>
            </w:pPr>
            <w:r>
              <w:rPr>
                <w:sz w:val="24"/>
                <w:szCs w:val="24"/>
              </w:rPr>
              <w:t>综上所述，本项目营运期废水经采取措施后，不会对周围地表水环境产生不良影响。</w:t>
            </w:r>
          </w:p>
          <w:p>
            <w:pPr>
              <w:adjustRightInd w:val="0"/>
              <w:snapToGrid w:val="0"/>
              <w:spacing w:line="360" w:lineRule="auto"/>
              <w:ind w:left="71" w:leftChars="34" w:firstLine="482" w:firstLineChars="200"/>
              <w:rPr>
                <w:b/>
                <w:color w:val="000000"/>
                <w:sz w:val="24"/>
              </w:rPr>
            </w:pPr>
            <w:r>
              <w:rPr>
                <w:b/>
                <w:color w:val="000000"/>
                <w:sz w:val="24"/>
              </w:rPr>
              <w:t>3、噪声</w:t>
            </w:r>
          </w:p>
          <w:p>
            <w:pPr>
              <w:adjustRightInd w:val="0"/>
              <w:snapToGrid w:val="0"/>
              <w:spacing w:line="360" w:lineRule="auto"/>
              <w:ind w:left="71" w:leftChars="34" w:firstLine="480" w:firstLineChars="200"/>
              <w:rPr>
                <w:color w:val="000000"/>
                <w:sz w:val="24"/>
              </w:rPr>
            </w:pPr>
            <w:r>
              <w:rPr>
                <w:color w:val="000000"/>
                <w:sz w:val="24"/>
              </w:rPr>
              <w:t>3.1噪声源强</w:t>
            </w:r>
          </w:p>
          <w:p>
            <w:pPr>
              <w:adjustRightInd w:val="0"/>
              <w:snapToGrid w:val="0"/>
              <w:spacing w:line="360" w:lineRule="auto"/>
              <w:ind w:left="71" w:leftChars="34" w:firstLine="480" w:firstLineChars="200"/>
              <w:rPr>
                <w:color w:val="000000"/>
                <w:sz w:val="24"/>
              </w:rPr>
            </w:pPr>
            <w:r>
              <w:rPr>
                <w:color w:val="000000"/>
                <w:sz w:val="24"/>
              </w:rPr>
              <w:t>本</w:t>
            </w:r>
            <w:r>
              <w:rPr>
                <w:rFonts w:hint="eastAsia"/>
                <w:color w:val="000000"/>
                <w:sz w:val="24"/>
              </w:rPr>
              <w:t>项目</w:t>
            </w:r>
            <w:r>
              <w:rPr>
                <w:color w:val="000000"/>
                <w:sz w:val="24"/>
              </w:rPr>
              <w:t>营运期噪声主要为</w:t>
            </w:r>
            <w:r>
              <w:rPr>
                <w:rFonts w:hint="eastAsia"/>
                <w:color w:val="000000"/>
                <w:sz w:val="24"/>
              </w:rPr>
              <w:t>破捆机、粉碎提绒一体机、全自动卷条机、手动卷条机、切柱机和风机</w:t>
            </w:r>
            <w:r>
              <w:rPr>
                <w:color w:val="000000"/>
                <w:sz w:val="24"/>
              </w:rPr>
              <w:t>等设备运行时产生的噪声，噪声源强在7</w:t>
            </w:r>
            <w:r>
              <w:rPr>
                <w:rFonts w:hint="eastAsia"/>
                <w:color w:val="000000"/>
                <w:sz w:val="24"/>
              </w:rPr>
              <w:t>0</w:t>
            </w:r>
            <w:r>
              <w:rPr>
                <w:color w:val="000000"/>
                <w:sz w:val="24"/>
              </w:rPr>
              <w:t>-8</w:t>
            </w:r>
            <w:r>
              <w:rPr>
                <w:rFonts w:hint="eastAsia"/>
                <w:color w:val="000000"/>
                <w:sz w:val="24"/>
              </w:rPr>
              <w:t>5</w:t>
            </w:r>
            <w:r>
              <w:rPr>
                <w:color w:val="000000"/>
                <w:sz w:val="24"/>
              </w:rPr>
              <w:t>dB（A）之间；</w:t>
            </w:r>
            <w:r>
              <w:rPr>
                <w:rFonts w:hint="eastAsia"/>
                <w:sz w:val="24"/>
              </w:rPr>
              <w:t>因此项目噪声源强调查情况见下表</w:t>
            </w:r>
            <w:r>
              <w:rPr>
                <w:color w:val="000000"/>
                <w:sz w:val="24"/>
              </w:rPr>
              <w:t>。</w:t>
            </w:r>
          </w:p>
        </w:tc>
      </w:tr>
    </w:tbl>
    <w:p>
      <w:pPr>
        <w:pStyle w:val="2"/>
        <w:ind w:firstLine="0"/>
        <w:sectPr>
          <w:pgSz w:w="11906" w:h="16838"/>
          <w:pgMar w:top="1440" w:right="1800" w:bottom="1440" w:left="1800" w:header="851" w:footer="992" w:gutter="0"/>
          <w:cols w:space="425" w:num="1"/>
          <w:docGrid w:type="lines" w:linePitch="312" w:charSpace="0"/>
        </w:sectPr>
      </w:pPr>
    </w:p>
    <w:p>
      <w:pPr>
        <w:adjustRightInd w:val="0"/>
        <w:snapToGrid w:val="0"/>
        <w:spacing w:line="360" w:lineRule="auto"/>
        <w:ind w:left="71" w:leftChars="34" w:firstLine="420" w:firstLineChars="200"/>
        <w:jc w:val="center"/>
        <w:rPr>
          <w:b/>
          <w:bCs/>
          <w:color w:val="000000"/>
          <w:kern w:val="0"/>
          <w:sz w:val="24"/>
        </w:rPr>
      </w:pPr>
      <w:r>
        <w:rPr/>
        <w:br w:type="textWrapping" w:clear="all"/>
      </w:r>
      <w:r>
        <w:rPr>
          <w:b/>
          <w:bCs/>
          <w:color w:val="000000"/>
          <w:kern w:val="0"/>
          <w:sz w:val="24"/>
        </w:rPr>
        <w:t>表4-</w:t>
      </w:r>
      <w:r>
        <w:rPr>
          <w:rFonts w:hint="eastAsia"/>
          <w:b/>
          <w:bCs/>
          <w:color w:val="000000"/>
          <w:kern w:val="0"/>
          <w:sz w:val="24"/>
        </w:rPr>
        <w:t>9</w:t>
      </w:r>
      <w:r>
        <w:rPr>
          <w:b/>
          <w:bCs/>
          <w:color w:val="000000"/>
          <w:kern w:val="0"/>
          <w:sz w:val="24"/>
        </w:rPr>
        <w:t xml:space="preserve">  </w:t>
      </w:r>
      <w:r>
        <w:rPr>
          <w:b/>
          <w:bCs/>
          <w:color w:val="000000" w:themeColor="text1"/>
          <w:sz w:val="24"/>
          <w:szCs w:val="22"/>
        </w:rPr>
        <w:t>项目</w:t>
      </w:r>
      <w:r>
        <w:rPr>
          <w:rFonts w:hint="eastAsia"/>
          <w:b/>
          <w:bCs/>
          <w:color w:val="000000" w:themeColor="text1"/>
          <w:sz w:val="24"/>
          <w:szCs w:val="22"/>
        </w:rPr>
        <w:t>主要</w:t>
      </w:r>
      <w:r>
        <w:rPr>
          <w:b/>
          <w:bCs/>
          <w:color w:val="000000" w:themeColor="text1"/>
          <w:sz w:val="24"/>
          <w:szCs w:val="22"/>
        </w:rPr>
        <w:t>噪声源强调查清单</w:t>
      </w:r>
      <w:r>
        <w:rPr>
          <w:rFonts w:hint="eastAsia"/>
          <w:b/>
          <w:bCs/>
          <w:color w:val="000000" w:themeColor="text1"/>
          <w:sz w:val="24"/>
          <w:szCs w:val="22"/>
        </w:rPr>
        <w:t>一览</w:t>
      </w:r>
      <w:r>
        <w:rPr>
          <w:b/>
          <w:bCs/>
          <w:color w:val="000000" w:themeColor="text1"/>
          <w:sz w:val="24"/>
          <w:szCs w:val="22"/>
        </w:rPr>
        <w:t>表</w:t>
      </w:r>
      <w:r>
        <w:rPr>
          <w:rFonts w:hint="eastAsia"/>
          <w:b/>
          <w:bCs/>
          <w:color w:val="000000" w:themeColor="text1"/>
          <w:sz w:val="24"/>
          <w:szCs w:val="22"/>
        </w:rPr>
        <w:t>（室内声源）</w:t>
      </w:r>
    </w:p>
    <w:tbl>
      <w:tblPr>
        <w:tblStyle w:val="26"/>
        <w:tblW w:w="1417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37"/>
        <w:gridCol w:w="655"/>
        <w:gridCol w:w="995"/>
        <w:gridCol w:w="848"/>
        <w:gridCol w:w="706"/>
        <w:gridCol w:w="558"/>
        <w:gridCol w:w="558"/>
        <w:gridCol w:w="561"/>
        <w:gridCol w:w="437"/>
        <w:gridCol w:w="437"/>
        <w:gridCol w:w="437"/>
        <w:gridCol w:w="439"/>
        <w:gridCol w:w="595"/>
        <w:gridCol w:w="595"/>
        <w:gridCol w:w="595"/>
        <w:gridCol w:w="621"/>
        <w:gridCol w:w="661"/>
        <w:gridCol w:w="808"/>
        <w:gridCol w:w="595"/>
        <w:gridCol w:w="595"/>
        <w:gridCol w:w="595"/>
        <w:gridCol w:w="621"/>
        <w:gridCol w:w="82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07" w:hRule="atLeast"/>
        </w:trPr>
        <w:tc>
          <w:tcPr>
            <w:tcW w:w="437" w:type="dxa"/>
            <w:vMerge w:val="restart"/>
            <w:vAlign w:val="center"/>
          </w:tcPr>
          <w:p>
            <w:pPr>
              <w:jc w:val="center"/>
              <w:rPr>
                <w:b/>
                <w:color w:val="000000"/>
                <w:szCs w:val="21"/>
              </w:rPr>
            </w:pPr>
            <w:r>
              <w:rPr>
                <w:b/>
                <w:color w:val="000000"/>
                <w:szCs w:val="21"/>
              </w:rPr>
              <w:t>序号</w:t>
            </w:r>
          </w:p>
        </w:tc>
        <w:tc>
          <w:tcPr>
            <w:tcW w:w="655" w:type="dxa"/>
            <w:vMerge w:val="restart"/>
            <w:vAlign w:val="center"/>
          </w:tcPr>
          <w:p>
            <w:pPr>
              <w:jc w:val="center"/>
              <w:rPr>
                <w:b/>
                <w:color w:val="000000"/>
                <w:szCs w:val="21"/>
              </w:rPr>
            </w:pPr>
            <w:r>
              <w:rPr>
                <w:b/>
                <w:color w:val="000000"/>
                <w:szCs w:val="21"/>
              </w:rPr>
              <w:t>建筑物名称</w:t>
            </w:r>
          </w:p>
        </w:tc>
        <w:tc>
          <w:tcPr>
            <w:tcW w:w="995" w:type="dxa"/>
            <w:vMerge w:val="restart"/>
            <w:vAlign w:val="center"/>
          </w:tcPr>
          <w:p>
            <w:pPr>
              <w:jc w:val="center"/>
              <w:rPr>
                <w:b/>
                <w:color w:val="000000"/>
                <w:szCs w:val="21"/>
              </w:rPr>
            </w:pPr>
            <w:r>
              <w:rPr>
                <w:b/>
                <w:color w:val="000000"/>
                <w:szCs w:val="21"/>
              </w:rPr>
              <w:t>声源名称</w:t>
            </w:r>
          </w:p>
        </w:tc>
        <w:tc>
          <w:tcPr>
            <w:tcW w:w="848" w:type="dxa"/>
            <w:vMerge w:val="restart"/>
            <w:vAlign w:val="center"/>
          </w:tcPr>
          <w:p>
            <w:pPr>
              <w:jc w:val="center"/>
              <w:rPr>
                <w:b/>
                <w:color w:val="000000"/>
                <w:szCs w:val="21"/>
              </w:rPr>
            </w:pPr>
            <w:r>
              <w:rPr>
                <w:b/>
                <w:color w:val="000000"/>
                <w:szCs w:val="21"/>
              </w:rPr>
              <w:t>声功率级/dB（A）</w:t>
            </w:r>
          </w:p>
        </w:tc>
        <w:tc>
          <w:tcPr>
            <w:tcW w:w="706" w:type="dxa"/>
            <w:vMerge w:val="restart"/>
            <w:vAlign w:val="center"/>
          </w:tcPr>
          <w:p>
            <w:pPr>
              <w:jc w:val="center"/>
              <w:rPr>
                <w:b/>
                <w:color w:val="000000"/>
                <w:szCs w:val="21"/>
              </w:rPr>
            </w:pPr>
            <w:r>
              <w:rPr>
                <w:b/>
                <w:color w:val="000000"/>
                <w:szCs w:val="21"/>
              </w:rPr>
              <w:t>声源控制措施</w:t>
            </w:r>
          </w:p>
        </w:tc>
        <w:tc>
          <w:tcPr>
            <w:tcW w:w="1677" w:type="dxa"/>
            <w:gridSpan w:val="3"/>
            <w:vAlign w:val="center"/>
          </w:tcPr>
          <w:p>
            <w:pPr>
              <w:jc w:val="center"/>
              <w:rPr>
                <w:b/>
                <w:color w:val="000000"/>
                <w:szCs w:val="21"/>
              </w:rPr>
            </w:pPr>
            <w:r>
              <w:rPr>
                <w:b/>
                <w:color w:val="000000"/>
                <w:szCs w:val="21"/>
              </w:rPr>
              <w:t>空间相对位置/m</w:t>
            </w:r>
          </w:p>
        </w:tc>
        <w:tc>
          <w:tcPr>
            <w:tcW w:w="1750" w:type="dxa"/>
            <w:gridSpan w:val="4"/>
            <w:vAlign w:val="center"/>
          </w:tcPr>
          <w:p>
            <w:pPr>
              <w:jc w:val="center"/>
              <w:rPr>
                <w:b/>
                <w:color w:val="000000"/>
                <w:szCs w:val="21"/>
              </w:rPr>
            </w:pPr>
            <w:r>
              <w:rPr>
                <w:b/>
                <w:color w:val="000000"/>
                <w:szCs w:val="21"/>
              </w:rPr>
              <w:t>距室内边界距离/m</w:t>
            </w:r>
          </w:p>
        </w:tc>
        <w:tc>
          <w:tcPr>
            <w:tcW w:w="2406" w:type="dxa"/>
            <w:gridSpan w:val="4"/>
            <w:vAlign w:val="center"/>
          </w:tcPr>
          <w:p>
            <w:pPr>
              <w:jc w:val="center"/>
              <w:rPr>
                <w:b/>
                <w:color w:val="000000"/>
                <w:szCs w:val="21"/>
              </w:rPr>
            </w:pPr>
            <w:r>
              <w:rPr>
                <w:b/>
                <w:color w:val="000000"/>
                <w:szCs w:val="21"/>
              </w:rPr>
              <w:t>室内边界声级/dB（A）</w:t>
            </w:r>
          </w:p>
        </w:tc>
        <w:tc>
          <w:tcPr>
            <w:tcW w:w="661" w:type="dxa"/>
            <w:vMerge w:val="restart"/>
            <w:vAlign w:val="center"/>
          </w:tcPr>
          <w:p>
            <w:pPr>
              <w:jc w:val="center"/>
              <w:rPr>
                <w:b/>
                <w:color w:val="000000"/>
                <w:szCs w:val="21"/>
              </w:rPr>
            </w:pPr>
            <w:r>
              <w:rPr>
                <w:b/>
                <w:color w:val="000000"/>
                <w:szCs w:val="21"/>
              </w:rPr>
              <w:t>运行时段/h</w:t>
            </w:r>
          </w:p>
        </w:tc>
        <w:tc>
          <w:tcPr>
            <w:tcW w:w="808" w:type="dxa"/>
            <w:vMerge w:val="restart"/>
            <w:vAlign w:val="center"/>
          </w:tcPr>
          <w:p>
            <w:pPr>
              <w:jc w:val="center"/>
              <w:rPr>
                <w:b/>
                <w:color w:val="000000"/>
                <w:szCs w:val="21"/>
              </w:rPr>
            </w:pPr>
            <w:r>
              <w:rPr>
                <w:b/>
                <w:color w:val="000000"/>
                <w:szCs w:val="21"/>
              </w:rPr>
              <w:t>建筑物插入损失/dB（A）</w:t>
            </w:r>
          </w:p>
        </w:tc>
        <w:tc>
          <w:tcPr>
            <w:tcW w:w="3231" w:type="dxa"/>
            <w:gridSpan w:val="5"/>
            <w:vAlign w:val="center"/>
          </w:tcPr>
          <w:p>
            <w:pPr>
              <w:jc w:val="center"/>
              <w:rPr>
                <w:b/>
                <w:color w:val="000000"/>
                <w:szCs w:val="21"/>
              </w:rPr>
            </w:pPr>
            <w:r>
              <w:rPr>
                <w:b/>
                <w:color w:val="000000"/>
                <w:szCs w:val="21"/>
              </w:rPr>
              <w:t>建筑物外噪声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07" w:hRule="atLeast"/>
        </w:trPr>
        <w:tc>
          <w:tcPr>
            <w:tcW w:w="437" w:type="dxa"/>
            <w:vMerge w:val="continue"/>
            <w:vAlign w:val="center"/>
          </w:tcPr>
          <w:p>
            <w:pPr>
              <w:jc w:val="center"/>
              <w:rPr>
                <w:b/>
                <w:color w:val="000000"/>
                <w:szCs w:val="21"/>
              </w:rPr>
            </w:pPr>
          </w:p>
        </w:tc>
        <w:tc>
          <w:tcPr>
            <w:tcW w:w="655" w:type="dxa"/>
            <w:vMerge w:val="continue"/>
            <w:vAlign w:val="center"/>
          </w:tcPr>
          <w:p>
            <w:pPr>
              <w:jc w:val="center"/>
              <w:rPr>
                <w:b/>
                <w:color w:val="000000"/>
                <w:szCs w:val="21"/>
              </w:rPr>
            </w:pPr>
          </w:p>
        </w:tc>
        <w:tc>
          <w:tcPr>
            <w:tcW w:w="995" w:type="dxa"/>
            <w:vMerge w:val="continue"/>
            <w:vAlign w:val="center"/>
          </w:tcPr>
          <w:p>
            <w:pPr>
              <w:jc w:val="center"/>
              <w:rPr>
                <w:b/>
                <w:color w:val="000000"/>
                <w:szCs w:val="21"/>
              </w:rPr>
            </w:pPr>
          </w:p>
        </w:tc>
        <w:tc>
          <w:tcPr>
            <w:tcW w:w="848" w:type="dxa"/>
            <w:vMerge w:val="continue"/>
            <w:vAlign w:val="center"/>
          </w:tcPr>
          <w:p>
            <w:pPr>
              <w:jc w:val="center"/>
              <w:rPr>
                <w:b/>
                <w:color w:val="000000"/>
                <w:szCs w:val="21"/>
              </w:rPr>
            </w:pPr>
          </w:p>
        </w:tc>
        <w:tc>
          <w:tcPr>
            <w:tcW w:w="706" w:type="dxa"/>
            <w:vMerge w:val="continue"/>
            <w:vAlign w:val="center"/>
          </w:tcPr>
          <w:p>
            <w:pPr>
              <w:jc w:val="center"/>
              <w:rPr>
                <w:b/>
                <w:color w:val="000000"/>
                <w:szCs w:val="21"/>
              </w:rPr>
            </w:pPr>
          </w:p>
        </w:tc>
        <w:tc>
          <w:tcPr>
            <w:tcW w:w="558" w:type="dxa"/>
            <w:vMerge w:val="restart"/>
            <w:vAlign w:val="center"/>
          </w:tcPr>
          <w:p>
            <w:pPr>
              <w:jc w:val="center"/>
              <w:rPr>
                <w:b/>
                <w:color w:val="000000"/>
                <w:szCs w:val="21"/>
              </w:rPr>
            </w:pPr>
            <w:r>
              <w:rPr>
                <w:b/>
                <w:color w:val="000000"/>
                <w:szCs w:val="21"/>
              </w:rPr>
              <w:t>X</w:t>
            </w:r>
          </w:p>
        </w:tc>
        <w:tc>
          <w:tcPr>
            <w:tcW w:w="558" w:type="dxa"/>
            <w:vMerge w:val="restart"/>
            <w:vAlign w:val="center"/>
          </w:tcPr>
          <w:p>
            <w:pPr>
              <w:jc w:val="center"/>
              <w:rPr>
                <w:b/>
                <w:color w:val="000000"/>
                <w:szCs w:val="21"/>
              </w:rPr>
            </w:pPr>
            <w:r>
              <w:rPr>
                <w:b/>
                <w:color w:val="000000"/>
                <w:szCs w:val="21"/>
              </w:rPr>
              <w:t>Y</w:t>
            </w:r>
          </w:p>
        </w:tc>
        <w:tc>
          <w:tcPr>
            <w:tcW w:w="561" w:type="dxa"/>
            <w:vMerge w:val="restart"/>
            <w:vAlign w:val="center"/>
          </w:tcPr>
          <w:p>
            <w:pPr>
              <w:jc w:val="center"/>
              <w:rPr>
                <w:b/>
                <w:color w:val="000000"/>
                <w:szCs w:val="21"/>
              </w:rPr>
            </w:pPr>
            <w:r>
              <w:rPr>
                <w:b/>
                <w:color w:val="000000"/>
                <w:szCs w:val="21"/>
              </w:rPr>
              <w:t>Z</w:t>
            </w:r>
          </w:p>
        </w:tc>
        <w:tc>
          <w:tcPr>
            <w:tcW w:w="437" w:type="dxa"/>
            <w:vMerge w:val="restart"/>
            <w:vAlign w:val="center"/>
          </w:tcPr>
          <w:p>
            <w:pPr>
              <w:jc w:val="center"/>
              <w:rPr>
                <w:b/>
                <w:color w:val="000000"/>
                <w:szCs w:val="21"/>
              </w:rPr>
            </w:pPr>
            <w:r>
              <w:rPr>
                <w:b/>
                <w:color w:val="000000"/>
                <w:szCs w:val="21"/>
              </w:rPr>
              <w:t>东</w:t>
            </w:r>
          </w:p>
        </w:tc>
        <w:tc>
          <w:tcPr>
            <w:tcW w:w="437" w:type="dxa"/>
            <w:vMerge w:val="restart"/>
            <w:vAlign w:val="center"/>
          </w:tcPr>
          <w:p>
            <w:pPr>
              <w:jc w:val="center"/>
              <w:rPr>
                <w:b/>
                <w:color w:val="000000"/>
                <w:szCs w:val="21"/>
              </w:rPr>
            </w:pPr>
            <w:r>
              <w:rPr>
                <w:b/>
                <w:color w:val="000000"/>
                <w:szCs w:val="21"/>
              </w:rPr>
              <w:t>南</w:t>
            </w:r>
          </w:p>
        </w:tc>
        <w:tc>
          <w:tcPr>
            <w:tcW w:w="437" w:type="dxa"/>
            <w:vMerge w:val="restart"/>
            <w:vAlign w:val="center"/>
          </w:tcPr>
          <w:p>
            <w:pPr>
              <w:jc w:val="center"/>
              <w:rPr>
                <w:b/>
                <w:color w:val="000000"/>
                <w:szCs w:val="21"/>
              </w:rPr>
            </w:pPr>
            <w:r>
              <w:rPr>
                <w:b/>
                <w:color w:val="000000"/>
                <w:szCs w:val="21"/>
              </w:rPr>
              <w:t>西</w:t>
            </w:r>
          </w:p>
        </w:tc>
        <w:tc>
          <w:tcPr>
            <w:tcW w:w="439" w:type="dxa"/>
            <w:vMerge w:val="restart"/>
            <w:vAlign w:val="center"/>
          </w:tcPr>
          <w:p>
            <w:pPr>
              <w:jc w:val="center"/>
              <w:rPr>
                <w:b/>
                <w:color w:val="000000"/>
                <w:szCs w:val="21"/>
              </w:rPr>
            </w:pPr>
            <w:r>
              <w:rPr>
                <w:b/>
                <w:color w:val="000000"/>
                <w:szCs w:val="21"/>
              </w:rPr>
              <w:t>北</w:t>
            </w:r>
          </w:p>
        </w:tc>
        <w:tc>
          <w:tcPr>
            <w:tcW w:w="595" w:type="dxa"/>
            <w:vMerge w:val="restart"/>
            <w:vAlign w:val="center"/>
          </w:tcPr>
          <w:p>
            <w:pPr>
              <w:jc w:val="center"/>
              <w:rPr>
                <w:b/>
                <w:color w:val="000000"/>
                <w:szCs w:val="21"/>
              </w:rPr>
            </w:pPr>
            <w:r>
              <w:rPr>
                <w:b/>
                <w:color w:val="000000"/>
                <w:szCs w:val="21"/>
              </w:rPr>
              <w:t>东</w:t>
            </w:r>
          </w:p>
        </w:tc>
        <w:tc>
          <w:tcPr>
            <w:tcW w:w="595" w:type="dxa"/>
            <w:vMerge w:val="restart"/>
            <w:vAlign w:val="center"/>
          </w:tcPr>
          <w:p>
            <w:pPr>
              <w:jc w:val="center"/>
              <w:rPr>
                <w:b/>
                <w:color w:val="000000"/>
                <w:szCs w:val="21"/>
              </w:rPr>
            </w:pPr>
            <w:r>
              <w:rPr>
                <w:b/>
                <w:color w:val="000000"/>
                <w:szCs w:val="21"/>
              </w:rPr>
              <w:t>南</w:t>
            </w:r>
          </w:p>
        </w:tc>
        <w:tc>
          <w:tcPr>
            <w:tcW w:w="595" w:type="dxa"/>
            <w:vMerge w:val="restart"/>
            <w:vAlign w:val="center"/>
          </w:tcPr>
          <w:p>
            <w:pPr>
              <w:jc w:val="center"/>
              <w:rPr>
                <w:b/>
                <w:color w:val="000000"/>
                <w:szCs w:val="21"/>
              </w:rPr>
            </w:pPr>
            <w:r>
              <w:rPr>
                <w:b/>
                <w:color w:val="000000"/>
                <w:szCs w:val="21"/>
              </w:rPr>
              <w:t>西</w:t>
            </w:r>
          </w:p>
        </w:tc>
        <w:tc>
          <w:tcPr>
            <w:tcW w:w="621" w:type="dxa"/>
            <w:vMerge w:val="restart"/>
            <w:vAlign w:val="center"/>
          </w:tcPr>
          <w:p>
            <w:pPr>
              <w:jc w:val="center"/>
              <w:rPr>
                <w:b/>
                <w:color w:val="000000"/>
                <w:szCs w:val="21"/>
              </w:rPr>
            </w:pPr>
            <w:r>
              <w:rPr>
                <w:b/>
                <w:color w:val="000000"/>
                <w:szCs w:val="21"/>
              </w:rPr>
              <w:t>北</w:t>
            </w:r>
          </w:p>
        </w:tc>
        <w:tc>
          <w:tcPr>
            <w:tcW w:w="661" w:type="dxa"/>
            <w:vMerge w:val="continue"/>
            <w:vAlign w:val="center"/>
          </w:tcPr>
          <w:p>
            <w:pPr>
              <w:jc w:val="center"/>
              <w:rPr>
                <w:b/>
                <w:color w:val="000000"/>
                <w:szCs w:val="21"/>
              </w:rPr>
            </w:pPr>
          </w:p>
        </w:tc>
        <w:tc>
          <w:tcPr>
            <w:tcW w:w="808" w:type="dxa"/>
            <w:vMerge w:val="continue"/>
            <w:vAlign w:val="center"/>
          </w:tcPr>
          <w:p>
            <w:pPr>
              <w:jc w:val="center"/>
              <w:rPr>
                <w:b/>
                <w:color w:val="000000"/>
                <w:szCs w:val="21"/>
              </w:rPr>
            </w:pPr>
          </w:p>
        </w:tc>
        <w:tc>
          <w:tcPr>
            <w:tcW w:w="2406" w:type="dxa"/>
            <w:gridSpan w:val="4"/>
            <w:vAlign w:val="center"/>
          </w:tcPr>
          <w:p>
            <w:pPr>
              <w:jc w:val="center"/>
              <w:rPr>
                <w:b/>
                <w:color w:val="000000"/>
                <w:szCs w:val="21"/>
              </w:rPr>
            </w:pPr>
            <w:r>
              <w:rPr>
                <w:b/>
                <w:color w:val="000000"/>
                <w:szCs w:val="21"/>
              </w:rPr>
              <w:t>声压级/dB（A）</w:t>
            </w:r>
          </w:p>
        </w:tc>
        <w:tc>
          <w:tcPr>
            <w:tcW w:w="825" w:type="dxa"/>
            <w:vMerge w:val="restart"/>
            <w:vAlign w:val="center"/>
          </w:tcPr>
          <w:p>
            <w:pPr>
              <w:jc w:val="center"/>
              <w:rPr>
                <w:b/>
                <w:color w:val="000000"/>
                <w:szCs w:val="21"/>
              </w:rPr>
            </w:pPr>
            <w:r>
              <w:rPr>
                <w:b/>
                <w:color w:val="000000"/>
                <w:szCs w:val="21"/>
              </w:rPr>
              <w:t>建筑物外距离/m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07" w:hRule="atLeast"/>
        </w:trPr>
        <w:tc>
          <w:tcPr>
            <w:tcW w:w="437" w:type="dxa"/>
            <w:vMerge w:val="continue"/>
            <w:vAlign w:val="center"/>
          </w:tcPr>
          <w:p>
            <w:pPr>
              <w:jc w:val="center"/>
              <w:rPr>
                <w:b/>
                <w:color w:val="000000"/>
                <w:szCs w:val="21"/>
              </w:rPr>
            </w:pPr>
          </w:p>
        </w:tc>
        <w:tc>
          <w:tcPr>
            <w:tcW w:w="655" w:type="dxa"/>
            <w:vMerge w:val="continue"/>
            <w:vAlign w:val="center"/>
          </w:tcPr>
          <w:p>
            <w:pPr>
              <w:jc w:val="center"/>
              <w:rPr>
                <w:b/>
                <w:color w:val="000000"/>
                <w:szCs w:val="21"/>
              </w:rPr>
            </w:pPr>
          </w:p>
        </w:tc>
        <w:tc>
          <w:tcPr>
            <w:tcW w:w="995" w:type="dxa"/>
            <w:vMerge w:val="continue"/>
            <w:vAlign w:val="center"/>
          </w:tcPr>
          <w:p>
            <w:pPr>
              <w:jc w:val="center"/>
              <w:rPr>
                <w:b/>
                <w:color w:val="000000"/>
                <w:szCs w:val="21"/>
              </w:rPr>
            </w:pPr>
          </w:p>
        </w:tc>
        <w:tc>
          <w:tcPr>
            <w:tcW w:w="848" w:type="dxa"/>
            <w:vMerge w:val="continue"/>
            <w:vAlign w:val="center"/>
          </w:tcPr>
          <w:p>
            <w:pPr>
              <w:jc w:val="center"/>
              <w:rPr>
                <w:b/>
                <w:color w:val="000000"/>
                <w:szCs w:val="21"/>
              </w:rPr>
            </w:pPr>
          </w:p>
        </w:tc>
        <w:tc>
          <w:tcPr>
            <w:tcW w:w="706" w:type="dxa"/>
            <w:vMerge w:val="continue"/>
            <w:vAlign w:val="center"/>
          </w:tcPr>
          <w:p>
            <w:pPr>
              <w:jc w:val="center"/>
              <w:rPr>
                <w:b/>
                <w:color w:val="000000"/>
                <w:szCs w:val="21"/>
              </w:rPr>
            </w:pPr>
          </w:p>
        </w:tc>
        <w:tc>
          <w:tcPr>
            <w:tcW w:w="558" w:type="dxa"/>
            <w:vMerge w:val="continue"/>
            <w:vAlign w:val="center"/>
          </w:tcPr>
          <w:p>
            <w:pPr>
              <w:jc w:val="center"/>
              <w:rPr>
                <w:b/>
                <w:color w:val="000000"/>
                <w:szCs w:val="21"/>
              </w:rPr>
            </w:pPr>
          </w:p>
        </w:tc>
        <w:tc>
          <w:tcPr>
            <w:tcW w:w="558" w:type="dxa"/>
            <w:vMerge w:val="continue"/>
            <w:vAlign w:val="center"/>
          </w:tcPr>
          <w:p>
            <w:pPr>
              <w:jc w:val="center"/>
              <w:rPr>
                <w:b/>
                <w:color w:val="000000"/>
                <w:szCs w:val="21"/>
              </w:rPr>
            </w:pPr>
          </w:p>
        </w:tc>
        <w:tc>
          <w:tcPr>
            <w:tcW w:w="561" w:type="dxa"/>
            <w:vMerge w:val="continue"/>
            <w:vAlign w:val="center"/>
          </w:tcPr>
          <w:p>
            <w:pPr>
              <w:jc w:val="center"/>
              <w:rPr>
                <w:b/>
                <w:color w:val="000000"/>
                <w:szCs w:val="21"/>
              </w:rPr>
            </w:pPr>
          </w:p>
        </w:tc>
        <w:tc>
          <w:tcPr>
            <w:tcW w:w="437" w:type="dxa"/>
            <w:vMerge w:val="continue"/>
            <w:vAlign w:val="center"/>
          </w:tcPr>
          <w:p>
            <w:pPr>
              <w:jc w:val="center"/>
              <w:rPr>
                <w:b/>
                <w:color w:val="000000"/>
                <w:szCs w:val="21"/>
              </w:rPr>
            </w:pPr>
          </w:p>
        </w:tc>
        <w:tc>
          <w:tcPr>
            <w:tcW w:w="437" w:type="dxa"/>
            <w:vMerge w:val="continue"/>
            <w:vAlign w:val="center"/>
          </w:tcPr>
          <w:p>
            <w:pPr>
              <w:jc w:val="center"/>
              <w:rPr>
                <w:b/>
                <w:color w:val="000000"/>
                <w:szCs w:val="21"/>
              </w:rPr>
            </w:pPr>
          </w:p>
        </w:tc>
        <w:tc>
          <w:tcPr>
            <w:tcW w:w="437" w:type="dxa"/>
            <w:vMerge w:val="continue"/>
            <w:vAlign w:val="center"/>
          </w:tcPr>
          <w:p>
            <w:pPr>
              <w:jc w:val="center"/>
              <w:rPr>
                <w:b/>
                <w:color w:val="000000"/>
                <w:szCs w:val="21"/>
              </w:rPr>
            </w:pPr>
          </w:p>
        </w:tc>
        <w:tc>
          <w:tcPr>
            <w:tcW w:w="439" w:type="dxa"/>
            <w:vMerge w:val="continue"/>
            <w:vAlign w:val="center"/>
          </w:tcPr>
          <w:p>
            <w:pPr>
              <w:jc w:val="center"/>
              <w:rPr>
                <w:b/>
                <w:color w:val="000000"/>
                <w:szCs w:val="21"/>
              </w:rPr>
            </w:pPr>
          </w:p>
        </w:tc>
        <w:tc>
          <w:tcPr>
            <w:tcW w:w="595" w:type="dxa"/>
            <w:vMerge w:val="continue"/>
            <w:vAlign w:val="center"/>
          </w:tcPr>
          <w:p>
            <w:pPr>
              <w:jc w:val="center"/>
              <w:rPr>
                <w:b/>
                <w:color w:val="000000"/>
                <w:szCs w:val="21"/>
              </w:rPr>
            </w:pPr>
          </w:p>
        </w:tc>
        <w:tc>
          <w:tcPr>
            <w:tcW w:w="595" w:type="dxa"/>
            <w:vMerge w:val="continue"/>
            <w:vAlign w:val="center"/>
          </w:tcPr>
          <w:p>
            <w:pPr>
              <w:jc w:val="center"/>
              <w:rPr>
                <w:b/>
                <w:color w:val="000000"/>
                <w:szCs w:val="21"/>
              </w:rPr>
            </w:pPr>
          </w:p>
        </w:tc>
        <w:tc>
          <w:tcPr>
            <w:tcW w:w="595" w:type="dxa"/>
            <w:vMerge w:val="continue"/>
            <w:vAlign w:val="center"/>
          </w:tcPr>
          <w:p>
            <w:pPr>
              <w:jc w:val="center"/>
              <w:rPr>
                <w:b/>
                <w:color w:val="000000"/>
                <w:szCs w:val="21"/>
              </w:rPr>
            </w:pPr>
          </w:p>
        </w:tc>
        <w:tc>
          <w:tcPr>
            <w:tcW w:w="621" w:type="dxa"/>
            <w:vMerge w:val="continue"/>
            <w:vAlign w:val="center"/>
          </w:tcPr>
          <w:p>
            <w:pPr>
              <w:jc w:val="center"/>
              <w:rPr>
                <w:b/>
                <w:color w:val="000000"/>
                <w:szCs w:val="21"/>
              </w:rPr>
            </w:pPr>
          </w:p>
        </w:tc>
        <w:tc>
          <w:tcPr>
            <w:tcW w:w="661" w:type="dxa"/>
            <w:vMerge w:val="continue"/>
            <w:vAlign w:val="center"/>
          </w:tcPr>
          <w:p>
            <w:pPr>
              <w:jc w:val="center"/>
              <w:rPr>
                <w:b/>
                <w:color w:val="000000"/>
                <w:szCs w:val="21"/>
              </w:rPr>
            </w:pPr>
          </w:p>
        </w:tc>
        <w:tc>
          <w:tcPr>
            <w:tcW w:w="808" w:type="dxa"/>
            <w:vMerge w:val="continue"/>
            <w:vAlign w:val="center"/>
          </w:tcPr>
          <w:p>
            <w:pPr>
              <w:jc w:val="center"/>
              <w:rPr>
                <w:b/>
                <w:color w:val="000000"/>
                <w:szCs w:val="21"/>
              </w:rPr>
            </w:pPr>
          </w:p>
        </w:tc>
        <w:tc>
          <w:tcPr>
            <w:tcW w:w="595" w:type="dxa"/>
            <w:vAlign w:val="center"/>
          </w:tcPr>
          <w:p>
            <w:pPr>
              <w:jc w:val="center"/>
              <w:rPr>
                <w:b/>
                <w:color w:val="000000"/>
                <w:szCs w:val="21"/>
              </w:rPr>
            </w:pPr>
            <w:r>
              <w:rPr>
                <w:b/>
                <w:color w:val="000000"/>
                <w:szCs w:val="21"/>
              </w:rPr>
              <w:t>东</w:t>
            </w:r>
          </w:p>
        </w:tc>
        <w:tc>
          <w:tcPr>
            <w:tcW w:w="595" w:type="dxa"/>
            <w:vAlign w:val="center"/>
          </w:tcPr>
          <w:p>
            <w:pPr>
              <w:jc w:val="center"/>
              <w:rPr>
                <w:b/>
                <w:color w:val="000000"/>
                <w:szCs w:val="21"/>
              </w:rPr>
            </w:pPr>
            <w:r>
              <w:rPr>
                <w:b/>
                <w:color w:val="000000"/>
                <w:szCs w:val="21"/>
              </w:rPr>
              <w:t>南</w:t>
            </w:r>
          </w:p>
        </w:tc>
        <w:tc>
          <w:tcPr>
            <w:tcW w:w="595" w:type="dxa"/>
            <w:vAlign w:val="center"/>
          </w:tcPr>
          <w:p>
            <w:pPr>
              <w:jc w:val="center"/>
              <w:rPr>
                <w:b/>
                <w:color w:val="000000"/>
                <w:szCs w:val="21"/>
              </w:rPr>
            </w:pPr>
            <w:r>
              <w:rPr>
                <w:b/>
                <w:color w:val="000000"/>
                <w:szCs w:val="21"/>
              </w:rPr>
              <w:t>西</w:t>
            </w:r>
          </w:p>
        </w:tc>
        <w:tc>
          <w:tcPr>
            <w:tcW w:w="621" w:type="dxa"/>
            <w:vAlign w:val="center"/>
          </w:tcPr>
          <w:p>
            <w:pPr>
              <w:jc w:val="center"/>
              <w:rPr>
                <w:b/>
                <w:color w:val="000000"/>
                <w:szCs w:val="21"/>
              </w:rPr>
            </w:pPr>
            <w:r>
              <w:rPr>
                <w:b/>
                <w:color w:val="000000"/>
                <w:szCs w:val="21"/>
              </w:rPr>
              <w:t>北</w:t>
            </w:r>
          </w:p>
        </w:tc>
        <w:tc>
          <w:tcPr>
            <w:tcW w:w="825" w:type="dxa"/>
            <w:vMerge w:val="continue"/>
            <w:vAlign w:val="center"/>
          </w:tcPr>
          <w:p>
            <w:pPr>
              <w:jc w:val="center"/>
              <w:rPr>
                <w:b/>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437" w:type="dxa"/>
            <w:vMerge w:val="restart"/>
            <w:vAlign w:val="center"/>
          </w:tcPr>
          <w:p>
            <w:pPr>
              <w:jc w:val="center"/>
              <w:rPr>
                <w:color w:val="000000"/>
                <w:szCs w:val="21"/>
              </w:rPr>
            </w:pPr>
            <w:r>
              <w:rPr>
                <w:color w:val="000000"/>
                <w:szCs w:val="21"/>
              </w:rPr>
              <w:t>1</w:t>
            </w:r>
          </w:p>
        </w:tc>
        <w:tc>
          <w:tcPr>
            <w:tcW w:w="655" w:type="dxa"/>
            <w:vMerge w:val="restart"/>
            <w:vAlign w:val="center"/>
          </w:tcPr>
          <w:p>
            <w:pPr>
              <w:jc w:val="center"/>
              <w:rPr>
                <w:color w:val="000000"/>
                <w:szCs w:val="21"/>
              </w:rPr>
            </w:pPr>
            <w:r>
              <w:rPr>
                <w:rFonts w:hint="eastAsia"/>
                <w:color w:val="000000" w:themeColor="text1"/>
                <w:szCs w:val="21"/>
              </w:rPr>
              <w:t>生产</w:t>
            </w:r>
            <w:r>
              <w:rPr>
                <w:color w:val="000000"/>
                <w:szCs w:val="21"/>
              </w:rPr>
              <w:t>车间</w:t>
            </w:r>
          </w:p>
        </w:tc>
        <w:tc>
          <w:tcPr>
            <w:tcW w:w="995" w:type="dxa"/>
            <w:vAlign w:val="center"/>
          </w:tcPr>
          <w:p>
            <w:pPr>
              <w:adjustRightInd w:val="0"/>
              <w:snapToGrid w:val="0"/>
              <w:jc w:val="center"/>
              <w:rPr>
                <w:bCs/>
                <w:snapToGrid w:val="0"/>
                <w:color w:val="000000"/>
                <w:szCs w:val="21"/>
              </w:rPr>
            </w:pPr>
            <w:r>
              <w:rPr>
                <w:rFonts w:hint="eastAsia"/>
                <w:bCs/>
                <w:snapToGrid w:val="0"/>
                <w:color w:val="000000"/>
                <w:szCs w:val="21"/>
              </w:rPr>
              <w:t>破捆机</w:t>
            </w:r>
          </w:p>
        </w:tc>
        <w:tc>
          <w:tcPr>
            <w:tcW w:w="848" w:type="dxa"/>
            <w:vAlign w:val="center"/>
          </w:tcPr>
          <w:p>
            <w:pPr>
              <w:adjustRightInd w:val="0"/>
              <w:snapToGrid w:val="0"/>
              <w:jc w:val="center"/>
              <w:rPr>
                <w:bCs/>
                <w:snapToGrid w:val="0"/>
                <w:color w:val="000000"/>
                <w:szCs w:val="21"/>
              </w:rPr>
            </w:pPr>
            <w:r>
              <w:rPr>
                <w:rFonts w:hint="eastAsia"/>
                <w:bCs/>
                <w:snapToGrid w:val="0"/>
                <w:color w:val="000000"/>
                <w:szCs w:val="21"/>
              </w:rPr>
              <w:t>85</w:t>
            </w:r>
          </w:p>
        </w:tc>
        <w:tc>
          <w:tcPr>
            <w:tcW w:w="706" w:type="dxa"/>
            <w:vMerge w:val="restart"/>
            <w:vAlign w:val="center"/>
          </w:tcPr>
          <w:p>
            <w:pPr>
              <w:jc w:val="center"/>
              <w:rPr>
                <w:color w:val="000000"/>
                <w:szCs w:val="21"/>
              </w:rPr>
            </w:pPr>
            <w:r>
              <w:rPr>
                <w:color w:val="000000"/>
                <w:szCs w:val="21"/>
              </w:rPr>
              <w:t>基础减震</w:t>
            </w:r>
          </w:p>
        </w:tc>
        <w:tc>
          <w:tcPr>
            <w:tcW w:w="558" w:type="dxa"/>
            <w:vAlign w:val="center"/>
          </w:tcPr>
          <w:p>
            <w:pPr>
              <w:adjustRightInd w:val="0"/>
              <w:snapToGrid w:val="0"/>
              <w:jc w:val="center"/>
              <w:rPr>
                <w:bCs/>
                <w:snapToGrid w:val="0"/>
                <w:color w:val="000000"/>
                <w:szCs w:val="21"/>
              </w:rPr>
            </w:pPr>
            <w:r>
              <w:rPr>
                <w:rFonts w:hint="eastAsia"/>
                <w:bCs/>
                <w:snapToGrid w:val="0"/>
                <w:color w:val="000000"/>
                <w:szCs w:val="21"/>
              </w:rPr>
              <w:t>12</w:t>
            </w:r>
          </w:p>
        </w:tc>
        <w:tc>
          <w:tcPr>
            <w:tcW w:w="558" w:type="dxa"/>
            <w:vAlign w:val="center"/>
          </w:tcPr>
          <w:p>
            <w:pPr>
              <w:adjustRightInd w:val="0"/>
              <w:snapToGrid w:val="0"/>
              <w:jc w:val="center"/>
              <w:rPr>
                <w:bCs/>
                <w:snapToGrid w:val="0"/>
                <w:color w:val="000000"/>
                <w:szCs w:val="21"/>
              </w:rPr>
            </w:pPr>
            <w:r>
              <w:rPr>
                <w:rFonts w:hint="eastAsia"/>
                <w:bCs/>
                <w:snapToGrid w:val="0"/>
                <w:color w:val="000000"/>
                <w:szCs w:val="21"/>
              </w:rPr>
              <w:t>15</w:t>
            </w:r>
          </w:p>
        </w:tc>
        <w:tc>
          <w:tcPr>
            <w:tcW w:w="561" w:type="dxa"/>
            <w:vAlign w:val="center"/>
          </w:tcPr>
          <w:p>
            <w:pPr>
              <w:adjustRightInd w:val="0"/>
              <w:snapToGrid w:val="0"/>
              <w:jc w:val="center"/>
              <w:rPr>
                <w:bCs/>
                <w:snapToGrid w:val="0"/>
                <w:color w:val="000000"/>
                <w:szCs w:val="21"/>
              </w:rPr>
            </w:pPr>
            <w:r>
              <w:rPr>
                <w:rFonts w:hint="eastAsia"/>
                <w:bCs/>
                <w:snapToGrid w:val="0"/>
                <w:color w:val="000000"/>
                <w:szCs w:val="21"/>
              </w:rPr>
              <w:t>1.2</w:t>
            </w:r>
          </w:p>
        </w:tc>
        <w:tc>
          <w:tcPr>
            <w:tcW w:w="437" w:type="dxa"/>
            <w:vAlign w:val="center"/>
          </w:tcPr>
          <w:p>
            <w:pPr>
              <w:jc w:val="center"/>
              <w:rPr>
                <w:color w:val="000000"/>
                <w:szCs w:val="21"/>
              </w:rPr>
            </w:pPr>
            <w:r>
              <w:rPr>
                <w:rFonts w:hint="eastAsia"/>
                <w:color w:val="000000" w:themeColor="text1"/>
                <w:szCs w:val="21"/>
              </w:rPr>
              <w:t>15</w:t>
            </w:r>
          </w:p>
        </w:tc>
        <w:tc>
          <w:tcPr>
            <w:tcW w:w="437" w:type="dxa"/>
            <w:vAlign w:val="center"/>
          </w:tcPr>
          <w:p>
            <w:pPr>
              <w:jc w:val="center"/>
              <w:rPr>
                <w:color w:val="000000"/>
                <w:szCs w:val="21"/>
              </w:rPr>
            </w:pPr>
            <w:r>
              <w:rPr>
                <w:rFonts w:hint="eastAsia"/>
                <w:color w:val="000000" w:themeColor="text1"/>
                <w:szCs w:val="21"/>
              </w:rPr>
              <w:t>65</w:t>
            </w:r>
          </w:p>
        </w:tc>
        <w:tc>
          <w:tcPr>
            <w:tcW w:w="437" w:type="dxa"/>
            <w:vAlign w:val="center"/>
          </w:tcPr>
          <w:p>
            <w:pPr>
              <w:jc w:val="center"/>
              <w:rPr>
                <w:color w:val="000000"/>
                <w:szCs w:val="21"/>
              </w:rPr>
            </w:pPr>
            <w:r>
              <w:rPr>
                <w:rFonts w:hint="eastAsia"/>
                <w:color w:val="000000" w:themeColor="text1"/>
                <w:szCs w:val="21"/>
              </w:rPr>
              <w:t>15</w:t>
            </w:r>
          </w:p>
        </w:tc>
        <w:tc>
          <w:tcPr>
            <w:tcW w:w="439" w:type="dxa"/>
            <w:vAlign w:val="center"/>
          </w:tcPr>
          <w:p>
            <w:pPr>
              <w:jc w:val="center"/>
              <w:rPr>
                <w:color w:val="000000"/>
                <w:szCs w:val="21"/>
              </w:rPr>
            </w:pPr>
            <w:r>
              <w:rPr>
                <w:rFonts w:hint="eastAsia"/>
                <w:color w:val="000000" w:themeColor="text1"/>
                <w:szCs w:val="21"/>
              </w:rPr>
              <w:t>15</w:t>
            </w:r>
          </w:p>
        </w:tc>
        <w:tc>
          <w:tcPr>
            <w:tcW w:w="595" w:type="dxa"/>
            <w:vAlign w:val="center"/>
          </w:tcPr>
          <w:p>
            <w:pPr>
              <w:jc w:val="center"/>
              <w:rPr>
                <w:rFonts w:ascii="宋体" w:hAnsi="宋体" w:cs="宋体"/>
                <w:color w:val="000000"/>
                <w:szCs w:val="21"/>
              </w:rPr>
            </w:pPr>
            <w:r>
              <w:rPr>
                <w:rFonts w:hint="eastAsia"/>
                <w:color w:val="000000"/>
                <w:szCs w:val="21"/>
              </w:rPr>
              <w:t xml:space="preserve">61.5 </w:t>
            </w:r>
          </w:p>
        </w:tc>
        <w:tc>
          <w:tcPr>
            <w:tcW w:w="595" w:type="dxa"/>
            <w:vAlign w:val="center"/>
          </w:tcPr>
          <w:p>
            <w:pPr>
              <w:jc w:val="center"/>
              <w:rPr>
                <w:rFonts w:ascii="宋体" w:hAnsi="宋体" w:cs="宋体"/>
                <w:color w:val="000000"/>
                <w:szCs w:val="21"/>
              </w:rPr>
            </w:pPr>
            <w:r>
              <w:rPr>
                <w:rFonts w:hint="eastAsia"/>
                <w:color w:val="000000"/>
                <w:szCs w:val="21"/>
              </w:rPr>
              <w:t xml:space="preserve">48.7 </w:t>
            </w:r>
          </w:p>
        </w:tc>
        <w:tc>
          <w:tcPr>
            <w:tcW w:w="595" w:type="dxa"/>
            <w:vAlign w:val="center"/>
          </w:tcPr>
          <w:p>
            <w:pPr>
              <w:jc w:val="center"/>
              <w:rPr>
                <w:rFonts w:ascii="宋体" w:hAnsi="宋体" w:cs="宋体"/>
                <w:color w:val="000000"/>
                <w:szCs w:val="21"/>
              </w:rPr>
            </w:pPr>
            <w:r>
              <w:rPr>
                <w:rFonts w:hint="eastAsia"/>
                <w:color w:val="000000"/>
                <w:szCs w:val="21"/>
              </w:rPr>
              <w:t xml:space="preserve">61.5 </w:t>
            </w:r>
          </w:p>
        </w:tc>
        <w:tc>
          <w:tcPr>
            <w:tcW w:w="621" w:type="dxa"/>
            <w:vAlign w:val="center"/>
          </w:tcPr>
          <w:p>
            <w:pPr>
              <w:jc w:val="center"/>
              <w:rPr>
                <w:rFonts w:ascii="宋体" w:hAnsi="宋体" w:cs="宋体"/>
                <w:color w:val="000000"/>
                <w:szCs w:val="21"/>
              </w:rPr>
            </w:pPr>
            <w:r>
              <w:rPr>
                <w:rFonts w:hint="eastAsia"/>
                <w:color w:val="000000"/>
                <w:szCs w:val="21"/>
              </w:rPr>
              <w:t xml:space="preserve">61.5 </w:t>
            </w:r>
          </w:p>
        </w:tc>
        <w:tc>
          <w:tcPr>
            <w:tcW w:w="661" w:type="dxa"/>
            <w:vAlign w:val="center"/>
          </w:tcPr>
          <w:p>
            <w:pPr>
              <w:jc w:val="center"/>
              <w:rPr>
                <w:color w:val="000000"/>
                <w:szCs w:val="21"/>
              </w:rPr>
            </w:pPr>
            <w:r>
              <w:rPr>
                <w:rFonts w:hint="eastAsia"/>
                <w:color w:val="000000" w:themeColor="text1"/>
                <w:szCs w:val="21"/>
              </w:rPr>
              <w:t>1920</w:t>
            </w:r>
          </w:p>
        </w:tc>
        <w:tc>
          <w:tcPr>
            <w:tcW w:w="808" w:type="dxa"/>
            <w:vAlign w:val="center"/>
          </w:tcPr>
          <w:p>
            <w:pPr>
              <w:jc w:val="center"/>
              <w:rPr>
                <w:color w:val="000000"/>
                <w:szCs w:val="21"/>
              </w:rPr>
            </w:pPr>
            <w:r>
              <w:rPr>
                <w:color w:val="000000"/>
                <w:szCs w:val="21"/>
              </w:rPr>
              <w:t>2</w:t>
            </w:r>
            <w:r>
              <w:rPr>
                <w:rFonts w:hint="eastAsia"/>
                <w:color w:val="000000" w:themeColor="text1"/>
                <w:szCs w:val="21"/>
              </w:rPr>
              <w:t>0</w:t>
            </w:r>
          </w:p>
        </w:tc>
        <w:tc>
          <w:tcPr>
            <w:tcW w:w="595" w:type="dxa"/>
            <w:vAlign w:val="center"/>
          </w:tcPr>
          <w:p>
            <w:pPr>
              <w:jc w:val="center"/>
              <w:rPr>
                <w:rFonts w:ascii="宋体" w:hAnsi="宋体" w:cs="宋体"/>
                <w:color w:val="000000"/>
                <w:szCs w:val="21"/>
              </w:rPr>
            </w:pPr>
            <w:r>
              <w:rPr>
                <w:rFonts w:hint="eastAsia"/>
                <w:color w:val="000000"/>
                <w:szCs w:val="21"/>
              </w:rPr>
              <w:t xml:space="preserve">41.5 </w:t>
            </w:r>
          </w:p>
        </w:tc>
        <w:tc>
          <w:tcPr>
            <w:tcW w:w="595" w:type="dxa"/>
            <w:vAlign w:val="center"/>
          </w:tcPr>
          <w:p>
            <w:pPr>
              <w:jc w:val="center"/>
              <w:rPr>
                <w:rFonts w:ascii="宋体" w:hAnsi="宋体" w:cs="宋体"/>
                <w:color w:val="000000"/>
                <w:szCs w:val="21"/>
              </w:rPr>
            </w:pPr>
            <w:r>
              <w:rPr>
                <w:rFonts w:hint="eastAsia"/>
                <w:color w:val="000000"/>
                <w:szCs w:val="21"/>
              </w:rPr>
              <w:t xml:space="preserve">28.7 </w:t>
            </w:r>
          </w:p>
        </w:tc>
        <w:tc>
          <w:tcPr>
            <w:tcW w:w="595" w:type="dxa"/>
            <w:vAlign w:val="center"/>
          </w:tcPr>
          <w:p>
            <w:pPr>
              <w:jc w:val="center"/>
              <w:rPr>
                <w:rFonts w:ascii="宋体" w:hAnsi="宋体" w:cs="宋体"/>
                <w:color w:val="000000"/>
                <w:szCs w:val="21"/>
              </w:rPr>
            </w:pPr>
            <w:r>
              <w:rPr>
                <w:rFonts w:hint="eastAsia"/>
                <w:color w:val="000000"/>
                <w:szCs w:val="21"/>
              </w:rPr>
              <w:t xml:space="preserve">41.5 </w:t>
            </w:r>
          </w:p>
        </w:tc>
        <w:tc>
          <w:tcPr>
            <w:tcW w:w="621" w:type="dxa"/>
            <w:vAlign w:val="center"/>
          </w:tcPr>
          <w:p>
            <w:pPr>
              <w:jc w:val="center"/>
              <w:rPr>
                <w:rFonts w:ascii="宋体" w:hAnsi="宋体" w:cs="宋体"/>
                <w:color w:val="000000"/>
                <w:szCs w:val="21"/>
              </w:rPr>
            </w:pPr>
            <w:r>
              <w:rPr>
                <w:rFonts w:hint="eastAsia"/>
                <w:color w:val="000000"/>
                <w:szCs w:val="21"/>
              </w:rPr>
              <w:t xml:space="preserve">41.5 </w:t>
            </w:r>
          </w:p>
        </w:tc>
        <w:tc>
          <w:tcPr>
            <w:tcW w:w="825" w:type="dxa"/>
            <w:vAlign w:val="center"/>
          </w:tcPr>
          <w:p>
            <w:pPr>
              <w:jc w:val="center"/>
              <w:rPr>
                <w:color w:val="000000"/>
                <w:szCs w:val="21"/>
              </w:rPr>
            </w:pPr>
            <w:r>
              <w:rPr>
                <w:color w:val="000000"/>
                <w:szCs w:val="21"/>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437" w:type="dxa"/>
            <w:vMerge w:val="continue"/>
            <w:vAlign w:val="center"/>
          </w:tcPr>
          <w:p>
            <w:pPr>
              <w:jc w:val="center"/>
              <w:rPr>
                <w:color w:val="000000"/>
                <w:szCs w:val="21"/>
              </w:rPr>
            </w:pPr>
          </w:p>
        </w:tc>
        <w:tc>
          <w:tcPr>
            <w:tcW w:w="655" w:type="dxa"/>
            <w:vMerge w:val="continue"/>
            <w:vAlign w:val="center"/>
          </w:tcPr>
          <w:p>
            <w:pPr>
              <w:jc w:val="center"/>
              <w:rPr>
                <w:color w:val="000000"/>
                <w:szCs w:val="21"/>
              </w:rPr>
            </w:pPr>
          </w:p>
        </w:tc>
        <w:tc>
          <w:tcPr>
            <w:tcW w:w="995" w:type="dxa"/>
            <w:vAlign w:val="center"/>
          </w:tcPr>
          <w:p>
            <w:pPr>
              <w:adjustRightInd w:val="0"/>
              <w:snapToGrid w:val="0"/>
              <w:jc w:val="center"/>
              <w:rPr>
                <w:bCs/>
                <w:snapToGrid w:val="0"/>
                <w:color w:val="000000"/>
                <w:szCs w:val="21"/>
              </w:rPr>
            </w:pPr>
            <w:r>
              <w:rPr>
                <w:rFonts w:hint="eastAsia"/>
                <w:bCs/>
                <w:snapToGrid w:val="0"/>
                <w:color w:val="000000"/>
                <w:szCs w:val="21"/>
              </w:rPr>
              <w:t>粉碎提绒一体机</w:t>
            </w:r>
          </w:p>
        </w:tc>
        <w:tc>
          <w:tcPr>
            <w:tcW w:w="848" w:type="dxa"/>
            <w:vAlign w:val="center"/>
          </w:tcPr>
          <w:p>
            <w:pPr>
              <w:adjustRightInd w:val="0"/>
              <w:snapToGrid w:val="0"/>
              <w:jc w:val="center"/>
              <w:rPr>
                <w:bCs/>
                <w:snapToGrid w:val="0"/>
                <w:color w:val="000000"/>
                <w:szCs w:val="21"/>
              </w:rPr>
            </w:pPr>
            <w:r>
              <w:rPr>
                <w:rFonts w:hint="eastAsia"/>
                <w:bCs/>
                <w:snapToGrid w:val="0"/>
                <w:color w:val="000000"/>
                <w:szCs w:val="21"/>
              </w:rPr>
              <w:t>85</w:t>
            </w:r>
          </w:p>
        </w:tc>
        <w:tc>
          <w:tcPr>
            <w:tcW w:w="706" w:type="dxa"/>
            <w:vMerge w:val="continue"/>
            <w:vAlign w:val="center"/>
          </w:tcPr>
          <w:p>
            <w:pPr>
              <w:jc w:val="center"/>
              <w:rPr>
                <w:color w:val="000000"/>
                <w:szCs w:val="21"/>
              </w:rPr>
            </w:pPr>
          </w:p>
        </w:tc>
        <w:tc>
          <w:tcPr>
            <w:tcW w:w="558" w:type="dxa"/>
            <w:vAlign w:val="center"/>
          </w:tcPr>
          <w:p>
            <w:pPr>
              <w:adjustRightInd w:val="0"/>
              <w:snapToGrid w:val="0"/>
              <w:jc w:val="center"/>
              <w:rPr>
                <w:bCs/>
                <w:snapToGrid w:val="0"/>
                <w:color w:val="000000"/>
                <w:szCs w:val="21"/>
              </w:rPr>
            </w:pPr>
            <w:r>
              <w:rPr>
                <w:rFonts w:hint="eastAsia"/>
                <w:bCs/>
                <w:snapToGrid w:val="0"/>
                <w:color w:val="000000"/>
                <w:szCs w:val="21"/>
              </w:rPr>
              <w:t>15</w:t>
            </w:r>
          </w:p>
        </w:tc>
        <w:tc>
          <w:tcPr>
            <w:tcW w:w="558" w:type="dxa"/>
            <w:vAlign w:val="center"/>
          </w:tcPr>
          <w:p>
            <w:pPr>
              <w:adjustRightInd w:val="0"/>
              <w:snapToGrid w:val="0"/>
              <w:jc w:val="center"/>
              <w:rPr>
                <w:bCs/>
                <w:snapToGrid w:val="0"/>
                <w:color w:val="000000"/>
                <w:szCs w:val="21"/>
              </w:rPr>
            </w:pPr>
            <w:r>
              <w:rPr>
                <w:rFonts w:hint="eastAsia"/>
                <w:bCs/>
                <w:snapToGrid w:val="0"/>
                <w:color w:val="000000"/>
                <w:szCs w:val="21"/>
              </w:rPr>
              <w:t>18</w:t>
            </w:r>
          </w:p>
        </w:tc>
        <w:tc>
          <w:tcPr>
            <w:tcW w:w="561" w:type="dxa"/>
            <w:vAlign w:val="center"/>
          </w:tcPr>
          <w:p>
            <w:pPr>
              <w:adjustRightInd w:val="0"/>
              <w:snapToGrid w:val="0"/>
              <w:jc w:val="center"/>
              <w:rPr>
                <w:bCs/>
                <w:snapToGrid w:val="0"/>
                <w:color w:val="000000"/>
                <w:szCs w:val="21"/>
              </w:rPr>
            </w:pPr>
            <w:r>
              <w:rPr>
                <w:rFonts w:hint="eastAsia"/>
                <w:bCs/>
                <w:snapToGrid w:val="0"/>
                <w:color w:val="000000"/>
                <w:szCs w:val="21"/>
              </w:rPr>
              <w:t>1.2</w:t>
            </w:r>
          </w:p>
        </w:tc>
        <w:tc>
          <w:tcPr>
            <w:tcW w:w="437" w:type="dxa"/>
            <w:vAlign w:val="center"/>
          </w:tcPr>
          <w:p>
            <w:pPr>
              <w:jc w:val="center"/>
              <w:rPr>
                <w:color w:val="000000"/>
                <w:szCs w:val="21"/>
              </w:rPr>
            </w:pPr>
            <w:r>
              <w:rPr>
                <w:rFonts w:hint="eastAsia"/>
                <w:color w:val="000000" w:themeColor="text1"/>
                <w:szCs w:val="21"/>
              </w:rPr>
              <w:t>12</w:t>
            </w:r>
          </w:p>
        </w:tc>
        <w:tc>
          <w:tcPr>
            <w:tcW w:w="437" w:type="dxa"/>
            <w:vAlign w:val="center"/>
          </w:tcPr>
          <w:p>
            <w:pPr>
              <w:jc w:val="center"/>
              <w:rPr>
                <w:color w:val="000000"/>
                <w:szCs w:val="21"/>
              </w:rPr>
            </w:pPr>
            <w:r>
              <w:rPr>
                <w:rFonts w:hint="eastAsia"/>
                <w:color w:val="000000" w:themeColor="text1"/>
                <w:szCs w:val="21"/>
              </w:rPr>
              <w:t>62</w:t>
            </w:r>
          </w:p>
        </w:tc>
        <w:tc>
          <w:tcPr>
            <w:tcW w:w="437" w:type="dxa"/>
            <w:vAlign w:val="center"/>
          </w:tcPr>
          <w:p>
            <w:pPr>
              <w:jc w:val="center"/>
              <w:rPr>
                <w:color w:val="000000"/>
                <w:szCs w:val="21"/>
              </w:rPr>
            </w:pPr>
            <w:r>
              <w:rPr>
                <w:rFonts w:hint="eastAsia"/>
                <w:color w:val="000000" w:themeColor="text1"/>
                <w:szCs w:val="21"/>
              </w:rPr>
              <w:t>18</w:t>
            </w:r>
          </w:p>
        </w:tc>
        <w:tc>
          <w:tcPr>
            <w:tcW w:w="439" w:type="dxa"/>
            <w:vAlign w:val="center"/>
          </w:tcPr>
          <w:p>
            <w:pPr>
              <w:jc w:val="center"/>
              <w:rPr>
                <w:color w:val="000000"/>
                <w:szCs w:val="21"/>
              </w:rPr>
            </w:pPr>
            <w:r>
              <w:rPr>
                <w:rFonts w:hint="eastAsia"/>
                <w:color w:val="000000" w:themeColor="text1"/>
                <w:szCs w:val="21"/>
              </w:rPr>
              <w:t>18</w:t>
            </w:r>
          </w:p>
        </w:tc>
        <w:tc>
          <w:tcPr>
            <w:tcW w:w="595" w:type="dxa"/>
            <w:vAlign w:val="center"/>
          </w:tcPr>
          <w:p>
            <w:pPr>
              <w:jc w:val="center"/>
              <w:rPr>
                <w:rFonts w:ascii="宋体" w:hAnsi="宋体" w:cs="宋体"/>
                <w:color w:val="000000"/>
                <w:szCs w:val="21"/>
              </w:rPr>
            </w:pPr>
            <w:r>
              <w:rPr>
                <w:rFonts w:hint="eastAsia"/>
                <w:color w:val="000000"/>
                <w:szCs w:val="21"/>
              </w:rPr>
              <w:t xml:space="preserve">63.4 </w:t>
            </w:r>
          </w:p>
        </w:tc>
        <w:tc>
          <w:tcPr>
            <w:tcW w:w="595" w:type="dxa"/>
            <w:vAlign w:val="center"/>
          </w:tcPr>
          <w:p>
            <w:pPr>
              <w:jc w:val="center"/>
              <w:rPr>
                <w:rFonts w:ascii="宋体" w:hAnsi="宋体" w:cs="宋体"/>
                <w:color w:val="000000"/>
                <w:szCs w:val="21"/>
              </w:rPr>
            </w:pPr>
            <w:r>
              <w:rPr>
                <w:rFonts w:hint="eastAsia"/>
                <w:color w:val="000000"/>
                <w:szCs w:val="21"/>
              </w:rPr>
              <w:t xml:space="preserve">49.2 </w:t>
            </w:r>
          </w:p>
        </w:tc>
        <w:tc>
          <w:tcPr>
            <w:tcW w:w="595" w:type="dxa"/>
            <w:vAlign w:val="center"/>
          </w:tcPr>
          <w:p>
            <w:pPr>
              <w:jc w:val="center"/>
              <w:rPr>
                <w:rFonts w:ascii="宋体" w:hAnsi="宋体" w:cs="宋体"/>
                <w:color w:val="000000"/>
                <w:szCs w:val="21"/>
              </w:rPr>
            </w:pPr>
            <w:r>
              <w:rPr>
                <w:rFonts w:hint="eastAsia"/>
                <w:color w:val="000000"/>
                <w:szCs w:val="21"/>
              </w:rPr>
              <w:t xml:space="preserve">59.9 </w:t>
            </w:r>
          </w:p>
        </w:tc>
        <w:tc>
          <w:tcPr>
            <w:tcW w:w="621" w:type="dxa"/>
            <w:vAlign w:val="center"/>
          </w:tcPr>
          <w:p>
            <w:pPr>
              <w:jc w:val="center"/>
              <w:rPr>
                <w:rFonts w:ascii="宋体" w:hAnsi="宋体" w:cs="宋体"/>
                <w:color w:val="000000"/>
                <w:szCs w:val="21"/>
              </w:rPr>
            </w:pPr>
            <w:r>
              <w:rPr>
                <w:rFonts w:hint="eastAsia"/>
                <w:color w:val="000000"/>
                <w:szCs w:val="21"/>
              </w:rPr>
              <w:t xml:space="preserve">59.9 </w:t>
            </w:r>
          </w:p>
        </w:tc>
        <w:tc>
          <w:tcPr>
            <w:tcW w:w="661" w:type="dxa"/>
            <w:vAlign w:val="center"/>
          </w:tcPr>
          <w:p>
            <w:pPr>
              <w:jc w:val="center"/>
              <w:rPr>
                <w:color w:val="000000"/>
                <w:szCs w:val="21"/>
              </w:rPr>
            </w:pPr>
            <w:r>
              <w:rPr>
                <w:rFonts w:hint="eastAsia"/>
                <w:color w:val="000000" w:themeColor="text1"/>
                <w:szCs w:val="21"/>
              </w:rPr>
              <w:t>1920</w:t>
            </w:r>
          </w:p>
        </w:tc>
        <w:tc>
          <w:tcPr>
            <w:tcW w:w="808" w:type="dxa"/>
            <w:vAlign w:val="center"/>
          </w:tcPr>
          <w:p>
            <w:pPr>
              <w:jc w:val="center"/>
              <w:rPr>
                <w:color w:val="000000"/>
                <w:szCs w:val="21"/>
              </w:rPr>
            </w:pPr>
            <w:r>
              <w:rPr>
                <w:color w:val="000000"/>
                <w:szCs w:val="21"/>
              </w:rPr>
              <w:t>2</w:t>
            </w:r>
            <w:r>
              <w:rPr>
                <w:rFonts w:hint="eastAsia"/>
                <w:color w:val="000000" w:themeColor="text1"/>
                <w:szCs w:val="21"/>
              </w:rPr>
              <w:t>0</w:t>
            </w:r>
          </w:p>
        </w:tc>
        <w:tc>
          <w:tcPr>
            <w:tcW w:w="595" w:type="dxa"/>
            <w:vAlign w:val="center"/>
          </w:tcPr>
          <w:p>
            <w:pPr>
              <w:jc w:val="center"/>
              <w:rPr>
                <w:rFonts w:ascii="宋体" w:hAnsi="宋体" w:cs="宋体"/>
                <w:color w:val="000000"/>
                <w:szCs w:val="21"/>
              </w:rPr>
            </w:pPr>
            <w:r>
              <w:rPr>
                <w:rFonts w:hint="eastAsia"/>
                <w:color w:val="000000"/>
                <w:szCs w:val="21"/>
              </w:rPr>
              <w:t xml:space="preserve">43.4 </w:t>
            </w:r>
          </w:p>
        </w:tc>
        <w:tc>
          <w:tcPr>
            <w:tcW w:w="595" w:type="dxa"/>
            <w:vAlign w:val="center"/>
          </w:tcPr>
          <w:p>
            <w:pPr>
              <w:jc w:val="center"/>
              <w:rPr>
                <w:rFonts w:ascii="宋体" w:hAnsi="宋体" w:cs="宋体"/>
                <w:color w:val="000000"/>
                <w:szCs w:val="21"/>
              </w:rPr>
            </w:pPr>
            <w:r>
              <w:rPr>
                <w:rFonts w:hint="eastAsia"/>
                <w:color w:val="000000"/>
                <w:szCs w:val="21"/>
              </w:rPr>
              <w:t xml:space="preserve">29.2 </w:t>
            </w:r>
          </w:p>
        </w:tc>
        <w:tc>
          <w:tcPr>
            <w:tcW w:w="595" w:type="dxa"/>
            <w:vAlign w:val="center"/>
          </w:tcPr>
          <w:p>
            <w:pPr>
              <w:jc w:val="center"/>
              <w:rPr>
                <w:rFonts w:ascii="宋体" w:hAnsi="宋体" w:cs="宋体"/>
                <w:color w:val="000000"/>
                <w:szCs w:val="21"/>
              </w:rPr>
            </w:pPr>
            <w:r>
              <w:rPr>
                <w:rFonts w:hint="eastAsia"/>
                <w:color w:val="000000"/>
                <w:szCs w:val="21"/>
              </w:rPr>
              <w:t xml:space="preserve">39.9 </w:t>
            </w:r>
          </w:p>
        </w:tc>
        <w:tc>
          <w:tcPr>
            <w:tcW w:w="621" w:type="dxa"/>
            <w:vAlign w:val="center"/>
          </w:tcPr>
          <w:p>
            <w:pPr>
              <w:jc w:val="center"/>
              <w:rPr>
                <w:rFonts w:ascii="宋体" w:hAnsi="宋体" w:cs="宋体"/>
                <w:color w:val="000000"/>
                <w:szCs w:val="21"/>
              </w:rPr>
            </w:pPr>
            <w:r>
              <w:rPr>
                <w:rFonts w:hint="eastAsia"/>
                <w:color w:val="000000"/>
                <w:szCs w:val="21"/>
              </w:rPr>
              <w:t xml:space="preserve">39.9 </w:t>
            </w:r>
          </w:p>
        </w:tc>
        <w:tc>
          <w:tcPr>
            <w:tcW w:w="825" w:type="dxa"/>
            <w:vAlign w:val="center"/>
          </w:tcPr>
          <w:p>
            <w:pPr>
              <w:jc w:val="center"/>
              <w:rPr>
                <w:color w:val="000000"/>
                <w:szCs w:val="21"/>
              </w:rPr>
            </w:pPr>
            <w:r>
              <w:rPr>
                <w:color w:val="000000"/>
                <w:szCs w:val="21"/>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437" w:type="dxa"/>
            <w:vMerge w:val="continue"/>
            <w:vAlign w:val="center"/>
          </w:tcPr>
          <w:p>
            <w:pPr>
              <w:jc w:val="center"/>
              <w:rPr>
                <w:color w:val="000000"/>
                <w:szCs w:val="21"/>
              </w:rPr>
            </w:pPr>
          </w:p>
        </w:tc>
        <w:tc>
          <w:tcPr>
            <w:tcW w:w="655" w:type="dxa"/>
            <w:vMerge w:val="continue"/>
            <w:vAlign w:val="center"/>
          </w:tcPr>
          <w:p>
            <w:pPr>
              <w:jc w:val="center"/>
              <w:rPr>
                <w:color w:val="000000"/>
                <w:szCs w:val="21"/>
              </w:rPr>
            </w:pPr>
          </w:p>
        </w:tc>
        <w:tc>
          <w:tcPr>
            <w:tcW w:w="995" w:type="dxa"/>
            <w:vAlign w:val="center"/>
          </w:tcPr>
          <w:p>
            <w:pPr>
              <w:adjustRightInd w:val="0"/>
              <w:snapToGrid w:val="0"/>
              <w:jc w:val="center"/>
              <w:rPr>
                <w:bCs/>
                <w:snapToGrid w:val="0"/>
                <w:color w:val="000000"/>
                <w:szCs w:val="21"/>
              </w:rPr>
            </w:pPr>
            <w:r>
              <w:rPr>
                <w:rFonts w:hint="eastAsia"/>
                <w:bCs/>
                <w:snapToGrid w:val="0"/>
                <w:color w:val="000000"/>
                <w:szCs w:val="21"/>
              </w:rPr>
              <w:t>全自动卷条机</w:t>
            </w:r>
          </w:p>
        </w:tc>
        <w:tc>
          <w:tcPr>
            <w:tcW w:w="848" w:type="dxa"/>
            <w:vAlign w:val="center"/>
          </w:tcPr>
          <w:p>
            <w:pPr>
              <w:adjustRightInd w:val="0"/>
              <w:snapToGrid w:val="0"/>
              <w:jc w:val="center"/>
              <w:rPr>
                <w:bCs/>
                <w:snapToGrid w:val="0"/>
                <w:color w:val="000000"/>
                <w:szCs w:val="21"/>
              </w:rPr>
            </w:pPr>
            <w:r>
              <w:rPr>
                <w:rFonts w:hint="eastAsia"/>
                <w:bCs/>
                <w:snapToGrid w:val="0"/>
                <w:color w:val="000000"/>
                <w:szCs w:val="21"/>
              </w:rPr>
              <w:t>80</w:t>
            </w:r>
          </w:p>
        </w:tc>
        <w:tc>
          <w:tcPr>
            <w:tcW w:w="706" w:type="dxa"/>
            <w:vMerge w:val="continue"/>
            <w:vAlign w:val="center"/>
          </w:tcPr>
          <w:p>
            <w:pPr>
              <w:jc w:val="center"/>
              <w:rPr>
                <w:color w:val="000000"/>
                <w:szCs w:val="21"/>
              </w:rPr>
            </w:pPr>
          </w:p>
        </w:tc>
        <w:tc>
          <w:tcPr>
            <w:tcW w:w="558" w:type="dxa"/>
            <w:vAlign w:val="center"/>
          </w:tcPr>
          <w:p>
            <w:pPr>
              <w:adjustRightInd w:val="0"/>
              <w:snapToGrid w:val="0"/>
              <w:jc w:val="center"/>
              <w:rPr>
                <w:bCs/>
                <w:snapToGrid w:val="0"/>
                <w:color w:val="000000"/>
                <w:szCs w:val="21"/>
              </w:rPr>
            </w:pPr>
            <w:r>
              <w:rPr>
                <w:rFonts w:hint="eastAsia"/>
                <w:bCs/>
                <w:snapToGrid w:val="0"/>
                <w:color w:val="000000"/>
                <w:szCs w:val="21"/>
              </w:rPr>
              <w:t>18</w:t>
            </w:r>
          </w:p>
        </w:tc>
        <w:tc>
          <w:tcPr>
            <w:tcW w:w="558" w:type="dxa"/>
            <w:vAlign w:val="center"/>
          </w:tcPr>
          <w:p>
            <w:pPr>
              <w:adjustRightInd w:val="0"/>
              <w:snapToGrid w:val="0"/>
              <w:jc w:val="center"/>
              <w:rPr>
                <w:bCs/>
                <w:snapToGrid w:val="0"/>
                <w:color w:val="000000"/>
                <w:szCs w:val="21"/>
              </w:rPr>
            </w:pPr>
            <w:r>
              <w:rPr>
                <w:rFonts w:hint="eastAsia"/>
                <w:bCs/>
                <w:snapToGrid w:val="0"/>
                <w:color w:val="000000"/>
                <w:szCs w:val="21"/>
              </w:rPr>
              <w:t>20</w:t>
            </w:r>
          </w:p>
        </w:tc>
        <w:tc>
          <w:tcPr>
            <w:tcW w:w="561" w:type="dxa"/>
            <w:vAlign w:val="center"/>
          </w:tcPr>
          <w:p>
            <w:pPr>
              <w:adjustRightInd w:val="0"/>
              <w:snapToGrid w:val="0"/>
              <w:jc w:val="center"/>
              <w:rPr>
                <w:bCs/>
                <w:snapToGrid w:val="0"/>
                <w:color w:val="000000"/>
                <w:szCs w:val="21"/>
              </w:rPr>
            </w:pPr>
            <w:r>
              <w:rPr>
                <w:rFonts w:hint="eastAsia"/>
                <w:bCs/>
                <w:snapToGrid w:val="0"/>
                <w:color w:val="000000"/>
                <w:szCs w:val="21"/>
              </w:rPr>
              <w:t>1.2</w:t>
            </w:r>
          </w:p>
        </w:tc>
        <w:tc>
          <w:tcPr>
            <w:tcW w:w="437" w:type="dxa"/>
            <w:vAlign w:val="center"/>
          </w:tcPr>
          <w:p>
            <w:pPr>
              <w:jc w:val="center"/>
              <w:rPr>
                <w:color w:val="000000"/>
                <w:szCs w:val="21"/>
              </w:rPr>
            </w:pPr>
            <w:r>
              <w:rPr>
                <w:rFonts w:hint="eastAsia"/>
                <w:color w:val="000000" w:themeColor="text1"/>
                <w:szCs w:val="21"/>
              </w:rPr>
              <w:t>16</w:t>
            </w:r>
          </w:p>
        </w:tc>
        <w:tc>
          <w:tcPr>
            <w:tcW w:w="437" w:type="dxa"/>
            <w:vAlign w:val="center"/>
          </w:tcPr>
          <w:p>
            <w:pPr>
              <w:jc w:val="center"/>
              <w:rPr>
                <w:color w:val="000000"/>
                <w:szCs w:val="21"/>
              </w:rPr>
            </w:pPr>
            <w:r>
              <w:rPr>
                <w:rFonts w:hint="eastAsia"/>
                <w:color w:val="000000" w:themeColor="text1"/>
                <w:szCs w:val="21"/>
              </w:rPr>
              <w:t>60</w:t>
            </w:r>
          </w:p>
        </w:tc>
        <w:tc>
          <w:tcPr>
            <w:tcW w:w="437" w:type="dxa"/>
            <w:vAlign w:val="center"/>
          </w:tcPr>
          <w:p>
            <w:pPr>
              <w:jc w:val="center"/>
              <w:rPr>
                <w:color w:val="000000"/>
                <w:szCs w:val="21"/>
              </w:rPr>
            </w:pPr>
            <w:r>
              <w:rPr>
                <w:rFonts w:hint="eastAsia"/>
                <w:color w:val="000000" w:themeColor="text1"/>
                <w:szCs w:val="21"/>
              </w:rPr>
              <w:t>14</w:t>
            </w:r>
          </w:p>
        </w:tc>
        <w:tc>
          <w:tcPr>
            <w:tcW w:w="439" w:type="dxa"/>
            <w:vAlign w:val="center"/>
          </w:tcPr>
          <w:p>
            <w:pPr>
              <w:jc w:val="center"/>
              <w:rPr>
                <w:color w:val="000000"/>
                <w:szCs w:val="21"/>
              </w:rPr>
            </w:pPr>
            <w:r>
              <w:rPr>
                <w:rFonts w:hint="eastAsia"/>
                <w:color w:val="000000" w:themeColor="text1"/>
                <w:szCs w:val="21"/>
              </w:rPr>
              <w:t>20</w:t>
            </w:r>
          </w:p>
        </w:tc>
        <w:tc>
          <w:tcPr>
            <w:tcW w:w="595" w:type="dxa"/>
            <w:vAlign w:val="center"/>
          </w:tcPr>
          <w:p>
            <w:pPr>
              <w:jc w:val="center"/>
              <w:rPr>
                <w:rFonts w:ascii="宋体" w:hAnsi="宋体" w:cs="宋体"/>
                <w:color w:val="000000"/>
                <w:szCs w:val="21"/>
              </w:rPr>
            </w:pPr>
            <w:r>
              <w:rPr>
                <w:rFonts w:hint="eastAsia"/>
                <w:color w:val="000000"/>
                <w:szCs w:val="21"/>
              </w:rPr>
              <w:t xml:space="preserve">55.9 </w:t>
            </w:r>
          </w:p>
        </w:tc>
        <w:tc>
          <w:tcPr>
            <w:tcW w:w="595" w:type="dxa"/>
            <w:vAlign w:val="center"/>
          </w:tcPr>
          <w:p>
            <w:pPr>
              <w:jc w:val="center"/>
              <w:rPr>
                <w:rFonts w:ascii="宋体" w:hAnsi="宋体" w:cs="宋体"/>
                <w:color w:val="000000"/>
                <w:szCs w:val="21"/>
              </w:rPr>
            </w:pPr>
            <w:r>
              <w:rPr>
                <w:rFonts w:hint="eastAsia"/>
                <w:color w:val="000000"/>
                <w:szCs w:val="21"/>
              </w:rPr>
              <w:t xml:space="preserve">44.4 </w:t>
            </w:r>
          </w:p>
        </w:tc>
        <w:tc>
          <w:tcPr>
            <w:tcW w:w="595" w:type="dxa"/>
            <w:vAlign w:val="center"/>
          </w:tcPr>
          <w:p>
            <w:pPr>
              <w:jc w:val="center"/>
              <w:rPr>
                <w:rFonts w:ascii="宋体" w:hAnsi="宋体" w:cs="宋体"/>
                <w:color w:val="000000"/>
                <w:szCs w:val="21"/>
              </w:rPr>
            </w:pPr>
            <w:r>
              <w:rPr>
                <w:rFonts w:hint="eastAsia"/>
                <w:color w:val="000000"/>
                <w:szCs w:val="21"/>
              </w:rPr>
              <w:t xml:space="preserve">57.1 </w:t>
            </w:r>
          </w:p>
        </w:tc>
        <w:tc>
          <w:tcPr>
            <w:tcW w:w="621" w:type="dxa"/>
            <w:vAlign w:val="center"/>
          </w:tcPr>
          <w:p>
            <w:pPr>
              <w:jc w:val="center"/>
              <w:rPr>
                <w:rFonts w:ascii="宋体" w:hAnsi="宋体" w:cs="宋体"/>
                <w:color w:val="000000"/>
                <w:szCs w:val="21"/>
              </w:rPr>
            </w:pPr>
            <w:r>
              <w:rPr>
                <w:rFonts w:hint="eastAsia"/>
                <w:color w:val="000000"/>
                <w:szCs w:val="21"/>
              </w:rPr>
              <w:t xml:space="preserve">54.0 </w:t>
            </w:r>
          </w:p>
        </w:tc>
        <w:tc>
          <w:tcPr>
            <w:tcW w:w="661" w:type="dxa"/>
            <w:vAlign w:val="center"/>
          </w:tcPr>
          <w:p>
            <w:pPr>
              <w:jc w:val="center"/>
              <w:rPr>
                <w:szCs w:val="21"/>
              </w:rPr>
            </w:pPr>
            <w:r>
              <w:rPr>
                <w:rFonts w:hint="eastAsia"/>
                <w:color w:val="000000" w:themeColor="text1"/>
                <w:szCs w:val="21"/>
              </w:rPr>
              <w:t>1920</w:t>
            </w:r>
          </w:p>
        </w:tc>
        <w:tc>
          <w:tcPr>
            <w:tcW w:w="808" w:type="dxa"/>
            <w:vAlign w:val="center"/>
          </w:tcPr>
          <w:p>
            <w:pPr>
              <w:jc w:val="center"/>
              <w:rPr>
                <w:color w:val="000000"/>
                <w:szCs w:val="21"/>
              </w:rPr>
            </w:pPr>
            <w:r>
              <w:rPr>
                <w:color w:val="000000"/>
                <w:szCs w:val="21"/>
              </w:rPr>
              <w:t>2</w:t>
            </w:r>
            <w:r>
              <w:rPr>
                <w:rFonts w:hint="eastAsia"/>
                <w:color w:val="000000" w:themeColor="text1"/>
                <w:szCs w:val="21"/>
              </w:rPr>
              <w:t>0</w:t>
            </w:r>
          </w:p>
        </w:tc>
        <w:tc>
          <w:tcPr>
            <w:tcW w:w="595" w:type="dxa"/>
            <w:vAlign w:val="center"/>
          </w:tcPr>
          <w:p>
            <w:pPr>
              <w:jc w:val="center"/>
              <w:rPr>
                <w:rFonts w:ascii="宋体" w:hAnsi="宋体" w:cs="宋体"/>
                <w:color w:val="000000"/>
                <w:szCs w:val="21"/>
              </w:rPr>
            </w:pPr>
            <w:r>
              <w:rPr>
                <w:rFonts w:hint="eastAsia"/>
                <w:color w:val="000000"/>
                <w:szCs w:val="21"/>
              </w:rPr>
              <w:t xml:space="preserve">35.9 </w:t>
            </w:r>
          </w:p>
        </w:tc>
        <w:tc>
          <w:tcPr>
            <w:tcW w:w="595" w:type="dxa"/>
            <w:vAlign w:val="center"/>
          </w:tcPr>
          <w:p>
            <w:pPr>
              <w:jc w:val="center"/>
              <w:rPr>
                <w:rFonts w:ascii="宋体" w:hAnsi="宋体" w:cs="宋体"/>
                <w:color w:val="000000"/>
                <w:szCs w:val="21"/>
              </w:rPr>
            </w:pPr>
            <w:r>
              <w:rPr>
                <w:rFonts w:hint="eastAsia"/>
                <w:color w:val="000000"/>
                <w:szCs w:val="21"/>
              </w:rPr>
              <w:t xml:space="preserve">24.4 </w:t>
            </w:r>
          </w:p>
        </w:tc>
        <w:tc>
          <w:tcPr>
            <w:tcW w:w="595" w:type="dxa"/>
            <w:vAlign w:val="center"/>
          </w:tcPr>
          <w:p>
            <w:pPr>
              <w:jc w:val="center"/>
              <w:rPr>
                <w:rFonts w:ascii="宋体" w:hAnsi="宋体" w:cs="宋体"/>
                <w:color w:val="000000"/>
                <w:szCs w:val="21"/>
              </w:rPr>
            </w:pPr>
            <w:r>
              <w:rPr>
                <w:rFonts w:hint="eastAsia"/>
                <w:color w:val="000000"/>
                <w:szCs w:val="21"/>
              </w:rPr>
              <w:t xml:space="preserve">37.1 </w:t>
            </w:r>
          </w:p>
        </w:tc>
        <w:tc>
          <w:tcPr>
            <w:tcW w:w="621" w:type="dxa"/>
            <w:vAlign w:val="center"/>
          </w:tcPr>
          <w:p>
            <w:pPr>
              <w:jc w:val="center"/>
              <w:rPr>
                <w:rFonts w:ascii="宋体" w:hAnsi="宋体" w:cs="宋体"/>
                <w:color w:val="000000"/>
                <w:szCs w:val="21"/>
              </w:rPr>
            </w:pPr>
            <w:r>
              <w:rPr>
                <w:rFonts w:hint="eastAsia"/>
                <w:color w:val="000000"/>
                <w:szCs w:val="21"/>
              </w:rPr>
              <w:t xml:space="preserve">34.0 </w:t>
            </w:r>
          </w:p>
        </w:tc>
        <w:tc>
          <w:tcPr>
            <w:tcW w:w="825" w:type="dxa"/>
            <w:vAlign w:val="center"/>
          </w:tcPr>
          <w:p>
            <w:pPr>
              <w:jc w:val="center"/>
              <w:rPr>
                <w:color w:val="000000"/>
                <w:szCs w:val="21"/>
              </w:rPr>
            </w:pPr>
            <w:r>
              <w:rPr>
                <w:color w:val="000000"/>
                <w:szCs w:val="21"/>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437" w:type="dxa"/>
            <w:vMerge w:val="continue"/>
            <w:vAlign w:val="center"/>
          </w:tcPr>
          <w:p>
            <w:pPr>
              <w:jc w:val="center"/>
              <w:rPr>
                <w:color w:val="000000"/>
                <w:szCs w:val="21"/>
              </w:rPr>
            </w:pPr>
          </w:p>
        </w:tc>
        <w:tc>
          <w:tcPr>
            <w:tcW w:w="655" w:type="dxa"/>
            <w:vMerge w:val="continue"/>
            <w:vAlign w:val="center"/>
          </w:tcPr>
          <w:p>
            <w:pPr>
              <w:jc w:val="center"/>
              <w:rPr>
                <w:color w:val="000000"/>
                <w:szCs w:val="21"/>
              </w:rPr>
            </w:pPr>
          </w:p>
        </w:tc>
        <w:tc>
          <w:tcPr>
            <w:tcW w:w="995" w:type="dxa"/>
            <w:vAlign w:val="center"/>
          </w:tcPr>
          <w:p>
            <w:pPr>
              <w:adjustRightInd w:val="0"/>
              <w:snapToGrid w:val="0"/>
              <w:jc w:val="center"/>
              <w:rPr>
                <w:bCs/>
                <w:snapToGrid w:val="0"/>
                <w:color w:val="000000"/>
                <w:szCs w:val="21"/>
              </w:rPr>
            </w:pPr>
            <w:r>
              <w:rPr>
                <w:rFonts w:hint="eastAsia"/>
                <w:bCs/>
                <w:snapToGrid w:val="0"/>
                <w:color w:val="000000"/>
                <w:szCs w:val="21"/>
              </w:rPr>
              <w:t>手动卷条机</w:t>
            </w:r>
          </w:p>
        </w:tc>
        <w:tc>
          <w:tcPr>
            <w:tcW w:w="848" w:type="dxa"/>
            <w:vAlign w:val="center"/>
          </w:tcPr>
          <w:p>
            <w:pPr>
              <w:adjustRightInd w:val="0"/>
              <w:snapToGrid w:val="0"/>
              <w:jc w:val="center"/>
              <w:rPr>
                <w:bCs/>
                <w:snapToGrid w:val="0"/>
                <w:color w:val="000000"/>
                <w:szCs w:val="21"/>
              </w:rPr>
            </w:pPr>
            <w:r>
              <w:rPr>
                <w:rFonts w:hint="eastAsia"/>
                <w:bCs/>
                <w:snapToGrid w:val="0"/>
                <w:color w:val="000000"/>
                <w:szCs w:val="21"/>
              </w:rPr>
              <w:t>75</w:t>
            </w:r>
          </w:p>
        </w:tc>
        <w:tc>
          <w:tcPr>
            <w:tcW w:w="706" w:type="dxa"/>
            <w:vMerge w:val="continue"/>
            <w:vAlign w:val="center"/>
          </w:tcPr>
          <w:p>
            <w:pPr>
              <w:jc w:val="center"/>
              <w:rPr>
                <w:color w:val="000000"/>
                <w:szCs w:val="21"/>
              </w:rPr>
            </w:pPr>
          </w:p>
        </w:tc>
        <w:tc>
          <w:tcPr>
            <w:tcW w:w="558" w:type="dxa"/>
            <w:vAlign w:val="center"/>
          </w:tcPr>
          <w:p>
            <w:pPr>
              <w:adjustRightInd w:val="0"/>
              <w:snapToGrid w:val="0"/>
              <w:jc w:val="center"/>
              <w:rPr>
                <w:bCs/>
                <w:snapToGrid w:val="0"/>
                <w:color w:val="000000"/>
                <w:szCs w:val="21"/>
              </w:rPr>
            </w:pPr>
            <w:r>
              <w:rPr>
                <w:rFonts w:hint="eastAsia"/>
                <w:bCs/>
                <w:snapToGrid w:val="0"/>
                <w:color w:val="000000"/>
                <w:szCs w:val="21"/>
              </w:rPr>
              <w:t>15</w:t>
            </w:r>
          </w:p>
        </w:tc>
        <w:tc>
          <w:tcPr>
            <w:tcW w:w="558" w:type="dxa"/>
            <w:vAlign w:val="center"/>
          </w:tcPr>
          <w:p>
            <w:pPr>
              <w:adjustRightInd w:val="0"/>
              <w:snapToGrid w:val="0"/>
              <w:jc w:val="center"/>
              <w:rPr>
                <w:bCs/>
                <w:snapToGrid w:val="0"/>
                <w:color w:val="000000"/>
                <w:szCs w:val="21"/>
              </w:rPr>
            </w:pPr>
            <w:r>
              <w:rPr>
                <w:rFonts w:hint="eastAsia"/>
                <w:bCs/>
                <w:snapToGrid w:val="0"/>
                <w:color w:val="000000"/>
                <w:szCs w:val="21"/>
              </w:rPr>
              <w:t>18</w:t>
            </w:r>
          </w:p>
        </w:tc>
        <w:tc>
          <w:tcPr>
            <w:tcW w:w="561" w:type="dxa"/>
            <w:vAlign w:val="center"/>
          </w:tcPr>
          <w:p>
            <w:pPr>
              <w:adjustRightInd w:val="0"/>
              <w:snapToGrid w:val="0"/>
              <w:jc w:val="center"/>
              <w:rPr>
                <w:bCs/>
                <w:snapToGrid w:val="0"/>
                <w:color w:val="000000"/>
                <w:szCs w:val="21"/>
              </w:rPr>
            </w:pPr>
            <w:r>
              <w:rPr>
                <w:rFonts w:hint="eastAsia"/>
                <w:bCs/>
                <w:snapToGrid w:val="0"/>
                <w:color w:val="000000"/>
                <w:szCs w:val="21"/>
              </w:rPr>
              <w:t>1.2</w:t>
            </w:r>
          </w:p>
        </w:tc>
        <w:tc>
          <w:tcPr>
            <w:tcW w:w="437" w:type="dxa"/>
            <w:vAlign w:val="center"/>
          </w:tcPr>
          <w:p>
            <w:pPr>
              <w:jc w:val="center"/>
              <w:rPr>
                <w:color w:val="000000"/>
                <w:szCs w:val="21"/>
              </w:rPr>
            </w:pPr>
            <w:r>
              <w:rPr>
                <w:rFonts w:hint="eastAsia"/>
                <w:color w:val="000000" w:themeColor="text1"/>
                <w:szCs w:val="21"/>
              </w:rPr>
              <w:t>18</w:t>
            </w:r>
          </w:p>
        </w:tc>
        <w:tc>
          <w:tcPr>
            <w:tcW w:w="437" w:type="dxa"/>
            <w:vAlign w:val="center"/>
          </w:tcPr>
          <w:p>
            <w:pPr>
              <w:jc w:val="center"/>
              <w:rPr>
                <w:color w:val="000000"/>
                <w:szCs w:val="21"/>
              </w:rPr>
            </w:pPr>
            <w:r>
              <w:rPr>
                <w:rFonts w:hint="eastAsia"/>
                <w:color w:val="000000" w:themeColor="text1"/>
                <w:szCs w:val="21"/>
              </w:rPr>
              <w:t>60</w:t>
            </w:r>
          </w:p>
        </w:tc>
        <w:tc>
          <w:tcPr>
            <w:tcW w:w="437" w:type="dxa"/>
            <w:vAlign w:val="center"/>
          </w:tcPr>
          <w:p>
            <w:pPr>
              <w:jc w:val="center"/>
              <w:rPr>
                <w:color w:val="000000"/>
                <w:szCs w:val="21"/>
              </w:rPr>
            </w:pPr>
            <w:r>
              <w:rPr>
                <w:rFonts w:hint="eastAsia"/>
                <w:color w:val="000000" w:themeColor="text1"/>
                <w:szCs w:val="21"/>
              </w:rPr>
              <w:t>12</w:t>
            </w:r>
          </w:p>
        </w:tc>
        <w:tc>
          <w:tcPr>
            <w:tcW w:w="439" w:type="dxa"/>
            <w:vAlign w:val="center"/>
          </w:tcPr>
          <w:p>
            <w:pPr>
              <w:jc w:val="center"/>
              <w:rPr>
                <w:color w:val="000000"/>
                <w:szCs w:val="21"/>
              </w:rPr>
            </w:pPr>
            <w:r>
              <w:rPr>
                <w:rFonts w:hint="eastAsia"/>
                <w:color w:val="000000" w:themeColor="text1"/>
                <w:szCs w:val="21"/>
              </w:rPr>
              <w:t>20</w:t>
            </w:r>
          </w:p>
        </w:tc>
        <w:tc>
          <w:tcPr>
            <w:tcW w:w="595" w:type="dxa"/>
            <w:vAlign w:val="center"/>
          </w:tcPr>
          <w:p>
            <w:pPr>
              <w:jc w:val="center"/>
              <w:rPr>
                <w:rFonts w:ascii="宋体" w:hAnsi="宋体" w:cs="宋体"/>
                <w:color w:val="000000"/>
                <w:szCs w:val="21"/>
              </w:rPr>
            </w:pPr>
            <w:r>
              <w:rPr>
                <w:rFonts w:hint="eastAsia"/>
                <w:color w:val="000000"/>
                <w:szCs w:val="21"/>
              </w:rPr>
              <w:t xml:space="preserve">49.9 </w:t>
            </w:r>
          </w:p>
        </w:tc>
        <w:tc>
          <w:tcPr>
            <w:tcW w:w="595" w:type="dxa"/>
            <w:vAlign w:val="center"/>
          </w:tcPr>
          <w:p>
            <w:pPr>
              <w:jc w:val="center"/>
              <w:rPr>
                <w:rFonts w:ascii="宋体" w:hAnsi="宋体" w:cs="宋体"/>
                <w:color w:val="000000"/>
                <w:szCs w:val="21"/>
              </w:rPr>
            </w:pPr>
            <w:r>
              <w:rPr>
                <w:rFonts w:hint="eastAsia"/>
                <w:color w:val="000000"/>
                <w:szCs w:val="21"/>
              </w:rPr>
              <w:t xml:space="preserve">39.4 </w:t>
            </w:r>
          </w:p>
        </w:tc>
        <w:tc>
          <w:tcPr>
            <w:tcW w:w="595" w:type="dxa"/>
            <w:vAlign w:val="center"/>
          </w:tcPr>
          <w:p>
            <w:pPr>
              <w:jc w:val="center"/>
              <w:rPr>
                <w:rFonts w:ascii="宋体" w:hAnsi="宋体" w:cs="宋体"/>
                <w:color w:val="000000"/>
                <w:szCs w:val="21"/>
              </w:rPr>
            </w:pPr>
            <w:r>
              <w:rPr>
                <w:rFonts w:hint="eastAsia"/>
                <w:color w:val="000000"/>
                <w:szCs w:val="21"/>
              </w:rPr>
              <w:t xml:space="preserve">53.4 </w:t>
            </w:r>
          </w:p>
        </w:tc>
        <w:tc>
          <w:tcPr>
            <w:tcW w:w="621" w:type="dxa"/>
            <w:vAlign w:val="center"/>
          </w:tcPr>
          <w:p>
            <w:pPr>
              <w:jc w:val="center"/>
              <w:rPr>
                <w:rFonts w:ascii="宋体" w:hAnsi="宋体" w:cs="宋体"/>
                <w:color w:val="000000"/>
                <w:szCs w:val="21"/>
              </w:rPr>
            </w:pPr>
            <w:r>
              <w:rPr>
                <w:rFonts w:hint="eastAsia"/>
                <w:color w:val="000000"/>
                <w:szCs w:val="21"/>
              </w:rPr>
              <w:t xml:space="preserve">49.0 </w:t>
            </w:r>
          </w:p>
        </w:tc>
        <w:tc>
          <w:tcPr>
            <w:tcW w:w="661" w:type="dxa"/>
            <w:vAlign w:val="center"/>
          </w:tcPr>
          <w:p>
            <w:pPr>
              <w:jc w:val="center"/>
              <w:rPr>
                <w:szCs w:val="21"/>
              </w:rPr>
            </w:pPr>
            <w:r>
              <w:rPr>
                <w:rFonts w:hint="eastAsia"/>
                <w:color w:val="000000" w:themeColor="text1"/>
                <w:szCs w:val="21"/>
              </w:rPr>
              <w:t>1920</w:t>
            </w:r>
          </w:p>
        </w:tc>
        <w:tc>
          <w:tcPr>
            <w:tcW w:w="808" w:type="dxa"/>
            <w:vAlign w:val="center"/>
          </w:tcPr>
          <w:p>
            <w:pPr>
              <w:jc w:val="center"/>
              <w:rPr>
                <w:color w:val="000000"/>
                <w:szCs w:val="21"/>
              </w:rPr>
            </w:pPr>
            <w:r>
              <w:rPr>
                <w:rFonts w:hint="eastAsia"/>
                <w:color w:val="000000" w:themeColor="text1"/>
                <w:szCs w:val="21"/>
              </w:rPr>
              <w:t>20</w:t>
            </w:r>
          </w:p>
        </w:tc>
        <w:tc>
          <w:tcPr>
            <w:tcW w:w="595" w:type="dxa"/>
            <w:vAlign w:val="center"/>
          </w:tcPr>
          <w:p>
            <w:pPr>
              <w:jc w:val="center"/>
              <w:rPr>
                <w:rFonts w:ascii="宋体" w:hAnsi="宋体" w:cs="宋体"/>
                <w:color w:val="000000"/>
                <w:szCs w:val="21"/>
              </w:rPr>
            </w:pPr>
            <w:r>
              <w:rPr>
                <w:rFonts w:hint="eastAsia"/>
                <w:color w:val="000000"/>
                <w:szCs w:val="21"/>
              </w:rPr>
              <w:t xml:space="preserve">29.9 </w:t>
            </w:r>
          </w:p>
        </w:tc>
        <w:tc>
          <w:tcPr>
            <w:tcW w:w="595" w:type="dxa"/>
            <w:vAlign w:val="center"/>
          </w:tcPr>
          <w:p>
            <w:pPr>
              <w:jc w:val="center"/>
              <w:rPr>
                <w:rFonts w:ascii="宋体" w:hAnsi="宋体" w:cs="宋体"/>
                <w:color w:val="000000"/>
                <w:szCs w:val="21"/>
              </w:rPr>
            </w:pPr>
            <w:r>
              <w:rPr>
                <w:rFonts w:hint="eastAsia"/>
                <w:color w:val="000000"/>
                <w:szCs w:val="21"/>
              </w:rPr>
              <w:t xml:space="preserve">19.4 </w:t>
            </w:r>
          </w:p>
        </w:tc>
        <w:tc>
          <w:tcPr>
            <w:tcW w:w="595" w:type="dxa"/>
            <w:vAlign w:val="center"/>
          </w:tcPr>
          <w:p>
            <w:pPr>
              <w:jc w:val="center"/>
              <w:rPr>
                <w:rFonts w:ascii="宋体" w:hAnsi="宋体" w:cs="宋体"/>
                <w:color w:val="000000"/>
                <w:szCs w:val="21"/>
              </w:rPr>
            </w:pPr>
            <w:r>
              <w:rPr>
                <w:rFonts w:hint="eastAsia"/>
                <w:color w:val="000000"/>
                <w:szCs w:val="21"/>
              </w:rPr>
              <w:t xml:space="preserve">33.4 </w:t>
            </w:r>
          </w:p>
        </w:tc>
        <w:tc>
          <w:tcPr>
            <w:tcW w:w="621" w:type="dxa"/>
            <w:vAlign w:val="center"/>
          </w:tcPr>
          <w:p>
            <w:pPr>
              <w:jc w:val="center"/>
              <w:rPr>
                <w:rFonts w:ascii="宋体" w:hAnsi="宋体" w:cs="宋体"/>
                <w:color w:val="000000"/>
                <w:szCs w:val="21"/>
              </w:rPr>
            </w:pPr>
            <w:r>
              <w:rPr>
                <w:rFonts w:hint="eastAsia"/>
                <w:color w:val="000000"/>
                <w:szCs w:val="21"/>
              </w:rPr>
              <w:t xml:space="preserve">29.0 </w:t>
            </w:r>
          </w:p>
        </w:tc>
        <w:tc>
          <w:tcPr>
            <w:tcW w:w="825" w:type="dxa"/>
            <w:vAlign w:val="center"/>
          </w:tcPr>
          <w:p>
            <w:pPr>
              <w:jc w:val="center"/>
              <w:rPr>
                <w:color w:val="000000"/>
                <w:szCs w:val="21"/>
              </w:rPr>
            </w:pPr>
            <w:r>
              <w:rPr>
                <w:color w:val="000000"/>
                <w:szCs w:val="21"/>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437" w:type="dxa"/>
            <w:vMerge w:val="continue"/>
            <w:vAlign w:val="center"/>
          </w:tcPr>
          <w:p>
            <w:pPr>
              <w:jc w:val="center"/>
              <w:rPr>
                <w:color w:val="000000"/>
                <w:szCs w:val="21"/>
              </w:rPr>
            </w:pPr>
          </w:p>
        </w:tc>
        <w:tc>
          <w:tcPr>
            <w:tcW w:w="655" w:type="dxa"/>
            <w:vMerge w:val="continue"/>
            <w:vAlign w:val="center"/>
          </w:tcPr>
          <w:p>
            <w:pPr>
              <w:jc w:val="center"/>
              <w:rPr>
                <w:color w:val="000000"/>
                <w:szCs w:val="21"/>
              </w:rPr>
            </w:pPr>
          </w:p>
        </w:tc>
        <w:tc>
          <w:tcPr>
            <w:tcW w:w="995" w:type="dxa"/>
            <w:vAlign w:val="center"/>
          </w:tcPr>
          <w:p>
            <w:pPr>
              <w:adjustRightInd w:val="0"/>
              <w:snapToGrid w:val="0"/>
              <w:jc w:val="center"/>
              <w:rPr>
                <w:bCs/>
                <w:snapToGrid w:val="0"/>
                <w:color w:val="000000"/>
                <w:szCs w:val="21"/>
              </w:rPr>
            </w:pPr>
            <w:r>
              <w:rPr>
                <w:rFonts w:hint="eastAsia"/>
                <w:bCs/>
                <w:snapToGrid w:val="0"/>
                <w:color w:val="000000"/>
                <w:szCs w:val="21"/>
              </w:rPr>
              <w:t>切柱机</w:t>
            </w:r>
          </w:p>
        </w:tc>
        <w:tc>
          <w:tcPr>
            <w:tcW w:w="848" w:type="dxa"/>
            <w:vAlign w:val="center"/>
          </w:tcPr>
          <w:p>
            <w:pPr>
              <w:adjustRightInd w:val="0"/>
              <w:snapToGrid w:val="0"/>
              <w:jc w:val="center"/>
              <w:rPr>
                <w:bCs/>
                <w:snapToGrid w:val="0"/>
                <w:color w:val="000000"/>
                <w:szCs w:val="21"/>
              </w:rPr>
            </w:pPr>
            <w:r>
              <w:rPr>
                <w:rFonts w:hint="eastAsia"/>
                <w:bCs/>
                <w:snapToGrid w:val="0"/>
                <w:color w:val="000000"/>
                <w:szCs w:val="21"/>
              </w:rPr>
              <w:t>75</w:t>
            </w:r>
          </w:p>
        </w:tc>
        <w:tc>
          <w:tcPr>
            <w:tcW w:w="706" w:type="dxa"/>
            <w:vMerge w:val="continue"/>
            <w:vAlign w:val="center"/>
          </w:tcPr>
          <w:p>
            <w:pPr>
              <w:jc w:val="center"/>
              <w:rPr>
                <w:color w:val="000000"/>
                <w:szCs w:val="21"/>
              </w:rPr>
            </w:pPr>
          </w:p>
        </w:tc>
        <w:tc>
          <w:tcPr>
            <w:tcW w:w="558" w:type="dxa"/>
            <w:vAlign w:val="center"/>
          </w:tcPr>
          <w:p>
            <w:pPr>
              <w:adjustRightInd w:val="0"/>
              <w:snapToGrid w:val="0"/>
              <w:jc w:val="center"/>
              <w:rPr>
                <w:bCs/>
                <w:snapToGrid w:val="0"/>
                <w:color w:val="000000"/>
                <w:szCs w:val="21"/>
              </w:rPr>
            </w:pPr>
            <w:r>
              <w:rPr>
                <w:rFonts w:hint="eastAsia"/>
                <w:bCs/>
                <w:snapToGrid w:val="0"/>
                <w:color w:val="000000"/>
                <w:szCs w:val="21"/>
              </w:rPr>
              <w:t>15</w:t>
            </w:r>
          </w:p>
        </w:tc>
        <w:tc>
          <w:tcPr>
            <w:tcW w:w="558" w:type="dxa"/>
            <w:vAlign w:val="center"/>
          </w:tcPr>
          <w:p>
            <w:pPr>
              <w:adjustRightInd w:val="0"/>
              <w:snapToGrid w:val="0"/>
              <w:jc w:val="center"/>
              <w:rPr>
                <w:bCs/>
                <w:snapToGrid w:val="0"/>
                <w:color w:val="000000"/>
                <w:szCs w:val="21"/>
              </w:rPr>
            </w:pPr>
            <w:r>
              <w:rPr>
                <w:rFonts w:hint="eastAsia"/>
                <w:bCs/>
                <w:snapToGrid w:val="0"/>
                <w:color w:val="000000"/>
                <w:szCs w:val="21"/>
              </w:rPr>
              <w:t>20</w:t>
            </w:r>
          </w:p>
        </w:tc>
        <w:tc>
          <w:tcPr>
            <w:tcW w:w="561" w:type="dxa"/>
            <w:vAlign w:val="center"/>
          </w:tcPr>
          <w:p>
            <w:pPr>
              <w:adjustRightInd w:val="0"/>
              <w:snapToGrid w:val="0"/>
              <w:jc w:val="center"/>
              <w:rPr>
                <w:bCs/>
                <w:snapToGrid w:val="0"/>
                <w:color w:val="000000"/>
                <w:szCs w:val="21"/>
              </w:rPr>
            </w:pPr>
            <w:r>
              <w:rPr>
                <w:rFonts w:hint="eastAsia"/>
                <w:bCs/>
                <w:snapToGrid w:val="0"/>
                <w:color w:val="000000"/>
                <w:szCs w:val="21"/>
              </w:rPr>
              <w:t>1.2</w:t>
            </w:r>
          </w:p>
        </w:tc>
        <w:tc>
          <w:tcPr>
            <w:tcW w:w="437" w:type="dxa"/>
            <w:vAlign w:val="center"/>
          </w:tcPr>
          <w:p>
            <w:pPr>
              <w:jc w:val="center"/>
              <w:rPr>
                <w:color w:val="000000"/>
                <w:szCs w:val="21"/>
              </w:rPr>
            </w:pPr>
            <w:r>
              <w:rPr>
                <w:rFonts w:hint="eastAsia"/>
                <w:color w:val="000000" w:themeColor="text1"/>
                <w:szCs w:val="21"/>
              </w:rPr>
              <w:t>16</w:t>
            </w:r>
          </w:p>
        </w:tc>
        <w:tc>
          <w:tcPr>
            <w:tcW w:w="437" w:type="dxa"/>
            <w:vAlign w:val="center"/>
          </w:tcPr>
          <w:p>
            <w:pPr>
              <w:jc w:val="center"/>
              <w:rPr>
                <w:color w:val="000000"/>
                <w:szCs w:val="21"/>
              </w:rPr>
            </w:pPr>
            <w:r>
              <w:rPr>
                <w:rFonts w:hint="eastAsia"/>
                <w:color w:val="000000" w:themeColor="text1"/>
                <w:szCs w:val="21"/>
              </w:rPr>
              <w:t>60</w:t>
            </w:r>
          </w:p>
        </w:tc>
        <w:tc>
          <w:tcPr>
            <w:tcW w:w="437" w:type="dxa"/>
            <w:vAlign w:val="center"/>
          </w:tcPr>
          <w:p>
            <w:pPr>
              <w:jc w:val="center"/>
              <w:rPr>
                <w:color w:val="000000"/>
                <w:szCs w:val="21"/>
              </w:rPr>
            </w:pPr>
            <w:r>
              <w:rPr>
                <w:rFonts w:hint="eastAsia"/>
                <w:color w:val="000000" w:themeColor="text1"/>
                <w:szCs w:val="21"/>
              </w:rPr>
              <w:t>14</w:t>
            </w:r>
          </w:p>
        </w:tc>
        <w:tc>
          <w:tcPr>
            <w:tcW w:w="439" w:type="dxa"/>
            <w:vAlign w:val="center"/>
          </w:tcPr>
          <w:p>
            <w:pPr>
              <w:jc w:val="center"/>
              <w:rPr>
                <w:color w:val="000000"/>
                <w:szCs w:val="21"/>
              </w:rPr>
            </w:pPr>
            <w:r>
              <w:rPr>
                <w:rFonts w:hint="eastAsia"/>
                <w:color w:val="000000" w:themeColor="text1"/>
                <w:szCs w:val="21"/>
              </w:rPr>
              <w:t>20</w:t>
            </w:r>
          </w:p>
        </w:tc>
        <w:tc>
          <w:tcPr>
            <w:tcW w:w="595" w:type="dxa"/>
            <w:vAlign w:val="center"/>
          </w:tcPr>
          <w:p>
            <w:pPr>
              <w:jc w:val="center"/>
              <w:rPr>
                <w:rFonts w:ascii="宋体" w:hAnsi="宋体" w:cs="宋体"/>
                <w:color w:val="000000"/>
                <w:szCs w:val="21"/>
              </w:rPr>
            </w:pPr>
            <w:r>
              <w:rPr>
                <w:rFonts w:hint="eastAsia"/>
                <w:color w:val="000000"/>
                <w:szCs w:val="21"/>
              </w:rPr>
              <w:t xml:space="preserve">50.9 </w:t>
            </w:r>
          </w:p>
        </w:tc>
        <w:tc>
          <w:tcPr>
            <w:tcW w:w="595" w:type="dxa"/>
            <w:vAlign w:val="center"/>
          </w:tcPr>
          <w:p>
            <w:pPr>
              <w:jc w:val="center"/>
              <w:rPr>
                <w:rFonts w:ascii="宋体" w:hAnsi="宋体" w:cs="宋体"/>
                <w:color w:val="000000"/>
                <w:szCs w:val="21"/>
              </w:rPr>
            </w:pPr>
            <w:r>
              <w:rPr>
                <w:rFonts w:hint="eastAsia"/>
                <w:color w:val="000000"/>
                <w:szCs w:val="21"/>
              </w:rPr>
              <w:t xml:space="preserve">39.4 </w:t>
            </w:r>
          </w:p>
        </w:tc>
        <w:tc>
          <w:tcPr>
            <w:tcW w:w="595" w:type="dxa"/>
            <w:vAlign w:val="center"/>
          </w:tcPr>
          <w:p>
            <w:pPr>
              <w:jc w:val="center"/>
              <w:rPr>
                <w:rFonts w:ascii="宋体" w:hAnsi="宋体" w:cs="宋体"/>
                <w:color w:val="000000"/>
                <w:szCs w:val="21"/>
              </w:rPr>
            </w:pPr>
            <w:r>
              <w:rPr>
                <w:rFonts w:hint="eastAsia"/>
                <w:color w:val="000000"/>
                <w:szCs w:val="21"/>
              </w:rPr>
              <w:t xml:space="preserve">52.1 </w:t>
            </w:r>
          </w:p>
        </w:tc>
        <w:tc>
          <w:tcPr>
            <w:tcW w:w="621" w:type="dxa"/>
            <w:vAlign w:val="center"/>
          </w:tcPr>
          <w:p>
            <w:pPr>
              <w:jc w:val="center"/>
              <w:rPr>
                <w:rFonts w:ascii="宋体" w:hAnsi="宋体" w:cs="宋体"/>
                <w:color w:val="000000"/>
                <w:szCs w:val="21"/>
              </w:rPr>
            </w:pPr>
            <w:r>
              <w:rPr>
                <w:rFonts w:hint="eastAsia"/>
                <w:color w:val="000000"/>
                <w:szCs w:val="21"/>
              </w:rPr>
              <w:t xml:space="preserve">49.0 </w:t>
            </w:r>
          </w:p>
        </w:tc>
        <w:tc>
          <w:tcPr>
            <w:tcW w:w="661" w:type="dxa"/>
            <w:vAlign w:val="center"/>
          </w:tcPr>
          <w:p>
            <w:pPr>
              <w:jc w:val="center"/>
              <w:rPr>
                <w:szCs w:val="21"/>
              </w:rPr>
            </w:pPr>
            <w:r>
              <w:rPr>
                <w:rFonts w:hint="eastAsia"/>
                <w:color w:val="000000" w:themeColor="text1"/>
                <w:szCs w:val="21"/>
              </w:rPr>
              <w:t>1920</w:t>
            </w:r>
          </w:p>
        </w:tc>
        <w:tc>
          <w:tcPr>
            <w:tcW w:w="808" w:type="dxa"/>
            <w:vAlign w:val="center"/>
          </w:tcPr>
          <w:p>
            <w:pPr>
              <w:jc w:val="center"/>
              <w:rPr>
                <w:color w:val="000000"/>
                <w:szCs w:val="21"/>
              </w:rPr>
            </w:pPr>
            <w:r>
              <w:rPr>
                <w:rFonts w:hint="eastAsia"/>
                <w:color w:val="000000" w:themeColor="text1"/>
                <w:szCs w:val="21"/>
              </w:rPr>
              <w:t>20</w:t>
            </w:r>
          </w:p>
        </w:tc>
        <w:tc>
          <w:tcPr>
            <w:tcW w:w="595" w:type="dxa"/>
            <w:vAlign w:val="center"/>
          </w:tcPr>
          <w:p>
            <w:pPr>
              <w:jc w:val="center"/>
              <w:rPr>
                <w:rFonts w:ascii="宋体" w:hAnsi="宋体" w:cs="宋体"/>
                <w:color w:val="000000"/>
                <w:szCs w:val="21"/>
              </w:rPr>
            </w:pPr>
            <w:r>
              <w:rPr>
                <w:rFonts w:hint="eastAsia"/>
                <w:color w:val="000000"/>
                <w:szCs w:val="21"/>
              </w:rPr>
              <w:t xml:space="preserve">30.9 </w:t>
            </w:r>
          </w:p>
        </w:tc>
        <w:tc>
          <w:tcPr>
            <w:tcW w:w="595" w:type="dxa"/>
            <w:vAlign w:val="center"/>
          </w:tcPr>
          <w:p>
            <w:pPr>
              <w:jc w:val="center"/>
              <w:rPr>
                <w:rFonts w:ascii="宋体" w:hAnsi="宋体" w:cs="宋体"/>
                <w:color w:val="000000"/>
                <w:szCs w:val="21"/>
              </w:rPr>
            </w:pPr>
            <w:r>
              <w:rPr>
                <w:rFonts w:hint="eastAsia"/>
                <w:color w:val="000000"/>
                <w:szCs w:val="21"/>
              </w:rPr>
              <w:t xml:space="preserve">19.4 </w:t>
            </w:r>
          </w:p>
        </w:tc>
        <w:tc>
          <w:tcPr>
            <w:tcW w:w="595" w:type="dxa"/>
            <w:vAlign w:val="center"/>
          </w:tcPr>
          <w:p>
            <w:pPr>
              <w:jc w:val="center"/>
              <w:rPr>
                <w:rFonts w:ascii="宋体" w:hAnsi="宋体" w:cs="宋体"/>
                <w:color w:val="000000"/>
                <w:szCs w:val="21"/>
              </w:rPr>
            </w:pPr>
            <w:r>
              <w:rPr>
                <w:rFonts w:hint="eastAsia"/>
                <w:color w:val="000000"/>
                <w:szCs w:val="21"/>
              </w:rPr>
              <w:t xml:space="preserve">32.1 </w:t>
            </w:r>
          </w:p>
        </w:tc>
        <w:tc>
          <w:tcPr>
            <w:tcW w:w="621" w:type="dxa"/>
            <w:vAlign w:val="center"/>
          </w:tcPr>
          <w:p>
            <w:pPr>
              <w:jc w:val="center"/>
              <w:rPr>
                <w:rFonts w:ascii="宋体" w:hAnsi="宋体" w:cs="宋体"/>
                <w:color w:val="000000"/>
                <w:szCs w:val="21"/>
              </w:rPr>
            </w:pPr>
            <w:r>
              <w:rPr>
                <w:rFonts w:hint="eastAsia"/>
                <w:color w:val="000000"/>
                <w:szCs w:val="21"/>
              </w:rPr>
              <w:t xml:space="preserve">29.0 </w:t>
            </w:r>
          </w:p>
        </w:tc>
        <w:tc>
          <w:tcPr>
            <w:tcW w:w="825" w:type="dxa"/>
            <w:vAlign w:val="center"/>
          </w:tcPr>
          <w:p>
            <w:pPr>
              <w:jc w:val="center"/>
              <w:rPr>
                <w:color w:val="000000"/>
                <w:szCs w:val="21"/>
              </w:rPr>
            </w:pPr>
            <w:r>
              <w:rPr>
                <w:color w:val="000000"/>
                <w:szCs w:val="21"/>
              </w:rPr>
              <w:t>1</w:t>
            </w:r>
          </w:p>
        </w:tc>
      </w:tr>
    </w:tbl>
    <w:p>
      <w:pPr>
        <w:tabs>
          <w:tab w:val="left" w:pos="1081"/>
        </w:tabs>
        <w:adjustRightInd w:val="0"/>
        <w:snapToGrid w:val="0"/>
        <w:spacing w:line="360" w:lineRule="auto"/>
        <w:jc w:val="center"/>
        <w:rPr>
          <w:b/>
          <w:bCs/>
          <w:color w:val="000000"/>
          <w:kern w:val="0"/>
          <w:sz w:val="24"/>
        </w:rPr>
      </w:pPr>
      <w:r>
        <w:rPr>
          <w:b/>
          <w:bCs/>
          <w:color w:val="000000"/>
          <w:kern w:val="0"/>
          <w:sz w:val="24"/>
        </w:rPr>
        <w:t>表4-1</w:t>
      </w:r>
      <w:r>
        <w:rPr>
          <w:rFonts w:hint="eastAsia"/>
          <w:b/>
          <w:bCs/>
          <w:color w:val="000000"/>
          <w:kern w:val="0"/>
          <w:sz w:val="24"/>
        </w:rPr>
        <w:t>0</w:t>
      </w:r>
      <w:r>
        <w:rPr>
          <w:b/>
          <w:bCs/>
          <w:color w:val="000000"/>
          <w:kern w:val="0"/>
          <w:sz w:val="24"/>
        </w:rPr>
        <w:t xml:space="preserve">  项目营运期主要噪声源强调查清单一览表（室外声源）</w:t>
      </w:r>
    </w:p>
    <w:tbl>
      <w:tblPr>
        <w:tblStyle w:val="26"/>
        <w:tblpPr w:leftFromText="180" w:rightFromText="180" w:vertAnchor="text" w:tblpY="1"/>
        <w:tblOverlap w:val="never"/>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709"/>
        <w:gridCol w:w="425"/>
        <w:gridCol w:w="567"/>
        <w:gridCol w:w="567"/>
        <w:gridCol w:w="1701"/>
        <w:gridCol w:w="1134"/>
        <w:gridCol w:w="1559"/>
        <w:gridCol w:w="1417"/>
        <w:gridCol w:w="1443"/>
        <w:gridCol w:w="995"/>
        <w:gridCol w:w="995"/>
        <w:gridCol w:w="995"/>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0" w:hRule="exact"/>
        </w:trPr>
        <w:tc>
          <w:tcPr>
            <w:tcW w:w="675" w:type="dxa"/>
            <w:vMerge w:val="restart"/>
            <w:shd w:val="clear" w:color="auto" w:fill="auto"/>
            <w:vAlign w:val="center"/>
          </w:tcPr>
          <w:p>
            <w:pPr>
              <w:jc w:val="center"/>
              <w:rPr>
                <w:color w:val="000000"/>
                <w:sz w:val="18"/>
                <w:szCs w:val="18"/>
              </w:rPr>
            </w:pPr>
            <w:bookmarkStart w:id="51" w:name="PT_5"/>
            <w:r>
              <w:rPr>
                <w:color w:val="000000"/>
                <w:sz w:val="18"/>
                <w:szCs w:val="18"/>
              </w:rPr>
              <w:t>序号</w:t>
            </w:r>
          </w:p>
        </w:tc>
        <w:tc>
          <w:tcPr>
            <w:tcW w:w="709" w:type="dxa"/>
            <w:vMerge w:val="restart"/>
            <w:shd w:val="clear" w:color="auto" w:fill="auto"/>
            <w:vAlign w:val="center"/>
          </w:tcPr>
          <w:p>
            <w:pPr>
              <w:jc w:val="center"/>
              <w:rPr>
                <w:color w:val="000000"/>
                <w:sz w:val="18"/>
                <w:szCs w:val="18"/>
              </w:rPr>
            </w:pPr>
            <w:r>
              <w:rPr>
                <w:color w:val="000000"/>
                <w:sz w:val="18"/>
                <w:szCs w:val="18"/>
              </w:rPr>
              <w:t>声源名称</w:t>
            </w:r>
          </w:p>
        </w:tc>
        <w:tc>
          <w:tcPr>
            <w:tcW w:w="1559" w:type="dxa"/>
            <w:gridSpan w:val="3"/>
            <w:shd w:val="clear" w:color="auto" w:fill="auto"/>
            <w:vAlign w:val="center"/>
          </w:tcPr>
          <w:p>
            <w:pPr>
              <w:jc w:val="center"/>
              <w:rPr>
                <w:color w:val="000000"/>
                <w:sz w:val="18"/>
                <w:szCs w:val="18"/>
              </w:rPr>
            </w:pPr>
            <w:r>
              <w:rPr>
                <w:color w:val="000000"/>
                <w:sz w:val="18"/>
                <w:szCs w:val="18"/>
              </w:rPr>
              <w:t>空间相对位置/m</w:t>
            </w:r>
          </w:p>
        </w:tc>
        <w:tc>
          <w:tcPr>
            <w:tcW w:w="2835" w:type="dxa"/>
            <w:gridSpan w:val="2"/>
            <w:shd w:val="clear" w:color="auto" w:fill="auto"/>
            <w:vAlign w:val="center"/>
          </w:tcPr>
          <w:p>
            <w:pPr>
              <w:jc w:val="center"/>
              <w:rPr>
                <w:color w:val="000000"/>
                <w:sz w:val="18"/>
                <w:szCs w:val="18"/>
              </w:rPr>
            </w:pPr>
            <w:r>
              <w:rPr>
                <w:color w:val="000000"/>
                <w:sz w:val="18"/>
                <w:szCs w:val="18"/>
              </w:rPr>
              <w:t>声源源强（任选一种）</w:t>
            </w:r>
          </w:p>
        </w:tc>
        <w:tc>
          <w:tcPr>
            <w:tcW w:w="1559" w:type="dxa"/>
            <w:vMerge w:val="restart"/>
            <w:shd w:val="clear" w:color="auto" w:fill="auto"/>
            <w:vAlign w:val="center"/>
          </w:tcPr>
          <w:p>
            <w:pPr>
              <w:jc w:val="center"/>
              <w:rPr>
                <w:color w:val="000000"/>
                <w:sz w:val="18"/>
                <w:szCs w:val="18"/>
              </w:rPr>
            </w:pPr>
            <w:r>
              <w:rPr>
                <w:color w:val="000000"/>
                <w:sz w:val="18"/>
                <w:szCs w:val="18"/>
              </w:rPr>
              <w:t>声源控制措施</w:t>
            </w:r>
          </w:p>
        </w:tc>
        <w:tc>
          <w:tcPr>
            <w:tcW w:w="1417" w:type="dxa"/>
            <w:vMerge w:val="restart"/>
            <w:shd w:val="clear" w:color="auto" w:fill="auto"/>
            <w:vAlign w:val="center"/>
          </w:tcPr>
          <w:p>
            <w:pPr>
              <w:jc w:val="center"/>
              <w:rPr>
                <w:color w:val="000000"/>
                <w:sz w:val="18"/>
                <w:szCs w:val="18"/>
              </w:rPr>
            </w:pPr>
            <w:r>
              <w:rPr>
                <w:rFonts w:hint="eastAsia"/>
                <w:color w:val="000000"/>
                <w:sz w:val="18"/>
                <w:szCs w:val="18"/>
              </w:rPr>
              <w:t>降噪消减量/</w:t>
            </w:r>
            <w:r>
              <w:rPr>
                <w:color w:val="000000"/>
                <w:sz w:val="18"/>
                <w:szCs w:val="18"/>
              </w:rPr>
              <w:t>dB(A)</w:t>
            </w:r>
          </w:p>
        </w:tc>
        <w:tc>
          <w:tcPr>
            <w:tcW w:w="1443" w:type="dxa"/>
            <w:vMerge w:val="restart"/>
            <w:shd w:val="clear" w:color="auto" w:fill="auto"/>
            <w:vAlign w:val="center"/>
          </w:tcPr>
          <w:p>
            <w:pPr>
              <w:jc w:val="center"/>
              <w:rPr>
                <w:color w:val="000000"/>
                <w:sz w:val="18"/>
                <w:szCs w:val="18"/>
              </w:rPr>
            </w:pPr>
            <w:r>
              <w:rPr>
                <w:rFonts w:hint="eastAsia"/>
                <w:color w:val="000000"/>
                <w:sz w:val="18"/>
                <w:szCs w:val="18"/>
              </w:rPr>
              <w:t>降噪后声级/</w:t>
            </w:r>
            <w:r>
              <w:rPr>
                <w:color w:val="000000"/>
                <w:sz w:val="18"/>
                <w:szCs w:val="18"/>
              </w:rPr>
              <w:t>dB(A)</w:t>
            </w:r>
          </w:p>
        </w:tc>
        <w:tc>
          <w:tcPr>
            <w:tcW w:w="3977" w:type="dxa"/>
            <w:gridSpan w:val="4"/>
            <w:shd w:val="clear" w:color="auto" w:fill="auto"/>
            <w:vAlign w:val="center"/>
          </w:tcPr>
          <w:p>
            <w:pPr>
              <w:jc w:val="center"/>
              <w:rPr>
                <w:color w:val="000000"/>
                <w:sz w:val="18"/>
                <w:szCs w:val="18"/>
              </w:rPr>
            </w:pPr>
            <w:r>
              <w:rPr>
                <w:rFonts w:hint="eastAsia"/>
                <w:color w:val="000000"/>
                <w:sz w:val="18"/>
                <w:szCs w:val="18"/>
              </w:rPr>
              <w:t>建筑物外噪声</w:t>
            </w:r>
          </w:p>
        </w:tc>
      </w:tr>
      <w:bookmarkEnd w:id="51"/>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trPr>
        <w:tc>
          <w:tcPr>
            <w:tcW w:w="675" w:type="dxa"/>
            <w:vMerge w:val="continue"/>
            <w:shd w:val="clear" w:color="auto" w:fill="auto"/>
            <w:vAlign w:val="center"/>
          </w:tcPr>
          <w:p>
            <w:pPr>
              <w:ind w:firstLine="360"/>
              <w:jc w:val="center"/>
              <w:rPr>
                <w:color w:val="000000"/>
                <w:sz w:val="18"/>
                <w:szCs w:val="18"/>
              </w:rPr>
            </w:pPr>
          </w:p>
        </w:tc>
        <w:tc>
          <w:tcPr>
            <w:tcW w:w="709" w:type="dxa"/>
            <w:vMerge w:val="continue"/>
            <w:shd w:val="clear" w:color="auto" w:fill="auto"/>
            <w:vAlign w:val="center"/>
          </w:tcPr>
          <w:p>
            <w:pPr>
              <w:ind w:firstLine="360"/>
              <w:jc w:val="center"/>
              <w:rPr>
                <w:color w:val="000000"/>
                <w:sz w:val="18"/>
                <w:szCs w:val="18"/>
              </w:rPr>
            </w:pPr>
          </w:p>
        </w:tc>
        <w:tc>
          <w:tcPr>
            <w:tcW w:w="425" w:type="dxa"/>
            <w:shd w:val="clear" w:color="auto" w:fill="auto"/>
            <w:vAlign w:val="center"/>
          </w:tcPr>
          <w:p>
            <w:pPr>
              <w:jc w:val="center"/>
              <w:rPr>
                <w:color w:val="000000"/>
                <w:sz w:val="18"/>
                <w:szCs w:val="18"/>
              </w:rPr>
            </w:pPr>
            <w:r>
              <w:rPr>
                <w:color w:val="000000"/>
                <w:sz w:val="18"/>
                <w:szCs w:val="18"/>
              </w:rPr>
              <w:t>X</w:t>
            </w:r>
          </w:p>
        </w:tc>
        <w:tc>
          <w:tcPr>
            <w:tcW w:w="567" w:type="dxa"/>
            <w:shd w:val="clear" w:color="auto" w:fill="auto"/>
            <w:vAlign w:val="center"/>
          </w:tcPr>
          <w:p>
            <w:pPr>
              <w:jc w:val="center"/>
              <w:rPr>
                <w:color w:val="000000"/>
                <w:sz w:val="18"/>
                <w:szCs w:val="18"/>
              </w:rPr>
            </w:pPr>
            <w:r>
              <w:rPr>
                <w:color w:val="000000"/>
                <w:sz w:val="18"/>
                <w:szCs w:val="18"/>
              </w:rPr>
              <w:t>Y</w:t>
            </w:r>
          </w:p>
        </w:tc>
        <w:tc>
          <w:tcPr>
            <w:tcW w:w="567" w:type="dxa"/>
            <w:shd w:val="clear" w:color="auto" w:fill="auto"/>
            <w:vAlign w:val="center"/>
          </w:tcPr>
          <w:p>
            <w:pPr>
              <w:jc w:val="center"/>
              <w:rPr>
                <w:color w:val="000000"/>
                <w:sz w:val="18"/>
                <w:szCs w:val="18"/>
              </w:rPr>
            </w:pPr>
            <w:r>
              <w:rPr>
                <w:color w:val="000000"/>
                <w:sz w:val="18"/>
                <w:szCs w:val="18"/>
              </w:rPr>
              <w:t>Z</w:t>
            </w:r>
          </w:p>
        </w:tc>
        <w:tc>
          <w:tcPr>
            <w:tcW w:w="1701" w:type="dxa"/>
            <w:shd w:val="clear" w:color="auto" w:fill="auto"/>
            <w:vAlign w:val="center"/>
          </w:tcPr>
          <w:p>
            <w:pPr>
              <w:jc w:val="center"/>
              <w:rPr>
                <w:color w:val="000000"/>
                <w:sz w:val="18"/>
                <w:szCs w:val="18"/>
              </w:rPr>
            </w:pPr>
            <w:r>
              <w:rPr>
                <w:color w:val="000000"/>
                <w:sz w:val="18"/>
                <w:szCs w:val="18"/>
              </w:rPr>
              <w:t>（声压级/距声源距离）/（dB(A)/m）</w:t>
            </w:r>
          </w:p>
        </w:tc>
        <w:tc>
          <w:tcPr>
            <w:tcW w:w="1134" w:type="dxa"/>
            <w:shd w:val="clear" w:color="auto" w:fill="auto"/>
            <w:vAlign w:val="center"/>
          </w:tcPr>
          <w:p>
            <w:pPr>
              <w:jc w:val="center"/>
              <w:rPr>
                <w:color w:val="000000"/>
                <w:sz w:val="18"/>
                <w:szCs w:val="18"/>
              </w:rPr>
            </w:pPr>
            <w:r>
              <w:rPr>
                <w:color w:val="000000"/>
                <w:sz w:val="18"/>
                <w:szCs w:val="18"/>
              </w:rPr>
              <w:t>声功率级/dB(A)</w:t>
            </w:r>
          </w:p>
        </w:tc>
        <w:tc>
          <w:tcPr>
            <w:tcW w:w="1559" w:type="dxa"/>
            <w:vMerge w:val="continue"/>
            <w:shd w:val="clear" w:color="auto" w:fill="auto"/>
            <w:vAlign w:val="center"/>
          </w:tcPr>
          <w:p>
            <w:pPr>
              <w:ind w:firstLine="360"/>
              <w:jc w:val="center"/>
              <w:rPr>
                <w:color w:val="000000"/>
                <w:sz w:val="18"/>
                <w:szCs w:val="18"/>
              </w:rPr>
            </w:pPr>
          </w:p>
        </w:tc>
        <w:tc>
          <w:tcPr>
            <w:tcW w:w="1417" w:type="dxa"/>
            <w:vMerge w:val="continue"/>
            <w:shd w:val="clear" w:color="auto" w:fill="auto"/>
            <w:vAlign w:val="center"/>
          </w:tcPr>
          <w:p>
            <w:pPr>
              <w:ind w:firstLine="360"/>
              <w:jc w:val="center"/>
              <w:rPr>
                <w:color w:val="000000"/>
                <w:sz w:val="18"/>
                <w:szCs w:val="18"/>
              </w:rPr>
            </w:pPr>
          </w:p>
        </w:tc>
        <w:tc>
          <w:tcPr>
            <w:tcW w:w="1443" w:type="dxa"/>
            <w:vMerge w:val="continue"/>
            <w:shd w:val="clear" w:color="auto" w:fill="auto"/>
            <w:vAlign w:val="center"/>
          </w:tcPr>
          <w:p>
            <w:pPr>
              <w:ind w:firstLine="360"/>
              <w:jc w:val="center"/>
              <w:rPr>
                <w:color w:val="000000"/>
                <w:sz w:val="18"/>
                <w:szCs w:val="18"/>
              </w:rPr>
            </w:pPr>
          </w:p>
        </w:tc>
        <w:tc>
          <w:tcPr>
            <w:tcW w:w="995" w:type="dxa"/>
            <w:shd w:val="clear" w:color="auto" w:fill="auto"/>
            <w:vAlign w:val="center"/>
          </w:tcPr>
          <w:p>
            <w:pPr>
              <w:jc w:val="center"/>
              <w:rPr>
                <w:b/>
                <w:color w:val="000000"/>
                <w:szCs w:val="21"/>
              </w:rPr>
            </w:pPr>
            <w:r>
              <w:rPr>
                <w:b/>
                <w:color w:val="000000"/>
                <w:szCs w:val="21"/>
              </w:rPr>
              <w:t>东</w:t>
            </w:r>
          </w:p>
        </w:tc>
        <w:tc>
          <w:tcPr>
            <w:tcW w:w="995" w:type="dxa"/>
            <w:shd w:val="clear" w:color="auto" w:fill="auto"/>
            <w:vAlign w:val="center"/>
          </w:tcPr>
          <w:p>
            <w:pPr>
              <w:jc w:val="center"/>
              <w:rPr>
                <w:b/>
                <w:color w:val="000000"/>
                <w:szCs w:val="21"/>
              </w:rPr>
            </w:pPr>
            <w:r>
              <w:rPr>
                <w:b/>
                <w:color w:val="000000"/>
                <w:szCs w:val="21"/>
              </w:rPr>
              <w:t>南</w:t>
            </w:r>
          </w:p>
        </w:tc>
        <w:tc>
          <w:tcPr>
            <w:tcW w:w="995" w:type="dxa"/>
            <w:shd w:val="clear" w:color="auto" w:fill="auto"/>
            <w:vAlign w:val="center"/>
          </w:tcPr>
          <w:p>
            <w:pPr>
              <w:jc w:val="center"/>
              <w:rPr>
                <w:b/>
                <w:color w:val="000000"/>
                <w:szCs w:val="21"/>
              </w:rPr>
            </w:pPr>
            <w:r>
              <w:rPr>
                <w:b/>
                <w:color w:val="000000"/>
                <w:szCs w:val="21"/>
              </w:rPr>
              <w:t>西</w:t>
            </w:r>
          </w:p>
        </w:tc>
        <w:tc>
          <w:tcPr>
            <w:tcW w:w="992" w:type="dxa"/>
            <w:shd w:val="clear" w:color="auto" w:fill="auto"/>
            <w:vAlign w:val="center"/>
          </w:tcPr>
          <w:p>
            <w:pPr>
              <w:jc w:val="center"/>
              <w:rPr>
                <w:b/>
                <w:color w:val="000000"/>
                <w:szCs w:val="21"/>
              </w:rPr>
            </w:pPr>
            <w:r>
              <w:rPr>
                <w:b/>
                <w:color w:val="000000"/>
                <w:szCs w:val="21"/>
              </w:rPr>
              <w:t>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9" w:hRule="exact"/>
        </w:trPr>
        <w:tc>
          <w:tcPr>
            <w:tcW w:w="675" w:type="dxa"/>
            <w:shd w:val="clear" w:color="auto" w:fill="auto"/>
            <w:vAlign w:val="center"/>
          </w:tcPr>
          <w:p>
            <w:pPr>
              <w:jc w:val="center"/>
              <w:rPr>
                <w:color w:val="000000"/>
                <w:sz w:val="18"/>
                <w:szCs w:val="18"/>
              </w:rPr>
            </w:pPr>
            <w:r>
              <w:rPr>
                <w:color w:val="000000"/>
                <w:sz w:val="18"/>
                <w:szCs w:val="18"/>
              </w:rPr>
              <w:t>1</w:t>
            </w:r>
          </w:p>
        </w:tc>
        <w:tc>
          <w:tcPr>
            <w:tcW w:w="709" w:type="dxa"/>
            <w:shd w:val="clear" w:color="auto" w:fill="auto"/>
            <w:vAlign w:val="center"/>
          </w:tcPr>
          <w:p>
            <w:pPr>
              <w:jc w:val="center"/>
              <w:rPr>
                <w:color w:val="000000"/>
                <w:sz w:val="18"/>
                <w:szCs w:val="18"/>
              </w:rPr>
            </w:pPr>
            <w:r>
              <w:rPr>
                <w:rFonts w:hint="eastAsia"/>
                <w:color w:val="000000"/>
                <w:sz w:val="18"/>
                <w:szCs w:val="18"/>
              </w:rPr>
              <w:t>风机</w:t>
            </w:r>
          </w:p>
        </w:tc>
        <w:tc>
          <w:tcPr>
            <w:tcW w:w="425" w:type="dxa"/>
            <w:shd w:val="clear" w:color="auto" w:fill="auto"/>
            <w:vAlign w:val="center"/>
          </w:tcPr>
          <w:p>
            <w:pPr>
              <w:jc w:val="center"/>
              <w:rPr>
                <w:color w:val="000000"/>
                <w:sz w:val="18"/>
                <w:szCs w:val="18"/>
              </w:rPr>
            </w:pPr>
            <w:r>
              <w:rPr>
                <w:rFonts w:hint="eastAsia"/>
                <w:color w:val="000000"/>
                <w:sz w:val="18"/>
                <w:szCs w:val="18"/>
              </w:rPr>
              <w:t>12</w:t>
            </w:r>
          </w:p>
        </w:tc>
        <w:tc>
          <w:tcPr>
            <w:tcW w:w="567" w:type="dxa"/>
            <w:shd w:val="clear" w:color="auto" w:fill="auto"/>
            <w:vAlign w:val="center"/>
          </w:tcPr>
          <w:p>
            <w:pPr>
              <w:jc w:val="center"/>
              <w:rPr>
                <w:color w:val="000000"/>
                <w:sz w:val="18"/>
                <w:szCs w:val="18"/>
              </w:rPr>
            </w:pPr>
            <w:r>
              <w:rPr>
                <w:rFonts w:hint="eastAsia"/>
                <w:color w:val="000000"/>
                <w:sz w:val="18"/>
                <w:szCs w:val="18"/>
              </w:rPr>
              <w:t>30</w:t>
            </w:r>
          </w:p>
        </w:tc>
        <w:tc>
          <w:tcPr>
            <w:tcW w:w="567" w:type="dxa"/>
            <w:shd w:val="clear" w:color="auto" w:fill="auto"/>
            <w:vAlign w:val="center"/>
          </w:tcPr>
          <w:p>
            <w:pPr>
              <w:jc w:val="center"/>
              <w:rPr>
                <w:color w:val="000000"/>
                <w:sz w:val="18"/>
                <w:szCs w:val="18"/>
              </w:rPr>
            </w:pPr>
            <w:r>
              <w:rPr>
                <w:color w:val="000000"/>
                <w:sz w:val="18"/>
                <w:szCs w:val="18"/>
              </w:rPr>
              <w:t>1.2</w:t>
            </w:r>
          </w:p>
        </w:tc>
        <w:tc>
          <w:tcPr>
            <w:tcW w:w="1701" w:type="dxa"/>
            <w:shd w:val="clear" w:color="auto" w:fill="auto"/>
            <w:vAlign w:val="center"/>
          </w:tcPr>
          <w:p>
            <w:pPr>
              <w:jc w:val="center"/>
              <w:rPr>
                <w:color w:val="000000"/>
                <w:sz w:val="18"/>
                <w:szCs w:val="18"/>
              </w:rPr>
            </w:pPr>
            <w:r>
              <w:rPr>
                <w:rFonts w:hint="eastAsia"/>
                <w:color w:val="000000"/>
                <w:sz w:val="18"/>
                <w:szCs w:val="18"/>
              </w:rPr>
              <w:t>80/</w:t>
            </w:r>
            <w:r>
              <w:rPr>
                <w:color w:val="000000"/>
                <w:sz w:val="18"/>
                <w:szCs w:val="18"/>
              </w:rPr>
              <w:t>1</w:t>
            </w:r>
          </w:p>
        </w:tc>
        <w:tc>
          <w:tcPr>
            <w:tcW w:w="1134" w:type="dxa"/>
            <w:shd w:val="clear" w:color="auto" w:fill="auto"/>
            <w:vAlign w:val="center"/>
          </w:tcPr>
          <w:p>
            <w:pPr>
              <w:jc w:val="center"/>
              <w:rPr>
                <w:color w:val="000000"/>
                <w:sz w:val="18"/>
                <w:szCs w:val="18"/>
              </w:rPr>
            </w:pPr>
            <w:r>
              <w:rPr>
                <w:rFonts w:hint="eastAsia"/>
                <w:color w:val="000000"/>
                <w:sz w:val="18"/>
                <w:szCs w:val="18"/>
              </w:rPr>
              <w:t>80</w:t>
            </w:r>
          </w:p>
        </w:tc>
        <w:tc>
          <w:tcPr>
            <w:tcW w:w="1559" w:type="dxa"/>
            <w:shd w:val="clear" w:color="auto" w:fill="auto"/>
            <w:vAlign w:val="center"/>
          </w:tcPr>
          <w:p>
            <w:pPr>
              <w:jc w:val="center"/>
              <w:rPr>
                <w:color w:val="000000"/>
                <w:sz w:val="18"/>
                <w:szCs w:val="18"/>
              </w:rPr>
            </w:pPr>
            <w:r>
              <w:rPr>
                <w:rFonts w:hint="eastAsia"/>
                <w:color w:val="000000"/>
                <w:sz w:val="18"/>
                <w:szCs w:val="18"/>
              </w:rPr>
              <w:t>设置隔声罩，风机地脚增加减振脚垫</w:t>
            </w:r>
          </w:p>
        </w:tc>
        <w:tc>
          <w:tcPr>
            <w:tcW w:w="1417" w:type="dxa"/>
            <w:shd w:val="clear" w:color="auto" w:fill="auto"/>
            <w:vAlign w:val="center"/>
          </w:tcPr>
          <w:p>
            <w:pPr>
              <w:jc w:val="center"/>
              <w:rPr>
                <w:color w:val="000000"/>
                <w:sz w:val="18"/>
                <w:szCs w:val="18"/>
              </w:rPr>
            </w:pPr>
            <w:r>
              <w:rPr>
                <w:rFonts w:hint="eastAsia"/>
                <w:color w:val="000000"/>
                <w:sz w:val="18"/>
                <w:szCs w:val="18"/>
              </w:rPr>
              <w:t>25</w:t>
            </w:r>
          </w:p>
        </w:tc>
        <w:tc>
          <w:tcPr>
            <w:tcW w:w="1443" w:type="dxa"/>
            <w:shd w:val="clear" w:color="auto" w:fill="auto"/>
            <w:vAlign w:val="center"/>
          </w:tcPr>
          <w:p>
            <w:pPr>
              <w:pStyle w:val="37"/>
              <w:spacing w:before="31" w:after="31"/>
              <w:rPr>
                <w:rFonts w:ascii="Times New Roman"/>
              </w:rPr>
            </w:pPr>
            <w:r>
              <w:rPr>
                <w:rFonts w:ascii="Times New Roman"/>
              </w:rPr>
              <w:t>55</w:t>
            </w:r>
          </w:p>
        </w:tc>
        <w:tc>
          <w:tcPr>
            <w:tcW w:w="995" w:type="dxa"/>
            <w:shd w:val="clear" w:color="auto" w:fill="auto"/>
            <w:vAlign w:val="center"/>
          </w:tcPr>
          <w:p>
            <w:pPr>
              <w:jc w:val="center"/>
              <w:rPr>
                <w:color w:val="000000"/>
                <w:sz w:val="18"/>
                <w:szCs w:val="18"/>
              </w:rPr>
            </w:pPr>
            <w:r>
              <w:rPr>
                <w:rFonts w:hint="eastAsia"/>
                <w:color w:val="000000"/>
                <w:sz w:val="18"/>
                <w:szCs w:val="18"/>
              </w:rPr>
              <w:t>41.0</w:t>
            </w:r>
          </w:p>
        </w:tc>
        <w:tc>
          <w:tcPr>
            <w:tcW w:w="995" w:type="dxa"/>
            <w:shd w:val="clear" w:color="auto" w:fill="auto"/>
            <w:vAlign w:val="center"/>
          </w:tcPr>
          <w:p>
            <w:pPr>
              <w:jc w:val="center"/>
              <w:rPr>
                <w:color w:val="000000"/>
                <w:sz w:val="18"/>
                <w:szCs w:val="18"/>
              </w:rPr>
            </w:pPr>
            <w:r>
              <w:rPr>
                <w:rFonts w:hint="eastAsia"/>
                <w:color w:val="000000"/>
                <w:sz w:val="18"/>
                <w:szCs w:val="18"/>
              </w:rPr>
              <w:t>18.1</w:t>
            </w:r>
          </w:p>
        </w:tc>
        <w:tc>
          <w:tcPr>
            <w:tcW w:w="995" w:type="dxa"/>
            <w:shd w:val="clear" w:color="auto" w:fill="auto"/>
            <w:vAlign w:val="center"/>
          </w:tcPr>
          <w:p>
            <w:pPr>
              <w:jc w:val="center"/>
              <w:rPr>
                <w:color w:val="000000"/>
                <w:sz w:val="18"/>
                <w:szCs w:val="18"/>
              </w:rPr>
            </w:pPr>
            <w:r>
              <w:rPr>
                <w:rFonts w:hint="eastAsia"/>
                <w:color w:val="000000"/>
                <w:sz w:val="18"/>
                <w:szCs w:val="18"/>
              </w:rPr>
              <w:t>29.9</w:t>
            </w:r>
          </w:p>
        </w:tc>
        <w:tc>
          <w:tcPr>
            <w:tcW w:w="992" w:type="dxa"/>
            <w:shd w:val="clear" w:color="auto" w:fill="auto"/>
            <w:vAlign w:val="center"/>
          </w:tcPr>
          <w:p>
            <w:pPr>
              <w:jc w:val="center"/>
              <w:rPr>
                <w:color w:val="000000"/>
                <w:sz w:val="18"/>
                <w:szCs w:val="18"/>
              </w:rPr>
            </w:pPr>
            <w:r>
              <w:rPr>
                <w:rFonts w:hint="eastAsia"/>
                <w:color w:val="000000"/>
                <w:sz w:val="18"/>
                <w:szCs w:val="18"/>
              </w:rPr>
              <w:t>35.0</w:t>
            </w:r>
          </w:p>
        </w:tc>
      </w:tr>
    </w:tbl>
    <w:p>
      <w:pPr>
        <w:tabs>
          <w:tab w:val="left" w:pos="1081"/>
        </w:tabs>
        <w:adjustRightInd w:val="0"/>
        <w:snapToGrid w:val="0"/>
        <w:spacing w:line="360" w:lineRule="auto"/>
        <w:ind w:firstLine="420" w:firstLineChars="200"/>
        <w:jc w:val="left"/>
        <w:rPr>
          <w:color w:val="000000"/>
          <w:sz w:val="24"/>
        </w:rPr>
      </w:pPr>
      <w:r>
        <w:rPr>
          <w:color w:val="000000"/>
        </w:rPr>
        <w:br w:type="textWrapping" w:clear="all"/>
      </w:r>
      <w:r>
        <w:rPr>
          <w:rFonts w:hint="eastAsia"/>
          <w:color w:val="000000"/>
        </w:rPr>
        <w:t>注：以项目所在场地西南角点为（0，0）点，正东向为X轴正方向，正北向为Y轴正方向。</w:t>
      </w:r>
    </w:p>
    <w:p>
      <w:pPr>
        <w:tabs>
          <w:tab w:val="left" w:pos="1081"/>
        </w:tabs>
        <w:adjustRightInd w:val="0"/>
        <w:snapToGrid w:val="0"/>
        <w:spacing w:line="360" w:lineRule="auto"/>
        <w:ind w:firstLine="480" w:firstLineChars="200"/>
        <w:jc w:val="left"/>
        <w:rPr>
          <w:color w:val="000000"/>
          <w:sz w:val="24"/>
        </w:rPr>
        <w:sectPr>
          <w:pgSz w:w="16838" w:h="11906" w:orient="landscape"/>
          <w:pgMar w:top="1797" w:right="1440" w:bottom="1797" w:left="1440" w:header="851" w:footer="992" w:gutter="0"/>
          <w:cols w:space="425" w:num="1"/>
          <w:docGrid w:type="lines" w:linePitch="312" w:charSpace="0"/>
        </w:sectPr>
      </w:pPr>
    </w:p>
    <w:tbl>
      <w:tblPr>
        <w:tblStyle w:val="26"/>
        <w:tblpPr w:leftFromText="180" w:rightFromText="180" w:vertAnchor="text" w:tblpY="1"/>
        <w:tblOverlap w:val="never"/>
        <w:tblW w:w="844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48"/>
        <w:gridCol w:w="800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448" w:type="dxa"/>
            <w:tcBorders>
              <w:tl2br w:val="nil"/>
              <w:tr2bl w:val="nil"/>
            </w:tcBorders>
            <w:tcMar>
              <w:left w:w="28" w:type="dxa"/>
              <w:right w:w="28" w:type="dxa"/>
            </w:tcMar>
            <w:vAlign w:val="center"/>
          </w:tcPr>
          <w:p>
            <w:pPr>
              <w:adjustRightInd w:val="0"/>
              <w:snapToGrid w:val="0"/>
              <w:spacing w:line="360" w:lineRule="auto"/>
              <w:jc w:val="center"/>
              <w:rPr>
                <w:bCs/>
                <w:kern w:val="21"/>
                <w:sz w:val="24"/>
                <w:szCs w:val="24"/>
              </w:rPr>
            </w:pPr>
            <w:r>
              <w:rPr>
                <w:bCs/>
                <w:kern w:val="21"/>
                <w:sz w:val="24"/>
                <w:szCs w:val="24"/>
              </w:rPr>
              <w:t>运营</w:t>
            </w:r>
          </w:p>
          <w:p>
            <w:pPr>
              <w:adjustRightInd w:val="0"/>
              <w:snapToGrid w:val="0"/>
              <w:spacing w:line="360" w:lineRule="auto"/>
              <w:jc w:val="center"/>
              <w:rPr>
                <w:bCs/>
                <w:kern w:val="21"/>
                <w:sz w:val="24"/>
                <w:szCs w:val="24"/>
              </w:rPr>
            </w:pPr>
            <w:r>
              <w:rPr>
                <w:bCs/>
                <w:kern w:val="21"/>
                <w:sz w:val="24"/>
                <w:szCs w:val="24"/>
              </w:rPr>
              <w:t>期环</w:t>
            </w:r>
          </w:p>
          <w:p>
            <w:pPr>
              <w:adjustRightInd w:val="0"/>
              <w:snapToGrid w:val="0"/>
              <w:spacing w:line="360" w:lineRule="auto"/>
              <w:jc w:val="center"/>
              <w:rPr>
                <w:bCs/>
                <w:kern w:val="21"/>
                <w:sz w:val="24"/>
                <w:szCs w:val="24"/>
              </w:rPr>
            </w:pPr>
            <w:r>
              <w:rPr>
                <w:bCs/>
                <w:kern w:val="21"/>
                <w:sz w:val="24"/>
                <w:szCs w:val="24"/>
              </w:rPr>
              <w:t>境影</w:t>
            </w:r>
          </w:p>
          <w:p>
            <w:pPr>
              <w:adjustRightInd w:val="0"/>
              <w:snapToGrid w:val="0"/>
              <w:spacing w:line="360" w:lineRule="auto"/>
              <w:jc w:val="center"/>
              <w:rPr>
                <w:bCs/>
                <w:kern w:val="21"/>
                <w:sz w:val="24"/>
                <w:szCs w:val="24"/>
              </w:rPr>
            </w:pPr>
            <w:r>
              <w:rPr>
                <w:bCs/>
                <w:kern w:val="21"/>
                <w:sz w:val="24"/>
                <w:szCs w:val="24"/>
              </w:rPr>
              <w:t>响和</w:t>
            </w:r>
          </w:p>
          <w:p>
            <w:pPr>
              <w:adjustRightInd w:val="0"/>
              <w:snapToGrid w:val="0"/>
              <w:spacing w:line="360" w:lineRule="auto"/>
              <w:jc w:val="center"/>
              <w:rPr>
                <w:bCs/>
                <w:kern w:val="21"/>
                <w:sz w:val="24"/>
                <w:szCs w:val="24"/>
              </w:rPr>
            </w:pPr>
            <w:r>
              <w:rPr>
                <w:bCs/>
                <w:kern w:val="21"/>
                <w:sz w:val="24"/>
                <w:szCs w:val="24"/>
              </w:rPr>
              <w:t>保护</w:t>
            </w:r>
          </w:p>
          <w:p>
            <w:pPr>
              <w:adjustRightInd w:val="0"/>
              <w:snapToGrid w:val="0"/>
              <w:spacing w:line="360" w:lineRule="auto"/>
              <w:jc w:val="center"/>
              <w:rPr>
                <w:bCs/>
                <w:kern w:val="21"/>
                <w:szCs w:val="21"/>
              </w:rPr>
            </w:pPr>
            <w:r>
              <w:rPr>
                <w:bCs/>
                <w:kern w:val="21"/>
                <w:sz w:val="24"/>
                <w:szCs w:val="24"/>
              </w:rPr>
              <w:t>措施</w:t>
            </w:r>
          </w:p>
        </w:tc>
        <w:tc>
          <w:tcPr>
            <w:tcW w:w="8000" w:type="dxa"/>
            <w:tcBorders>
              <w:tl2br w:val="nil"/>
              <w:tr2bl w:val="nil"/>
            </w:tcBorders>
            <w:vAlign w:val="center"/>
          </w:tcPr>
          <w:p>
            <w:pPr>
              <w:tabs>
                <w:tab w:val="left" w:pos="1081"/>
              </w:tabs>
              <w:adjustRightInd w:val="0"/>
              <w:snapToGrid w:val="0"/>
              <w:spacing w:line="360" w:lineRule="auto"/>
              <w:ind w:firstLine="480" w:firstLineChars="200"/>
              <w:jc w:val="left"/>
              <w:rPr>
                <w:color w:val="000000"/>
                <w:sz w:val="24"/>
              </w:rPr>
            </w:pPr>
            <w:r>
              <w:rPr>
                <w:color w:val="000000"/>
                <w:sz w:val="24"/>
              </w:rPr>
              <w:t>3.2噪声预测模式</w:t>
            </w:r>
          </w:p>
          <w:p>
            <w:pPr>
              <w:adjustRightInd w:val="0"/>
              <w:snapToGrid w:val="0"/>
              <w:spacing w:line="360" w:lineRule="auto"/>
              <w:ind w:firstLine="480" w:firstLineChars="200"/>
              <w:rPr>
                <w:bCs/>
                <w:color w:val="000000" w:themeColor="text1"/>
                <w:sz w:val="24"/>
                <w:szCs w:val="22"/>
              </w:rPr>
            </w:pPr>
            <w:r>
              <w:rPr>
                <w:bCs/>
                <w:color w:val="000000" w:themeColor="text1"/>
                <w:sz w:val="24"/>
                <w:szCs w:val="22"/>
              </w:rPr>
              <w:t>根据《环境影响评价技术导则</w:t>
            </w:r>
            <w:r>
              <w:rPr>
                <w:rFonts w:hint="eastAsia"/>
                <w:bCs/>
                <w:color w:val="000000" w:themeColor="text1"/>
                <w:sz w:val="24"/>
                <w:szCs w:val="22"/>
              </w:rPr>
              <w:t>-</w:t>
            </w:r>
            <w:r>
              <w:rPr>
                <w:bCs/>
                <w:color w:val="000000" w:themeColor="text1"/>
                <w:sz w:val="24"/>
                <w:szCs w:val="22"/>
              </w:rPr>
              <w:t>声环境》（HJ2.4-2021）要求，本次评价声环境质量预测范围为项目四周厂界</w:t>
            </w:r>
            <w:r>
              <w:rPr>
                <w:rFonts w:hint="eastAsia"/>
                <w:bCs/>
                <w:color w:val="000000" w:themeColor="text1"/>
                <w:sz w:val="24"/>
                <w:szCs w:val="22"/>
              </w:rPr>
              <w:t>、北侧居民点、东侧居民点</w:t>
            </w:r>
            <w:r>
              <w:rPr>
                <w:bCs/>
                <w:color w:val="000000" w:themeColor="text1"/>
                <w:sz w:val="24"/>
                <w:szCs w:val="22"/>
              </w:rPr>
              <w:t>。本次评价根据《环境影响评价技术导则-声环境》（HJ2.4-2021）中声级预测模式对边界进行达标预测分析。</w:t>
            </w:r>
          </w:p>
          <w:p>
            <w:pPr>
              <w:adjustRightInd w:val="0"/>
              <w:snapToGrid w:val="0"/>
              <w:spacing w:line="360" w:lineRule="auto"/>
              <w:ind w:firstLine="480" w:firstLineChars="200"/>
              <w:rPr>
                <w:color w:val="000000" w:themeColor="text1"/>
                <w:sz w:val="24"/>
                <w:szCs w:val="22"/>
              </w:rPr>
            </w:pPr>
            <w:r>
              <w:rPr>
                <w:rFonts w:hint="eastAsia" w:ascii="宋体" w:hAnsi="宋体" w:cs="宋体"/>
                <w:color w:val="000000" w:themeColor="text1"/>
                <w:sz w:val="24"/>
                <w:szCs w:val="22"/>
              </w:rPr>
              <w:t>①</w:t>
            </w:r>
            <w:r>
              <w:rPr>
                <w:color w:val="000000" w:themeColor="text1"/>
                <w:sz w:val="24"/>
                <w:szCs w:val="22"/>
              </w:rPr>
              <w:t>建设项目声源在预测点产生的等效声级贡献值(</w:t>
            </w:r>
            <w:r>
              <w:rPr>
                <w:color w:val="000000" w:themeColor="text1"/>
                <w:position w:val="-14"/>
                <w:sz w:val="24"/>
                <w:szCs w:val="22"/>
              </w:rPr>
              <w:object>
                <v:shape id="_x0000_i1025" o:spt="75" type="#_x0000_t75" style="height:19pt;width:21.75pt;" o:ole="t" filled="f" o:preferrelative="t" stroked="f" coordsize="21600,21600">
                  <v:path/>
                  <v:fill on="f" focussize="0,0"/>
                  <v:stroke on="f" joinstyle="miter"/>
                  <v:imagedata r:id="rId14" o:title=""/>
                  <o:lock v:ext="edit" aspectratio="t"/>
                  <w10:wrap type="none"/>
                  <w10:anchorlock/>
                </v:shape>
                <o:OLEObject Type="Embed" ProgID="Equations" ShapeID="_x0000_i1025" DrawAspect="Content" ObjectID="_1468075725" r:id="rId13">
                  <o:LockedField>false</o:LockedField>
                </o:OLEObject>
              </w:object>
            </w:r>
            <w:r>
              <w:rPr>
                <w:color w:val="000000" w:themeColor="text1"/>
                <w:sz w:val="24"/>
                <w:szCs w:val="22"/>
              </w:rPr>
              <w:t>)计算公式：</w:t>
            </w:r>
          </w:p>
          <w:p>
            <w:pPr>
              <w:adjustRightInd w:val="0"/>
              <w:snapToGrid w:val="0"/>
              <w:spacing w:line="360" w:lineRule="auto"/>
              <w:ind w:firstLine="480" w:firstLineChars="200"/>
              <w:jc w:val="center"/>
              <w:rPr>
                <w:color w:val="000000" w:themeColor="text1"/>
                <w:sz w:val="24"/>
                <w:szCs w:val="22"/>
              </w:rPr>
            </w:pPr>
            <w:r>
              <w:rPr>
                <w:color w:val="000000" w:themeColor="text1"/>
                <w:position w:val="-14"/>
                <w:sz w:val="24"/>
                <w:szCs w:val="22"/>
              </w:rPr>
              <w:object>
                <v:shape id="_x0000_i1026" o:spt="75" type="#_x0000_t75" style="height:19pt;width:21.75pt;" o:ole="t" filled="f" o:preferrelative="t" stroked="f" coordsize="21600,21600">
                  <v:path/>
                  <v:fill on="f" focussize="0,0"/>
                  <v:stroke on="f" joinstyle="miter"/>
                  <v:imagedata r:id="rId14" o:title=""/>
                  <o:lock v:ext="edit" aspectratio="t"/>
                  <w10:wrap type="none"/>
                  <w10:anchorlock/>
                </v:shape>
                <o:OLEObject Type="Embed" ProgID="Equations" ShapeID="_x0000_i1026" DrawAspect="Content" ObjectID="_1468075726" r:id="rId15">
                  <o:LockedField>false</o:LockedField>
                </o:OLEObject>
              </w:object>
            </w:r>
            <w:r>
              <w:rPr>
                <w:color w:val="000000" w:themeColor="text1"/>
                <w:sz w:val="24"/>
                <w:szCs w:val="22"/>
              </w:rPr>
              <w:t>=</w:t>
            </w:r>
            <w:r>
              <w:rPr>
                <w:color w:val="000000" w:themeColor="text1"/>
                <w:position w:val="-10"/>
                <w:sz w:val="24"/>
                <w:szCs w:val="22"/>
              </w:rPr>
              <w:object>
                <v:shape id="_x0000_i1027" o:spt="75" type="#_x0000_t75" style="height:15.6pt;width:24.45pt;" o:ole="t" filled="f" o:preferrelative="t" stroked="f" coordsize="21600,21600">
                  <v:path/>
                  <v:fill on="f" focussize="0,0"/>
                  <v:stroke on="f" joinstyle="miter"/>
                  <v:imagedata r:id="rId17" o:title=""/>
                  <o:lock v:ext="edit" aspectratio="t"/>
                  <w10:wrap type="none"/>
                  <w10:anchorlock/>
                </v:shape>
                <o:OLEObject Type="Embed" ProgID="Equations" ShapeID="_x0000_i1027" DrawAspect="Content" ObjectID="_1468075727" r:id="rId16">
                  <o:LockedField>false</o:LockedField>
                </o:OLEObject>
              </w:object>
            </w:r>
            <w:r>
              <w:rPr>
                <w:color w:val="000000" w:themeColor="text1"/>
                <w:sz w:val="24"/>
                <w:szCs w:val="22"/>
              </w:rPr>
              <w:t>(</w:t>
            </w:r>
            <w:r>
              <w:rPr>
                <w:color w:val="000000" w:themeColor="text1"/>
                <w:position w:val="-12"/>
                <w:sz w:val="24"/>
                <w:szCs w:val="22"/>
              </w:rPr>
              <w:object>
                <v:shape id="_x0000_i1028" o:spt="75" type="#_x0000_t75" style="height:17.65pt;width:10.85pt;" o:ole="t" filled="f" o:preferrelative="t" stroked="f" coordsize="21600,21600">
                  <v:path/>
                  <v:fill on="f" focussize="0,0"/>
                  <v:stroke on="f" joinstyle="miter"/>
                  <v:imagedata r:id="rId19" o:title=""/>
                  <o:lock v:ext="edit" aspectratio="t"/>
                  <w10:wrap type="none"/>
                  <w10:anchorlock/>
                </v:shape>
                <o:OLEObject Type="Embed" ProgID="Equation.KSEE3" ShapeID="_x0000_i1028" DrawAspect="Content" ObjectID="_1468075728" r:id="rId18">
                  <o:LockedField>false</o:LockedField>
                </o:OLEObject>
              </w:object>
            </w:r>
            <w:r>
              <w:rPr>
                <w:color w:val="000000" w:themeColor="text1"/>
                <w:position w:val="-28"/>
                <w:sz w:val="24"/>
                <w:szCs w:val="22"/>
              </w:rPr>
              <w:object>
                <v:shape id="_x0000_i1029" o:spt="75" type="#_x0000_t75" style="height:26.5pt;width:54.35pt;" o:ole="t" filled="f" o:preferrelative="t" stroked="f" coordsize="21600,21600">
                  <v:path/>
                  <v:fill on="f" focussize="0,0"/>
                  <v:stroke on="f" joinstyle="miter"/>
                  <v:imagedata r:id="rId21" o:title=""/>
                  <o:lock v:ext="edit" aspectratio="t"/>
                  <w10:wrap type="none"/>
                  <w10:anchorlock/>
                </v:shape>
                <o:OLEObject Type="Embed" ProgID="Equations" ShapeID="_x0000_i1029" DrawAspect="Content" ObjectID="_1468075729" r:id="rId20">
                  <o:LockedField>false</o:LockedField>
                </o:OLEObject>
              </w:object>
            </w:r>
            <w:r>
              <w:rPr>
                <w:color w:val="000000" w:themeColor="text1"/>
                <w:sz w:val="24"/>
                <w:szCs w:val="22"/>
              </w:rPr>
              <w:t>)</w:t>
            </w:r>
          </w:p>
          <w:p>
            <w:pPr>
              <w:adjustRightInd w:val="0"/>
              <w:snapToGrid w:val="0"/>
              <w:spacing w:line="360" w:lineRule="auto"/>
              <w:ind w:firstLine="480" w:firstLineChars="200"/>
              <w:rPr>
                <w:color w:val="000000" w:themeColor="text1"/>
                <w:sz w:val="24"/>
                <w:szCs w:val="22"/>
              </w:rPr>
            </w:pPr>
            <w:r>
              <w:rPr>
                <w:color w:val="000000" w:themeColor="text1"/>
                <w:sz w:val="24"/>
                <w:szCs w:val="22"/>
              </w:rPr>
              <w:t>式中：</w:t>
            </w:r>
            <w:r>
              <w:rPr>
                <w:color w:val="000000" w:themeColor="text1"/>
                <w:position w:val="-14"/>
                <w:sz w:val="24"/>
                <w:szCs w:val="22"/>
              </w:rPr>
              <w:object>
                <v:shape id="_x0000_i1030" o:spt="75" type="#_x0000_t75" style="height:19pt;width:21.75pt;" o:ole="t" filled="f" o:preferrelative="t" stroked="f" coordsize="21600,21600">
                  <v:path/>
                  <v:fill on="f" focussize="0,0"/>
                  <v:stroke on="f" joinstyle="miter"/>
                  <v:imagedata r:id="rId14" o:title=""/>
                  <o:lock v:ext="edit" aspectratio="t"/>
                  <w10:wrap type="none"/>
                  <w10:anchorlock/>
                </v:shape>
                <o:OLEObject Type="Embed" ProgID="Equations" ShapeID="_x0000_i1030" DrawAspect="Content" ObjectID="_1468075730" r:id="rId22">
                  <o:LockedField>false</o:LockedField>
                </o:OLEObject>
              </w:object>
            </w:r>
            <w:r>
              <w:rPr>
                <w:color w:val="000000" w:themeColor="text1"/>
                <w:sz w:val="24"/>
                <w:szCs w:val="22"/>
              </w:rPr>
              <w:t>：建设项目声源在预测点的等效声级贡献值，dB(A)；</w:t>
            </w:r>
          </w:p>
          <w:p>
            <w:pPr>
              <w:adjustRightInd w:val="0"/>
              <w:snapToGrid w:val="0"/>
              <w:spacing w:line="360" w:lineRule="auto"/>
              <w:ind w:firstLine="480" w:firstLineChars="200"/>
              <w:rPr>
                <w:color w:val="000000" w:themeColor="text1"/>
                <w:sz w:val="24"/>
                <w:szCs w:val="22"/>
              </w:rPr>
            </w:pPr>
            <w:r>
              <w:rPr>
                <w:color w:val="000000" w:themeColor="text1"/>
                <w:position w:val="-10"/>
                <w:sz w:val="24"/>
                <w:szCs w:val="22"/>
              </w:rPr>
              <w:object>
                <v:shape id="_x0000_i1031" o:spt="75" type="#_x0000_t75" style="height:17.65pt;width:17.65pt;" o:ole="t" filled="f" o:preferrelative="t" stroked="f" coordsize="21600,21600">
                  <v:path/>
                  <v:fill on="f" focussize="0,0"/>
                  <v:stroke on="f" joinstyle="miter"/>
                  <v:imagedata r:id="rId24" o:title=""/>
                  <o:lock v:ext="edit" aspectratio="t"/>
                  <w10:wrap type="none"/>
                  <w10:anchorlock/>
                </v:shape>
                <o:OLEObject Type="Embed" ProgID="Equations" ShapeID="_x0000_i1031" DrawAspect="Content" ObjectID="_1468075731" r:id="rId23">
                  <o:LockedField>false</o:LockedField>
                </o:OLEObject>
              </w:object>
            </w:r>
            <w:r>
              <w:rPr>
                <w:color w:val="000000" w:themeColor="text1"/>
                <w:sz w:val="24"/>
                <w:szCs w:val="22"/>
              </w:rPr>
              <w:t>：声源在预测点产生的A声级，dB(A)；</w:t>
            </w:r>
          </w:p>
          <w:p>
            <w:pPr>
              <w:adjustRightInd w:val="0"/>
              <w:snapToGrid w:val="0"/>
              <w:spacing w:line="360" w:lineRule="auto"/>
              <w:ind w:firstLine="480" w:firstLineChars="200"/>
              <w:rPr>
                <w:color w:val="000000" w:themeColor="text1"/>
                <w:sz w:val="24"/>
                <w:szCs w:val="22"/>
              </w:rPr>
            </w:pPr>
            <w:r>
              <w:rPr>
                <w:i/>
                <w:color w:val="000000" w:themeColor="text1"/>
                <w:sz w:val="24"/>
                <w:szCs w:val="22"/>
              </w:rPr>
              <w:t>T</w:t>
            </w:r>
            <w:r>
              <w:rPr>
                <w:color w:val="000000" w:themeColor="text1"/>
                <w:sz w:val="24"/>
                <w:szCs w:val="22"/>
              </w:rPr>
              <w:t>：预测计算的时间段，s；</w:t>
            </w:r>
          </w:p>
          <w:p>
            <w:pPr>
              <w:adjustRightInd w:val="0"/>
              <w:snapToGrid w:val="0"/>
              <w:spacing w:line="360" w:lineRule="auto"/>
              <w:ind w:firstLine="480" w:firstLineChars="200"/>
              <w:rPr>
                <w:color w:val="000000" w:themeColor="text1"/>
                <w:sz w:val="24"/>
                <w:szCs w:val="22"/>
              </w:rPr>
            </w:pPr>
            <w:r>
              <w:rPr>
                <w:color w:val="000000" w:themeColor="text1"/>
                <w:sz w:val="24"/>
                <w:szCs w:val="22"/>
              </w:rPr>
              <w:t>T</w:t>
            </w:r>
            <w:r>
              <w:rPr>
                <w:color w:val="000000" w:themeColor="text1"/>
                <w:sz w:val="24"/>
                <w:szCs w:val="22"/>
                <w:vertAlign w:val="subscript"/>
              </w:rPr>
              <w:t>i</w:t>
            </w:r>
            <w:r>
              <w:rPr>
                <w:color w:val="000000" w:themeColor="text1"/>
                <w:sz w:val="24"/>
                <w:szCs w:val="22"/>
              </w:rPr>
              <w:t>：i声源在</w:t>
            </w:r>
            <w:r>
              <w:rPr>
                <w:i/>
                <w:color w:val="000000" w:themeColor="text1"/>
                <w:sz w:val="24"/>
                <w:szCs w:val="22"/>
              </w:rPr>
              <w:t>T</w:t>
            </w:r>
            <w:r>
              <w:rPr>
                <w:color w:val="000000" w:themeColor="text1"/>
                <w:sz w:val="24"/>
                <w:szCs w:val="22"/>
              </w:rPr>
              <w:t>时段内的运行时间，s。</w:t>
            </w:r>
          </w:p>
          <w:p>
            <w:pPr>
              <w:adjustRightInd w:val="0"/>
              <w:snapToGrid w:val="0"/>
              <w:spacing w:line="360" w:lineRule="auto"/>
              <w:ind w:firstLine="480" w:firstLineChars="200"/>
              <w:rPr>
                <w:color w:val="000000" w:themeColor="text1"/>
                <w:sz w:val="24"/>
                <w:szCs w:val="22"/>
              </w:rPr>
            </w:pPr>
            <w:r>
              <w:rPr>
                <w:rFonts w:hint="eastAsia" w:ascii="宋体" w:hAnsi="宋体" w:cs="宋体"/>
                <w:color w:val="000000" w:themeColor="text1"/>
                <w:sz w:val="24"/>
                <w:szCs w:val="22"/>
              </w:rPr>
              <w:t>②</w:t>
            </w:r>
            <w:r>
              <w:rPr>
                <w:color w:val="000000" w:themeColor="text1"/>
                <w:sz w:val="24"/>
                <w:szCs w:val="22"/>
              </w:rPr>
              <w:t>无指向性点声源的几何发散衰减计算公式为：</w:t>
            </w:r>
          </w:p>
          <w:p>
            <w:pPr>
              <w:adjustRightInd w:val="0"/>
              <w:snapToGrid w:val="0"/>
              <w:spacing w:line="360" w:lineRule="auto"/>
              <w:jc w:val="center"/>
              <w:rPr>
                <w:color w:val="000000" w:themeColor="text1"/>
                <w:sz w:val="24"/>
                <w:szCs w:val="22"/>
              </w:rPr>
            </w:pPr>
            <w:r>
              <w:rPr>
                <w:i/>
                <w:iCs/>
                <w:color w:val="000000" w:themeColor="text1"/>
                <w:sz w:val="24"/>
                <w:szCs w:val="22"/>
              </w:rPr>
              <w:t xml:space="preserve">Lr </w:t>
            </w:r>
            <w:r>
              <w:rPr>
                <w:color w:val="000000" w:themeColor="text1"/>
                <w:sz w:val="24"/>
                <w:szCs w:val="22"/>
              </w:rPr>
              <w:t>=</w:t>
            </w:r>
            <w:r>
              <w:rPr>
                <w:i/>
                <w:iCs/>
                <w:color w:val="000000" w:themeColor="text1"/>
                <w:sz w:val="24"/>
                <w:szCs w:val="22"/>
              </w:rPr>
              <w:t>L</w:t>
            </w:r>
            <w:r>
              <w:rPr>
                <w:i/>
                <w:iCs/>
                <w:color w:val="000000" w:themeColor="text1"/>
                <w:sz w:val="24"/>
                <w:szCs w:val="22"/>
                <w:vertAlign w:val="subscript"/>
              </w:rPr>
              <w:t xml:space="preserve">0 </w:t>
            </w:r>
            <w:r>
              <w:rPr>
                <w:color w:val="000000" w:themeColor="text1"/>
                <w:sz w:val="24"/>
                <w:szCs w:val="22"/>
              </w:rPr>
              <w:t>-20lg(R/R</w:t>
            </w:r>
            <w:r>
              <w:rPr>
                <w:color w:val="000000" w:themeColor="text1"/>
                <w:sz w:val="24"/>
                <w:szCs w:val="22"/>
                <w:vertAlign w:val="subscript"/>
              </w:rPr>
              <w:t>0</w:t>
            </w:r>
            <w:r>
              <w:rPr>
                <w:color w:val="000000" w:themeColor="text1"/>
                <w:sz w:val="24"/>
                <w:szCs w:val="22"/>
              </w:rPr>
              <w:t>)</w:t>
            </w:r>
          </w:p>
          <w:p>
            <w:pPr>
              <w:adjustRightInd w:val="0"/>
              <w:snapToGrid w:val="0"/>
              <w:spacing w:line="360" w:lineRule="auto"/>
              <w:ind w:firstLine="480" w:firstLineChars="200"/>
              <w:rPr>
                <w:color w:val="000000" w:themeColor="text1"/>
                <w:sz w:val="24"/>
                <w:szCs w:val="22"/>
              </w:rPr>
            </w:pPr>
            <w:r>
              <w:rPr>
                <w:color w:val="000000" w:themeColor="text1"/>
                <w:sz w:val="24"/>
                <w:szCs w:val="22"/>
              </w:rPr>
              <w:t>式中：L</w:t>
            </w:r>
            <w:r>
              <w:rPr>
                <w:color w:val="000000" w:themeColor="text1"/>
                <w:sz w:val="24"/>
                <w:szCs w:val="22"/>
                <w:vertAlign w:val="subscript"/>
              </w:rPr>
              <w:t>r</w:t>
            </w:r>
            <w:r>
              <w:rPr>
                <w:color w:val="000000" w:themeColor="text1"/>
                <w:sz w:val="24"/>
                <w:szCs w:val="22"/>
              </w:rPr>
              <w:t>：距噪声源距离为r处声级值，dB(A)；</w:t>
            </w:r>
          </w:p>
          <w:p>
            <w:pPr>
              <w:adjustRightInd w:val="0"/>
              <w:snapToGrid w:val="0"/>
              <w:spacing w:line="360" w:lineRule="auto"/>
              <w:ind w:firstLine="480" w:firstLineChars="200"/>
              <w:rPr>
                <w:color w:val="000000" w:themeColor="text1"/>
                <w:sz w:val="24"/>
                <w:szCs w:val="22"/>
              </w:rPr>
            </w:pPr>
            <w:r>
              <w:rPr>
                <w:color w:val="000000" w:themeColor="text1"/>
                <w:sz w:val="24"/>
                <w:szCs w:val="22"/>
              </w:rPr>
              <w:t>L</w:t>
            </w:r>
            <w:r>
              <w:rPr>
                <w:color w:val="000000" w:themeColor="text1"/>
                <w:sz w:val="24"/>
                <w:szCs w:val="22"/>
                <w:vertAlign w:val="subscript"/>
              </w:rPr>
              <w:t>0</w:t>
            </w:r>
            <w:r>
              <w:rPr>
                <w:color w:val="000000" w:themeColor="text1"/>
                <w:sz w:val="24"/>
                <w:szCs w:val="22"/>
              </w:rPr>
              <w:t>：距噪声源距离为r</w:t>
            </w:r>
            <w:r>
              <w:rPr>
                <w:color w:val="000000" w:themeColor="text1"/>
                <w:sz w:val="24"/>
                <w:szCs w:val="22"/>
                <w:vertAlign w:val="subscript"/>
              </w:rPr>
              <w:t>0</w:t>
            </w:r>
            <w:r>
              <w:rPr>
                <w:color w:val="000000" w:themeColor="text1"/>
                <w:sz w:val="24"/>
                <w:szCs w:val="22"/>
              </w:rPr>
              <w:t>处声级值，dB(A)；</w:t>
            </w:r>
          </w:p>
          <w:p>
            <w:pPr>
              <w:adjustRightInd w:val="0"/>
              <w:snapToGrid w:val="0"/>
              <w:spacing w:line="360" w:lineRule="auto"/>
              <w:ind w:firstLine="480" w:firstLineChars="200"/>
              <w:rPr>
                <w:color w:val="000000" w:themeColor="text1"/>
                <w:sz w:val="24"/>
                <w:szCs w:val="22"/>
              </w:rPr>
            </w:pPr>
            <w:r>
              <w:rPr>
                <w:color w:val="000000" w:themeColor="text1"/>
                <w:sz w:val="24"/>
                <w:szCs w:val="22"/>
              </w:rPr>
              <w:t>R：关心点距噪声源距离，m；</w:t>
            </w:r>
          </w:p>
          <w:p>
            <w:pPr>
              <w:adjustRightInd w:val="0"/>
              <w:snapToGrid w:val="0"/>
              <w:spacing w:line="360" w:lineRule="auto"/>
              <w:ind w:firstLine="480" w:firstLineChars="200"/>
              <w:rPr>
                <w:color w:val="000000" w:themeColor="text1"/>
                <w:sz w:val="24"/>
                <w:szCs w:val="22"/>
              </w:rPr>
            </w:pPr>
            <w:r>
              <w:rPr>
                <w:color w:val="000000" w:themeColor="text1"/>
                <w:sz w:val="24"/>
                <w:szCs w:val="22"/>
              </w:rPr>
              <w:t>r</w:t>
            </w:r>
            <w:r>
              <w:rPr>
                <w:color w:val="000000" w:themeColor="text1"/>
                <w:sz w:val="24"/>
                <w:szCs w:val="22"/>
                <w:vertAlign w:val="subscript"/>
              </w:rPr>
              <w:t>0</w:t>
            </w:r>
            <w:r>
              <w:rPr>
                <w:color w:val="000000" w:themeColor="text1"/>
                <w:sz w:val="24"/>
                <w:szCs w:val="22"/>
              </w:rPr>
              <w:t>--距噪声源距离，r</w:t>
            </w:r>
            <w:r>
              <w:rPr>
                <w:color w:val="000000" w:themeColor="text1"/>
                <w:sz w:val="24"/>
                <w:szCs w:val="22"/>
                <w:vertAlign w:val="subscript"/>
              </w:rPr>
              <w:t>0</w:t>
            </w:r>
            <w:r>
              <w:rPr>
                <w:color w:val="000000" w:themeColor="text1"/>
                <w:sz w:val="24"/>
                <w:szCs w:val="22"/>
              </w:rPr>
              <w:t>取1m。</w:t>
            </w:r>
          </w:p>
          <w:p>
            <w:pPr>
              <w:adjustRightInd w:val="0"/>
              <w:snapToGrid w:val="0"/>
              <w:spacing w:line="360" w:lineRule="auto"/>
              <w:ind w:firstLine="480" w:firstLineChars="200"/>
              <w:rPr>
                <w:color w:val="000000" w:themeColor="text1"/>
                <w:kern w:val="0"/>
                <w:sz w:val="24"/>
                <w:szCs w:val="22"/>
              </w:rPr>
            </w:pPr>
            <w:r>
              <w:rPr>
                <w:rFonts w:hint="eastAsia" w:ascii="宋体" w:hAnsi="宋体" w:cs="宋体"/>
                <w:color w:val="000000" w:themeColor="text1"/>
                <w:sz w:val="24"/>
                <w:szCs w:val="22"/>
              </w:rPr>
              <w:t>③</w:t>
            </w:r>
            <w:r>
              <w:rPr>
                <w:color w:val="000000" w:themeColor="text1"/>
                <w:kern w:val="0"/>
                <w:sz w:val="24"/>
                <w:szCs w:val="22"/>
              </w:rPr>
              <w:t>各预测点声压级按下列公式进行叠加：</w:t>
            </w:r>
          </w:p>
          <w:p>
            <w:pPr>
              <w:adjustRightInd w:val="0"/>
              <w:snapToGrid w:val="0"/>
              <w:spacing w:line="360" w:lineRule="auto"/>
              <w:jc w:val="center"/>
              <w:rPr>
                <w:color w:val="000000" w:themeColor="text1"/>
                <w:kern w:val="0"/>
                <w:sz w:val="24"/>
                <w:szCs w:val="22"/>
              </w:rPr>
            </w:pPr>
            <w:r>
              <w:rPr>
                <w:color w:val="000000" w:themeColor="text1"/>
                <w:kern w:val="0"/>
                <w:sz w:val="24"/>
                <w:szCs w:val="22"/>
              </w:rPr>
              <w:t>L</w:t>
            </w:r>
            <w:r>
              <w:rPr>
                <w:color w:val="000000" w:themeColor="text1"/>
                <w:kern w:val="0"/>
                <w:sz w:val="24"/>
                <w:szCs w:val="22"/>
                <w:vertAlign w:val="subscript"/>
              </w:rPr>
              <w:t xml:space="preserve">总 </w:t>
            </w:r>
            <w:r>
              <w:rPr>
                <w:color w:val="000000" w:themeColor="text1"/>
                <w:kern w:val="0"/>
                <w:sz w:val="24"/>
                <w:szCs w:val="22"/>
              </w:rPr>
              <w:t>= 10lg(∑10</w:t>
            </w:r>
            <w:r>
              <w:rPr>
                <w:color w:val="000000" w:themeColor="text1"/>
                <w:kern w:val="0"/>
                <w:sz w:val="24"/>
                <w:szCs w:val="22"/>
                <w:vertAlign w:val="superscript"/>
              </w:rPr>
              <w:t>0.1 Li</w:t>
            </w:r>
            <w:r>
              <w:rPr>
                <w:color w:val="000000" w:themeColor="text1"/>
                <w:kern w:val="0"/>
                <w:sz w:val="24"/>
                <w:szCs w:val="22"/>
                <w:vertAlign w:val="subscript"/>
              </w:rPr>
              <w:t xml:space="preserve"> </w:t>
            </w:r>
            <w:r>
              <w:rPr>
                <w:color w:val="000000" w:themeColor="text1"/>
                <w:kern w:val="0"/>
                <w:sz w:val="24"/>
                <w:szCs w:val="22"/>
              </w:rPr>
              <w:t>+ 10</w:t>
            </w:r>
            <w:r>
              <w:rPr>
                <w:color w:val="000000" w:themeColor="text1"/>
                <w:kern w:val="0"/>
                <w:sz w:val="24"/>
                <w:szCs w:val="22"/>
                <w:vertAlign w:val="superscript"/>
              </w:rPr>
              <w:t>0.1 Lb</w:t>
            </w:r>
          </w:p>
          <w:p>
            <w:pPr>
              <w:adjustRightInd w:val="0"/>
              <w:snapToGrid w:val="0"/>
              <w:spacing w:line="360" w:lineRule="auto"/>
              <w:ind w:firstLine="480" w:firstLineChars="200"/>
              <w:rPr>
                <w:color w:val="000000" w:themeColor="text1"/>
                <w:kern w:val="0"/>
                <w:sz w:val="24"/>
                <w:szCs w:val="22"/>
              </w:rPr>
            </w:pPr>
            <w:r>
              <w:rPr>
                <w:color w:val="000000" w:themeColor="text1"/>
                <w:kern w:val="0"/>
                <w:sz w:val="24"/>
                <w:szCs w:val="22"/>
              </w:rPr>
              <w:t>式中：L</w:t>
            </w:r>
            <w:r>
              <w:rPr>
                <w:color w:val="000000" w:themeColor="text1"/>
                <w:kern w:val="0"/>
                <w:sz w:val="24"/>
                <w:szCs w:val="22"/>
                <w:vertAlign w:val="subscript"/>
              </w:rPr>
              <w:t>总</w:t>
            </w:r>
            <w:r>
              <w:rPr>
                <w:color w:val="000000" w:themeColor="text1"/>
                <w:kern w:val="0"/>
                <w:sz w:val="24"/>
                <w:szCs w:val="22"/>
              </w:rPr>
              <w:t>——预测点叠加后的总声压级，dB(A)；</w:t>
            </w:r>
          </w:p>
          <w:p>
            <w:pPr>
              <w:adjustRightInd w:val="0"/>
              <w:snapToGrid w:val="0"/>
              <w:spacing w:line="360" w:lineRule="auto"/>
              <w:ind w:firstLine="480" w:firstLineChars="200"/>
              <w:rPr>
                <w:color w:val="000000" w:themeColor="text1"/>
                <w:kern w:val="0"/>
                <w:sz w:val="24"/>
                <w:szCs w:val="22"/>
              </w:rPr>
            </w:pPr>
            <w:r>
              <w:rPr>
                <w:color w:val="000000" w:themeColor="text1"/>
                <w:kern w:val="0"/>
                <w:sz w:val="24"/>
                <w:szCs w:val="22"/>
              </w:rPr>
              <w:t xml:space="preserve">      L</w:t>
            </w:r>
            <w:r>
              <w:rPr>
                <w:color w:val="000000" w:themeColor="text1"/>
                <w:kern w:val="0"/>
                <w:sz w:val="24"/>
                <w:szCs w:val="22"/>
                <w:vertAlign w:val="subscript"/>
              </w:rPr>
              <w:t xml:space="preserve">i </w:t>
            </w:r>
            <w:r>
              <w:rPr>
                <w:color w:val="000000" w:themeColor="text1"/>
                <w:kern w:val="0"/>
                <w:sz w:val="24"/>
                <w:szCs w:val="22"/>
              </w:rPr>
              <w:t>——第 i 个声源到预测点处的声压级，dB(A)；</w:t>
            </w:r>
          </w:p>
          <w:p>
            <w:pPr>
              <w:adjustRightInd w:val="0"/>
              <w:snapToGrid w:val="0"/>
              <w:spacing w:line="360" w:lineRule="auto"/>
              <w:ind w:firstLine="480" w:firstLineChars="200"/>
              <w:rPr>
                <w:color w:val="000000" w:themeColor="text1"/>
                <w:kern w:val="0"/>
                <w:sz w:val="24"/>
                <w:szCs w:val="22"/>
              </w:rPr>
            </w:pPr>
            <w:r>
              <w:rPr>
                <w:color w:val="000000" w:themeColor="text1"/>
                <w:kern w:val="0"/>
                <w:sz w:val="24"/>
                <w:szCs w:val="22"/>
              </w:rPr>
              <w:t xml:space="preserve">      L</w:t>
            </w:r>
            <w:r>
              <w:rPr>
                <w:color w:val="000000" w:themeColor="text1"/>
                <w:kern w:val="0"/>
                <w:sz w:val="24"/>
                <w:szCs w:val="22"/>
                <w:vertAlign w:val="subscript"/>
              </w:rPr>
              <w:t>b</w:t>
            </w:r>
            <w:r>
              <w:rPr>
                <w:color w:val="000000" w:themeColor="text1"/>
                <w:kern w:val="0"/>
                <w:sz w:val="24"/>
                <w:szCs w:val="22"/>
              </w:rPr>
              <w:t>——环境噪声本底值，dB(A)；</w:t>
            </w:r>
          </w:p>
          <w:p>
            <w:pPr>
              <w:adjustRightInd w:val="0"/>
              <w:snapToGrid w:val="0"/>
              <w:spacing w:line="360" w:lineRule="auto"/>
              <w:ind w:firstLine="480" w:firstLineChars="200"/>
              <w:rPr>
                <w:color w:val="000000" w:themeColor="text1"/>
                <w:kern w:val="0"/>
                <w:sz w:val="24"/>
                <w:szCs w:val="22"/>
              </w:rPr>
            </w:pPr>
            <w:r>
              <w:rPr>
                <w:color w:val="000000" w:themeColor="text1"/>
                <w:kern w:val="0"/>
                <w:sz w:val="24"/>
                <w:szCs w:val="22"/>
              </w:rPr>
              <w:t xml:space="preserve">      n ——声源个数。</w:t>
            </w:r>
          </w:p>
          <w:p>
            <w:pPr>
              <w:adjustRightInd w:val="0"/>
              <w:snapToGrid w:val="0"/>
              <w:spacing w:line="360" w:lineRule="auto"/>
              <w:ind w:firstLine="480" w:firstLineChars="200"/>
              <w:rPr>
                <w:color w:val="000000" w:themeColor="text1"/>
                <w:sz w:val="24"/>
                <w:szCs w:val="22"/>
              </w:rPr>
            </w:pPr>
            <w:r>
              <w:rPr>
                <w:color w:val="000000" w:themeColor="text1"/>
                <w:sz w:val="24"/>
                <w:szCs w:val="22"/>
              </w:rPr>
              <w:t>根据以上模式，在不计削减作用下，经车间墙壁隔音、距离衰减，按削减20dB</w:t>
            </w:r>
            <w:r>
              <w:rPr>
                <w:rFonts w:hint="eastAsia"/>
                <w:color w:val="000000" w:themeColor="text1"/>
                <w:sz w:val="24"/>
                <w:szCs w:val="22"/>
              </w:rPr>
              <w:t>（</w:t>
            </w:r>
            <w:r>
              <w:rPr>
                <w:color w:val="000000" w:themeColor="text1"/>
                <w:sz w:val="24"/>
                <w:szCs w:val="22"/>
              </w:rPr>
              <w:t>A</w:t>
            </w:r>
            <w:r>
              <w:rPr>
                <w:rFonts w:hint="eastAsia"/>
                <w:color w:val="000000" w:themeColor="text1"/>
                <w:sz w:val="24"/>
                <w:szCs w:val="22"/>
              </w:rPr>
              <w:t>）</w:t>
            </w:r>
            <w:r>
              <w:rPr>
                <w:color w:val="000000" w:themeColor="text1"/>
                <w:sz w:val="24"/>
                <w:szCs w:val="22"/>
              </w:rPr>
              <w:t>、设备位于车间中心点计算</w:t>
            </w:r>
            <w:r>
              <w:rPr>
                <w:color w:val="000000"/>
                <w:sz w:val="24"/>
              </w:rPr>
              <w:t>。</w:t>
            </w:r>
          </w:p>
          <w:p>
            <w:pPr>
              <w:tabs>
                <w:tab w:val="left" w:pos="1081"/>
              </w:tabs>
              <w:adjustRightInd w:val="0"/>
              <w:snapToGrid w:val="0"/>
              <w:spacing w:line="360" w:lineRule="auto"/>
              <w:ind w:firstLine="480" w:firstLineChars="200"/>
              <w:rPr>
                <w:color w:val="000000"/>
                <w:sz w:val="24"/>
              </w:rPr>
            </w:pPr>
            <w:r>
              <w:rPr>
                <w:color w:val="000000"/>
                <w:sz w:val="24"/>
              </w:rPr>
              <w:t>3.3噪声影响预测结果</w:t>
            </w:r>
          </w:p>
          <w:p>
            <w:pPr>
              <w:tabs>
                <w:tab w:val="left" w:pos="1081"/>
              </w:tabs>
              <w:adjustRightInd w:val="0"/>
              <w:snapToGrid w:val="0"/>
              <w:spacing w:line="360" w:lineRule="auto"/>
              <w:ind w:firstLine="480" w:firstLineChars="200"/>
              <w:rPr>
                <w:color w:val="000000"/>
                <w:sz w:val="24"/>
              </w:rPr>
            </w:pPr>
            <w:r>
              <w:rPr>
                <w:color w:val="000000"/>
                <w:sz w:val="24"/>
              </w:rPr>
              <w:t>项目各预测点位噪声预测结果见下表。</w:t>
            </w:r>
          </w:p>
          <w:p>
            <w:pPr>
              <w:tabs>
                <w:tab w:val="left" w:pos="1081"/>
              </w:tabs>
              <w:adjustRightInd w:val="0"/>
              <w:snapToGrid w:val="0"/>
              <w:spacing w:line="360" w:lineRule="auto"/>
              <w:jc w:val="center"/>
              <w:rPr>
                <w:b/>
                <w:color w:val="000000"/>
                <w:sz w:val="24"/>
              </w:rPr>
            </w:pPr>
            <w:r>
              <w:rPr>
                <w:b/>
                <w:color w:val="000000"/>
                <w:sz w:val="24"/>
              </w:rPr>
              <w:t>表4-</w:t>
            </w:r>
            <w:r>
              <w:rPr>
                <w:rFonts w:hint="eastAsia"/>
                <w:b/>
                <w:color w:val="000000"/>
                <w:sz w:val="24"/>
              </w:rPr>
              <w:t>11</w:t>
            </w:r>
            <w:r>
              <w:rPr>
                <w:b/>
                <w:color w:val="000000"/>
                <w:sz w:val="24"/>
              </w:rPr>
              <w:t xml:space="preserve">     项目噪声衰减预测结果一览表 </w:t>
            </w:r>
            <w:r>
              <w:rPr>
                <w:color w:val="000000"/>
                <w:szCs w:val="21"/>
              </w:rPr>
              <w:t xml:space="preserve">   </w:t>
            </w:r>
            <w:r>
              <w:rPr>
                <w:b/>
                <w:color w:val="000000"/>
                <w:szCs w:val="21"/>
              </w:rPr>
              <w:t>单位</w:t>
            </w:r>
            <w:r>
              <w:rPr>
                <w:color w:val="000000"/>
                <w:szCs w:val="21"/>
              </w:rPr>
              <w:t>：LAeq（dB）</w:t>
            </w:r>
          </w:p>
          <w:tbl>
            <w:tblPr>
              <w:tblStyle w:val="26"/>
              <w:tblW w:w="777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4"/>
              <w:gridCol w:w="1555"/>
              <w:gridCol w:w="490"/>
              <w:gridCol w:w="1147"/>
              <w:gridCol w:w="1006"/>
              <w:gridCol w:w="1076"/>
              <w:gridCol w:w="903"/>
              <w:gridCol w:w="544"/>
              <w:gridCol w:w="5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5" w:hRule="atLeast"/>
                <w:jc w:val="center"/>
              </w:trPr>
              <w:tc>
                <w:tcPr>
                  <w:tcW w:w="504" w:type="dxa"/>
                  <w:vAlign w:val="center"/>
                </w:tcPr>
                <w:p>
                  <w:pPr>
                    <w:jc w:val="center"/>
                    <w:rPr>
                      <w:bCs/>
                      <w:color w:val="000000" w:themeColor="text1"/>
                      <w:szCs w:val="21"/>
                    </w:rPr>
                  </w:pPr>
                  <w:r>
                    <w:rPr>
                      <w:rFonts w:hint="eastAsia"/>
                      <w:color w:val="000000" w:themeColor="text1"/>
                      <w:szCs w:val="21"/>
                    </w:rPr>
                    <w:t>预测</w:t>
                  </w:r>
                  <w:r>
                    <w:rPr>
                      <w:color w:val="000000" w:themeColor="text1"/>
                      <w:szCs w:val="21"/>
                    </w:rPr>
                    <w:t>点</w:t>
                  </w:r>
                </w:p>
              </w:tc>
              <w:tc>
                <w:tcPr>
                  <w:tcW w:w="1555" w:type="dxa"/>
                  <w:vAlign w:val="center"/>
                </w:tcPr>
                <w:p>
                  <w:pPr>
                    <w:jc w:val="center"/>
                    <w:rPr>
                      <w:color w:val="000000" w:themeColor="text1"/>
                      <w:szCs w:val="21"/>
                    </w:rPr>
                  </w:pPr>
                  <w:r>
                    <w:rPr>
                      <w:rFonts w:hint="eastAsia"/>
                      <w:color w:val="000000" w:themeColor="text1"/>
                      <w:szCs w:val="21"/>
                    </w:rPr>
                    <w:t>噪声源</w:t>
                  </w:r>
                  <w:r>
                    <w:rPr>
                      <w:color w:val="000000" w:themeColor="text1"/>
                      <w:szCs w:val="21"/>
                    </w:rPr>
                    <w:t>名称</w:t>
                  </w:r>
                </w:p>
              </w:tc>
              <w:tc>
                <w:tcPr>
                  <w:tcW w:w="490" w:type="dxa"/>
                  <w:vAlign w:val="center"/>
                </w:tcPr>
                <w:p>
                  <w:pPr>
                    <w:jc w:val="center"/>
                    <w:rPr>
                      <w:color w:val="000000" w:themeColor="text1"/>
                      <w:szCs w:val="21"/>
                    </w:rPr>
                  </w:pPr>
                  <w:r>
                    <w:rPr>
                      <w:rFonts w:hint="eastAsia"/>
                      <w:color w:val="000000" w:themeColor="text1"/>
                      <w:szCs w:val="21"/>
                    </w:rPr>
                    <w:t>数量/台</w:t>
                  </w:r>
                </w:p>
              </w:tc>
              <w:tc>
                <w:tcPr>
                  <w:tcW w:w="1147" w:type="dxa"/>
                  <w:vAlign w:val="center"/>
                </w:tcPr>
                <w:p>
                  <w:pPr>
                    <w:jc w:val="center"/>
                    <w:rPr>
                      <w:color w:val="000000" w:themeColor="text1"/>
                      <w:szCs w:val="21"/>
                    </w:rPr>
                  </w:pPr>
                  <w:r>
                    <w:rPr>
                      <w:color w:val="000000" w:themeColor="text1"/>
                      <w:szCs w:val="21"/>
                    </w:rPr>
                    <w:t>治理后噪声声级</w:t>
                  </w:r>
                </w:p>
              </w:tc>
              <w:tc>
                <w:tcPr>
                  <w:tcW w:w="1006" w:type="dxa"/>
                  <w:vAlign w:val="center"/>
                </w:tcPr>
                <w:p>
                  <w:pPr>
                    <w:jc w:val="center"/>
                    <w:rPr>
                      <w:color w:val="000000" w:themeColor="text1"/>
                      <w:szCs w:val="21"/>
                    </w:rPr>
                  </w:pPr>
                  <w:r>
                    <w:rPr>
                      <w:rFonts w:hint="eastAsia"/>
                      <w:color w:val="000000" w:themeColor="text1"/>
                      <w:szCs w:val="21"/>
                    </w:rPr>
                    <w:t>声源</w:t>
                  </w:r>
                  <w:r>
                    <w:rPr>
                      <w:color w:val="000000" w:themeColor="text1"/>
                      <w:szCs w:val="21"/>
                    </w:rPr>
                    <w:t>叠加后声级</w:t>
                  </w:r>
                </w:p>
              </w:tc>
              <w:tc>
                <w:tcPr>
                  <w:tcW w:w="1076" w:type="dxa"/>
                  <w:vAlign w:val="center"/>
                </w:tcPr>
                <w:p>
                  <w:pPr>
                    <w:jc w:val="center"/>
                    <w:rPr>
                      <w:color w:val="000000" w:themeColor="text1"/>
                      <w:szCs w:val="21"/>
                    </w:rPr>
                  </w:pPr>
                  <w:r>
                    <w:rPr>
                      <w:rFonts w:hint="eastAsia"/>
                      <w:color w:val="000000" w:themeColor="text1"/>
                      <w:szCs w:val="21"/>
                    </w:rPr>
                    <w:t>现状值</w:t>
                  </w:r>
                </w:p>
              </w:tc>
              <w:tc>
                <w:tcPr>
                  <w:tcW w:w="903" w:type="dxa"/>
                  <w:vAlign w:val="center"/>
                </w:tcPr>
                <w:p>
                  <w:pPr>
                    <w:jc w:val="center"/>
                    <w:rPr>
                      <w:color w:val="000000" w:themeColor="text1"/>
                      <w:szCs w:val="21"/>
                    </w:rPr>
                  </w:pPr>
                  <w:r>
                    <w:rPr>
                      <w:rFonts w:hint="eastAsia"/>
                      <w:color w:val="000000" w:themeColor="text1"/>
                      <w:szCs w:val="21"/>
                    </w:rPr>
                    <w:t>叠加值</w:t>
                  </w:r>
                </w:p>
              </w:tc>
              <w:tc>
                <w:tcPr>
                  <w:tcW w:w="544" w:type="dxa"/>
                  <w:vAlign w:val="center"/>
                </w:tcPr>
                <w:p>
                  <w:pPr>
                    <w:jc w:val="center"/>
                    <w:rPr>
                      <w:color w:val="000000" w:themeColor="text1"/>
                      <w:szCs w:val="21"/>
                    </w:rPr>
                  </w:pPr>
                  <w:r>
                    <w:rPr>
                      <w:rFonts w:hint="eastAsia"/>
                      <w:color w:val="000000" w:themeColor="text1"/>
                      <w:szCs w:val="21"/>
                    </w:rPr>
                    <w:t>标准值</w:t>
                  </w:r>
                </w:p>
              </w:tc>
              <w:tc>
                <w:tcPr>
                  <w:tcW w:w="549" w:type="dxa"/>
                  <w:vAlign w:val="center"/>
                </w:tcPr>
                <w:p>
                  <w:pPr>
                    <w:jc w:val="center"/>
                    <w:rPr>
                      <w:color w:val="000000" w:themeColor="text1"/>
                      <w:szCs w:val="21"/>
                    </w:rPr>
                  </w:pPr>
                  <w:r>
                    <w:rPr>
                      <w:rFonts w:hint="eastAsia"/>
                      <w:color w:val="000000" w:themeColor="text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5" w:hRule="atLeast"/>
                <w:jc w:val="center"/>
              </w:trPr>
              <w:tc>
                <w:tcPr>
                  <w:tcW w:w="504" w:type="dxa"/>
                  <w:vMerge w:val="restart"/>
                  <w:vAlign w:val="center"/>
                </w:tcPr>
                <w:p>
                  <w:pPr>
                    <w:autoSpaceDE w:val="0"/>
                    <w:autoSpaceDN w:val="0"/>
                    <w:adjustRightInd w:val="0"/>
                    <w:jc w:val="center"/>
                    <w:rPr>
                      <w:bCs/>
                      <w:color w:val="000000" w:themeColor="text1"/>
                      <w:szCs w:val="21"/>
                    </w:rPr>
                  </w:pPr>
                  <w:r>
                    <w:rPr>
                      <w:color w:val="000000" w:themeColor="text1"/>
                      <w:szCs w:val="21"/>
                      <w:lang w:val="zh-CN"/>
                    </w:rPr>
                    <w:t>东厂界</w:t>
                  </w: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破捆机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1</w:t>
                  </w:r>
                </w:p>
              </w:tc>
              <w:tc>
                <w:tcPr>
                  <w:tcW w:w="1147" w:type="dxa"/>
                  <w:vAlign w:val="center"/>
                </w:tcPr>
                <w:p>
                  <w:pPr>
                    <w:jc w:val="center"/>
                    <w:rPr>
                      <w:rFonts w:ascii="宋体" w:hAnsi="宋体" w:cs="宋体"/>
                      <w:color w:val="000000" w:themeColor="text1"/>
                      <w:szCs w:val="21"/>
                    </w:rPr>
                  </w:pPr>
                  <w:r>
                    <w:rPr>
                      <w:rFonts w:hint="eastAsia"/>
                      <w:color w:val="000000" w:themeColor="text1"/>
                      <w:szCs w:val="21"/>
                    </w:rPr>
                    <w:t xml:space="preserve">41.5 </w:t>
                  </w:r>
                </w:p>
              </w:tc>
              <w:tc>
                <w:tcPr>
                  <w:tcW w:w="1006"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41.5</w:t>
                  </w:r>
                </w:p>
              </w:tc>
              <w:tc>
                <w:tcPr>
                  <w:tcW w:w="1076" w:type="dxa"/>
                  <w:vMerge w:val="restart"/>
                  <w:vAlign w:val="center"/>
                </w:tcPr>
                <w:p>
                  <w:pPr>
                    <w:jc w:val="center"/>
                    <w:rPr>
                      <w:bCs/>
                      <w:color w:val="000000" w:themeColor="text1"/>
                      <w:szCs w:val="21"/>
                    </w:rPr>
                  </w:pPr>
                  <w:r>
                    <w:rPr>
                      <w:rFonts w:hint="eastAsia"/>
                      <w:bCs/>
                      <w:color w:val="000000" w:themeColor="text1"/>
                      <w:szCs w:val="21"/>
                    </w:rPr>
                    <w:t>/</w:t>
                  </w:r>
                </w:p>
              </w:tc>
              <w:tc>
                <w:tcPr>
                  <w:tcW w:w="903" w:type="dxa"/>
                  <w:vMerge w:val="restart"/>
                  <w:vAlign w:val="center"/>
                </w:tcPr>
                <w:p>
                  <w:pPr>
                    <w:jc w:val="center"/>
                    <w:rPr>
                      <w:bCs/>
                      <w:color w:val="000000" w:themeColor="text1"/>
                      <w:szCs w:val="21"/>
                    </w:rPr>
                  </w:pPr>
                  <w:r>
                    <w:rPr>
                      <w:rFonts w:hint="eastAsia"/>
                      <w:bCs/>
                      <w:color w:val="000000" w:themeColor="text1"/>
                      <w:szCs w:val="21"/>
                    </w:rPr>
                    <w:t>52.7</w:t>
                  </w:r>
                </w:p>
              </w:tc>
              <w:tc>
                <w:tcPr>
                  <w:tcW w:w="544" w:type="dxa"/>
                  <w:vMerge w:val="restart"/>
                  <w:vAlign w:val="center"/>
                </w:tcPr>
                <w:p>
                  <w:pPr>
                    <w:jc w:val="center"/>
                    <w:rPr>
                      <w:bCs/>
                      <w:color w:val="000000" w:themeColor="text1"/>
                      <w:szCs w:val="21"/>
                    </w:rPr>
                  </w:pPr>
                  <w:r>
                    <w:rPr>
                      <w:rFonts w:hint="eastAsia"/>
                      <w:bCs/>
                      <w:color w:val="000000" w:themeColor="text1"/>
                      <w:szCs w:val="21"/>
                    </w:rPr>
                    <w:t>60</w:t>
                  </w:r>
                </w:p>
              </w:tc>
              <w:tc>
                <w:tcPr>
                  <w:tcW w:w="549" w:type="dxa"/>
                  <w:vMerge w:val="restart"/>
                  <w:vAlign w:val="center"/>
                </w:tcPr>
                <w:p>
                  <w:pPr>
                    <w:jc w:val="center"/>
                    <w:rPr>
                      <w:bCs/>
                      <w:color w:val="000000" w:themeColor="text1"/>
                      <w:szCs w:val="21"/>
                    </w:rPr>
                  </w:pPr>
                  <w:r>
                    <w:rPr>
                      <w:rFonts w:hint="eastAsia"/>
                      <w:bCs/>
                      <w:color w:val="000000" w:themeColor="text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5" w:hRule="atLeast"/>
                <w:jc w:val="center"/>
              </w:trPr>
              <w:tc>
                <w:tcPr>
                  <w:tcW w:w="504" w:type="dxa"/>
                  <w:vMerge w:val="continue"/>
                  <w:vAlign w:val="center"/>
                </w:tcPr>
                <w:p>
                  <w:pPr>
                    <w:autoSpaceDE w:val="0"/>
                    <w:autoSpaceDN w:val="0"/>
                    <w:adjustRightInd w:val="0"/>
                    <w:jc w:val="center"/>
                    <w:rPr>
                      <w:color w:val="000000" w:themeColor="text1"/>
                      <w:szCs w:val="21"/>
                      <w:lang w:val="zh-CN"/>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粉碎提绒一体机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5</w:t>
                  </w:r>
                </w:p>
              </w:tc>
              <w:tc>
                <w:tcPr>
                  <w:tcW w:w="1147" w:type="dxa"/>
                  <w:vAlign w:val="center"/>
                </w:tcPr>
                <w:p>
                  <w:pPr>
                    <w:jc w:val="center"/>
                    <w:rPr>
                      <w:rFonts w:ascii="宋体" w:hAnsi="宋体" w:cs="宋体"/>
                      <w:color w:val="000000" w:themeColor="text1"/>
                      <w:szCs w:val="21"/>
                    </w:rPr>
                  </w:pPr>
                  <w:r>
                    <w:rPr>
                      <w:rFonts w:hint="eastAsia"/>
                      <w:color w:val="000000" w:themeColor="text1"/>
                      <w:szCs w:val="21"/>
                    </w:rPr>
                    <w:t xml:space="preserve">43.4 </w:t>
                  </w:r>
                </w:p>
              </w:tc>
              <w:tc>
                <w:tcPr>
                  <w:tcW w:w="1006"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50.4</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5" w:hRule="atLeast"/>
                <w:jc w:val="center"/>
              </w:trPr>
              <w:tc>
                <w:tcPr>
                  <w:tcW w:w="504" w:type="dxa"/>
                  <w:vMerge w:val="continue"/>
                  <w:vAlign w:val="center"/>
                </w:tcPr>
                <w:p>
                  <w:pPr>
                    <w:autoSpaceDE w:val="0"/>
                    <w:autoSpaceDN w:val="0"/>
                    <w:adjustRightInd w:val="0"/>
                    <w:jc w:val="center"/>
                    <w:rPr>
                      <w:color w:val="000000" w:themeColor="text1"/>
                      <w:szCs w:val="21"/>
                      <w:lang w:val="zh-CN"/>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全自动卷条机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5</w:t>
                  </w:r>
                </w:p>
              </w:tc>
              <w:tc>
                <w:tcPr>
                  <w:tcW w:w="1147" w:type="dxa"/>
                  <w:vAlign w:val="center"/>
                </w:tcPr>
                <w:p>
                  <w:pPr>
                    <w:jc w:val="center"/>
                    <w:rPr>
                      <w:rFonts w:ascii="宋体" w:hAnsi="宋体" w:cs="宋体"/>
                      <w:color w:val="000000" w:themeColor="text1"/>
                      <w:szCs w:val="21"/>
                    </w:rPr>
                  </w:pPr>
                  <w:r>
                    <w:rPr>
                      <w:rFonts w:hint="eastAsia"/>
                      <w:color w:val="000000" w:themeColor="text1"/>
                      <w:szCs w:val="21"/>
                    </w:rPr>
                    <w:t xml:space="preserve">35.9 </w:t>
                  </w:r>
                </w:p>
              </w:tc>
              <w:tc>
                <w:tcPr>
                  <w:tcW w:w="1006"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42.9</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5" w:hRule="atLeast"/>
                <w:jc w:val="center"/>
              </w:trPr>
              <w:tc>
                <w:tcPr>
                  <w:tcW w:w="504" w:type="dxa"/>
                  <w:vMerge w:val="continue"/>
                  <w:vAlign w:val="center"/>
                </w:tcPr>
                <w:p>
                  <w:pPr>
                    <w:autoSpaceDE w:val="0"/>
                    <w:autoSpaceDN w:val="0"/>
                    <w:adjustRightInd w:val="0"/>
                    <w:jc w:val="center"/>
                    <w:rPr>
                      <w:color w:val="000000" w:themeColor="text1"/>
                      <w:szCs w:val="21"/>
                      <w:lang w:val="zh-CN"/>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手动卷条机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15</w:t>
                  </w:r>
                </w:p>
              </w:tc>
              <w:tc>
                <w:tcPr>
                  <w:tcW w:w="1147" w:type="dxa"/>
                  <w:vAlign w:val="center"/>
                </w:tcPr>
                <w:p>
                  <w:pPr>
                    <w:jc w:val="center"/>
                    <w:rPr>
                      <w:rFonts w:ascii="宋体" w:hAnsi="宋体" w:cs="宋体"/>
                      <w:color w:val="000000" w:themeColor="text1"/>
                      <w:szCs w:val="21"/>
                    </w:rPr>
                  </w:pPr>
                  <w:r>
                    <w:rPr>
                      <w:rFonts w:hint="eastAsia"/>
                      <w:color w:val="000000" w:themeColor="text1"/>
                      <w:szCs w:val="21"/>
                    </w:rPr>
                    <w:t xml:space="preserve">29.9 </w:t>
                  </w:r>
                </w:p>
              </w:tc>
              <w:tc>
                <w:tcPr>
                  <w:tcW w:w="1006"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41.7</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5" w:hRule="atLeast"/>
                <w:jc w:val="center"/>
              </w:trPr>
              <w:tc>
                <w:tcPr>
                  <w:tcW w:w="504" w:type="dxa"/>
                  <w:vMerge w:val="continue"/>
                  <w:vAlign w:val="center"/>
                </w:tcPr>
                <w:p>
                  <w:pPr>
                    <w:autoSpaceDE w:val="0"/>
                    <w:autoSpaceDN w:val="0"/>
                    <w:adjustRightInd w:val="0"/>
                    <w:jc w:val="center"/>
                    <w:rPr>
                      <w:color w:val="000000" w:themeColor="text1"/>
                      <w:szCs w:val="21"/>
                      <w:lang w:val="zh-CN"/>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切柱机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1</w:t>
                  </w:r>
                </w:p>
              </w:tc>
              <w:tc>
                <w:tcPr>
                  <w:tcW w:w="1147" w:type="dxa"/>
                  <w:vAlign w:val="center"/>
                </w:tcPr>
                <w:p>
                  <w:pPr>
                    <w:jc w:val="center"/>
                    <w:rPr>
                      <w:rFonts w:ascii="宋体" w:hAnsi="宋体" w:cs="宋体"/>
                      <w:color w:val="000000" w:themeColor="text1"/>
                      <w:szCs w:val="21"/>
                    </w:rPr>
                  </w:pPr>
                  <w:r>
                    <w:rPr>
                      <w:rFonts w:hint="eastAsia"/>
                      <w:color w:val="000000" w:themeColor="text1"/>
                      <w:szCs w:val="21"/>
                    </w:rPr>
                    <w:t xml:space="preserve">30.9 </w:t>
                  </w:r>
                </w:p>
              </w:tc>
              <w:tc>
                <w:tcPr>
                  <w:tcW w:w="1006"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30.9</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风机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2</w:t>
                  </w:r>
                </w:p>
              </w:tc>
              <w:tc>
                <w:tcPr>
                  <w:tcW w:w="1147" w:type="dxa"/>
                  <w:vAlign w:val="center"/>
                </w:tcPr>
                <w:p>
                  <w:pPr>
                    <w:jc w:val="center"/>
                    <w:rPr>
                      <w:rFonts w:ascii="宋体" w:hAnsi="宋体" w:cs="宋体"/>
                      <w:color w:val="000000" w:themeColor="text1"/>
                      <w:szCs w:val="21"/>
                    </w:rPr>
                  </w:pPr>
                  <w:r>
                    <w:rPr>
                      <w:rFonts w:hint="eastAsia"/>
                      <w:color w:val="000000" w:themeColor="text1"/>
                      <w:szCs w:val="21"/>
                    </w:rPr>
                    <w:t>41.0</w:t>
                  </w:r>
                </w:p>
              </w:tc>
              <w:tc>
                <w:tcPr>
                  <w:tcW w:w="1006" w:type="dxa"/>
                  <w:vAlign w:val="center"/>
                </w:tcPr>
                <w:p>
                  <w:pPr>
                    <w:jc w:val="center"/>
                    <w:rPr>
                      <w:color w:val="000000" w:themeColor="text1"/>
                      <w:szCs w:val="21"/>
                    </w:rPr>
                  </w:pPr>
                  <w:r>
                    <w:rPr>
                      <w:rFonts w:hint="eastAsia"/>
                      <w:color w:val="000000" w:themeColor="text1"/>
                      <w:szCs w:val="21"/>
                    </w:rPr>
                    <w:t>44.0</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restart"/>
                  <w:vAlign w:val="center"/>
                </w:tcPr>
                <w:p>
                  <w:pPr>
                    <w:jc w:val="center"/>
                    <w:rPr>
                      <w:bCs/>
                      <w:color w:val="000000" w:themeColor="text1"/>
                      <w:szCs w:val="21"/>
                    </w:rPr>
                  </w:pPr>
                  <w:r>
                    <w:rPr>
                      <w:rFonts w:hint="eastAsia"/>
                      <w:bCs/>
                      <w:color w:val="000000" w:themeColor="text1"/>
                      <w:szCs w:val="21"/>
                    </w:rPr>
                    <w:t>西厂界</w:t>
                  </w: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破捆机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1</w:t>
                  </w:r>
                </w:p>
              </w:tc>
              <w:tc>
                <w:tcPr>
                  <w:tcW w:w="1147" w:type="dxa"/>
                  <w:vAlign w:val="center"/>
                </w:tcPr>
                <w:p>
                  <w:pPr>
                    <w:jc w:val="center"/>
                    <w:rPr>
                      <w:rFonts w:ascii="宋体" w:hAnsi="宋体" w:cs="宋体"/>
                      <w:color w:val="000000"/>
                      <w:szCs w:val="21"/>
                    </w:rPr>
                  </w:pPr>
                  <w:r>
                    <w:rPr>
                      <w:rFonts w:hint="eastAsia"/>
                      <w:color w:val="000000"/>
                      <w:szCs w:val="21"/>
                    </w:rPr>
                    <w:t xml:space="preserve">41.5 </w:t>
                  </w:r>
                </w:p>
              </w:tc>
              <w:tc>
                <w:tcPr>
                  <w:tcW w:w="1006" w:type="dxa"/>
                  <w:vAlign w:val="center"/>
                </w:tcPr>
                <w:p>
                  <w:pPr>
                    <w:jc w:val="center"/>
                    <w:rPr>
                      <w:color w:val="000000" w:themeColor="text1"/>
                      <w:szCs w:val="21"/>
                    </w:rPr>
                  </w:pPr>
                  <w:r>
                    <w:rPr>
                      <w:rFonts w:hint="eastAsia"/>
                      <w:color w:val="000000" w:themeColor="text1"/>
                      <w:szCs w:val="21"/>
                    </w:rPr>
                    <w:t>41.5</w:t>
                  </w:r>
                </w:p>
              </w:tc>
              <w:tc>
                <w:tcPr>
                  <w:tcW w:w="1076" w:type="dxa"/>
                  <w:vMerge w:val="restart"/>
                  <w:vAlign w:val="center"/>
                </w:tcPr>
                <w:p>
                  <w:pPr>
                    <w:jc w:val="center"/>
                    <w:rPr>
                      <w:bCs/>
                      <w:color w:val="000000" w:themeColor="text1"/>
                      <w:szCs w:val="21"/>
                    </w:rPr>
                  </w:pPr>
                  <w:r>
                    <w:rPr>
                      <w:rFonts w:hint="eastAsia"/>
                      <w:bCs/>
                      <w:color w:val="000000" w:themeColor="text1"/>
                      <w:szCs w:val="21"/>
                    </w:rPr>
                    <w:t>/</w:t>
                  </w:r>
                </w:p>
              </w:tc>
              <w:tc>
                <w:tcPr>
                  <w:tcW w:w="903" w:type="dxa"/>
                  <w:vMerge w:val="restart"/>
                  <w:vAlign w:val="center"/>
                </w:tcPr>
                <w:p>
                  <w:pPr>
                    <w:jc w:val="center"/>
                    <w:rPr>
                      <w:bCs/>
                      <w:color w:val="000000" w:themeColor="text1"/>
                      <w:szCs w:val="21"/>
                    </w:rPr>
                  </w:pPr>
                  <w:r>
                    <w:rPr>
                      <w:rFonts w:hint="eastAsia"/>
                      <w:bCs/>
                      <w:color w:val="000000" w:themeColor="text1"/>
                      <w:szCs w:val="21"/>
                    </w:rPr>
                    <w:t>51.0</w:t>
                  </w:r>
                </w:p>
              </w:tc>
              <w:tc>
                <w:tcPr>
                  <w:tcW w:w="544" w:type="dxa"/>
                  <w:vMerge w:val="restart"/>
                  <w:vAlign w:val="center"/>
                </w:tcPr>
                <w:p>
                  <w:pPr>
                    <w:jc w:val="center"/>
                    <w:rPr>
                      <w:bCs/>
                      <w:color w:val="000000" w:themeColor="text1"/>
                      <w:szCs w:val="21"/>
                    </w:rPr>
                  </w:pPr>
                  <w:r>
                    <w:rPr>
                      <w:rFonts w:hint="eastAsia"/>
                      <w:bCs/>
                      <w:color w:val="000000" w:themeColor="text1"/>
                      <w:szCs w:val="21"/>
                    </w:rPr>
                    <w:t>60</w:t>
                  </w:r>
                </w:p>
              </w:tc>
              <w:tc>
                <w:tcPr>
                  <w:tcW w:w="549" w:type="dxa"/>
                  <w:vMerge w:val="restart"/>
                  <w:vAlign w:val="center"/>
                </w:tcPr>
                <w:p>
                  <w:pPr>
                    <w:jc w:val="center"/>
                    <w:rPr>
                      <w:bCs/>
                      <w:color w:val="000000" w:themeColor="text1"/>
                      <w:szCs w:val="21"/>
                    </w:rPr>
                  </w:pPr>
                  <w:r>
                    <w:rPr>
                      <w:rFonts w:hint="eastAsia"/>
                      <w:bCs/>
                      <w:color w:val="000000" w:themeColor="text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粉碎提绒一体机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5</w:t>
                  </w:r>
                </w:p>
              </w:tc>
              <w:tc>
                <w:tcPr>
                  <w:tcW w:w="1147" w:type="dxa"/>
                  <w:vAlign w:val="center"/>
                </w:tcPr>
                <w:p>
                  <w:pPr>
                    <w:jc w:val="center"/>
                    <w:rPr>
                      <w:rFonts w:ascii="宋体" w:hAnsi="宋体" w:cs="宋体"/>
                      <w:color w:val="000000"/>
                      <w:szCs w:val="21"/>
                    </w:rPr>
                  </w:pPr>
                  <w:r>
                    <w:rPr>
                      <w:rFonts w:hint="eastAsia"/>
                      <w:color w:val="000000"/>
                      <w:szCs w:val="21"/>
                    </w:rPr>
                    <w:t xml:space="preserve">39.9 </w:t>
                  </w:r>
                </w:p>
              </w:tc>
              <w:tc>
                <w:tcPr>
                  <w:tcW w:w="1006" w:type="dxa"/>
                  <w:vAlign w:val="center"/>
                </w:tcPr>
                <w:p>
                  <w:pPr>
                    <w:jc w:val="center"/>
                    <w:rPr>
                      <w:color w:val="000000" w:themeColor="text1"/>
                      <w:szCs w:val="21"/>
                    </w:rPr>
                  </w:pPr>
                  <w:r>
                    <w:rPr>
                      <w:rFonts w:hint="eastAsia"/>
                      <w:color w:val="000000" w:themeColor="text1"/>
                      <w:szCs w:val="21"/>
                    </w:rPr>
                    <w:t>46.9</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全自动卷条机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5</w:t>
                  </w:r>
                </w:p>
              </w:tc>
              <w:tc>
                <w:tcPr>
                  <w:tcW w:w="1147" w:type="dxa"/>
                  <w:vAlign w:val="center"/>
                </w:tcPr>
                <w:p>
                  <w:pPr>
                    <w:jc w:val="center"/>
                    <w:rPr>
                      <w:rFonts w:ascii="宋体" w:hAnsi="宋体" w:cs="宋体"/>
                      <w:color w:val="000000"/>
                      <w:szCs w:val="21"/>
                    </w:rPr>
                  </w:pPr>
                  <w:r>
                    <w:rPr>
                      <w:rFonts w:hint="eastAsia"/>
                      <w:color w:val="000000"/>
                      <w:szCs w:val="21"/>
                    </w:rPr>
                    <w:t xml:space="preserve">37.1 </w:t>
                  </w:r>
                </w:p>
              </w:tc>
              <w:tc>
                <w:tcPr>
                  <w:tcW w:w="1006" w:type="dxa"/>
                  <w:vAlign w:val="center"/>
                </w:tcPr>
                <w:p>
                  <w:pPr>
                    <w:jc w:val="center"/>
                    <w:rPr>
                      <w:color w:val="000000" w:themeColor="text1"/>
                      <w:szCs w:val="21"/>
                    </w:rPr>
                  </w:pPr>
                  <w:r>
                    <w:rPr>
                      <w:rFonts w:hint="eastAsia"/>
                      <w:color w:val="000000" w:themeColor="text1"/>
                      <w:szCs w:val="21"/>
                    </w:rPr>
                    <w:t>44.1</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手动卷条机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15</w:t>
                  </w:r>
                </w:p>
              </w:tc>
              <w:tc>
                <w:tcPr>
                  <w:tcW w:w="1147" w:type="dxa"/>
                  <w:vAlign w:val="center"/>
                </w:tcPr>
                <w:p>
                  <w:pPr>
                    <w:jc w:val="center"/>
                    <w:rPr>
                      <w:rFonts w:ascii="宋体" w:hAnsi="宋体" w:cs="宋体"/>
                      <w:color w:val="000000"/>
                      <w:szCs w:val="21"/>
                    </w:rPr>
                  </w:pPr>
                  <w:r>
                    <w:rPr>
                      <w:rFonts w:hint="eastAsia"/>
                      <w:color w:val="000000"/>
                      <w:szCs w:val="21"/>
                    </w:rPr>
                    <w:t xml:space="preserve">33.4 </w:t>
                  </w:r>
                </w:p>
              </w:tc>
              <w:tc>
                <w:tcPr>
                  <w:tcW w:w="1006" w:type="dxa"/>
                  <w:vAlign w:val="center"/>
                </w:tcPr>
                <w:p>
                  <w:pPr>
                    <w:jc w:val="center"/>
                    <w:rPr>
                      <w:color w:val="000000" w:themeColor="text1"/>
                      <w:szCs w:val="21"/>
                    </w:rPr>
                  </w:pPr>
                  <w:r>
                    <w:rPr>
                      <w:rFonts w:hint="eastAsia"/>
                      <w:color w:val="000000" w:themeColor="text1"/>
                      <w:szCs w:val="21"/>
                    </w:rPr>
                    <w:t>45.2</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切柱机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1</w:t>
                  </w:r>
                </w:p>
              </w:tc>
              <w:tc>
                <w:tcPr>
                  <w:tcW w:w="1147" w:type="dxa"/>
                  <w:vAlign w:val="center"/>
                </w:tcPr>
                <w:p>
                  <w:pPr>
                    <w:jc w:val="center"/>
                    <w:rPr>
                      <w:rFonts w:ascii="宋体" w:hAnsi="宋体" w:cs="宋体"/>
                      <w:color w:val="000000"/>
                      <w:szCs w:val="21"/>
                    </w:rPr>
                  </w:pPr>
                  <w:r>
                    <w:rPr>
                      <w:rFonts w:hint="eastAsia"/>
                      <w:color w:val="000000"/>
                      <w:szCs w:val="21"/>
                    </w:rPr>
                    <w:t xml:space="preserve">32.1 </w:t>
                  </w:r>
                </w:p>
              </w:tc>
              <w:tc>
                <w:tcPr>
                  <w:tcW w:w="1006" w:type="dxa"/>
                  <w:vAlign w:val="center"/>
                </w:tcPr>
                <w:p>
                  <w:pPr>
                    <w:jc w:val="center"/>
                    <w:rPr>
                      <w:color w:val="000000" w:themeColor="text1"/>
                      <w:szCs w:val="21"/>
                    </w:rPr>
                  </w:pPr>
                  <w:r>
                    <w:rPr>
                      <w:rFonts w:hint="eastAsia"/>
                      <w:color w:val="000000" w:themeColor="text1"/>
                      <w:szCs w:val="21"/>
                    </w:rPr>
                    <w:t>32.1</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风机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2</w:t>
                  </w:r>
                </w:p>
              </w:tc>
              <w:tc>
                <w:tcPr>
                  <w:tcW w:w="1147" w:type="dxa"/>
                  <w:vAlign w:val="center"/>
                </w:tcPr>
                <w:p>
                  <w:pPr>
                    <w:jc w:val="center"/>
                    <w:rPr>
                      <w:rFonts w:ascii="宋体" w:hAnsi="宋体" w:cs="宋体"/>
                      <w:color w:val="000000"/>
                      <w:szCs w:val="21"/>
                    </w:rPr>
                  </w:pPr>
                  <w:r>
                    <w:rPr>
                      <w:rFonts w:hint="eastAsia"/>
                      <w:color w:val="000000"/>
                      <w:szCs w:val="21"/>
                    </w:rPr>
                    <w:t>29.9</w:t>
                  </w:r>
                </w:p>
              </w:tc>
              <w:tc>
                <w:tcPr>
                  <w:tcW w:w="1006" w:type="dxa"/>
                  <w:vAlign w:val="center"/>
                </w:tcPr>
                <w:p>
                  <w:pPr>
                    <w:jc w:val="center"/>
                    <w:rPr>
                      <w:color w:val="000000" w:themeColor="text1"/>
                      <w:szCs w:val="21"/>
                    </w:rPr>
                  </w:pPr>
                  <w:r>
                    <w:rPr>
                      <w:rFonts w:hint="eastAsia"/>
                      <w:color w:val="000000" w:themeColor="text1"/>
                      <w:szCs w:val="21"/>
                    </w:rPr>
                    <w:t>32.9</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restart"/>
                  <w:vAlign w:val="center"/>
                </w:tcPr>
                <w:p>
                  <w:pPr>
                    <w:jc w:val="center"/>
                    <w:rPr>
                      <w:bCs/>
                      <w:color w:val="000000" w:themeColor="text1"/>
                      <w:szCs w:val="21"/>
                    </w:rPr>
                  </w:pPr>
                  <w:r>
                    <w:rPr>
                      <w:rFonts w:hint="eastAsia"/>
                      <w:bCs/>
                      <w:color w:val="000000" w:themeColor="text1"/>
                      <w:szCs w:val="21"/>
                    </w:rPr>
                    <w:t>北厂界</w:t>
                  </w: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破捆机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1</w:t>
                  </w:r>
                </w:p>
              </w:tc>
              <w:tc>
                <w:tcPr>
                  <w:tcW w:w="1147" w:type="dxa"/>
                  <w:vAlign w:val="center"/>
                </w:tcPr>
                <w:p>
                  <w:pPr>
                    <w:jc w:val="center"/>
                    <w:rPr>
                      <w:rFonts w:ascii="宋体" w:hAnsi="宋体" w:cs="宋体"/>
                      <w:color w:val="000000"/>
                      <w:szCs w:val="21"/>
                    </w:rPr>
                  </w:pPr>
                  <w:r>
                    <w:rPr>
                      <w:rFonts w:hint="eastAsia"/>
                      <w:color w:val="000000"/>
                      <w:szCs w:val="21"/>
                    </w:rPr>
                    <w:t xml:space="preserve">41.5 </w:t>
                  </w:r>
                </w:p>
              </w:tc>
              <w:tc>
                <w:tcPr>
                  <w:tcW w:w="1006" w:type="dxa"/>
                  <w:vAlign w:val="center"/>
                </w:tcPr>
                <w:p>
                  <w:pPr>
                    <w:jc w:val="center"/>
                    <w:rPr>
                      <w:color w:val="000000" w:themeColor="text1"/>
                      <w:szCs w:val="21"/>
                    </w:rPr>
                  </w:pPr>
                  <w:r>
                    <w:rPr>
                      <w:rFonts w:hint="eastAsia"/>
                      <w:color w:val="000000" w:themeColor="text1"/>
                      <w:szCs w:val="21"/>
                    </w:rPr>
                    <w:t>41.5</w:t>
                  </w:r>
                </w:p>
              </w:tc>
              <w:tc>
                <w:tcPr>
                  <w:tcW w:w="1076" w:type="dxa"/>
                  <w:vMerge w:val="restart"/>
                  <w:vAlign w:val="center"/>
                </w:tcPr>
                <w:p>
                  <w:pPr>
                    <w:jc w:val="center"/>
                    <w:rPr>
                      <w:bCs/>
                      <w:color w:val="000000" w:themeColor="text1"/>
                      <w:szCs w:val="21"/>
                    </w:rPr>
                  </w:pPr>
                  <w:r>
                    <w:rPr>
                      <w:rFonts w:hint="eastAsia"/>
                      <w:bCs/>
                      <w:color w:val="000000" w:themeColor="text1"/>
                      <w:szCs w:val="21"/>
                    </w:rPr>
                    <w:t>/</w:t>
                  </w:r>
                </w:p>
              </w:tc>
              <w:tc>
                <w:tcPr>
                  <w:tcW w:w="903" w:type="dxa"/>
                  <w:vMerge w:val="restart"/>
                  <w:vAlign w:val="center"/>
                </w:tcPr>
                <w:p>
                  <w:pPr>
                    <w:jc w:val="center"/>
                    <w:rPr>
                      <w:bCs/>
                      <w:color w:val="000000" w:themeColor="text1"/>
                      <w:szCs w:val="21"/>
                    </w:rPr>
                  </w:pPr>
                  <w:r>
                    <w:rPr>
                      <w:rFonts w:hint="eastAsia"/>
                      <w:bCs/>
                      <w:color w:val="000000" w:themeColor="text1"/>
                      <w:szCs w:val="21"/>
                    </w:rPr>
                    <w:t>49.8</w:t>
                  </w:r>
                </w:p>
              </w:tc>
              <w:tc>
                <w:tcPr>
                  <w:tcW w:w="544" w:type="dxa"/>
                  <w:vMerge w:val="restart"/>
                  <w:vAlign w:val="center"/>
                </w:tcPr>
                <w:p>
                  <w:pPr>
                    <w:jc w:val="center"/>
                    <w:rPr>
                      <w:bCs/>
                      <w:color w:val="000000" w:themeColor="text1"/>
                      <w:szCs w:val="21"/>
                    </w:rPr>
                  </w:pPr>
                  <w:r>
                    <w:rPr>
                      <w:rFonts w:hint="eastAsia"/>
                      <w:bCs/>
                      <w:color w:val="000000" w:themeColor="text1"/>
                      <w:szCs w:val="21"/>
                    </w:rPr>
                    <w:t>60</w:t>
                  </w:r>
                </w:p>
              </w:tc>
              <w:tc>
                <w:tcPr>
                  <w:tcW w:w="549" w:type="dxa"/>
                  <w:vMerge w:val="restart"/>
                  <w:vAlign w:val="center"/>
                </w:tcPr>
                <w:p>
                  <w:pPr>
                    <w:jc w:val="center"/>
                    <w:rPr>
                      <w:bCs/>
                      <w:color w:val="000000" w:themeColor="text1"/>
                      <w:szCs w:val="21"/>
                    </w:rPr>
                  </w:pPr>
                  <w:r>
                    <w:rPr>
                      <w:rFonts w:hint="eastAsia"/>
                      <w:bCs/>
                      <w:color w:val="000000" w:themeColor="text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粉碎提绒一体机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5</w:t>
                  </w:r>
                </w:p>
              </w:tc>
              <w:tc>
                <w:tcPr>
                  <w:tcW w:w="1147" w:type="dxa"/>
                  <w:vAlign w:val="center"/>
                </w:tcPr>
                <w:p>
                  <w:pPr>
                    <w:jc w:val="center"/>
                    <w:rPr>
                      <w:rFonts w:ascii="宋体" w:hAnsi="宋体" w:cs="宋体"/>
                      <w:color w:val="000000"/>
                      <w:szCs w:val="21"/>
                    </w:rPr>
                  </w:pPr>
                  <w:r>
                    <w:rPr>
                      <w:rFonts w:hint="eastAsia"/>
                      <w:color w:val="000000"/>
                      <w:szCs w:val="21"/>
                    </w:rPr>
                    <w:t xml:space="preserve">39.9 </w:t>
                  </w:r>
                </w:p>
              </w:tc>
              <w:tc>
                <w:tcPr>
                  <w:tcW w:w="1006" w:type="dxa"/>
                  <w:vAlign w:val="center"/>
                </w:tcPr>
                <w:p>
                  <w:pPr>
                    <w:jc w:val="center"/>
                    <w:rPr>
                      <w:color w:val="000000" w:themeColor="text1"/>
                      <w:szCs w:val="21"/>
                    </w:rPr>
                  </w:pPr>
                  <w:r>
                    <w:rPr>
                      <w:rFonts w:hint="eastAsia"/>
                      <w:color w:val="000000" w:themeColor="text1"/>
                      <w:szCs w:val="21"/>
                    </w:rPr>
                    <w:t>46.9</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全自动卷条机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5</w:t>
                  </w:r>
                </w:p>
              </w:tc>
              <w:tc>
                <w:tcPr>
                  <w:tcW w:w="1147" w:type="dxa"/>
                  <w:vAlign w:val="center"/>
                </w:tcPr>
                <w:p>
                  <w:pPr>
                    <w:jc w:val="center"/>
                    <w:rPr>
                      <w:rFonts w:ascii="宋体" w:hAnsi="宋体" w:cs="宋体"/>
                      <w:color w:val="000000"/>
                      <w:szCs w:val="21"/>
                    </w:rPr>
                  </w:pPr>
                  <w:r>
                    <w:rPr>
                      <w:rFonts w:hint="eastAsia"/>
                      <w:color w:val="000000"/>
                      <w:szCs w:val="21"/>
                    </w:rPr>
                    <w:t xml:space="preserve">34.0 </w:t>
                  </w:r>
                </w:p>
              </w:tc>
              <w:tc>
                <w:tcPr>
                  <w:tcW w:w="1006" w:type="dxa"/>
                  <w:vAlign w:val="center"/>
                </w:tcPr>
                <w:p>
                  <w:pPr>
                    <w:jc w:val="center"/>
                    <w:rPr>
                      <w:color w:val="000000" w:themeColor="text1"/>
                      <w:szCs w:val="21"/>
                    </w:rPr>
                  </w:pPr>
                  <w:r>
                    <w:rPr>
                      <w:rFonts w:hint="eastAsia"/>
                      <w:color w:val="000000" w:themeColor="text1"/>
                      <w:szCs w:val="21"/>
                    </w:rPr>
                    <w:t>41.0</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手动卷条机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15</w:t>
                  </w:r>
                </w:p>
              </w:tc>
              <w:tc>
                <w:tcPr>
                  <w:tcW w:w="1147" w:type="dxa"/>
                  <w:vAlign w:val="center"/>
                </w:tcPr>
                <w:p>
                  <w:pPr>
                    <w:jc w:val="center"/>
                    <w:rPr>
                      <w:rFonts w:ascii="宋体" w:hAnsi="宋体" w:cs="宋体"/>
                      <w:color w:val="000000"/>
                      <w:szCs w:val="21"/>
                    </w:rPr>
                  </w:pPr>
                  <w:r>
                    <w:rPr>
                      <w:rFonts w:hint="eastAsia"/>
                      <w:color w:val="000000"/>
                      <w:szCs w:val="21"/>
                    </w:rPr>
                    <w:t xml:space="preserve">29.0 </w:t>
                  </w:r>
                </w:p>
              </w:tc>
              <w:tc>
                <w:tcPr>
                  <w:tcW w:w="1006" w:type="dxa"/>
                  <w:vAlign w:val="center"/>
                </w:tcPr>
                <w:p>
                  <w:pPr>
                    <w:jc w:val="center"/>
                    <w:rPr>
                      <w:color w:val="000000" w:themeColor="text1"/>
                      <w:szCs w:val="21"/>
                    </w:rPr>
                  </w:pPr>
                  <w:r>
                    <w:rPr>
                      <w:rFonts w:hint="eastAsia"/>
                      <w:color w:val="000000" w:themeColor="text1"/>
                      <w:szCs w:val="21"/>
                    </w:rPr>
                    <w:t>40.8</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切柱机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1</w:t>
                  </w:r>
                </w:p>
              </w:tc>
              <w:tc>
                <w:tcPr>
                  <w:tcW w:w="1147" w:type="dxa"/>
                  <w:vAlign w:val="center"/>
                </w:tcPr>
                <w:p>
                  <w:pPr>
                    <w:jc w:val="center"/>
                    <w:rPr>
                      <w:rFonts w:ascii="宋体" w:hAnsi="宋体" w:cs="宋体"/>
                      <w:color w:val="000000"/>
                      <w:szCs w:val="21"/>
                    </w:rPr>
                  </w:pPr>
                  <w:r>
                    <w:rPr>
                      <w:rFonts w:hint="eastAsia"/>
                      <w:color w:val="000000"/>
                      <w:szCs w:val="21"/>
                    </w:rPr>
                    <w:t xml:space="preserve">29.0 </w:t>
                  </w:r>
                </w:p>
              </w:tc>
              <w:tc>
                <w:tcPr>
                  <w:tcW w:w="1006" w:type="dxa"/>
                  <w:vAlign w:val="center"/>
                </w:tcPr>
                <w:p>
                  <w:pPr>
                    <w:jc w:val="center"/>
                    <w:rPr>
                      <w:color w:val="000000" w:themeColor="text1"/>
                      <w:szCs w:val="21"/>
                    </w:rPr>
                  </w:pPr>
                  <w:r>
                    <w:rPr>
                      <w:rFonts w:hint="eastAsia"/>
                      <w:color w:val="000000" w:themeColor="text1"/>
                      <w:szCs w:val="21"/>
                    </w:rPr>
                    <w:t>29.0</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风机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2</w:t>
                  </w:r>
                </w:p>
              </w:tc>
              <w:tc>
                <w:tcPr>
                  <w:tcW w:w="1147" w:type="dxa"/>
                  <w:vAlign w:val="center"/>
                </w:tcPr>
                <w:p>
                  <w:pPr>
                    <w:jc w:val="center"/>
                    <w:rPr>
                      <w:rFonts w:ascii="宋体" w:hAnsi="宋体" w:cs="宋体"/>
                      <w:color w:val="000000"/>
                      <w:szCs w:val="21"/>
                    </w:rPr>
                  </w:pPr>
                  <w:r>
                    <w:rPr>
                      <w:rFonts w:hint="eastAsia"/>
                      <w:color w:val="000000"/>
                      <w:szCs w:val="21"/>
                    </w:rPr>
                    <w:t>35.0</w:t>
                  </w:r>
                </w:p>
              </w:tc>
              <w:tc>
                <w:tcPr>
                  <w:tcW w:w="1006" w:type="dxa"/>
                  <w:vAlign w:val="center"/>
                </w:tcPr>
                <w:p>
                  <w:pPr>
                    <w:jc w:val="center"/>
                    <w:rPr>
                      <w:color w:val="000000" w:themeColor="text1"/>
                      <w:szCs w:val="21"/>
                    </w:rPr>
                  </w:pPr>
                  <w:r>
                    <w:rPr>
                      <w:rFonts w:hint="eastAsia"/>
                      <w:color w:val="000000" w:themeColor="text1"/>
                      <w:szCs w:val="21"/>
                    </w:rPr>
                    <w:t>38.0</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restart"/>
                  <w:vAlign w:val="center"/>
                </w:tcPr>
                <w:p>
                  <w:pPr>
                    <w:jc w:val="center"/>
                    <w:rPr>
                      <w:bCs/>
                      <w:color w:val="000000" w:themeColor="text1"/>
                      <w:szCs w:val="21"/>
                    </w:rPr>
                  </w:pPr>
                  <w:r>
                    <w:rPr>
                      <w:rFonts w:hint="eastAsia"/>
                      <w:bCs/>
                      <w:color w:val="000000" w:themeColor="text1"/>
                      <w:szCs w:val="21"/>
                    </w:rPr>
                    <w:t>南厂界</w:t>
                  </w: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破捆机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1</w:t>
                  </w:r>
                </w:p>
              </w:tc>
              <w:tc>
                <w:tcPr>
                  <w:tcW w:w="1147" w:type="dxa"/>
                  <w:vAlign w:val="center"/>
                </w:tcPr>
                <w:p>
                  <w:pPr>
                    <w:jc w:val="center"/>
                    <w:rPr>
                      <w:rFonts w:ascii="宋体" w:hAnsi="宋体" w:cs="宋体"/>
                      <w:color w:val="000000"/>
                      <w:szCs w:val="21"/>
                    </w:rPr>
                  </w:pPr>
                  <w:r>
                    <w:rPr>
                      <w:rFonts w:hint="eastAsia"/>
                      <w:color w:val="000000"/>
                      <w:szCs w:val="21"/>
                    </w:rPr>
                    <w:t xml:space="preserve">28.7 </w:t>
                  </w:r>
                </w:p>
              </w:tc>
              <w:tc>
                <w:tcPr>
                  <w:tcW w:w="1006" w:type="dxa"/>
                  <w:vAlign w:val="center"/>
                </w:tcPr>
                <w:p>
                  <w:pPr>
                    <w:jc w:val="center"/>
                    <w:rPr>
                      <w:color w:val="000000" w:themeColor="text1"/>
                      <w:szCs w:val="21"/>
                    </w:rPr>
                  </w:pPr>
                  <w:r>
                    <w:rPr>
                      <w:rFonts w:hint="eastAsia"/>
                      <w:color w:val="000000" w:themeColor="text1"/>
                      <w:szCs w:val="21"/>
                    </w:rPr>
                    <w:t>28.7</w:t>
                  </w:r>
                </w:p>
              </w:tc>
              <w:tc>
                <w:tcPr>
                  <w:tcW w:w="1076" w:type="dxa"/>
                  <w:vMerge w:val="restart"/>
                  <w:vAlign w:val="center"/>
                </w:tcPr>
                <w:p>
                  <w:pPr>
                    <w:jc w:val="center"/>
                    <w:rPr>
                      <w:bCs/>
                      <w:color w:val="000000" w:themeColor="text1"/>
                      <w:szCs w:val="21"/>
                    </w:rPr>
                  </w:pPr>
                  <w:r>
                    <w:rPr>
                      <w:rFonts w:hint="eastAsia"/>
                      <w:bCs/>
                      <w:color w:val="000000" w:themeColor="text1"/>
                      <w:szCs w:val="21"/>
                    </w:rPr>
                    <w:t>/</w:t>
                  </w:r>
                </w:p>
              </w:tc>
              <w:tc>
                <w:tcPr>
                  <w:tcW w:w="903" w:type="dxa"/>
                  <w:vMerge w:val="restart"/>
                  <w:vAlign w:val="center"/>
                </w:tcPr>
                <w:p>
                  <w:pPr>
                    <w:jc w:val="center"/>
                    <w:rPr>
                      <w:bCs/>
                      <w:color w:val="000000" w:themeColor="text1"/>
                      <w:szCs w:val="21"/>
                    </w:rPr>
                  </w:pPr>
                  <w:r>
                    <w:rPr>
                      <w:rFonts w:hint="eastAsia"/>
                      <w:bCs/>
                      <w:color w:val="000000" w:themeColor="text1"/>
                      <w:szCs w:val="21"/>
                    </w:rPr>
                    <w:t>38.9</w:t>
                  </w:r>
                </w:p>
              </w:tc>
              <w:tc>
                <w:tcPr>
                  <w:tcW w:w="544" w:type="dxa"/>
                  <w:vMerge w:val="restart"/>
                  <w:vAlign w:val="center"/>
                </w:tcPr>
                <w:p>
                  <w:pPr>
                    <w:jc w:val="center"/>
                    <w:rPr>
                      <w:bCs/>
                      <w:color w:val="000000" w:themeColor="text1"/>
                      <w:szCs w:val="21"/>
                    </w:rPr>
                  </w:pPr>
                  <w:r>
                    <w:rPr>
                      <w:rFonts w:hint="eastAsia"/>
                      <w:bCs/>
                      <w:color w:val="000000" w:themeColor="text1"/>
                      <w:szCs w:val="21"/>
                    </w:rPr>
                    <w:t>60</w:t>
                  </w:r>
                </w:p>
              </w:tc>
              <w:tc>
                <w:tcPr>
                  <w:tcW w:w="549" w:type="dxa"/>
                  <w:vMerge w:val="restart"/>
                  <w:vAlign w:val="center"/>
                </w:tcPr>
                <w:p>
                  <w:pPr>
                    <w:jc w:val="center"/>
                    <w:rPr>
                      <w:bCs/>
                      <w:color w:val="000000" w:themeColor="text1"/>
                      <w:szCs w:val="21"/>
                    </w:rPr>
                  </w:pPr>
                  <w:r>
                    <w:rPr>
                      <w:rFonts w:hint="eastAsia"/>
                      <w:bCs/>
                      <w:color w:val="000000" w:themeColor="text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粉碎提绒一体机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5</w:t>
                  </w:r>
                </w:p>
              </w:tc>
              <w:tc>
                <w:tcPr>
                  <w:tcW w:w="1147" w:type="dxa"/>
                  <w:vAlign w:val="center"/>
                </w:tcPr>
                <w:p>
                  <w:pPr>
                    <w:jc w:val="center"/>
                    <w:rPr>
                      <w:rFonts w:ascii="宋体" w:hAnsi="宋体" w:cs="宋体"/>
                      <w:color w:val="000000"/>
                      <w:szCs w:val="21"/>
                    </w:rPr>
                  </w:pPr>
                  <w:r>
                    <w:rPr>
                      <w:rFonts w:hint="eastAsia"/>
                      <w:color w:val="000000"/>
                      <w:szCs w:val="21"/>
                    </w:rPr>
                    <w:t xml:space="preserve">29.2 </w:t>
                  </w:r>
                </w:p>
              </w:tc>
              <w:tc>
                <w:tcPr>
                  <w:tcW w:w="1006" w:type="dxa"/>
                  <w:vAlign w:val="center"/>
                </w:tcPr>
                <w:p>
                  <w:pPr>
                    <w:jc w:val="center"/>
                    <w:rPr>
                      <w:color w:val="000000" w:themeColor="text1"/>
                      <w:szCs w:val="21"/>
                    </w:rPr>
                  </w:pPr>
                  <w:r>
                    <w:rPr>
                      <w:rFonts w:hint="eastAsia"/>
                      <w:color w:val="000000" w:themeColor="text1"/>
                      <w:szCs w:val="21"/>
                    </w:rPr>
                    <w:t>36.2</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全自动卷条机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5</w:t>
                  </w:r>
                </w:p>
              </w:tc>
              <w:tc>
                <w:tcPr>
                  <w:tcW w:w="1147" w:type="dxa"/>
                  <w:vAlign w:val="center"/>
                </w:tcPr>
                <w:p>
                  <w:pPr>
                    <w:jc w:val="center"/>
                    <w:rPr>
                      <w:rFonts w:ascii="宋体" w:hAnsi="宋体" w:cs="宋体"/>
                      <w:color w:val="000000"/>
                      <w:szCs w:val="21"/>
                    </w:rPr>
                  </w:pPr>
                  <w:r>
                    <w:rPr>
                      <w:rFonts w:hint="eastAsia"/>
                      <w:color w:val="000000"/>
                      <w:szCs w:val="21"/>
                    </w:rPr>
                    <w:t xml:space="preserve">24.4 </w:t>
                  </w:r>
                </w:p>
              </w:tc>
              <w:tc>
                <w:tcPr>
                  <w:tcW w:w="1006" w:type="dxa"/>
                  <w:vAlign w:val="center"/>
                </w:tcPr>
                <w:p>
                  <w:pPr>
                    <w:jc w:val="center"/>
                    <w:rPr>
                      <w:color w:val="000000" w:themeColor="text1"/>
                      <w:szCs w:val="21"/>
                    </w:rPr>
                  </w:pPr>
                  <w:r>
                    <w:rPr>
                      <w:rFonts w:hint="eastAsia"/>
                      <w:color w:val="000000" w:themeColor="text1"/>
                      <w:szCs w:val="21"/>
                    </w:rPr>
                    <w:t>31.4</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手动卷条机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15</w:t>
                  </w:r>
                </w:p>
              </w:tc>
              <w:tc>
                <w:tcPr>
                  <w:tcW w:w="1147" w:type="dxa"/>
                  <w:vAlign w:val="center"/>
                </w:tcPr>
                <w:p>
                  <w:pPr>
                    <w:jc w:val="center"/>
                    <w:rPr>
                      <w:rFonts w:ascii="宋体" w:hAnsi="宋体" w:cs="宋体"/>
                      <w:color w:val="000000"/>
                      <w:szCs w:val="21"/>
                    </w:rPr>
                  </w:pPr>
                  <w:r>
                    <w:rPr>
                      <w:rFonts w:hint="eastAsia"/>
                      <w:color w:val="000000"/>
                      <w:szCs w:val="21"/>
                    </w:rPr>
                    <w:t xml:space="preserve">19.4 </w:t>
                  </w:r>
                </w:p>
              </w:tc>
              <w:tc>
                <w:tcPr>
                  <w:tcW w:w="1006" w:type="dxa"/>
                  <w:vAlign w:val="center"/>
                </w:tcPr>
                <w:p>
                  <w:pPr>
                    <w:jc w:val="center"/>
                    <w:rPr>
                      <w:color w:val="000000" w:themeColor="text1"/>
                      <w:szCs w:val="21"/>
                    </w:rPr>
                  </w:pPr>
                  <w:r>
                    <w:rPr>
                      <w:rFonts w:hint="eastAsia"/>
                      <w:color w:val="000000" w:themeColor="text1"/>
                      <w:szCs w:val="21"/>
                    </w:rPr>
                    <w:t>31.2</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切柱机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1</w:t>
                  </w:r>
                </w:p>
              </w:tc>
              <w:tc>
                <w:tcPr>
                  <w:tcW w:w="1147" w:type="dxa"/>
                  <w:vAlign w:val="center"/>
                </w:tcPr>
                <w:p>
                  <w:pPr>
                    <w:jc w:val="center"/>
                    <w:rPr>
                      <w:rFonts w:ascii="宋体" w:hAnsi="宋体" w:cs="宋体"/>
                      <w:color w:val="000000"/>
                      <w:szCs w:val="21"/>
                    </w:rPr>
                  </w:pPr>
                  <w:r>
                    <w:rPr>
                      <w:rFonts w:hint="eastAsia"/>
                      <w:color w:val="000000"/>
                      <w:szCs w:val="21"/>
                    </w:rPr>
                    <w:t xml:space="preserve">19.4 </w:t>
                  </w:r>
                </w:p>
              </w:tc>
              <w:tc>
                <w:tcPr>
                  <w:tcW w:w="1006" w:type="dxa"/>
                  <w:vAlign w:val="center"/>
                </w:tcPr>
                <w:p>
                  <w:pPr>
                    <w:jc w:val="center"/>
                    <w:rPr>
                      <w:color w:val="000000" w:themeColor="text1"/>
                      <w:szCs w:val="21"/>
                    </w:rPr>
                  </w:pPr>
                  <w:r>
                    <w:rPr>
                      <w:rFonts w:hint="eastAsia"/>
                      <w:color w:val="000000" w:themeColor="text1"/>
                      <w:szCs w:val="21"/>
                    </w:rPr>
                    <w:t>19.4</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风机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2</w:t>
                  </w:r>
                </w:p>
              </w:tc>
              <w:tc>
                <w:tcPr>
                  <w:tcW w:w="1147" w:type="dxa"/>
                  <w:vAlign w:val="center"/>
                </w:tcPr>
                <w:p>
                  <w:pPr>
                    <w:jc w:val="center"/>
                    <w:rPr>
                      <w:color w:val="000000" w:themeColor="text1"/>
                      <w:szCs w:val="21"/>
                    </w:rPr>
                  </w:pPr>
                  <w:r>
                    <w:rPr>
                      <w:rFonts w:hint="eastAsia"/>
                      <w:color w:val="000000" w:themeColor="text1"/>
                      <w:szCs w:val="21"/>
                    </w:rPr>
                    <w:t>18.1</w:t>
                  </w:r>
                </w:p>
              </w:tc>
              <w:tc>
                <w:tcPr>
                  <w:tcW w:w="1006" w:type="dxa"/>
                  <w:vAlign w:val="center"/>
                </w:tcPr>
                <w:p>
                  <w:pPr>
                    <w:jc w:val="center"/>
                    <w:rPr>
                      <w:color w:val="000000" w:themeColor="text1"/>
                      <w:szCs w:val="21"/>
                    </w:rPr>
                  </w:pPr>
                  <w:r>
                    <w:rPr>
                      <w:rFonts w:hint="eastAsia"/>
                      <w:color w:val="000000" w:themeColor="text1"/>
                      <w:szCs w:val="21"/>
                    </w:rPr>
                    <w:t>21.1</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restart"/>
                  <w:vAlign w:val="center"/>
                </w:tcPr>
                <w:p>
                  <w:pPr>
                    <w:jc w:val="center"/>
                    <w:rPr>
                      <w:bCs/>
                      <w:color w:val="000000" w:themeColor="text1"/>
                      <w:szCs w:val="21"/>
                    </w:rPr>
                  </w:pPr>
                  <w:r>
                    <w:rPr>
                      <w:rFonts w:hint="eastAsia"/>
                      <w:bCs/>
                      <w:color w:val="000000" w:themeColor="text1"/>
                      <w:szCs w:val="21"/>
                    </w:rPr>
                    <w:t>北侧居民点</w:t>
                  </w: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破捆机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1</w:t>
                  </w:r>
                </w:p>
              </w:tc>
              <w:tc>
                <w:tcPr>
                  <w:tcW w:w="1147" w:type="dxa"/>
                  <w:vAlign w:val="center"/>
                </w:tcPr>
                <w:p>
                  <w:pPr>
                    <w:jc w:val="center"/>
                    <w:rPr>
                      <w:rFonts w:ascii="宋体" w:hAnsi="宋体" w:cs="宋体"/>
                      <w:color w:val="000000"/>
                      <w:szCs w:val="21"/>
                    </w:rPr>
                  </w:pPr>
                  <w:r>
                    <w:rPr>
                      <w:rFonts w:hint="eastAsia"/>
                      <w:color w:val="000000"/>
                      <w:szCs w:val="21"/>
                    </w:rPr>
                    <w:t xml:space="preserve">41.5 </w:t>
                  </w:r>
                </w:p>
              </w:tc>
              <w:tc>
                <w:tcPr>
                  <w:tcW w:w="1006" w:type="dxa"/>
                  <w:vAlign w:val="center"/>
                </w:tcPr>
                <w:p>
                  <w:pPr>
                    <w:jc w:val="center"/>
                    <w:rPr>
                      <w:color w:val="000000" w:themeColor="text1"/>
                      <w:szCs w:val="21"/>
                    </w:rPr>
                  </w:pPr>
                  <w:r>
                    <w:rPr>
                      <w:rFonts w:hint="eastAsia"/>
                      <w:color w:val="000000" w:themeColor="text1"/>
                      <w:szCs w:val="21"/>
                    </w:rPr>
                    <w:t>41.5</w:t>
                  </w:r>
                </w:p>
              </w:tc>
              <w:tc>
                <w:tcPr>
                  <w:tcW w:w="1076" w:type="dxa"/>
                  <w:vMerge w:val="restart"/>
                  <w:vAlign w:val="center"/>
                </w:tcPr>
                <w:p>
                  <w:pPr>
                    <w:jc w:val="center"/>
                    <w:rPr>
                      <w:bCs/>
                      <w:color w:val="000000" w:themeColor="text1"/>
                      <w:szCs w:val="21"/>
                    </w:rPr>
                  </w:pPr>
                  <w:r>
                    <w:rPr>
                      <w:rFonts w:hint="eastAsia"/>
                      <w:bCs/>
                      <w:color w:val="000000" w:themeColor="text1"/>
                      <w:szCs w:val="21"/>
                    </w:rPr>
                    <w:t>51.2</w:t>
                  </w:r>
                </w:p>
              </w:tc>
              <w:tc>
                <w:tcPr>
                  <w:tcW w:w="903" w:type="dxa"/>
                  <w:vMerge w:val="restart"/>
                  <w:vAlign w:val="center"/>
                </w:tcPr>
                <w:p>
                  <w:pPr>
                    <w:jc w:val="center"/>
                    <w:rPr>
                      <w:bCs/>
                      <w:color w:val="000000" w:themeColor="text1"/>
                      <w:szCs w:val="21"/>
                    </w:rPr>
                  </w:pPr>
                  <w:r>
                    <w:rPr>
                      <w:rFonts w:hint="eastAsia"/>
                      <w:bCs/>
                      <w:color w:val="000000" w:themeColor="text1"/>
                      <w:szCs w:val="21"/>
                    </w:rPr>
                    <w:t>53.6</w:t>
                  </w:r>
                </w:p>
              </w:tc>
              <w:tc>
                <w:tcPr>
                  <w:tcW w:w="544" w:type="dxa"/>
                  <w:vMerge w:val="restart"/>
                  <w:vAlign w:val="center"/>
                </w:tcPr>
                <w:p>
                  <w:pPr>
                    <w:jc w:val="center"/>
                    <w:rPr>
                      <w:bCs/>
                      <w:color w:val="000000" w:themeColor="text1"/>
                      <w:szCs w:val="21"/>
                    </w:rPr>
                  </w:pPr>
                  <w:r>
                    <w:rPr>
                      <w:rFonts w:hint="eastAsia"/>
                      <w:bCs/>
                      <w:color w:val="000000" w:themeColor="text1"/>
                      <w:szCs w:val="21"/>
                    </w:rPr>
                    <w:t>60</w:t>
                  </w:r>
                </w:p>
              </w:tc>
              <w:tc>
                <w:tcPr>
                  <w:tcW w:w="549" w:type="dxa"/>
                  <w:vMerge w:val="restart"/>
                  <w:vAlign w:val="center"/>
                </w:tcPr>
                <w:p>
                  <w:pPr>
                    <w:jc w:val="center"/>
                    <w:rPr>
                      <w:bCs/>
                      <w:color w:val="000000" w:themeColor="text1"/>
                      <w:szCs w:val="21"/>
                    </w:rPr>
                  </w:pPr>
                  <w:r>
                    <w:rPr>
                      <w:rFonts w:hint="eastAsia"/>
                      <w:bCs/>
                      <w:color w:val="000000" w:themeColor="text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粉碎提绒一体机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5</w:t>
                  </w:r>
                </w:p>
              </w:tc>
              <w:tc>
                <w:tcPr>
                  <w:tcW w:w="1147" w:type="dxa"/>
                  <w:vAlign w:val="center"/>
                </w:tcPr>
                <w:p>
                  <w:pPr>
                    <w:jc w:val="center"/>
                    <w:rPr>
                      <w:rFonts w:ascii="宋体" w:hAnsi="宋体" w:cs="宋体"/>
                      <w:color w:val="000000"/>
                      <w:szCs w:val="21"/>
                    </w:rPr>
                  </w:pPr>
                  <w:r>
                    <w:rPr>
                      <w:rFonts w:hint="eastAsia"/>
                      <w:color w:val="000000"/>
                      <w:szCs w:val="21"/>
                    </w:rPr>
                    <w:t xml:space="preserve">39.9 </w:t>
                  </w:r>
                </w:p>
              </w:tc>
              <w:tc>
                <w:tcPr>
                  <w:tcW w:w="1006" w:type="dxa"/>
                  <w:vAlign w:val="center"/>
                </w:tcPr>
                <w:p>
                  <w:pPr>
                    <w:jc w:val="center"/>
                    <w:rPr>
                      <w:color w:val="000000" w:themeColor="text1"/>
                      <w:szCs w:val="21"/>
                    </w:rPr>
                  </w:pPr>
                  <w:r>
                    <w:rPr>
                      <w:rFonts w:hint="eastAsia"/>
                      <w:color w:val="000000" w:themeColor="text1"/>
                      <w:szCs w:val="21"/>
                    </w:rPr>
                    <w:t>46.9</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全自动卷条机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5</w:t>
                  </w:r>
                </w:p>
              </w:tc>
              <w:tc>
                <w:tcPr>
                  <w:tcW w:w="1147" w:type="dxa"/>
                  <w:vAlign w:val="center"/>
                </w:tcPr>
                <w:p>
                  <w:pPr>
                    <w:jc w:val="center"/>
                    <w:rPr>
                      <w:rFonts w:ascii="宋体" w:hAnsi="宋体" w:cs="宋体"/>
                      <w:color w:val="000000"/>
                      <w:szCs w:val="21"/>
                    </w:rPr>
                  </w:pPr>
                  <w:r>
                    <w:rPr>
                      <w:rFonts w:hint="eastAsia"/>
                      <w:color w:val="000000"/>
                      <w:szCs w:val="21"/>
                    </w:rPr>
                    <w:t xml:space="preserve">34.0 </w:t>
                  </w:r>
                </w:p>
              </w:tc>
              <w:tc>
                <w:tcPr>
                  <w:tcW w:w="1006" w:type="dxa"/>
                  <w:vAlign w:val="center"/>
                </w:tcPr>
                <w:p>
                  <w:pPr>
                    <w:jc w:val="center"/>
                    <w:rPr>
                      <w:color w:val="000000" w:themeColor="text1"/>
                      <w:szCs w:val="21"/>
                    </w:rPr>
                  </w:pPr>
                  <w:r>
                    <w:rPr>
                      <w:rFonts w:hint="eastAsia"/>
                      <w:color w:val="000000" w:themeColor="text1"/>
                      <w:szCs w:val="21"/>
                    </w:rPr>
                    <w:t>41.0</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手动卷条机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15</w:t>
                  </w:r>
                </w:p>
              </w:tc>
              <w:tc>
                <w:tcPr>
                  <w:tcW w:w="1147" w:type="dxa"/>
                  <w:vAlign w:val="center"/>
                </w:tcPr>
                <w:p>
                  <w:pPr>
                    <w:jc w:val="center"/>
                    <w:rPr>
                      <w:rFonts w:ascii="宋体" w:hAnsi="宋体" w:cs="宋体"/>
                      <w:color w:val="000000"/>
                      <w:szCs w:val="21"/>
                    </w:rPr>
                  </w:pPr>
                  <w:r>
                    <w:rPr>
                      <w:rFonts w:hint="eastAsia"/>
                      <w:color w:val="000000"/>
                      <w:szCs w:val="21"/>
                    </w:rPr>
                    <w:t xml:space="preserve">29.0 </w:t>
                  </w:r>
                </w:p>
              </w:tc>
              <w:tc>
                <w:tcPr>
                  <w:tcW w:w="1006" w:type="dxa"/>
                  <w:vAlign w:val="center"/>
                </w:tcPr>
                <w:p>
                  <w:pPr>
                    <w:jc w:val="center"/>
                    <w:rPr>
                      <w:color w:val="000000" w:themeColor="text1"/>
                      <w:szCs w:val="21"/>
                    </w:rPr>
                  </w:pPr>
                  <w:r>
                    <w:rPr>
                      <w:rFonts w:hint="eastAsia"/>
                      <w:color w:val="000000" w:themeColor="text1"/>
                      <w:szCs w:val="21"/>
                    </w:rPr>
                    <w:t>40.8</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切柱机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1</w:t>
                  </w:r>
                </w:p>
              </w:tc>
              <w:tc>
                <w:tcPr>
                  <w:tcW w:w="1147" w:type="dxa"/>
                  <w:vAlign w:val="center"/>
                </w:tcPr>
                <w:p>
                  <w:pPr>
                    <w:jc w:val="center"/>
                    <w:rPr>
                      <w:rFonts w:ascii="宋体" w:hAnsi="宋体" w:cs="宋体"/>
                      <w:color w:val="000000"/>
                      <w:szCs w:val="21"/>
                    </w:rPr>
                  </w:pPr>
                  <w:r>
                    <w:rPr>
                      <w:rFonts w:hint="eastAsia"/>
                      <w:color w:val="000000"/>
                      <w:szCs w:val="21"/>
                    </w:rPr>
                    <w:t xml:space="preserve">29.0 </w:t>
                  </w:r>
                </w:p>
              </w:tc>
              <w:tc>
                <w:tcPr>
                  <w:tcW w:w="1006" w:type="dxa"/>
                  <w:vAlign w:val="center"/>
                </w:tcPr>
                <w:p>
                  <w:pPr>
                    <w:jc w:val="center"/>
                    <w:rPr>
                      <w:color w:val="000000" w:themeColor="text1"/>
                      <w:szCs w:val="21"/>
                    </w:rPr>
                  </w:pPr>
                  <w:r>
                    <w:rPr>
                      <w:rFonts w:hint="eastAsia"/>
                      <w:color w:val="000000" w:themeColor="text1"/>
                      <w:szCs w:val="21"/>
                    </w:rPr>
                    <w:t>29.0</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风机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2</w:t>
                  </w:r>
                </w:p>
              </w:tc>
              <w:tc>
                <w:tcPr>
                  <w:tcW w:w="1147" w:type="dxa"/>
                  <w:vAlign w:val="center"/>
                </w:tcPr>
                <w:p>
                  <w:pPr>
                    <w:jc w:val="center"/>
                    <w:rPr>
                      <w:rFonts w:ascii="宋体" w:hAnsi="宋体" w:cs="宋体"/>
                      <w:color w:val="000000"/>
                      <w:szCs w:val="21"/>
                    </w:rPr>
                  </w:pPr>
                  <w:r>
                    <w:rPr>
                      <w:rFonts w:hint="eastAsia"/>
                      <w:color w:val="000000"/>
                      <w:szCs w:val="21"/>
                    </w:rPr>
                    <w:t>35.0</w:t>
                  </w:r>
                </w:p>
              </w:tc>
              <w:tc>
                <w:tcPr>
                  <w:tcW w:w="1006" w:type="dxa"/>
                  <w:vAlign w:val="center"/>
                </w:tcPr>
                <w:p>
                  <w:pPr>
                    <w:jc w:val="center"/>
                    <w:rPr>
                      <w:color w:val="000000" w:themeColor="text1"/>
                      <w:szCs w:val="21"/>
                    </w:rPr>
                  </w:pPr>
                  <w:r>
                    <w:rPr>
                      <w:rFonts w:hint="eastAsia"/>
                      <w:color w:val="000000" w:themeColor="text1"/>
                      <w:szCs w:val="21"/>
                    </w:rPr>
                    <w:t>38.0</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restart"/>
                  <w:vAlign w:val="center"/>
                </w:tcPr>
                <w:p>
                  <w:pPr>
                    <w:jc w:val="center"/>
                    <w:rPr>
                      <w:bCs/>
                      <w:color w:val="000000" w:themeColor="text1"/>
                      <w:szCs w:val="21"/>
                    </w:rPr>
                  </w:pPr>
                  <w:r>
                    <w:rPr>
                      <w:rFonts w:hint="eastAsia"/>
                      <w:bCs/>
                      <w:color w:val="000000" w:themeColor="text1"/>
                      <w:szCs w:val="21"/>
                    </w:rPr>
                    <w:t>东侧居民点</w:t>
                  </w: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破捆机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1</w:t>
                  </w:r>
                </w:p>
              </w:tc>
              <w:tc>
                <w:tcPr>
                  <w:tcW w:w="1147" w:type="dxa"/>
                  <w:vAlign w:val="center"/>
                </w:tcPr>
                <w:p>
                  <w:pPr>
                    <w:jc w:val="center"/>
                    <w:rPr>
                      <w:rFonts w:ascii="宋体" w:hAnsi="宋体" w:cs="宋体"/>
                      <w:color w:val="000000" w:themeColor="text1"/>
                      <w:szCs w:val="21"/>
                    </w:rPr>
                  </w:pPr>
                  <w:r>
                    <w:rPr>
                      <w:rFonts w:hint="eastAsia"/>
                      <w:color w:val="000000" w:themeColor="text1"/>
                      <w:szCs w:val="21"/>
                    </w:rPr>
                    <w:t xml:space="preserve">41.5 </w:t>
                  </w:r>
                </w:p>
              </w:tc>
              <w:tc>
                <w:tcPr>
                  <w:tcW w:w="1006"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41.5</w:t>
                  </w:r>
                </w:p>
              </w:tc>
              <w:tc>
                <w:tcPr>
                  <w:tcW w:w="1076" w:type="dxa"/>
                  <w:vMerge w:val="restart"/>
                  <w:vAlign w:val="center"/>
                </w:tcPr>
                <w:p>
                  <w:pPr>
                    <w:jc w:val="center"/>
                    <w:rPr>
                      <w:bCs/>
                      <w:color w:val="000000" w:themeColor="text1"/>
                      <w:szCs w:val="21"/>
                    </w:rPr>
                  </w:pPr>
                  <w:r>
                    <w:rPr>
                      <w:rFonts w:hint="eastAsia"/>
                      <w:bCs/>
                      <w:color w:val="000000" w:themeColor="text1"/>
                      <w:szCs w:val="21"/>
                    </w:rPr>
                    <w:t>54.9</w:t>
                  </w:r>
                </w:p>
              </w:tc>
              <w:tc>
                <w:tcPr>
                  <w:tcW w:w="903" w:type="dxa"/>
                  <w:vMerge w:val="restart"/>
                  <w:vAlign w:val="center"/>
                </w:tcPr>
                <w:p>
                  <w:pPr>
                    <w:jc w:val="center"/>
                    <w:rPr>
                      <w:bCs/>
                      <w:color w:val="000000" w:themeColor="text1"/>
                      <w:szCs w:val="21"/>
                    </w:rPr>
                  </w:pPr>
                  <w:r>
                    <w:rPr>
                      <w:rFonts w:hint="eastAsia"/>
                      <w:bCs/>
                      <w:color w:val="000000" w:themeColor="text1"/>
                      <w:szCs w:val="21"/>
                    </w:rPr>
                    <w:t>56.9</w:t>
                  </w:r>
                </w:p>
              </w:tc>
              <w:tc>
                <w:tcPr>
                  <w:tcW w:w="544" w:type="dxa"/>
                  <w:vMerge w:val="restart"/>
                  <w:vAlign w:val="center"/>
                </w:tcPr>
                <w:p>
                  <w:pPr>
                    <w:jc w:val="center"/>
                    <w:rPr>
                      <w:bCs/>
                      <w:color w:val="000000" w:themeColor="text1"/>
                      <w:szCs w:val="21"/>
                    </w:rPr>
                  </w:pPr>
                  <w:r>
                    <w:rPr>
                      <w:rFonts w:hint="eastAsia"/>
                      <w:bCs/>
                      <w:color w:val="000000" w:themeColor="text1"/>
                      <w:szCs w:val="21"/>
                    </w:rPr>
                    <w:t>60</w:t>
                  </w:r>
                </w:p>
              </w:tc>
              <w:tc>
                <w:tcPr>
                  <w:tcW w:w="549" w:type="dxa"/>
                  <w:vMerge w:val="restart"/>
                  <w:vAlign w:val="center"/>
                </w:tcPr>
                <w:p>
                  <w:pPr>
                    <w:jc w:val="center"/>
                    <w:rPr>
                      <w:bCs/>
                      <w:color w:val="000000" w:themeColor="text1"/>
                      <w:szCs w:val="21"/>
                    </w:rPr>
                  </w:pPr>
                  <w:r>
                    <w:rPr>
                      <w:rFonts w:hint="eastAsia"/>
                      <w:bCs/>
                      <w:color w:val="000000" w:themeColor="text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粉碎提绒一体机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5</w:t>
                  </w:r>
                </w:p>
              </w:tc>
              <w:tc>
                <w:tcPr>
                  <w:tcW w:w="1147" w:type="dxa"/>
                  <w:vAlign w:val="center"/>
                </w:tcPr>
                <w:p>
                  <w:pPr>
                    <w:jc w:val="center"/>
                    <w:rPr>
                      <w:rFonts w:ascii="宋体" w:hAnsi="宋体" w:cs="宋体"/>
                      <w:color w:val="000000" w:themeColor="text1"/>
                      <w:szCs w:val="21"/>
                    </w:rPr>
                  </w:pPr>
                  <w:r>
                    <w:rPr>
                      <w:rFonts w:hint="eastAsia"/>
                      <w:color w:val="000000" w:themeColor="text1"/>
                      <w:szCs w:val="21"/>
                    </w:rPr>
                    <w:t xml:space="preserve">43.4 </w:t>
                  </w:r>
                </w:p>
              </w:tc>
              <w:tc>
                <w:tcPr>
                  <w:tcW w:w="1006"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50.4</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全自动卷条机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5</w:t>
                  </w:r>
                </w:p>
              </w:tc>
              <w:tc>
                <w:tcPr>
                  <w:tcW w:w="1147" w:type="dxa"/>
                  <w:vAlign w:val="center"/>
                </w:tcPr>
                <w:p>
                  <w:pPr>
                    <w:jc w:val="center"/>
                    <w:rPr>
                      <w:rFonts w:ascii="宋体" w:hAnsi="宋体" w:cs="宋体"/>
                      <w:color w:val="000000" w:themeColor="text1"/>
                      <w:szCs w:val="21"/>
                    </w:rPr>
                  </w:pPr>
                  <w:r>
                    <w:rPr>
                      <w:rFonts w:hint="eastAsia"/>
                      <w:color w:val="000000" w:themeColor="text1"/>
                      <w:szCs w:val="21"/>
                    </w:rPr>
                    <w:t xml:space="preserve">35.9 </w:t>
                  </w:r>
                </w:p>
              </w:tc>
              <w:tc>
                <w:tcPr>
                  <w:tcW w:w="1006"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42.9</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手动卷条机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15</w:t>
                  </w:r>
                </w:p>
              </w:tc>
              <w:tc>
                <w:tcPr>
                  <w:tcW w:w="1147" w:type="dxa"/>
                  <w:vAlign w:val="center"/>
                </w:tcPr>
                <w:p>
                  <w:pPr>
                    <w:jc w:val="center"/>
                    <w:rPr>
                      <w:rFonts w:ascii="宋体" w:hAnsi="宋体" w:cs="宋体"/>
                      <w:color w:val="000000" w:themeColor="text1"/>
                      <w:szCs w:val="21"/>
                    </w:rPr>
                  </w:pPr>
                  <w:r>
                    <w:rPr>
                      <w:rFonts w:hint="eastAsia"/>
                      <w:color w:val="000000" w:themeColor="text1"/>
                      <w:szCs w:val="21"/>
                    </w:rPr>
                    <w:t xml:space="preserve">29.9 </w:t>
                  </w:r>
                </w:p>
              </w:tc>
              <w:tc>
                <w:tcPr>
                  <w:tcW w:w="1006"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41.7</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切柱机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1</w:t>
                  </w:r>
                </w:p>
              </w:tc>
              <w:tc>
                <w:tcPr>
                  <w:tcW w:w="1147" w:type="dxa"/>
                  <w:vAlign w:val="center"/>
                </w:tcPr>
                <w:p>
                  <w:pPr>
                    <w:jc w:val="center"/>
                    <w:rPr>
                      <w:rFonts w:ascii="宋体" w:hAnsi="宋体" w:cs="宋体"/>
                      <w:color w:val="000000" w:themeColor="text1"/>
                      <w:szCs w:val="21"/>
                    </w:rPr>
                  </w:pPr>
                  <w:r>
                    <w:rPr>
                      <w:rFonts w:hint="eastAsia"/>
                      <w:color w:val="000000" w:themeColor="text1"/>
                      <w:szCs w:val="21"/>
                    </w:rPr>
                    <w:t xml:space="preserve">30.9 </w:t>
                  </w:r>
                </w:p>
              </w:tc>
              <w:tc>
                <w:tcPr>
                  <w:tcW w:w="1006"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30.9</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04" w:type="dxa"/>
                  <w:vMerge w:val="continue"/>
                  <w:vAlign w:val="center"/>
                </w:tcPr>
                <w:p>
                  <w:pPr>
                    <w:jc w:val="center"/>
                    <w:rPr>
                      <w:bCs/>
                      <w:color w:val="000000" w:themeColor="text1"/>
                      <w:szCs w:val="21"/>
                    </w:rPr>
                  </w:pPr>
                </w:p>
              </w:tc>
              <w:tc>
                <w:tcPr>
                  <w:tcW w:w="1555" w:type="dxa"/>
                  <w:vAlign w:val="center"/>
                </w:tcPr>
                <w:p>
                  <w:pPr>
                    <w:adjustRightInd w:val="0"/>
                    <w:snapToGrid w:val="0"/>
                    <w:jc w:val="center"/>
                    <w:rPr>
                      <w:bCs/>
                      <w:snapToGrid w:val="0"/>
                      <w:color w:val="000000" w:themeColor="text1"/>
                      <w:szCs w:val="21"/>
                    </w:rPr>
                  </w:pPr>
                  <w:r>
                    <w:rPr>
                      <w:rFonts w:hint="eastAsia"/>
                      <w:bCs/>
                      <w:snapToGrid w:val="0"/>
                      <w:color w:val="000000" w:themeColor="text1"/>
                      <w:szCs w:val="21"/>
                    </w:rPr>
                    <w:t>风机</w:t>
                  </w:r>
                </w:p>
              </w:tc>
              <w:tc>
                <w:tcPr>
                  <w:tcW w:w="490" w:type="dxa"/>
                  <w:vAlign w:val="center"/>
                </w:tcPr>
                <w:p>
                  <w:pPr>
                    <w:jc w:val="center"/>
                    <w:rPr>
                      <w:bCs/>
                      <w:color w:val="000000" w:themeColor="text1"/>
                      <w:szCs w:val="21"/>
                      <w:lang w:val="zh-CN"/>
                    </w:rPr>
                  </w:pPr>
                  <w:r>
                    <w:rPr>
                      <w:rFonts w:hint="eastAsia"/>
                      <w:bCs/>
                      <w:color w:val="000000" w:themeColor="text1"/>
                      <w:szCs w:val="21"/>
                      <w:lang w:val="zh-CN"/>
                    </w:rPr>
                    <w:t>2</w:t>
                  </w:r>
                </w:p>
              </w:tc>
              <w:tc>
                <w:tcPr>
                  <w:tcW w:w="1147" w:type="dxa"/>
                  <w:vAlign w:val="center"/>
                </w:tcPr>
                <w:p>
                  <w:pPr>
                    <w:jc w:val="center"/>
                    <w:rPr>
                      <w:rFonts w:ascii="宋体" w:hAnsi="宋体" w:cs="宋体"/>
                      <w:color w:val="000000" w:themeColor="text1"/>
                      <w:szCs w:val="21"/>
                    </w:rPr>
                  </w:pPr>
                  <w:r>
                    <w:rPr>
                      <w:rFonts w:hint="eastAsia"/>
                      <w:color w:val="000000" w:themeColor="text1"/>
                      <w:szCs w:val="21"/>
                    </w:rPr>
                    <w:t>41.0</w:t>
                  </w:r>
                </w:p>
              </w:tc>
              <w:tc>
                <w:tcPr>
                  <w:tcW w:w="1006" w:type="dxa"/>
                  <w:vAlign w:val="center"/>
                </w:tcPr>
                <w:p>
                  <w:pPr>
                    <w:jc w:val="center"/>
                    <w:rPr>
                      <w:color w:val="000000" w:themeColor="text1"/>
                      <w:szCs w:val="21"/>
                    </w:rPr>
                  </w:pPr>
                  <w:r>
                    <w:rPr>
                      <w:rFonts w:hint="eastAsia"/>
                      <w:color w:val="000000" w:themeColor="text1"/>
                      <w:szCs w:val="21"/>
                    </w:rPr>
                    <w:t>44.0</w:t>
                  </w:r>
                </w:p>
              </w:tc>
              <w:tc>
                <w:tcPr>
                  <w:tcW w:w="1076" w:type="dxa"/>
                  <w:vMerge w:val="continue"/>
                  <w:vAlign w:val="center"/>
                </w:tcPr>
                <w:p>
                  <w:pPr>
                    <w:jc w:val="center"/>
                    <w:rPr>
                      <w:bCs/>
                      <w:color w:val="000000" w:themeColor="text1"/>
                      <w:szCs w:val="21"/>
                    </w:rPr>
                  </w:pPr>
                </w:p>
              </w:tc>
              <w:tc>
                <w:tcPr>
                  <w:tcW w:w="903" w:type="dxa"/>
                  <w:vMerge w:val="continue"/>
                  <w:vAlign w:val="center"/>
                </w:tcPr>
                <w:p>
                  <w:pPr>
                    <w:jc w:val="center"/>
                    <w:rPr>
                      <w:bCs/>
                      <w:color w:val="000000" w:themeColor="text1"/>
                      <w:szCs w:val="21"/>
                    </w:rPr>
                  </w:pPr>
                </w:p>
              </w:tc>
              <w:tc>
                <w:tcPr>
                  <w:tcW w:w="544" w:type="dxa"/>
                  <w:vMerge w:val="continue"/>
                  <w:vAlign w:val="center"/>
                </w:tcPr>
                <w:p>
                  <w:pPr>
                    <w:jc w:val="center"/>
                    <w:rPr>
                      <w:bCs/>
                      <w:color w:val="000000" w:themeColor="text1"/>
                      <w:szCs w:val="21"/>
                    </w:rPr>
                  </w:pPr>
                </w:p>
              </w:tc>
              <w:tc>
                <w:tcPr>
                  <w:tcW w:w="549" w:type="dxa"/>
                  <w:vMerge w:val="continue"/>
                  <w:vAlign w:val="center"/>
                </w:tcPr>
                <w:p>
                  <w:pPr>
                    <w:jc w:val="center"/>
                    <w:rPr>
                      <w:bCs/>
                      <w:color w:val="000000" w:themeColor="text1"/>
                      <w:szCs w:val="21"/>
                    </w:rPr>
                  </w:pPr>
                </w:p>
              </w:tc>
            </w:tr>
          </w:tbl>
          <w:p>
            <w:pPr>
              <w:tabs>
                <w:tab w:val="left" w:pos="1081"/>
              </w:tabs>
              <w:adjustRightInd w:val="0"/>
              <w:snapToGrid w:val="0"/>
              <w:spacing w:line="360" w:lineRule="auto"/>
              <w:ind w:firstLine="480" w:firstLineChars="200"/>
              <w:rPr>
                <w:color w:val="000000"/>
                <w:sz w:val="24"/>
              </w:rPr>
            </w:pPr>
            <w:r>
              <w:rPr>
                <w:color w:val="000000"/>
                <w:sz w:val="24"/>
              </w:rPr>
              <w:t>由上表可知，本项目营运期生产噪声对四周厂界的噪声贡献值可以满足《工业企业厂界环境噪声排放标准》（GB12348-2008）中</w:t>
            </w:r>
            <w:r>
              <w:rPr>
                <w:rFonts w:hint="eastAsia"/>
                <w:color w:val="000000"/>
                <w:sz w:val="24"/>
              </w:rPr>
              <w:t>2</w:t>
            </w:r>
            <w:r>
              <w:rPr>
                <w:color w:val="000000"/>
                <w:sz w:val="24"/>
              </w:rPr>
              <w:t>类标准要求</w:t>
            </w:r>
            <w:r>
              <w:rPr>
                <w:rFonts w:hint="eastAsia"/>
                <w:color w:val="000000"/>
                <w:sz w:val="24"/>
              </w:rPr>
              <w:t>；东侧、北侧居民点噪声叠加值可以满足《声环境质量标准》（GB3096-2008）中2类区标准</w:t>
            </w:r>
            <w:r>
              <w:rPr>
                <w:color w:val="000000"/>
                <w:sz w:val="24"/>
              </w:rPr>
              <w:t>。因此，项目正常运行期间对周围环境的影响在可接受范围内。</w:t>
            </w:r>
          </w:p>
          <w:p>
            <w:pPr>
              <w:tabs>
                <w:tab w:val="left" w:pos="1081"/>
              </w:tabs>
              <w:adjustRightInd w:val="0"/>
              <w:snapToGrid w:val="0"/>
              <w:spacing w:line="360" w:lineRule="auto"/>
              <w:ind w:firstLine="480" w:firstLineChars="200"/>
              <w:rPr>
                <w:color w:val="000000"/>
                <w:sz w:val="24"/>
              </w:rPr>
            </w:pPr>
            <w:r>
              <w:rPr>
                <w:color w:val="000000"/>
                <w:sz w:val="24"/>
              </w:rPr>
              <w:t>3.4声环境监测计划</w:t>
            </w:r>
          </w:p>
          <w:p>
            <w:pPr>
              <w:tabs>
                <w:tab w:val="left" w:pos="1081"/>
              </w:tabs>
              <w:adjustRightInd w:val="0"/>
              <w:snapToGrid w:val="0"/>
              <w:spacing w:line="360" w:lineRule="auto"/>
              <w:jc w:val="center"/>
              <w:rPr>
                <w:b/>
                <w:bCs/>
                <w:sz w:val="24"/>
              </w:rPr>
            </w:pPr>
            <w:r>
              <w:rPr>
                <w:b/>
                <w:bCs/>
                <w:sz w:val="24"/>
              </w:rPr>
              <w:t>表4-</w:t>
            </w:r>
            <w:r>
              <w:rPr>
                <w:rFonts w:hint="eastAsia"/>
                <w:b/>
                <w:bCs/>
                <w:sz w:val="24"/>
              </w:rPr>
              <w:t>12</w:t>
            </w:r>
            <w:r>
              <w:rPr>
                <w:b/>
                <w:bCs/>
                <w:sz w:val="24"/>
              </w:rPr>
              <w:t xml:space="preserve">      声环境监测计划一览表</w:t>
            </w:r>
          </w:p>
          <w:tbl>
            <w:tblPr>
              <w:tblStyle w:val="26"/>
              <w:tblW w:w="7765"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51"/>
              <w:gridCol w:w="1364"/>
              <w:gridCol w:w="1090"/>
              <w:gridCol w:w="817"/>
              <w:gridCol w:w="1140"/>
              <w:gridCol w:w="260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Height w:val="345" w:hRule="atLeast"/>
                <w:jc w:val="center"/>
              </w:trPr>
              <w:tc>
                <w:tcPr>
                  <w:tcW w:w="751" w:type="dxa"/>
                  <w:vAlign w:val="center"/>
                </w:tcPr>
                <w:p>
                  <w:pPr>
                    <w:spacing w:line="320" w:lineRule="exact"/>
                    <w:jc w:val="center"/>
                    <w:rPr>
                      <w:szCs w:val="21"/>
                    </w:rPr>
                  </w:pPr>
                  <w:r>
                    <w:rPr>
                      <w:szCs w:val="21"/>
                    </w:rPr>
                    <w:t>序号</w:t>
                  </w:r>
                </w:p>
              </w:tc>
              <w:tc>
                <w:tcPr>
                  <w:tcW w:w="1364" w:type="dxa"/>
                  <w:vAlign w:val="center"/>
                </w:tcPr>
                <w:p>
                  <w:pPr>
                    <w:spacing w:line="320" w:lineRule="exact"/>
                    <w:jc w:val="center"/>
                    <w:rPr>
                      <w:szCs w:val="21"/>
                    </w:rPr>
                  </w:pPr>
                  <w:r>
                    <w:rPr>
                      <w:szCs w:val="21"/>
                    </w:rPr>
                    <w:t>监测点位</w:t>
                  </w:r>
                </w:p>
              </w:tc>
              <w:tc>
                <w:tcPr>
                  <w:tcW w:w="1090" w:type="dxa"/>
                  <w:vAlign w:val="center"/>
                </w:tcPr>
                <w:p>
                  <w:pPr>
                    <w:spacing w:line="320" w:lineRule="exact"/>
                    <w:jc w:val="center"/>
                    <w:rPr>
                      <w:szCs w:val="21"/>
                    </w:rPr>
                  </w:pPr>
                  <w:r>
                    <w:rPr>
                      <w:szCs w:val="21"/>
                    </w:rPr>
                    <w:t>监测项目</w:t>
                  </w:r>
                </w:p>
              </w:tc>
              <w:tc>
                <w:tcPr>
                  <w:tcW w:w="817" w:type="dxa"/>
                  <w:vAlign w:val="center"/>
                </w:tcPr>
                <w:p>
                  <w:pPr>
                    <w:spacing w:line="320" w:lineRule="exact"/>
                    <w:jc w:val="center"/>
                    <w:rPr>
                      <w:szCs w:val="21"/>
                    </w:rPr>
                  </w:pPr>
                  <w:r>
                    <w:rPr>
                      <w:szCs w:val="21"/>
                    </w:rPr>
                    <w:t>频率</w:t>
                  </w:r>
                </w:p>
              </w:tc>
              <w:tc>
                <w:tcPr>
                  <w:tcW w:w="1140" w:type="dxa"/>
                  <w:tcBorders>
                    <w:bottom w:val="single" w:color="auto" w:sz="4" w:space="0"/>
                  </w:tcBorders>
                  <w:vAlign w:val="center"/>
                </w:tcPr>
                <w:p>
                  <w:pPr>
                    <w:spacing w:line="320" w:lineRule="exact"/>
                    <w:ind w:left="-105" w:leftChars="-50" w:right="-105" w:rightChars="-50"/>
                    <w:jc w:val="center"/>
                    <w:rPr>
                      <w:szCs w:val="21"/>
                    </w:rPr>
                  </w:pPr>
                  <w:r>
                    <w:rPr>
                      <w:szCs w:val="21"/>
                    </w:rPr>
                    <w:t>实施单位</w:t>
                  </w:r>
                </w:p>
              </w:tc>
              <w:tc>
                <w:tcPr>
                  <w:tcW w:w="2603" w:type="dxa"/>
                  <w:tcBorders>
                    <w:bottom w:val="single" w:color="auto" w:sz="4" w:space="0"/>
                  </w:tcBorders>
                  <w:vAlign w:val="center"/>
                </w:tcPr>
                <w:p>
                  <w:pPr>
                    <w:spacing w:line="320" w:lineRule="exact"/>
                    <w:jc w:val="center"/>
                    <w:rPr>
                      <w:szCs w:val="21"/>
                    </w:rPr>
                  </w:pPr>
                  <w:r>
                    <w:rPr>
                      <w:szCs w:val="21"/>
                    </w:rPr>
                    <w:t>执行标准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Height w:val="774" w:hRule="atLeast"/>
                <w:jc w:val="center"/>
              </w:trPr>
              <w:tc>
                <w:tcPr>
                  <w:tcW w:w="751" w:type="dxa"/>
                  <w:vAlign w:val="center"/>
                </w:tcPr>
                <w:p>
                  <w:pPr>
                    <w:spacing w:line="320" w:lineRule="exact"/>
                    <w:jc w:val="center"/>
                    <w:rPr>
                      <w:bCs/>
                      <w:szCs w:val="21"/>
                    </w:rPr>
                  </w:pPr>
                  <w:r>
                    <w:rPr>
                      <w:bCs/>
                      <w:szCs w:val="21"/>
                    </w:rPr>
                    <w:t>1</w:t>
                  </w:r>
                </w:p>
              </w:tc>
              <w:tc>
                <w:tcPr>
                  <w:tcW w:w="1364" w:type="dxa"/>
                  <w:vAlign w:val="center"/>
                </w:tcPr>
                <w:p>
                  <w:pPr>
                    <w:spacing w:line="320" w:lineRule="exact"/>
                    <w:jc w:val="center"/>
                    <w:rPr>
                      <w:rStyle w:val="31"/>
                      <w:rFonts w:ascii="Times New Roman" w:hAnsi="Times New Roman"/>
                    </w:rPr>
                  </w:pPr>
                  <w:r>
                    <w:rPr>
                      <w:rStyle w:val="31"/>
                      <w:rFonts w:ascii="Times New Roman" w:hAnsi="Times New Roman"/>
                    </w:rPr>
                    <w:t>四周厂界外1m</w:t>
                  </w:r>
                </w:p>
              </w:tc>
              <w:tc>
                <w:tcPr>
                  <w:tcW w:w="1090" w:type="dxa"/>
                  <w:vAlign w:val="center"/>
                </w:tcPr>
                <w:p>
                  <w:pPr>
                    <w:adjustRightInd w:val="0"/>
                    <w:spacing w:line="320" w:lineRule="exact"/>
                    <w:jc w:val="center"/>
                    <w:rPr>
                      <w:bCs/>
                      <w:szCs w:val="21"/>
                    </w:rPr>
                  </w:pPr>
                  <w:r>
                    <w:rPr>
                      <w:bCs/>
                      <w:szCs w:val="21"/>
                    </w:rPr>
                    <w:t>噪声</w:t>
                  </w:r>
                </w:p>
              </w:tc>
              <w:tc>
                <w:tcPr>
                  <w:tcW w:w="817" w:type="dxa"/>
                  <w:vAlign w:val="center"/>
                </w:tcPr>
                <w:p>
                  <w:pPr>
                    <w:spacing w:line="320" w:lineRule="exact"/>
                    <w:jc w:val="center"/>
                    <w:rPr>
                      <w:bCs/>
                      <w:szCs w:val="21"/>
                    </w:rPr>
                  </w:pPr>
                  <w:r>
                    <w:rPr>
                      <w:bCs/>
                      <w:szCs w:val="21"/>
                    </w:rPr>
                    <w:t>1次/</w:t>
                  </w:r>
                  <w:r>
                    <w:rPr>
                      <w:rFonts w:hint="eastAsia"/>
                      <w:bCs/>
                      <w:szCs w:val="21"/>
                    </w:rPr>
                    <w:t>季度</w:t>
                  </w:r>
                </w:p>
              </w:tc>
              <w:tc>
                <w:tcPr>
                  <w:tcW w:w="1140" w:type="dxa"/>
                  <w:vAlign w:val="center"/>
                </w:tcPr>
                <w:p>
                  <w:pPr>
                    <w:spacing w:line="320" w:lineRule="exact"/>
                    <w:ind w:left="-105" w:leftChars="-50" w:right="-105" w:rightChars="-50"/>
                    <w:jc w:val="center"/>
                    <w:rPr>
                      <w:bCs/>
                      <w:szCs w:val="21"/>
                    </w:rPr>
                  </w:pPr>
                  <w:r>
                    <w:rPr>
                      <w:bCs/>
                      <w:szCs w:val="21"/>
                    </w:rPr>
                    <w:t>有资质的监测单位</w:t>
                  </w:r>
                </w:p>
              </w:tc>
              <w:tc>
                <w:tcPr>
                  <w:tcW w:w="2603" w:type="dxa"/>
                  <w:vAlign w:val="center"/>
                </w:tcPr>
                <w:p>
                  <w:pPr>
                    <w:spacing w:line="320" w:lineRule="exact"/>
                    <w:jc w:val="center"/>
                    <w:rPr>
                      <w:bCs/>
                      <w:szCs w:val="21"/>
                    </w:rPr>
                  </w:pPr>
                  <w:r>
                    <w:rPr>
                      <w:szCs w:val="21"/>
                    </w:rPr>
                    <w:t>《工业企业厂界环境噪声排放标准》（GB12348-2008）</w:t>
                  </w:r>
                  <w:r>
                    <w:rPr>
                      <w:rFonts w:hint="eastAsia"/>
                      <w:szCs w:val="21"/>
                    </w:rPr>
                    <w:t>2</w:t>
                  </w:r>
                  <w:r>
                    <w:rPr>
                      <w:szCs w:val="21"/>
                    </w:rPr>
                    <w:t>类标准要求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Height w:val="774" w:hRule="atLeast"/>
                <w:jc w:val="center"/>
              </w:trPr>
              <w:tc>
                <w:tcPr>
                  <w:tcW w:w="751" w:type="dxa"/>
                  <w:vAlign w:val="center"/>
                </w:tcPr>
                <w:p>
                  <w:pPr>
                    <w:spacing w:line="320" w:lineRule="exact"/>
                    <w:jc w:val="center"/>
                    <w:rPr>
                      <w:bCs/>
                      <w:szCs w:val="21"/>
                    </w:rPr>
                  </w:pPr>
                  <w:r>
                    <w:rPr>
                      <w:rFonts w:hint="eastAsia"/>
                      <w:bCs/>
                      <w:szCs w:val="21"/>
                    </w:rPr>
                    <w:t>2</w:t>
                  </w:r>
                </w:p>
              </w:tc>
              <w:tc>
                <w:tcPr>
                  <w:tcW w:w="1364" w:type="dxa"/>
                  <w:vAlign w:val="center"/>
                </w:tcPr>
                <w:p>
                  <w:pPr>
                    <w:spacing w:line="320" w:lineRule="exact"/>
                    <w:jc w:val="center"/>
                    <w:rPr>
                      <w:rStyle w:val="31"/>
                      <w:rFonts w:ascii="Times New Roman" w:hAnsi="Times New Roman"/>
                    </w:rPr>
                  </w:pPr>
                  <w:r>
                    <w:rPr>
                      <w:rStyle w:val="31"/>
                      <w:rFonts w:hint="eastAsia" w:ascii="Times New Roman" w:hAnsi="Times New Roman"/>
                    </w:rPr>
                    <w:t>北侧居民点、东侧居民点</w:t>
                  </w:r>
                </w:p>
              </w:tc>
              <w:tc>
                <w:tcPr>
                  <w:tcW w:w="1090" w:type="dxa"/>
                  <w:vAlign w:val="center"/>
                </w:tcPr>
                <w:p>
                  <w:pPr>
                    <w:adjustRightInd w:val="0"/>
                    <w:spacing w:line="320" w:lineRule="exact"/>
                    <w:jc w:val="center"/>
                    <w:rPr>
                      <w:bCs/>
                      <w:szCs w:val="21"/>
                    </w:rPr>
                  </w:pPr>
                  <w:r>
                    <w:rPr>
                      <w:rFonts w:hint="eastAsia"/>
                      <w:bCs/>
                      <w:szCs w:val="21"/>
                    </w:rPr>
                    <w:t>噪声</w:t>
                  </w:r>
                </w:p>
              </w:tc>
              <w:tc>
                <w:tcPr>
                  <w:tcW w:w="817" w:type="dxa"/>
                  <w:vAlign w:val="center"/>
                </w:tcPr>
                <w:p>
                  <w:pPr>
                    <w:spacing w:line="320" w:lineRule="exact"/>
                    <w:jc w:val="center"/>
                    <w:rPr>
                      <w:bCs/>
                      <w:szCs w:val="21"/>
                    </w:rPr>
                  </w:pPr>
                  <w:r>
                    <w:rPr>
                      <w:bCs/>
                      <w:szCs w:val="21"/>
                    </w:rPr>
                    <w:t>1次/</w:t>
                  </w:r>
                  <w:r>
                    <w:rPr>
                      <w:rFonts w:hint="eastAsia"/>
                      <w:bCs/>
                      <w:szCs w:val="21"/>
                    </w:rPr>
                    <w:t>季度</w:t>
                  </w:r>
                </w:p>
              </w:tc>
              <w:tc>
                <w:tcPr>
                  <w:tcW w:w="1140" w:type="dxa"/>
                  <w:vAlign w:val="center"/>
                </w:tcPr>
                <w:p>
                  <w:pPr>
                    <w:spacing w:line="320" w:lineRule="exact"/>
                    <w:ind w:left="-105" w:leftChars="-50" w:right="-105" w:rightChars="-50"/>
                    <w:jc w:val="center"/>
                    <w:rPr>
                      <w:bCs/>
                      <w:szCs w:val="21"/>
                    </w:rPr>
                  </w:pPr>
                  <w:r>
                    <w:rPr>
                      <w:bCs/>
                      <w:szCs w:val="21"/>
                    </w:rPr>
                    <w:t>有资质的监测单位</w:t>
                  </w:r>
                </w:p>
              </w:tc>
              <w:tc>
                <w:tcPr>
                  <w:tcW w:w="2603" w:type="dxa"/>
                  <w:vAlign w:val="center"/>
                </w:tcPr>
                <w:p>
                  <w:pPr>
                    <w:spacing w:line="320" w:lineRule="exact"/>
                    <w:jc w:val="center"/>
                    <w:rPr>
                      <w:szCs w:val="21"/>
                    </w:rPr>
                  </w:pPr>
                  <w:r>
                    <w:rPr>
                      <w:rFonts w:hint="eastAsia"/>
                      <w:szCs w:val="21"/>
                    </w:rPr>
                    <w:t>《声环境质量标准》（GB3096-2008）中2类区标准</w:t>
                  </w:r>
                </w:p>
              </w:tc>
            </w:tr>
          </w:tbl>
          <w:p>
            <w:pPr>
              <w:tabs>
                <w:tab w:val="left" w:pos="1081"/>
              </w:tabs>
              <w:adjustRightInd w:val="0"/>
              <w:snapToGrid w:val="0"/>
              <w:spacing w:line="360" w:lineRule="auto"/>
              <w:ind w:firstLine="482" w:firstLineChars="200"/>
              <w:rPr>
                <w:b/>
                <w:color w:val="000000"/>
                <w:sz w:val="24"/>
              </w:rPr>
            </w:pPr>
            <w:r>
              <w:rPr>
                <w:b/>
                <w:color w:val="000000"/>
                <w:sz w:val="24"/>
              </w:rPr>
              <w:t>4、固体废物</w:t>
            </w:r>
          </w:p>
          <w:p>
            <w:pPr>
              <w:tabs>
                <w:tab w:val="left" w:pos="1081"/>
              </w:tabs>
              <w:adjustRightInd w:val="0"/>
              <w:snapToGrid w:val="0"/>
              <w:spacing w:line="360" w:lineRule="auto"/>
              <w:ind w:firstLine="480" w:firstLineChars="200"/>
              <w:rPr>
                <w:color w:val="000000"/>
                <w:sz w:val="24"/>
              </w:rPr>
            </w:pPr>
            <w:r>
              <w:rPr>
                <w:color w:val="000000"/>
                <w:sz w:val="24"/>
              </w:rPr>
              <w:t>4.1固废产排情况</w:t>
            </w:r>
          </w:p>
          <w:p>
            <w:pPr>
              <w:pStyle w:val="22"/>
              <w:adjustRightInd w:val="0"/>
              <w:snapToGrid w:val="0"/>
              <w:spacing w:line="360" w:lineRule="auto"/>
              <w:ind w:left="0" w:leftChars="0" w:firstLine="480" w:firstLineChars="200"/>
              <w:rPr>
                <w:color w:val="000000"/>
                <w:sz w:val="24"/>
              </w:rPr>
            </w:pPr>
            <w:r>
              <w:rPr>
                <w:rFonts w:hint="eastAsia"/>
                <w:color w:val="000000"/>
                <w:sz w:val="24"/>
              </w:rPr>
              <w:t>本项目运营期产生的固体废物主要是职工生活垃圾、化粪池污泥、除尘器收集的粉尘、废包装材料等</w:t>
            </w:r>
            <w:r>
              <w:rPr>
                <w:color w:val="000000"/>
                <w:sz w:val="24"/>
              </w:rPr>
              <w:t>。</w:t>
            </w:r>
          </w:p>
          <w:p>
            <w:pPr>
              <w:tabs>
                <w:tab w:val="left" w:pos="1081"/>
              </w:tabs>
              <w:adjustRightInd w:val="0"/>
              <w:snapToGrid w:val="0"/>
              <w:spacing w:line="360" w:lineRule="auto"/>
              <w:ind w:firstLine="480" w:firstLineChars="200"/>
              <w:rPr>
                <w:color w:val="000000"/>
                <w:sz w:val="24"/>
              </w:rPr>
            </w:pPr>
            <w:r>
              <w:rPr>
                <w:color w:val="000000"/>
                <w:sz w:val="24"/>
              </w:rPr>
              <w:t>（1）职工生活垃圾</w:t>
            </w:r>
          </w:p>
          <w:p>
            <w:pPr>
              <w:tabs>
                <w:tab w:val="left" w:pos="1081"/>
              </w:tabs>
              <w:adjustRightInd w:val="0"/>
              <w:snapToGrid w:val="0"/>
              <w:spacing w:line="360" w:lineRule="auto"/>
              <w:ind w:firstLine="480" w:firstLineChars="200"/>
              <w:rPr>
                <w:color w:val="000000"/>
                <w:sz w:val="24"/>
              </w:rPr>
            </w:pPr>
            <w:r>
              <w:rPr>
                <w:color w:val="000000"/>
                <w:sz w:val="24"/>
              </w:rPr>
              <w:t>本项目</w:t>
            </w:r>
            <w:r>
              <w:rPr>
                <w:rFonts w:hint="eastAsia"/>
                <w:color w:val="000000"/>
                <w:sz w:val="24"/>
              </w:rPr>
              <w:t>职工5</w:t>
            </w:r>
            <w:r>
              <w:rPr>
                <w:color w:val="000000"/>
                <w:sz w:val="24"/>
              </w:rPr>
              <w:t>人，均不在厂区食宿，生活垃圾产生系数按0.5kg/人·d算，年工作时间为</w:t>
            </w:r>
            <w:r>
              <w:rPr>
                <w:rFonts w:hint="eastAsia"/>
                <w:color w:val="000000"/>
                <w:sz w:val="24"/>
              </w:rPr>
              <w:t>24</w:t>
            </w:r>
            <w:r>
              <w:rPr>
                <w:color w:val="000000"/>
                <w:sz w:val="24"/>
              </w:rPr>
              <w:t>0d，则生活垃圾产生量为</w:t>
            </w:r>
            <w:r>
              <w:rPr>
                <w:rFonts w:hint="eastAsia"/>
                <w:color w:val="000000"/>
                <w:sz w:val="24"/>
              </w:rPr>
              <w:t>0.6</w:t>
            </w:r>
            <w:r>
              <w:rPr>
                <w:color w:val="000000"/>
                <w:sz w:val="24"/>
              </w:rPr>
              <w:t>t/a，分类收集后交由环卫部门运至垃圾中转站处理。</w:t>
            </w:r>
          </w:p>
          <w:p>
            <w:pPr>
              <w:tabs>
                <w:tab w:val="left" w:pos="1081"/>
              </w:tabs>
              <w:adjustRightInd w:val="0"/>
              <w:snapToGrid w:val="0"/>
              <w:spacing w:line="360" w:lineRule="auto"/>
              <w:ind w:firstLine="480" w:firstLineChars="200"/>
              <w:rPr>
                <w:color w:val="000000"/>
                <w:sz w:val="24"/>
              </w:rPr>
            </w:pPr>
            <w:r>
              <w:rPr>
                <w:rFonts w:hint="eastAsia"/>
                <w:color w:val="000000"/>
                <w:sz w:val="24"/>
              </w:rPr>
              <w:t>（2）化粪池污泥</w:t>
            </w:r>
          </w:p>
          <w:p>
            <w:pPr>
              <w:tabs>
                <w:tab w:val="left" w:pos="1081"/>
              </w:tabs>
              <w:adjustRightInd w:val="0"/>
              <w:snapToGrid w:val="0"/>
              <w:spacing w:line="360" w:lineRule="auto"/>
              <w:ind w:firstLine="480" w:firstLineChars="200"/>
              <w:rPr>
                <w:color w:val="000000"/>
                <w:sz w:val="24"/>
              </w:rPr>
            </w:pPr>
            <w:r>
              <w:rPr>
                <w:rFonts w:hint="eastAsia"/>
                <w:color w:val="000000"/>
                <w:sz w:val="24"/>
              </w:rPr>
              <w:t>根据《建筑给水排水设计规范》（2009修订版）中表4.8.6，化粪池污泥产生量为0.3L/人•d，化粪池污泥比重约为1.2L/kg，则本项目化粪池污泥产生量约为0.3t/a，定期清掏用于周边农田施肥。</w:t>
            </w:r>
          </w:p>
          <w:p>
            <w:pPr>
              <w:tabs>
                <w:tab w:val="left" w:pos="1081"/>
              </w:tabs>
              <w:adjustRightInd w:val="0"/>
              <w:snapToGrid w:val="0"/>
              <w:spacing w:line="360" w:lineRule="auto"/>
              <w:ind w:firstLine="480" w:firstLineChars="200"/>
              <w:rPr>
                <w:color w:val="000000"/>
                <w:sz w:val="24"/>
              </w:rPr>
            </w:pPr>
            <w:r>
              <w:rPr>
                <w:color w:val="000000"/>
                <w:sz w:val="24"/>
              </w:rPr>
              <w:t>（</w:t>
            </w:r>
            <w:r>
              <w:rPr>
                <w:rFonts w:hint="eastAsia"/>
                <w:color w:val="000000"/>
                <w:sz w:val="24"/>
              </w:rPr>
              <w:t>3</w:t>
            </w:r>
            <w:r>
              <w:rPr>
                <w:color w:val="000000"/>
                <w:sz w:val="24"/>
              </w:rPr>
              <w:t>）</w:t>
            </w:r>
            <w:r>
              <w:rPr>
                <w:rFonts w:hint="eastAsia"/>
                <w:color w:val="000000"/>
                <w:sz w:val="24"/>
              </w:rPr>
              <w:t>除尘器收集粉尘</w:t>
            </w:r>
          </w:p>
          <w:p>
            <w:pPr>
              <w:tabs>
                <w:tab w:val="left" w:pos="1081"/>
              </w:tabs>
              <w:adjustRightInd w:val="0"/>
              <w:snapToGrid w:val="0"/>
              <w:spacing w:line="360" w:lineRule="auto"/>
              <w:ind w:firstLine="480" w:firstLineChars="200"/>
              <w:rPr>
                <w:color w:val="000000"/>
                <w:sz w:val="24"/>
              </w:rPr>
            </w:pPr>
            <w:r>
              <w:rPr>
                <w:rFonts w:hint="eastAsia"/>
                <w:color w:val="000000"/>
                <w:sz w:val="24"/>
              </w:rPr>
              <w:t>根据前文计算，本项目除尘器收集的粉尘量为2.00574t/a，定期清理后直接装袋和艾粉一起外售</w:t>
            </w:r>
            <w:r>
              <w:rPr>
                <w:color w:val="000000"/>
                <w:sz w:val="24"/>
              </w:rPr>
              <w:t>。</w:t>
            </w:r>
          </w:p>
          <w:p>
            <w:pPr>
              <w:adjustRightInd w:val="0"/>
              <w:snapToGrid w:val="0"/>
              <w:spacing w:line="360" w:lineRule="auto"/>
              <w:ind w:firstLine="480" w:firstLineChars="200"/>
              <w:rPr>
                <w:color w:val="000000"/>
                <w:sz w:val="24"/>
              </w:rPr>
            </w:pPr>
            <w:r>
              <w:rPr>
                <w:rFonts w:hint="eastAsia"/>
                <w:color w:val="000000"/>
                <w:sz w:val="24"/>
              </w:rPr>
              <w:t>（4）废包装材料</w:t>
            </w:r>
          </w:p>
          <w:p>
            <w:pPr>
              <w:adjustRightInd w:val="0"/>
              <w:snapToGrid w:val="0"/>
              <w:spacing w:line="360" w:lineRule="auto"/>
              <w:ind w:firstLine="480" w:firstLineChars="200"/>
              <w:rPr>
                <w:color w:val="000000"/>
                <w:sz w:val="24"/>
              </w:rPr>
            </w:pPr>
            <w:r>
              <w:rPr>
                <w:color w:val="000000"/>
                <w:sz w:val="24"/>
              </w:rPr>
              <w:t>本项目</w:t>
            </w:r>
            <w:r>
              <w:rPr>
                <w:rFonts w:hint="eastAsia"/>
                <w:color w:val="000000"/>
                <w:sz w:val="24"/>
              </w:rPr>
              <w:t>营运期废包装材料产生量约为0.5t/a，集中收集外售废品收购站</w:t>
            </w:r>
            <w:r>
              <w:rPr>
                <w:color w:val="000000"/>
                <w:sz w:val="24"/>
              </w:rPr>
              <w:t>。</w:t>
            </w:r>
          </w:p>
          <w:p>
            <w:pPr>
              <w:pStyle w:val="2"/>
              <w:jc w:val="center"/>
              <w:rPr>
                <w:b/>
                <w:sz w:val="24"/>
              </w:rPr>
            </w:pPr>
            <w:r>
              <w:rPr>
                <w:rFonts w:hint="eastAsia"/>
                <w:b/>
                <w:sz w:val="24"/>
              </w:rPr>
              <w:t>表4-13   项目一般固体废物产生及处理情况一览表</w:t>
            </w:r>
          </w:p>
          <w:tbl>
            <w:tblPr>
              <w:tblStyle w:val="27"/>
              <w:tblW w:w="777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22"/>
              <w:gridCol w:w="781"/>
              <w:gridCol w:w="1053"/>
              <w:gridCol w:w="1318"/>
              <w:gridCol w:w="1196"/>
              <w:gridCol w:w="885"/>
              <w:gridCol w:w="121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322" w:type="dxa"/>
                  <w:vAlign w:val="center"/>
                </w:tcPr>
                <w:p>
                  <w:pPr>
                    <w:jc w:val="center"/>
                    <w:rPr>
                      <w:rFonts w:eastAsiaTheme="majorEastAsia"/>
                    </w:rPr>
                  </w:pPr>
                  <w:r>
                    <w:rPr>
                      <w:rFonts w:hint="eastAsia" w:eastAsiaTheme="majorEastAsia"/>
                    </w:rPr>
                    <w:t>固废名称</w:t>
                  </w:r>
                </w:p>
              </w:tc>
              <w:tc>
                <w:tcPr>
                  <w:tcW w:w="781" w:type="dxa"/>
                  <w:vAlign w:val="center"/>
                </w:tcPr>
                <w:p>
                  <w:pPr>
                    <w:jc w:val="center"/>
                    <w:rPr>
                      <w:rFonts w:eastAsiaTheme="majorEastAsia"/>
                    </w:rPr>
                  </w:pPr>
                  <w:r>
                    <w:rPr>
                      <w:rFonts w:hint="eastAsia" w:eastAsiaTheme="majorEastAsia"/>
                    </w:rPr>
                    <w:t>物理状态</w:t>
                  </w:r>
                </w:p>
              </w:tc>
              <w:tc>
                <w:tcPr>
                  <w:tcW w:w="1053" w:type="dxa"/>
                  <w:vAlign w:val="center"/>
                </w:tcPr>
                <w:p>
                  <w:pPr>
                    <w:jc w:val="center"/>
                    <w:rPr>
                      <w:rFonts w:eastAsiaTheme="majorEastAsia"/>
                    </w:rPr>
                  </w:pPr>
                  <w:r>
                    <w:rPr>
                      <w:rFonts w:hint="eastAsia" w:eastAsiaTheme="majorEastAsia"/>
                    </w:rPr>
                    <w:t>产生环节</w:t>
                  </w:r>
                </w:p>
              </w:tc>
              <w:tc>
                <w:tcPr>
                  <w:tcW w:w="1318" w:type="dxa"/>
                  <w:vAlign w:val="center"/>
                </w:tcPr>
                <w:p>
                  <w:pPr>
                    <w:jc w:val="center"/>
                    <w:rPr>
                      <w:rFonts w:eastAsiaTheme="majorEastAsia"/>
                    </w:rPr>
                  </w:pPr>
                  <w:r>
                    <w:rPr>
                      <w:rFonts w:hint="eastAsia" w:eastAsiaTheme="majorEastAsia"/>
                    </w:rPr>
                    <w:t>产生量</w:t>
                  </w:r>
                </w:p>
              </w:tc>
              <w:tc>
                <w:tcPr>
                  <w:tcW w:w="1196" w:type="dxa"/>
                  <w:vAlign w:val="center"/>
                </w:tcPr>
                <w:p>
                  <w:pPr>
                    <w:jc w:val="center"/>
                    <w:rPr>
                      <w:rFonts w:eastAsiaTheme="majorEastAsia"/>
                    </w:rPr>
                  </w:pPr>
                  <w:r>
                    <w:rPr>
                      <w:rFonts w:hint="eastAsia" w:eastAsiaTheme="majorEastAsia"/>
                    </w:rPr>
                    <w:t>固废代码</w:t>
                  </w:r>
                </w:p>
              </w:tc>
              <w:tc>
                <w:tcPr>
                  <w:tcW w:w="885" w:type="dxa"/>
                  <w:vAlign w:val="center"/>
                </w:tcPr>
                <w:p>
                  <w:pPr>
                    <w:jc w:val="center"/>
                    <w:rPr>
                      <w:rFonts w:eastAsiaTheme="majorEastAsia"/>
                    </w:rPr>
                  </w:pPr>
                  <w:r>
                    <w:rPr>
                      <w:rFonts w:hint="eastAsia" w:eastAsiaTheme="majorEastAsia"/>
                    </w:rPr>
                    <w:t>处置周期</w:t>
                  </w:r>
                </w:p>
              </w:tc>
              <w:tc>
                <w:tcPr>
                  <w:tcW w:w="1219" w:type="dxa"/>
                  <w:vAlign w:val="center"/>
                </w:tcPr>
                <w:p>
                  <w:pPr>
                    <w:jc w:val="center"/>
                    <w:rPr>
                      <w:rFonts w:eastAsiaTheme="majorEastAsia"/>
                    </w:rPr>
                  </w:pPr>
                  <w:r>
                    <w:rPr>
                      <w:rFonts w:hint="eastAsia" w:eastAsiaTheme="majorEastAsia"/>
                    </w:rPr>
                    <w:t>处置去向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95" w:hRule="atLeast"/>
              </w:trPr>
              <w:tc>
                <w:tcPr>
                  <w:tcW w:w="1322" w:type="dxa"/>
                  <w:vAlign w:val="center"/>
                </w:tcPr>
                <w:p>
                  <w:pPr>
                    <w:jc w:val="center"/>
                    <w:rPr>
                      <w:rFonts w:eastAsiaTheme="majorEastAsia"/>
                    </w:rPr>
                  </w:pPr>
                  <w:r>
                    <w:rPr>
                      <w:rFonts w:hint="eastAsia" w:eastAsiaTheme="majorEastAsia"/>
                    </w:rPr>
                    <w:t>废包装材料</w:t>
                  </w:r>
                </w:p>
              </w:tc>
              <w:tc>
                <w:tcPr>
                  <w:tcW w:w="781" w:type="dxa"/>
                  <w:vAlign w:val="center"/>
                </w:tcPr>
                <w:p>
                  <w:pPr>
                    <w:jc w:val="center"/>
                    <w:rPr>
                      <w:rFonts w:eastAsiaTheme="majorEastAsia"/>
                    </w:rPr>
                  </w:pPr>
                  <w:r>
                    <w:rPr>
                      <w:rFonts w:hint="eastAsia" w:eastAsiaTheme="majorEastAsia"/>
                    </w:rPr>
                    <w:t>固态</w:t>
                  </w:r>
                </w:p>
              </w:tc>
              <w:tc>
                <w:tcPr>
                  <w:tcW w:w="1053" w:type="dxa"/>
                  <w:vAlign w:val="center"/>
                </w:tcPr>
                <w:p>
                  <w:pPr>
                    <w:jc w:val="center"/>
                    <w:rPr>
                      <w:rFonts w:eastAsiaTheme="majorEastAsia"/>
                    </w:rPr>
                  </w:pPr>
                  <w:r>
                    <w:rPr>
                      <w:rFonts w:hint="eastAsia" w:eastAsiaTheme="majorEastAsia"/>
                    </w:rPr>
                    <w:t>原料使用</w:t>
                  </w:r>
                </w:p>
              </w:tc>
              <w:tc>
                <w:tcPr>
                  <w:tcW w:w="1318" w:type="dxa"/>
                  <w:vAlign w:val="center"/>
                </w:tcPr>
                <w:p>
                  <w:pPr>
                    <w:jc w:val="center"/>
                    <w:rPr>
                      <w:rFonts w:eastAsiaTheme="majorEastAsia"/>
                    </w:rPr>
                  </w:pPr>
                  <w:r>
                    <w:rPr>
                      <w:rFonts w:hint="eastAsia" w:eastAsiaTheme="majorEastAsia"/>
                    </w:rPr>
                    <w:t>0.5t/a</w:t>
                  </w:r>
                </w:p>
              </w:tc>
              <w:tc>
                <w:tcPr>
                  <w:tcW w:w="1196" w:type="dxa"/>
                  <w:vAlign w:val="center"/>
                </w:tcPr>
                <w:p>
                  <w:pPr>
                    <w:jc w:val="center"/>
                    <w:rPr>
                      <w:rFonts w:eastAsiaTheme="majorEastAsia"/>
                    </w:rPr>
                  </w:pPr>
                  <w:r>
                    <w:rPr>
                      <w:rFonts w:hint="eastAsia" w:eastAsiaTheme="majorEastAsia"/>
                    </w:rPr>
                    <w:t>900-999-99</w:t>
                  </w:r>
                </w:p>
              </w:tc>
              <w:tc>
                <w:tcPr>
                  <w:tcW w:w="885" w:type="dxa"/>
                  <w:vAlign w:val="center"/>
                </w:tcPr>
                <w:p>
                  <w:pPr>
                    <w:jc w:val="center"/>
                    <w:rPr>
                      <w:rFonts w:eastAsiaTheme="majorEastAsia"/>
                    </w:rPr>
                  </w:pPr>
                  <w:r>
                    <w:rPr>
                      <w:rFonts w:hint="eastAsia" w:eastAsiaTheme="majorEastAsia"/>
                    </w:rPr>
                    <w:t>每月</w:t>
                  </w:r>
                </w:p>
              </w:tc>
              <w:tc>
                <w:tcPr>
                  <w:tcW w:w="1219" w:type="dxa"/>
                  <w:vAlign w:val="center"/>
                </w:tcPr>
                <w:p>
                  <w:pPr>
                    <w:jc w:val="center"/>
                    <w:rPr>
                      <w:rFonts w:eastAsiaTheme="majorEastAsia"/>
                    </w:rPr>
                  </w:pPr>
                  <w:r>
                    <w:rPr>
                      <w:rFonts w:hint="eastAsia" w:eastAsiaTheme="majorEastAsia"/>
                    </w:rPr>
                    <w:t>外售综合利用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322" w:type="dxa"/>
                  <w:vAlign w:val="center"/>
                </w:tcPr>
                <w:p>
                  <w:pPr>
                    <w:jc w:val="center"/>
                    <w:rPr>
                      <w:rFonts w:eastAsiaTheme="majorEastAsia"/>
                    </w:rPr>
                  </w:pPr>
                  <w:r>
                    <w:rPr>
                      <w:rFonts w:hint="eastAsia" w:eastAsiaTheme="majorEastAsia"/>
                    </w:rPr>
                    <w:t>除尘器粉尘</w:t>
                  </w:r>
                </w:p>
              </w:tc>
              <w:tc>
                <w:tcPr>
                  <w:tcW w:w="781" w:type="dxa"/>
                  <w:vAlign w:val="center"/>
                </w:tcPr>
                <w:p>
                  <w:pPr>
                    <w:jc w:val="center"/>
                    <w:rPr>
                      <w:rFonts w:eastAsiaTheme="majorEastAsia"/>
                    </w:rPr>
                  </w:pPr>
                  <w:r>
                    <w:rPr>
                      <w:rFonts w:hint="eastAsia" w:eastAsiaTheme="majorEastAsia"/>
                    </w:rPr>
                    <w:t>固态</w:t>
                  </w:r>
                </w:p>
              </w:tc>
              <w:tc>
                <w:tcPr>
                  <w:tcW w:w="1053" w:type="dxa"/>
                  <w:vAlign w:val="center"/>
                </w:tcPr>
                <w:p>
                  <w:pPr>
                    <w:jc w:val="center"/>
                    <w:rPr>
                      <w:rFonts w:eastAsiaTheme="majorEastAsia"/>
                    </w:rPr>
                  </w:pPr>
                  <w:r>
                    <w:rPr>
                      <w:rFonts w:hint="eastAsia" w:eastAsiaTheme="majorEastAsia"/>
                    </w:rPr>
                    <w:t>废气处理</w:t>
                  </w:r>
                </w:p>
              </w:tc>
              <w:tc>
                <w:tcPr>
                  <w:tcW w:w="1318" w:type="dxa"/>
                  <w:vAlign w:val="center"/>
                </w:tcPr>
                <w:p>
                  <w:pPr>
                    <w:jc w:val="center"/>
                    <w:rPr>
                      <w:rFonts w:eastAsiaTheme="majorEastAsia"/>
                    </w:rPr>
                  </w:pPr>
                  <w:r>
                    <w:rPr>
                      <w:rFonts w:hint="eastAsia" w:eastAsiaTheme="majorEastAsia"/>
                    </w:rPr>
                    <w:t>2.00574t/a</w:t>
                  </w:r>
                </w:p>
              </w:tc>
              <w:tc>
                <w:tcPr>
                  <w:tcW w:w="1196" w:type="dxa"/>
                  <w:vAlign w:val="center"/>
                </w:tcPr>
                <w:p>
                  <w:pPr>
                    <w:jc w:val="center"/>
                    <w:rPr>
                      <w:rFonts w:eastAsiaTheme="majorEastAsia"/>
                    </w:rPr>
                  </w:pPr>
                  <w:r>
                    <w:rPr>
                      <w:rFonts w:hint="eastAsia" w:eastAsiaTheme="majorEastAsia"/>
                    </w:rPr>
                    <w:t>900-999-99</w:t>
                  </w:r>
                </w:p>
              </w:tc>
              <w:tc>
                <w:tcPr>
                  <w:tcW w:w="885" w:type="dxa"/>
                  <w:vAlign w:val="center"/>
                </w:tcPr>
                <w:p>
                  <w:pPr>
                    <w:jc w:val="center"/>
                    <w:rPr>
                      <w:rFonts w:eastAsiaTheme="majorEastAsia"/>
                    </w:rPr>
                  </w:pPr>
                  <w:r>
                    <w:rPr>
                      <w:rFonts w:hint="eastAsia" w:eastAsiaTheme="majorEastAsia"/>
                    </w:rPr>
                    <w:t>每月</w:t>
                  </w:r>
                </w:p>
              </w:tc>
              <w:tc>
                <w:tcPr>
                  <w:tcW w:w="1219" w:type="dxa"/>
                  <w:vAlign w:val="center"/>
                </w:tcPr>
                <w:p>
                  <w:pPr>
                    <w:jc w:val="center"/>
                    <w:rPr>
                      <w:rFonts w:eastAsiaTheme="majorEastAsia"/>
                    </w:rPr>
                  </w:pPr>
                  <w:r>
                    <w:rPr>
                      <w:rFonts w:hint="eastAsia" w:eastAsiaTheme="majorEastAsia"/>
                    </w:rPr>
                    <w:t>外售综合利用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322" w:type="dxa"/>
                  <w:vAlign w:val="center"/>
                </w:tcPr>
                <w:p>
                  <w:pPr>
                    <w:jc w:val="center"/>
                    <w:rPr>
                      <w:rFonts w:eastAsiaTheme="majorEastAsia"/>
                    </w:rPr>
                  </w:pPr>
                  <w:r>
                    <w:rPr>
                      <w:rFonts w:hint="eastAsia" w:eastAsiaTheme="majorEastAsia"/>
                    </w:rPr>
                    <w:t>化粪池污泥</w:t>
                  </w:r>
                </w:p>
              </w:tc>
              <w:tc>
                <w:tcPr>
                  <w:tcW w:w="781" w:type="dxa"/>
                  <w:vAlign w:val="center"/>
                </w:tcPr>
                <w:p>
                  <w:pPr>
                    <w:jc w:val="center"/>
                    <w:rPr>
                      <w:rFonts w:eastAsiaTheme="majorEastAsia"/>
                    </w:rPr>
                  </w:pPr>
                  <w:r>
                    <w:rPr>
                      <w:rFonts w:hint="eastAsia" w:eastAsiaTheme="majorEastAsia"/>
                    </w:rPr>
                    <w:t>半固态</w:t>
                  </w:r>
                </w:p>
              </w:tc>
              <w:tc>
                <w:tcPr>
                  <w:tcW w:w="1053" w:type="dxa"/>
                  <w:vAlign w:val="center"/>
                </w:tcPr>
                <w:p>
                  <w:pPr>
                    <w:jc w:val="center"/>
                    <w:rPr>
                      <w:rFonts w:eastAsiaTheme="majorEastAsia"/>
                    </w:rPr>
                  </w:pPr>
                  <w:r>
                    <w:rPr>
                      <w:rFonts w:hint="eastAsia" w:eastAsiaTheme="majorEastAsia"/>
                    </w:rPr>
                    <w:t>职工生活</w:t>
                  </w:r>
                </w:p>
              </w:tc>
              <w:tc>
                <w:tcPr>
                  <w:tcW w:w="1318" w:type="dxa"/>
                  <w:vAlign w:val="center"/>
                </w:tcPr>
                <w:p>
                  <w:pPr>
                    <w:jc w:val="center"/>
                    <w:rPr>
                      <w:rFonts w:eastAsiaTheme="majorEastAsia"/>
                    </w:rPr>
                  </w:pPr>
                  <w:r>
                    <w:rPr>
                      <w:rFonts w:hint="eastAsia" w:eastAsiaTheme="majorEastAsia"/>
                    </w:rPr>
                    <w:t>0.3t/a</w:t>
                  </w:r>
                </w:p>
              </w:tc>
              <w:tc>
                <w:tcPr>
                  <w:tcW w:w="1196" w:type="dxa"/>
                  <w:vAlign w:val="center"/>
                </w:tcPr>
                <w:p>
                  <w:pPr>
                    <w:jc w:val="center"/>
                    <w:rPr>
                      <w:rFonts w:eastAsiaTheme="majorEastAsia"/>
                    </w:rPr>
                  </w:pPr>
                  <w:r>
                    <w:rPr>
                      <w:rFonts w:hint="eastAsia" w:eastAsiaTheme="majorEastAsia"/>
                    </w:rPr>
                    <w:t>900-999-62</w:t>
                  </w:r>
                </w:p>
              </w:tc>
              <w:tc>
                <w:tcPr>
                  <w:tcW w:w="885" w:type="dxa"/>
                  <w:vAlign w:val="center"/>
                </w:tcPr>
                <w:p>
                  <w:pPr>
                    <w:jc w:val="center"/>
                    <w:rPr>
                      <w:rFonts w:eastAsiaTheme="majorEastAsia"/>
                    </w:rPr>
                  </w:pPr>
                  <w:r>
                    <w:rPr>
                      <w:rFonts w:hint="eastAsia" w:eastAsiaTheme="majorEastAsia"/>
                    </w:rPr>
                    <w:t>每月</w:t>
                  </w:r>
                </w:p>
              </w:tc>
              <w:tc>
                <w:tcPr>
                  <w:tcW w:w="1219" w:type="dxa"/>
                  <w:vAlign w:val="center"/>
                </w:tcPr>
                <w:p>
                  <w:pPr>
                    <w:jc w:val="center"/>
                    <w:rPr>
                      <w:rFonts w:eastAsiaTheme="majorEastAsia"/>
                    </w:rPr>
                  </w:pPr>
                  <w:r>
                    <w:rPr>
                      <w:rFonts w:hint="eastAsia" w:eastAsiaTheme="majorEastAsia"/>
                    </w:rPr>
                    <w:t>农田施肥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34" w:hRule="atLeast"/>
              </w:trPr>
              <w:tc>
                <w:tcPr>
                  <w:tcW w:w="1322" w:type="dxa"/>
                  <w:vAlign w:val="center"/>
                </w:tcPr>
                <w:p>
                  <w:pPr>
                    <w:jc w:val="center"/>
                    <w:rPr>
                      <w:rFonts w:eastAsiaTheme="majorEastAsia"/>
                    </w:rPr>
                  </w:pPr>
                  <w:r>
                    <w:rPr>
                      <w:rFonts w:hint="eastAsia" w:eastAsiaTheme="majorEastAsia"/>
                    </w:rPr>
                    <w:t>生活垃圾</w:t>
                  </w:r>
                </w:p>
              </w:tc>
              <w:tc>
                <w:tcPr>
                  <w:tcW w:w="781" w:type="dxa"/>
                  <w:vAlign w:val="center"/>
                </w:tcPr>
                <w:p>
                  <w:pPr>
                    <w:jc w:val="center"/>
                    <w:rPr>
                      <w:rFonts w:eastAsiaTheme="majorEastAsia"/>
                    </w:rPr>
                  </w:pPr>
                  <w:r>
                    <w:rPr>
                      <w:rFonts w:hint="eastAsia" w:eastAsiaTheme="majorEastAsia"/>
                    </w:rPr>
                    <w:t>固态</w:t>
                  </w:r>
                </w:p>
              </w:tc>
              <w:tc>
                <w:tcPr>
                  <w:tcW w:w="1053" w:type="dxa"/>
                  <w:vAlign w:val="center"/>
                </w:tcPr>
                <w:p>
                  <w:pPr>
                    <w:jc w:val="center"/>
                    <w:rPr>
                      <w:rFonts w:eastAsiaTheme="majorEastAsia"/>
                    </w:rPr>
                  </w:pPr>
                  <w:r>
                    <w:rPr>
                      <w:rFonts w:hint="eastAsia" w:eastAsiaTheme="majorEastAsia"/>
                    </w:rPr>
                    <w:t>职工生活</w:t>
                  </w:r>
                </w:p>
              </w:tc>
              <w:tc>
                <w:tcPr>
                  <w:tcW w:w="1318" w:type="dxa"/>
                  <w:vAlign w:val="center"/>
                </w:tcPr>
                <w:p>
                  <w:pPr>
                    <w:jc w:val="center"/>
                    <w:rPr>
                      <w:rFonts w:eastAsiaTheme="majorEastAsia"/>
                    </w:rPr>
                  </w:pPr>
                  <w:r>
                    <w:rPr>
                      <w:rFonts w:hint="eastAsia" w:eastAsiaTheme="majorEastAsia"/>
                    </w:rPr>
                    <w:t>0.6t/a</w:t>
                  </w:r>
                </w:p>
              </w:tc>
              <w:tc>
                <w:tcPr>
                  <w:tcW w:w="1196" w:type="dxa"/>
                  <w:vAlign w:val="center"/>
                </w:tcPr>
                <w:p>
                  <w:pPr>
                    <w:jc w:val="center"/>
                    <w:rPr>
                      <w:rFonts w:eastAsiaTheme="majorEastAsia"/>
                    </w:rPr>
                  </w:pPr>
                  <w:r>
                    <w:rPr>
                      <w:rFonts w:hint="eastAsia" w:eastAsiaTheme="majorEastAsia"/>
                    </w:rPr>
                    <w:t>900-999-99</w:t>
                  </w:r>
                </w:p>
              </w:tc>
              <w:tc>
                <w:tcPr>
                  <w:tcW w:w="885" w:type="dxa"/>
                  <w:vAlign w:val="center"/>
                </w:tcPr>
                <w:p>
                  <w:pPr>
                    <w:jc w:val="center"/>
                    <w:rPr>
                      <w:rFonts w:eastAsiaTheme="majorEastAsia"/>
                    </w:rPr>
                  </w:pPr>
                  <w:r>
                    <w:rPr>
                      <w:rFonts w:hint="eastAsia" w:eastAsiaTheme="majorEastAsia"/>
                    </w:rPr>
                    <w:t>每天</w:t>
                  </w:r>
                </w:p>
              </w:tc>
              <w:tc>
                <w:tcPr>
                  <w:tcW w:w="1219" w:type="dxa"/>
                  <w:vAlign w:val="center"/>
                </w:tcPr>
                <w:p>
                  <w:pPr>
                    <w:jc w:val="center"/>
                    <w:rPr>
                      <w:rFonts w:eastAsiaTheme="majorEastAsia"/>
                    </w:rPr>
                  </w:pPr>
                  <w:r>
                    <w:rPr>
                      <w:rFonts w:hint="eastAsia" w:eastAsiaTheme="majorEastAsia"/>
                    </w:rPr>
                    <w:t>交由环卫部门</w:t>
                  </w:r>
                </w:p>
              </w:tc>
            </w:tr>
          </w:tbl>
          <w:p>
            <w:pPr>
              <w:tabs>
                <w:tab w:val="left" w:pos="1081"/>
              </w:tabs>
              <w:adjustRightInd w:val="0"/>
              <w:snapToGrid w:val="0"/>
              <w:spacing w:line="360" w:lineRule="auto"/>
              <w:ind w:firstLine="480" w:firstLineChars="200"/>
              <w:rPr>
                <w:color w:val="000000"/>
                <w:sz w:val="24"/>
              </w:rPr>
            </w:pPr>
            <w:r>
              <w:rPr>
                <w:color w:val="000000"/>
                <w:sz w:val="24"/>
              </w:rPr>
              <w:t>4.2环境管理要求</w:t>
            </w:r>
          </w:p>
          <w:p>
            <w:pPr>
              <w:tabs>
                <w:tab w:val="left" w:pos="1081"/>
              </w:tabs>
              <w:adjustRightInd w:val="0"/>
              <w:snapToGrid w:val="0"/>
              <w:spacing w:line="360" w:lineRule="auto"/>
              <w:ind w:firstLine="482" w:firstLineChars="200"/>
              <w:rPr>
                <w:color w:val="000000"/>
                <w:sz w:val="24"/>
              </w:rPr>
            </w:pPr>
            <w:r>
              <w:rPr>
                <w:b/>
                <w:color w:val="000000"/>
                <w:sz w:val="24"/>
              </w:rPr>
              <w:t>生活垃圾</w:t>
            </w:r>
            <w:r>
              <w:rPr>
                <w:color w:val="000000"/>
                <w:sz w:val="24"/>
              </w:rPr>
              <w:t>：生活垃圾在厂内集中</w:t>
            </w:r>
            <w:r>
              <w:rPr>
                <w:color w:val="000000"/>
                <w:sz w:val="24"/>
                <w:lang w:val="en-GB"/>
              </w:rPr>
              <w:t>收集</w:t>
            </w:r>
            <w:r>
              <w:rPr>
                <w:color w:val="000000"/>
                <w:sz w:val="24"/>
              </w:rPr>
              <w:t>，妥善贮存。</w:t>
            </w:r>
          </w:p>
          <w:p>
            <w:pPr>
              <w:tabs>
                <w:tab w:val="left" w:pos="1081"/>
              </w:tabs>
              <w:adjustRightInd w:val="0"/>
              <w:snapToGrid w:val="0"/>
              <w:spacing w:line="360" w:lineRule="auto"/>
              <w:ind w:firstLine="482" w:firstLineChars="200"/>
              <w:rPr>
                <w:color w:val="000000"/>
                <w:sz w:val="24"/>
              </w:rPr>
            </w:pPr>
            <w:r>
              <w:rPr>
                <w:b/>
                <w:color w:val="000000"/>
                <w:sz w:val="24"/>
              </w:rPr>
              <w:t>一般工业固废</w:t>
            </w:r>
            <w:r>
              <w:rPr>
                <w:color w:val="000000"/>
                <w:sz w:val="24"/>
              </w:rPr>
              <w:t>：</w:t>
            </w:r>
            <w:r>
              <w:rPr>
                <w:rFonts w:hint="eastAsia" w:ascii="宋体" w:hAnsi="宋体" w:cs="宋体"/>
                <w:color w:val="000000"/>
                <w:sz w:val="24"/>
              </w:rPr>
              <w:t>项目一般固体废物暂存间位于原料区西南侧，占地面积</w:t>
            </w:r>
            <w:r>
              <w:rPr>
                <w:color w:val="000000"/>
                <w:sz w:val="24"/>
              </w:rPr>
              <w:t>10m</w:t>
            </w:r>
            <w:r>
              <w:rPr>
                <w:color w:val="000000"/>
                <w:sz w:val="24"/>
                <w:vertAlign w:val="superscript"/>
              </w:rPr>
              <w:t>2</w:t>
            </w:r>
            <w:r>
              <w:rPr>
                <w:rFonts w:hAnsi="宋体"/>
                <w:color w:val="000000"/>
                <w:sz w:val="24"/>
              </w:rPr>
              <w:t>，</w:t>
            </w:r>
            <w:r>
              <w:rPr>
                <w:rFonts w:hint="eastAsia" w:ascii="宋体" w:hAnsi="宋体" w:cs="宋体"/>
                <w:color w:val="000000"/>
                <w:sz w:val="24"/>
              </w:rPr>
              <w:t>①</w:t>
            </w:r>
            <w:r>
              <w:rPr>
                <w:color w:val="000000"/>
                <w:sz w:val="24"/>
              </w:rPr>
              <w:t>应按照《一般工业固体废物贮存和填埋污染控制标准》（GB18599-2020）的要求设置暂存场所。</w:t>
            </w:r>
            <w:r>
              <w:rPr>
                <w:rFonts w:hint="eastAsia" w:ascii="宋体" w:hAnsi="宋体" w:cs="宋体"/>
                <w:color w:val="000000"/>
                <w:sz w:val="24"/>
              </w:rPr>
              <w:t>②</w:t>
            </w:r>
            <w:r>
              <w:rPr>
                <w:color w:val="000000"/>
                <w:sz w:val="24"/>
              </w:rPr>
              <w:t>不得露天堆放，防止雨水进入产生二次污染。一般工业固体废物临时暂存区应按照《一般工业固体废物贮存和填埋污染控制标准》（GB18599-2020）相关要求建设，地面基础及内墙采取防渗措施，使用防水混凝土。一般固体废物按照不同的类别和性质，分区堆放。通过规范设置固体废物暂存场，同时建立完善厂内固体废物防范措施和管理制度，可使固体废物在收集、存放过程中对环境的影响至最低限度。</w:t>
            </w:r>
          </w:p>
          <w:p>
            <w:pPr>
              <w:tabs>
                <w:tab w:val="left" w:pos="1081"/>
              </w:tabs>
              <w:adjustRightInd w:val="0"/>
              <w:snapToGrid w:val="0"/>
              <w:spacing w:line="360" w:lineRule="auto"/>
              <w:ind w:firstLine="480" w:firstLineChars="200"/>
              <w:rPr>
                <w:color w:val="000000"/>
                <w:sz w:val="24"/>
              </w:rPr>
            </w:pPr>
            <w:r>
              <w:rPr>
                <w:color w:val="000000"/>
                <w:sz w:val="24"/>
              </w:rPr>
              <w:t>综上所述，本项目营运期固体废物均可得到妥善处置，预计对周围的环境不会产生明显的影响。</w:t>
            </w:r>
          </w:p>
          <w:p>
            <w:pPr>
              <w:tabs>
                <w:tab w:val="left" w:pos="1081"/>
              </w:tabs>
              <w:adjustRightInd w:val="0"/>
              <w:snapToGrid w:val="0"/>
              <w:spacing w:line="360" w:lineRule="auto"/>
              <w:ind w:firstLine="482" w:firstLineChars="200"/>
              <w:rPr>
                <w:b/>
                <w:color w:val="000000"/>
                <w:kern w:val="0"/>
                <w:sz w:val="24"/>
              </w:rPr>
            </w:pPr>
            <w:r>
              <w:rPr>
                <w:b/>
                <w:color w:val="000000"/>
                <w:kern w:val="0"/>
                <w:sz w:val="24"/>
              </w:rPr>
              <w:t>5、地下水</w:t>
            </w:r>
            <w:r>
              <w:rPr>
                <w:rFonts w:hint="eastAsia"/>
                <w:b/>
                <w:color w:val="000000"/>
                <w:kern w:val="0"/>
                <w:sz w:val="24"/>
              </w:rPr>
              <w:t>、土壤环境</w:t>
            </w:r>
            <w:r>
              <w:rPr>
                <w:b/>
                <w:color w:val="000000"/>
                <w:kern w:val="0"/>
                <w:sz w:val="24"/>
              </w:rPr>
              <w:t>影响分析</w:t>
            </w:r>
          </w:p>
          <w:p>
            <w:pPr>
              <w:adjustRightInd w:val="0"/>
              <w:snapToGrid w:val="0"/>
              <w:spacing w:line="360" w:lineRule="auto"/>
              <w:ind w:firstLine="480" w:firstLineChars="200"/>
              <w:rPr>
                <w:color w:val="000000"/>
                <w:sz w:val="24"/>
              </w:rPr>
            </w:pPr>
            <w:r>
              <w:rPr>
                <w:rFonts w:hint="eastAsia"/>
                <w:color w:val="000000" w:themeColor="text1"/>
                <w:sz w:val="24"/>
                <w:szCs w:val="22"/>
              </w:rPr>
              <w:t>项目营运期废气污染物主要为颗粒物，艾草粉碎、提绒工序和艾条卷制工序粉尘废气分别经袋式除尘器处理后均能做到达标排放，对周围环境影响很小。营运期无生产废水，废水主要为生活污水，生活污水经化粪池处理后用于周边农田施肥资源化利用。因此项目生产、生活废水对地下水和土壤环境影响很小。环评建议艾草加工区、原料区、成品区、办公区、化粪池采取简单防渗</w:t>
            </w:r>
            <w:r>
              <w:rPr>
                <w:color w:val="000000"/>
                <w:sz w:val="24"/>
              </w:rPr>
              <w:t>。</w:t>
            </w:r>
          </w:p>
          <w:p>
            <w:pPr>
              <w:tabs>
                <w:tab w:val="left" w:pos="1081"/>
              </w:tabs>
              <w:adjustRightInd w:val="0"/>
              <w:snapToGrid w:val="0"/>
              <w:spacing w:line="360" w:lineRule="auto"/>
              <w:ind w:firstLine="482" w:firstLineChars="200"/>
              <w:rPr>
                <w:b/>
                <w:color w:val="000000"/>
                <w:sz w:val="24"/>
              </w:rPr>
            </w:pPr>
            <w:r>
              <w:rPr>
                <w:rFonts w:hint="eastAsia"/>
                <w:b/>
                <w:color w:val="000000"/>
                <w:sz w:val="24"/>
              </w:rPr>
              <w:t>6</w:t>
            </w:r>
            <w:r>
              <w:rPr>
                <w:b/>
                <w:color w:val="000000"/>
                <w:sz w:val="24"/>
              </w:rPr>
              <w:t>、环境风险分析</w:t>
            </w:r>
          </w:p>
          <w:p>
            <w:pPr>
              <w:tabs>
                <w:tab w:val="left" w:pos="1081"/>
              </w:tabs>
              <w:adjustRightInd w:val="0"/>
              <w:snapToGrid w:val="0"/>
              <w:spacing w:line="360" w:lineRule="auto"/>
              <w:ind w:firstLine="480" w:firstLineChars="200"/>
              <w:jc w:val="left"/>
              <w:rPr>
                <w:color w:val="000000"/>
                <w:sz w:val="24"/>
              </w:rPr>
            </w:pPr>
            <w:r>
              <w:rPr>
                <w:color w:val="000000"/>
                <w:sz w:val="24"/>
              </w:rPr>
              <w:t>根据《建设项目环境风险评价技术导则》（HJ169-2018）附录B中表B.1中突然环境事件风险物质名录表</w:t>
            </w:r>
            <w:r>
              <w:rPr>
                <w:rFonts w:hint="eastAsia"/>
                <w:color w:val="000000"/>
                <w:sz w:val="24"/>
              </w:rPr>
              <w:t>、</w:t>
            </w:r>
            <w:r>
              <w:rPr>
                <w:color w:val="000000"/>
                <w:sz w:val="24"/>
              </w:rPr>
              <w:t>《危险化学品名录》（2015版）</w:t>
            </w:r>
            <w:r>
              <w:rPr>
                <w:rFonts w:hint="eastAsia"/>
                <w:color w:val="000000"/>
                <w:sz w:val="24"/>
              </w:rPr>
              <w:t>和《建筑设计防火规范》（GB50016-2006）规定，项目物质不涉及环境风险物质，项目原料使用艾草，因此需下列防范措施：</w:t>
            </w:r>
          </w:p>
          <w:p>
            <w:pPr>
              <w:tabs>
                <w:tab w:val="left" w:pos="1081"/>
              </w:tabs>
              <w:adjustRightInd w:val="0"/>
              <w:snapToGrid w:val="0"/>
              <w:spacing w:line="360" w:lineRule="auto"/>
              <w:ind w:firstLine="480" w:firstLineChars="200"/>
              <w:jc w:val="left"/>
              <w:rPr>
                <w:color w:val="000000"/>
                <w:sz w:val="24"/>
              </w:rPr>
            </w:pPr>
            <w:r>
              <w:rPr>
                <w:rFonts w:hint="eastAsia"/>
                <w:color w:val="000000"/>
                <w:sz w:val="24"/>
              </w:rPr>
              <w:t>①原料的装运应做到定车、定人。定车把装运原料的车辆、工具相对固定，专车专用。</w:t>
            </w:r>
          </w:p>
          <w:p>
            <w:pPr>
              <w:tabs>
                <w:tab w:val="left" w:pos="1081"/>
              </w:tabs>
              <w:adjustRightInd w:val="0"/>
              <w:snapToGrid w:val="0"/>
              <w:spacing w:line="360" w:lineRule="auto"/>
              <w:ind w:firstLine="480" w:firstLineChars="200"/>
              <w:jc w:val="left"/>
              <w:rPr>
                <w:color w:val="000000"/>
                <w:sz w:val="24"/>
              </w:rPr>
            </w:pPr>
            <w:r>
              <w:rPr>
                <w:rFonts w:hint="eastAsia"/>
                <w:color w:val="000000"/>
                <w:sz w:val="24"/>
              </w:rPr>
              <w:t>②</w:t>
            </w:r>
            <w:r>
              <w:rPr>
                <w:color w:val="000000"/>
                <w:sz w:val="24"/>
              </w:rPr>
              <w:t>要求企业加强对</w:t>
            </w:r>
            <w:r>
              <w:rPr>
                <w:rFonts w:hint="eastAsia"/>
                <w:color w:val="000000"/>
                <w:sz w:val="24"/>
              </w:rPr>
              <w:t>原料</w:t>
            </w:r>
            <w:r>
              <w:rPr>
                <w:color w:val="000000"/>
                <w:sz w:val="24"/>
              </w:rPr>
              <w:t>的安全管理工作，做到专人管理、专人负责，室温应在35</w:t>
            </w:r>
            <w:r>
              <w:rPr>
                <w:rFonts w:hint="eastAsia"/>
                <w:color w:val="000000"/>
                <w:sz w:val="24"/>
              </w:rPr>
              <w:t>℃</w:t>
            </w:r>
            <w:r>
              <w:rPr>
                <w:color w:val="000000"/>
                <w:sz w:val="24"/>
              </w:rPr>
              <w:t>以下，并有相应的防火安全措施；储存场所应远离热源，禁止一切烟火，设置防火标识牌；</w:t>
            </w:r>
          </w:p>
          <w:p>
            <w:pPr>
              <w:tabs>
                <w:tab w:val="left" w:pos="1081"/>
              </w:tabs>
              <w:adjustRightInd w:val="0"/>
              <w:snapToGrid w:val="0"/>
              <w:spacing w:line="360" w:lineRule="auto"/>
              <w:ind w:firstLine="480" w:firstLineChars="200"/>
              <w:jc w:val="left"/>
              <w:rPr>
                <w:color w:val="000000"/>
                <w:sz w:val="24"/>
              </w:rPr>
            </w:pPr>
            <w:r>
              <w:rPr>
                <w:rFonts w:hint="eastAsia"/>
                <w:color w:val="000000"/>
                <w:sz w:val="24"/>
              </w:rPr>
              <w:t>③厂区必须配置泡沫、干粉等灭火器；管理人员应懂得防火常识、灭火知识，并能够熟练掌握灭火器；灭火器要经常定期检查；</w:t>
            </w:r>
          </w:p>
          <w:p>
            <w:pPr>
              <w:tabs>
                <w:tab w:val="left" w:pos="1081"/>
              </w:tabs>
              <w:adjustRightInd w:val="0"/>
              <w:snapToGrid w:val="0"/>
              <w:spacing w:line="360" w:lineRule="auto"/>
              <w:ind w:firstLine="480" w:firstLineChars="200"/>
              <w:jc w:val="left"/>
              <w:rPr>
                <w:color w:val="000000"/>
                <w:sz w:val="24"/>
              </w:rPr>
            </w:pPr>
            <w:r>
              <w:rPr>
                <w:rFonts w:hint="eastAsia"/>
                <w:color w:val="000000"/>
                <w:sz w:val="24"/>
              </w:rPr>
              <w:t>④制定严格的安全防范管理制度，提高职工的安全意识，对重要的仪器设备有完善的检查项目、维护方法。</w:t>
            </w:r>
          </w:p>
          <w:p>
            <w:pPr>
              <w:adjustRightInd w:val="0"/>
              <w:snapToGrid w:val="0"/>
              <w:spacing w:line="360" w:lineRule="auto"/>
              <w:ind w:firstLine="480" w:firstLineChars="200"/>
              <w:rPr>
                <w:color w:val="000000"/>
                <w:sz w:val="24"/>
              </w:rPr>
            </w:pPr>
            <w:r>
              <w:rPr>
                <w:rFonts w:hint="eastAsia"/>
                <w:color w:val="000000"/>
                <w:sz w:val="24"/>
              </w:rPr>
              <w:t>综上所述，本项目环境风险在可接受范围内。</w:t>
            </w:r>
          </w:p>
          <w:p>
            <w:pPr>
              <w:tabs>
                <w:tab w:val="left" w:pos="1081"/>
              </w:tabs>
              <w:adjustRightInd w:val="0"/>
              <w:snapToGrid w:val="0"/>
              <w:spacing w:line="360" w:lineRule="auto"/>
              <w:ind w:firstLine="482" w:firstLineChars="200"/>
              <w:rPr>
                <w:b/>
                <w:bCs/>
                <w:color w:val="000000" w:themeColor="text1"/>
                <w:sz w:val="24"/>
                <w:szCs w:val="22"/>
              </w:rPr>
            </w:pPr>
            <w:r>
              <w:rPr>
                <w:rFonts w:hint="eastAsia"/>
                <w:b/>
                <w:bCs/>
                <w:color w:val="000000" w:themeColor="text1"/>
                <w:sz w:val="24"/>
                <w:szCs w:val="22"/>
              </w:rPr>
              <w:t>7、环境管理和监测计划</w:t>
            </w:r>
          </w:p>
          <w:p>
            <w:pPr>
              <w:tabs>
                <w:tab w:val="left" w:pos="1081"/>
              </w:tabs>
              <w:adjustRightInd w:val="0"/>
              <w:snapToGrid w:val="0"/>
              <w:spacing w:line="360" w:lineRule="auto"/>
              <w:ind w:firstLine="480" w:firstLineChars="200"/>
              <w:rPr>
                <w:bCs/>
                <w:color w:val="000000" w:themeColor="text1"/>
                <w:sz w:val="24"/>
                <w:szCs w:val="22"/>
              </w:rPr>
            </w:pPr>
            <w:r>
              <w:rPr>
                <w:rFonts w:hint="eastAsia"/>
                <w:bCs/>
                <w:color w:val="000000" w:themeColor="text1"/>
                <w:sz w:val="24"/>
                <w:szCs w:val="22"/>
              </w:rPr>
              <w:t>7.1环境管理</w:t>
            </w:r>
          </w:p>
          <w:p>
            <w:pPr>
              <w:tabs>
                <w:tab w:val="left" w:pos="1081"/>
              </w:tabs>
              <w:adjustRightInd w:val="0"/>
              <w:snapToGrid w:val="0"/>
              <w:spacing w:line="360" w:lineRule="auto"/>
              <w:ind w:firstLine="480" w:firstLineChars="200"/>
              <w:rPr>
                <w:bCs/>
                <w:color w:val="000000" w:themeColor="text1"/>
                <w:sz w:val="24"/>
                <w:szCs w:val="22"/>
              </w:rPr>
            </w:pPr>
            <w:r>
              <w:rPr>
                <w:rFonts w:hint="eastAsia"/>
                <w:bCs/>
                <w:color w:val="000000" w:themeColor="text1"/>
                <w:sz w:val="24"/>
                <w:szCs w:val="22"/>
              </w:rPr>
              <w:t>环境管理是协调发展经济与保护环境之间关系的重要手段，也是实现经济战略发展的重要环节之一，对环境保护工作起主导作用。企业环境管理是“全过程污染控制”的重要措施，它不仅是我国有关法规的规定，也是清洁生产的要求。本次工程环境管理主要内容如下：</w:t>
            </w:r>
          </w:p>
          <w:p>
            <w:pPr>
              <w:tabs>
                <w:tab w:val="left" w:pos="1081"/>
              </w:tabs>
              <w:adjustRightInd w:val="0"/>
              <w:snapToGrid w:val="0"/>
              <w:spacing w:line="360" w:lineRule="auto"/>
              <w:ind w:firstLine="480" w:firstLineChars="200"/>
              <w:rPr>
                <w:bCs/>
                <w:color w:val="000000" w:themeColor="text1"/>
                <w:sz w:val="24"/>
                <w:szCs w:val="22"/>
              </w:rPr>
            </w:pPr>
            <w:r>
              <w:rPr>
                <w:rFonts w:hint="eastAsia"/>
                <w:bCs/>
                <w:color w:val="000000" w:themeColor="text1"/>
                <w:sz w:val="24"/>
                <w:szCs w:val="22"/>
              </w:rPr>
              <w:t>（1）企业应根据《建设项目环境保护设计规定》，建立健全企业内部环境保护管理机构，完善环境保护管理制度，落实污染防治主体责任；</w:t>
            </w:r>
          </w:p>
          <w:p>
            <w:pPr>
              <w:tabs>
                <w:tab w:val="left" w:pos="1081"/>
              </w:tabs>
              <w:adjustRightInd w:val="0"/>
              <w:snapToGrid w:val="0"/>
              <w:spacing w:line="360" w:lineRule="auto"/>
              <w:ind w:firstLine="480" w:firstLineChars="200"/>
              <w:rPr>
                <w:bCs/>
                <w:color w:val="000000" w:themeColor="text1"/>
                <w:sz w:val="24"/>
                <w:szCs w:val="22"/>
              </w:rPr>
            </w:pPr>
            <w:r>
              <w:rPr>
                <w:rFonts w:hint="eastAsia"/>
                <w:bCs/>
                <w:color w:val="000000" w:themeColor="text1"/>
                <w:sz w:val="24"/>
                <w:szCs w:val="22"/>
              </w:rPr>
              <w:t>（2）落实本次工程施工期及营运期污染防治措施，确保污染防治资金到位；</w:t>
            </w:r>
          </w:p>
          <w:p>
            <w:pPr>
              <w:tabs>
                <w:tab w:val="left" w:pos="1081"/>
              </w:tabs>
              <w:adjustRightInd w:val="0"/>
              <w:snapToGrid w:val="0"/>
              <w:spacing w:line="360" w:lineRule="auto"/>
              <w:ind w:firstLine="480" w:firstLineChars="200"/>
              <w:rPr>
                <w:bCs/>
                <w:color w:val="000000" w:themeColor="text1"/>
                <w:sz w:val="24"/>
                <w:szCs w:val="22"/>
              </w:rPr>
            </w:pPr>
            <w:r>
              <w:rPr>
                <w:rFonts w:hint="eastAsia"/>
                <w:bCs/>
                <w:color w:val="000000" w:themeColor="text1"/>
                <w:sz w:val="24"/>
                <w:szCs w:val="22"/>
              </w:rPr>
              <w:t>（3）贯彻执行国家和地方各项环保方针、政策和法规，制定全厂环境保护制度，组织开展职工环保教育，提高职工的环保意识；完成政府部门下达的有关环保任务，配合当地生态环境部门的环境管理工作；</w:t>
            </w:r>
          </w:p>
          <w:p>
            <w:pPr>
              <w:tabs>
                <w:tab w:val="left" w:pos="1081"/>
              </w:tabs>
              <w:adjustRightInd w:val="0"/>
              <w:snapToGrid w:val="0"/>
              <w:spacing w:line="360" w:lineRule="auto"/>
              <w:ind w:firstLine="480" w:firstLineChars="200"/>
              <w:rPr>
                <w:bCs/>
                <w:color w:val="000000" w:themeColor="text1"/>
                <w:sz w:val="24"/>
                <w:szCs w:val="22"/>
              </w:rPr>
            </w:pPr>
            <w:r>
              <w:rPr>
                <w:rFonts w:hint="eastAsia"/>
                <w:bCs/>
                <w:color w:val="000000" w:themeColor="text1"/>
                <w:sz w:val="24"/>
                <w:szCs w:val="22"/>
              </w:rPr>
              <w:t>（4）不断完善企业环境保护管理制度，做好有关环保工作的资料收集、整理、记录、建档、宣传等工作；进行全厂的环保及环境监测数据的统计、分析，并建立相应的环保资料档案。</w:t>
            </w:r>
          </w:p>
          <w:p>
            <w:pPr>
              <w:tabs>
                <w:tab w:val="left" w:pos="1081"/>
              </w:tabs>
              <w:adjustRightInd w:val="0"/>
              <w:snapToGrid w:val="0"/>
              <w:spacing w:line="360" w:lineRule="auto"/>
              <w:ind w:firstLine="480" w:firstLineChars="200"/>
              <w:rPr>
                <w:bCs/>
                <w:color w:val="000000" w:themeColor="text1"/>
                <w:sz w:val="24"/>
                <w:szCs w:val="22"/>
              </w:rPr>
            </w:pPr>
            <w:r>
              <w:rPr>
                <w:rFonts w:hint="eastAsia"/>
                <w:bCs/>
                <w:color w:val="000000" w:themeColor="text1"/>
                <w:sz w:val="24"/>
                <w:szCs w:val="22"/>
              </w:rPr>
              <w:t>（5）制定并加强污染治理设施操作规范和操作规程学习，建立污染源监测制度，按规定定期对污染源进行监测，保证处理效果达到设计要求，污染物稳定达标排放。</w:t>
            </w:r>
          </w:p>
          <w:p>
            <w:pPr>
              <w:tabs>
                <w:tab w:val="left" w:pos="1081"/>
              </w:tabs>
              <w:adjustRightInd w:val="0"/>
              <w:snapToGrid w:val="0"/>
              <w:spacing w:line="360" w:lineRule="auto"/>
              <w:ind w:firstLine="480" w:firstLineChars="200"/>
              <w:rPr>
                <w:bCs/>
                <w:color w:val="000000" w:themeColor="text1"/>
                <w:sz w:val="24"/>
                <w:szCs w:val="22"/>
              </w:rPr>
            </w:pPr>
            <w:r>
              <w:rPr>
                <w:rFonts w:hint="eastAsia"/>
                <w:bCs/>
                <w:color w:val="000000" w:themeColor="text1"/>
                <w:sz w:val="24"/>
                <w:szCs w:val="22"/>
              </w:rPr>
              <w:t>（6）负责检查各污染治理设施运行情况，发现问题及时处理；并负责调查出现环境问题的缘由，协助有关部门解决问题，处理环境问题带来的纠纷等。</w:t>
            </w:r>
          </w:p>
          <w:p>
            <w:pPr>
              <w:tabs>
                <w:tab w:val="left" w:pos="1081"/>
              </w:tabs>
              <w:adjustRightInd w:val="0"/>
              <w:snapToGrid w:val="0"/>
              <w:spacing w:line="360" w:lineRule="auto"/>
              <w:ind w:firstLine="480" w:firstLineChars="200"/>
              <w:rPr>
                <w:bCs/>
                <w:color w:val="000000" w:themeColor="text1"/>
                <w:sz w:val="24"/>
                <w:szCs w:val="22"/>
              </w:rPr>
            </w:pPr>
            <w:r>
              <w:rPr>
                <w:rFonts w:hint="eastAsia"/>
                <w:bCs/>
                <w:color w:val="000000" w:themeColor="text1"/>
                <w:sz w:val="24"/>
                <w:szCs w:val="22"/>
              </w:rPr>
              <w:t>（7）按照《建设项目竣工环境保护验收暂行办法》（国环规环评[2017]4号）的规定，完成本次工程竣工环保自主验收工作。按照《固定污染源排污许可登记工作指南（试行）》（环办环评函[2020]9号）和《排污许可申请与核发技术规范 总则》（HJ942-2018）的规定，自觉执行排污许可制度。按照《企业事业单位环境信息公开办法》（环境保护部部令第31号）的规定，定期公开企业环境信息。</w:t>
            </w:r>
          </w:p>
          <w:p>
            <w:pPr>
              <w:tabs>
                <w:tab w:val="left" w:pos="1081"/>
              </w:tabs>
              <w:adjustRightInd w:val="0"/>
              <w:snapToGrid w:val="0"/>
              <w:spacing w:line="360" w:lineRule="auto"/>
              <w:ind w:firstLine="480" w:firstLineChars="200"/>
              <w:rPr>
                <w:bCs/>
                <w:color w:val="000000" w:themeColor="text1"/>
                <w:sz w:val="24"/>
                <w:szCs w:val="22"/>
              </w:rPr>
            </w:pPr>
            <w:r>
              <w:rPr>
                <w:rFonts w:hint="eastAsia"/>
                <w:bCs/>
                <w:color w:val="000000" w:themeColor="text1"/>
                <w:sz w:val="24"/>
                <w:szCs w:val="22"/>
              </w:rPr>
              <w:t>7.2环境监测计划</w:t>
            </w:r>
          </w:p>
          <w:p>
            <w:pPr>
              <w:tabs>
                <w:tab w:val="left" w:pos="1081"/>
              </w:tabs>
              <w:adjustRightInd w:val="0"/>
              <w:snapToGrid w:val="0"/>
              <w:spacing w:line="360" w:lineRule="auto"/>
              <w:ind w:firstLine="480" w:firstLineChars="200"/>
              <w:rPr>
                <w:bCs/>
                <w:color w:val="000000" w:themeColor="text1"/>
                <w:sz w:val="24"/>
                <w:szCs w:val="22"/>
              </w:rPr>
            </w:pPr>
            <w:r>
              <w:rPr>
                <w:rFonts w:hint="eastAsia"/>
                <w:bCs/>
                <w:color w:val="000000" w:themeColor="text1"/>
                <w:sz w:val="24"/>
                <w:szCs w:val="22"/>
              </w:rPr>
              <w:t>环境监测是环境管理的基础，并为企业制定污染防治对策和规划提供依据。根据本次工程污染物排放的实际情况和就近方便的原则，建议本项目环境监测工作委托有资质的环境监测机构完成。主要任务如下：</w:t>
            </w:r>
          </w:p>
          <w:p>
            <w:pPr>
              <w:tabs>
                <w:tab w:val="left" w:pos="1081"/>
              </w:tabs>
              <w:adjustRightInd w:val="0"/>
              <w:snapToGrid w:val="0"/>
              <w:spacing w:line="360" w:lineRule="auto"/>
              <w:ind w:firstLine="480" w:firstLineChars="200"/>
              <w:jc w:val="left"/>
              <w:rPr>
                <w:bCs/>
                <w:color w:val="000000" w:themeColor="text1"/>
                <w:sz w:val="24"/>
                <w:szCs w:val="22"/>
              </w:rPr>
            </w:pPr>
            <w:r>
              <w:rPr>
                <w:rFonts w:hint="eastAsia"/>
                <w:bCs/>
                <w:color w:val="000000" w:themeColor="text1"/>
                <w:sz w:val="24"/>
                <w:szCs w:val="22"/>
              </w:rPr>
              <w:t>（1）定期监测建设项目排放的污染物是否符合国家所规定的排放标准；</w:t>
            </w:r>
          </w:p>
          <w:p>
            <w:pPr>
              <w:tabs>
                <w:tab w:val="left" w:pos="1081"/>
              </w:tabs>
              <w:adjustRightInd w:val="0"/>
              <w:snapToGrid w:val="0"/>
              <w:spacing w:line="360" w:lineRule="auto"/>
              <w:ind w:firstLine="480" w:firstLineChars="200"/>
              <w:rPr>
                <w:bCs/>
                <w:color w:val="000000" w:themeColor="text1"/>
                <w:sz w:val="24"/>
                <w:szCs w:val="22"/>
              </w:rPr>
            </w:pPr>
            <w:r>
              <w:rPr>
                <w:rFonts w:hint="eastAsia"/>
                <w:bCs/>
                <w:color w:val="000000" w:themeColor="text1"/>
                <w:sz w:val="24"/>
                <w:szCs w:val="22"/>
              </w:rPr>
              <w:t>（2）分析污染物排放变化规律，为制定污染控制措施提供依据；</w:t>
            </w:r>
          </w:p>
          <w:p>
            <w:pPr>
              <w:tabs>
                <w:tab w:val="left" w:pos="1081"/>
              </w:tabs>
              <w:adjustRightInd w:val="0"/>
              <w:snapToGrid w:val="0"/>
              <w:spacing w:line="360" w:lineRule="auto"/>
              <w:ind w:firstLine="480" w:firstLineChars="200"/>
              <w:rPr>
                <w:bCs/>
                <w:color w:val="000000" w:themeColor="text1"/>
                <w:sz w:val="24"/>
                <w:szCs w:val="22"/>
              </w:rPr>
            </w:pPr>
            <w:r>
              <w:rPr>
                <w:rFonts w:hint="eastAsia"/>
                <w:bCs/>
                <w:color w:val="000000" w:themeColor="text1"/>
                <w:sz w:val="24"/>
                <w:szCs w:val="22"/>
              </w:rPr>
              <w:t>（3）负责污染事故的监测及报告；</w:t>
            </w:r>
          </w:p>
          <w:p>
            <w:pPr>
              <w:tabs>
                <w:tab w:val="left" w:pos="1081"/>
              </w:tabs>
              <w:adjustRightInd w:val="0"/>
              <w:snapToGrid w:val="0"/>
              <w:spacing w:line="360" w:lineRule="auto"/>
              <w:ind w:firstLine="480" w:firstLineChars="200"/>
              <w:rPr>
                <w:bCs/>
                <w:color w:val="000000" w:themeColor="text1"/>
                <w:sz w:val="24"/>
                <w:szCs w:val="22"/>
              </w:rPr>
            </w:pPr>
            <w:r>
              <w:rPr>
                <w:rFonts w:hint="eastAsia"/>
                <w:bCs/>
                <w:color w:val="000000" w:themeColor="text1"/>
                <w:sz w:val="24"/>
                <w:szCs w:val="22"/>
              </w:rPr>
              <w:t>（4）环境监测对象主要为污染源监测。</w:t>
            </w:r>
          </w:p>
          <w:p>
            <w:pPr>
              <w:tabs>
                <w:tab w:val="left" w:pos="1081"/>
              </w:tabs>
              <w:adjustRightInd w:val="0"/>
              <w:snapToGrid w:val="0"/>
              <w:spacing w:line="360" w:lineRule="auto"/>
              <w:ind w:firstLine="480" w:firstLineChars="200"/>
              <w:rPr>
                <w:bCs/>
                <w:color w:val="000000" w:themeColor="text1"/>
                <w:sz w:val="24"/>
                <w:szCs w:val="22"/>
              </w:rPr>
            </w:pPr>
            <w:r>
              <w:rPr>
                <w:rFonts w:hint="eastAsia"/>
                <w:bCs/>
                <w:color w:val="000000" w:themeColor="text1"/>
                <w:sz w:val="24"/>
                <w:szCs w:val="22"/>
              </w:rPr>
              <w:t>根据《排污单位自行监测技术指南 总则》（HJ819-2017）中相关要求，本项目营运期环境监测计划见下表。</w:t>
            </w:r>
          </w:p>
          <w:p>
            <w:pPr>
              <w:pStyle w:val="2"/>
            </w:pPr>
          </w:p>
          <w:p/>
          <w:p>
            <w:pPr>
              <w:pStyle w:val="2"/>
            </w:pPr>
          </w:p>
          <w:p/>
          <w:p>
            <w:pPr>
              <w:pStyle w:val="2"/>
            </w:pPr>
          </w:p>
          <w:p/>
          <w:p>
            <w:pPr>
              <w:pStyle w:val="2"/>
            </w:pPr>
          </w:p>
          <w:p>
            <w:pPr>
              <w:pStyle w:val="2"/>
              <w:spacing w:after="0"/>
              <w:ind w:left="0" w:leftChars="0" w:firstLine="482"/>
              <w:jc w:val="center"/>
              <w:rPr>
                <w:b/>
                <w:color w:val="000000" w:themeColor="text1"/>
                <w:sz w:val="24"/>
                <w:szCs w:val="22"/>
              </w:rPr>
            </w:pPr>
            <w:r>
              <w:rPr>
                <w:rFonts w:hint="eastAsia"/>
                <w:b/>
                <w:color w:val="000000" w:themeColor="text1"/>
                <w:sz w:val="24"/>
                <w:szCs w:val="22"/>
              </w:rPr>
              <w:t>表4-14   项目营运期环境监测计划一览表</w:t>
            </w:r>
          </w:p>
          <w:tbl>
            <w:tblPr>
              <w:tblStyle w:val="26"/>
              <w:tblW w:w="7768"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26"/>
              <w:gridCol w:w="466"/>
              <w:gridCol w:w="1268"/>
              <w:gridCol w:w="1171"/>
              <w:gridCol w:w="949"/>
              <w:gridCol w:w="348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Height w:val="359" w:hRule="atLeast"/>
                <w:jc w:val="center"/>
              </w:trPr>
              <w:tc>
                <w:tcPr>
                  <w:tcW w:w="892" w:type="dxa"/>
                  <w:gridSpan w:val="2"/>
                  <w:tcBorders>
                    <w:right w:val="single" w:color="auto" w:sz="4" w:space="0"/>
                  </w:tcBorders>
                </w:tcPr>
                <w:p>
                  <w:pPr>
                    <w:spacing w:line="360" w:lineRule="exact"/>
                    <w:jc w:val="center"/>
                    <w:rPr>
                      <w:color w:val="000000" w:themeColor="text1"/>
                      <w:szCs w:val="21"/>
                    </w:rPr>
                  </w:pPr>
                  <w:r>
                    <w:rPr>
                      <w:rFonts w:hint="eastAsia"/>
                      <w:color w:val="000000" w:themeColor="text1"/>
                      <w:szCs w:val="21"/>
                    </w:rPr>
                    <w:t>项目</w:t>
                  </w:r>
                </w:p>
              </w:tc>
              <w:tc>
                <w:tcPr>
                  <w:tcW w:w="1268" w:type="dxa"/>
                  <w:tcBorders>
                    <w:left w:val="single" w:color="auto" w:sz="4" w:space="0"/>
                    <w:bottom w:val="single" w:color="auto" w:sz="4" w:space="0"/>
                  </w:tcBorders>
                  <w:vAlign w:val="center"/>
                </w:tcPr>
                <w:p>
                  <w:pPr>
                    <w:spacing w:line="360" w:lineRule="exact"/>
                    <w:jc w:val="center"/>
                    <w:rPr>
                      <w:color w:val="000000" w:themeColor="text1"/>
                      <w:szCs w:val="21"/>
                    </w:rPr>
                  </w:pPr>
                  <w:r>
                    <w:rPr>
                      <w:color w:val="000000" w:themeColor="text1"/>
                      <w:szCs w:val="21"/>
                    </w:rPr>
                    <w:t>监测点位</w:t>
                  </w:r>
                </w:p>
              </w:tc>
              <w:tc>
                <w:tcPr>
                  <w:tcW w:w="1171" w:type="dxa"/>
                  <w:vAlign w:val="center"/>
                </w:tcPr>
                <w:p>
                  <w:pPr>
                    <w:spacing w:line="360" w:lineRule="exact"/>
                    <w:jc w:val="center"/>
                    <w:rPr>
                      <w:color w:val="000000" w:themeColor="text1"/>
                      <w:szCs w:val="21"/>
                    </w:rPr>
                  </w:pPr>
                  <w:r>
                    <w:rPr>
                      <w:color w:val="000000" w:themeColor="text1"/>
                      <w:szCs w:val="21"/>
                    </w:rPr>
                    <w:t>监测</w:t>
                  </w:r>
                  <w:r>
                    <w:rPr>
                      <w:rFonts w:hint="eastAsia"/>
                      <w:color w:val="000000" w:themeColor="text1"/>
                      <w:szCs w:val="21"/>
                    </w:rPr>
                    <w:t>因子</w:t>
                  </w:r>
                </w:p>
              </w:tc>
              <w:tc>
                <w:tcPr>
                  <w:tcW w:w="949" w:type="dxa"/>
                  <w:vAlign w:val="center"/>
                </w:tcPr>
                <w:p>
                  <w:pPr>
                    <w:spacing w:line="360" w:lineRule="exact"/>
                    <w:ind w:left="-105" w:leftChars="-50" w:right="-105" w:rightChars="-50"/>
                    <w:jc w:val="center"/>
                    <w:rPr>
                      <w:color w:val="000000" w:themeColor="text1"/>
                      <w:szCs w:val="21"/>
                    </w:rPr>
                  </w:pPr>
                  <w:r>
                    <w:rPr>
                      <w:rFonts w:hint="eastAsia"/>
                      <w:color w:val="000000" w:themeColor="text1"/>
                      <w:szCs w:val="21"/>
                    </w:rPr>
                    <w:t>监测频次</w:t>
                  </w:r>
                </w:p>
              </w:tc>
              <w:tc>
                <w:tcPr>
                  <w:tcW w:w="3488" w:type="dxa"/>
                </w:tcPr>
                <w:p>
                  <w:pPr>
                    <w:spacing w:line="360" w:lineRule="exact"/>
                    <w:ind w:left="-105" w:leftChars="-50" w:right="-105" w:rightChars="-50"/>
                    <w:jc w:val="center"/>
                    <w:rPr>
                      <w:color w:val="000000" w:themeColor="text1"/>
                      <w:szCs w:val="21"/>
                    </w:rPr>
                  </w:pPr>
                  <w:r>
                    <w:rPr>
                      <w:rFonts w:hint="eastAsia"/>
                      <w:color w:val="000000" w:themeColor="text1"/>
                      <w:szCs w:val="21"/>
                    </w:rPr>
                    <w:t>执行标准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Height w:val="65" w:hRule="atLeast"/>
                <w:jc w:val="center"/>
              </w:trPr>
              <w:tc>
                <w:tcPr>
                  <w:tcW w:w="426" w:type="dxa"/>
                  <w:vMerge w:val="restart"/>
                  <w:tcBorders>
                    <w:top w:val="single" w:color="auto" w:sz="4" w:space="0"/>
                    <w:right w:val="single" w:color="auto" w:sz="4" w:space="0"/>
                  </w:tcBorders>
                  <w:vAlign w:val="center"/>
                </w:tcPr>
                <w:p>
                  <w:pPr>
                    <w:spacing w:line="360" w:lineRule="exact"/>
                    <w:jc w:val="center"/>
                    <w:rPr>
                      <w:color w:val="000000" w:themeColor="text1"/>
                      <w:szCs w:val="21"/>
                    </w:rPr>
                  </w:pPr>
                  <w:r>
                    <w:rPr>
                      <w:rFonts w:hint="eastAsia"/>
                      <w:color w:val="000000" w:themeColor="text1"/>
                      <w:szCs w:val="21"/>
                    </w:rPr>
                    <w:t>废气</w:t>
                  </w:r>
                </w:p>
              </w:tc>
              <w:tc>
                <w:tcPr>
                  <w:tcW w:w="466" w:type="dxa"/>
                  <w:tcBorders>
                    <w:top w:val="single" w:color="auto" w:sz="4" w:space="0"/>
                    <w:left w:val="single" w:color="auto" w:sz="4" w:space="0"/>
                    <w:right w:val="single" w:color="auto" w:sz="4" w:space="0"/>
                  </w:tcBorders>
                  <w:vAlign w:val="center"/>
                </w:tcPr>
                <w:p>
                  <w:pPr>
                    <w:spacing w:line="360" w:lineRule="exact"/>
                    <w:jc w:val="center"/>
                    <w:rPr>
                      <w:color w:val="000000" w:themeColor="text1"/>
                      <w:szCs w:val="21"/>
                    </w:rPr>
                  </w:pPr>
                  <w:r>
                    <w:rPr>
                      <w:rFonts w:hint="eastAsia"/>
                      <w:color w:val="000000" w:themeColor="text1"/>
                      <w:szCs w:val="21"/>
                    </w:rPr>
                    <w:t>有组织</w:t>
                  </w:r>
                </w:p>
              </w:tc>
              <w:tc>
                <w:tcPr>
                  <w:tcW w:w="1268" w:type="dxa"/>
                  <w:tcBorders>
                    <w:top w:val="single" w:color="auto" w:sz="4" w:space="0"/>
                    <w:left w:val="single" w:color="auto" w:sz="4" w:space="0"/>
                  </w:tcBorders>
                  <w:vAlign w:val="center"/>
                </w:tcPr>
                <w:p>
                  <w:pPr>
                    <w:pStyle w:val="80"/>
                  </w:pPr>
                  <w:r>
                    <w:t>DA001排气筒</w:t>
                  </w:r>
                  <w:r>
                    <w:rPr>
                      <w:rFonts w:hint="eastAsia"/>
                    </w:rPr>
                    <w:t>、DA002排气筒</w:t>
                  </w:r>
                </w:p>
              </w:tc>
              <w:tc>
                <w:tcPr>
                  <w:tcW w:w="1171" w:type="dxa"/>
                  <w:vAlign w:val="center"/>
                </w:tcPr>
                <w:p>
                  <w:pPr>
                    <w:pStyle w:val="80"/>
                  </w:pPr>
                  <w:r>
                    <w:rPr>
                      <w:rFonts w:hint="eastAsia"/>
                    </w:rPr>
                    <w:t>颗粒物</w:t>
                  </w:r>
                </w:p>
              </w:tc>
              <w:tc>
                <w:tcPr>
                  <w:tcW w:w="949" w:type="dxa"/>
                  <w:vAlign w:val="center"/>
                </w:tcPr>
                <w:p>
                  <w:pPr>
                    <w:spacing w:line="360" w:lineRule="exact"/>
                    <w:jc w:val="center"/>
                    <w:rPr>
                      <w:color w:val="000000" w:themeColor="text1"/>
                      <w:kern w:val="0"/>
                      <w:szCs w:val="21"/>
                    </w:rPr>
                  </w:pPr>
                  <w:r>
                    <w:rPr>
                      <w:rFonts w:hint="eastAsia"/>
                      <w:color w:val="000000" w:themeColor="text1"/>
                      <w:kern w:val="0"/>
                      <w:szCs w:val="21"/>
                    </w:rPr>
                    <w:t>1次/年</w:t>
                  </w:r>
                </w:p>
              </w:tc>
              <w:tc>
                <w:tcPr>
                  <w:tcW w:w="3488" w:type="dxa"/>
                  <w:tcBorders>
                    <w:top w:val="single" w:color="auto" w:sz="4" w:space="0"/>
                  </w:tcBorders>
                  <w:vAlign w:val="center"/>
                </w:tcPr>
                <w:p>
                  <w:pPr>
                    <w:pStyle w:val="80"/>
                  </w:pPr>
                  <w:r>
                    <w:rPr>
                      <w:rFonts w:hint="eastAsia"/>
                      <w:color w:val="000000"/>
                      <w:kern w:val="2"/>
                      <w:szCs w:val="21"/>
                    </w:rPr>
                    <w:t>《大气污染物综合排放标准》（GB16297-1996）表2二级标准、《河南省重污染天气通用行业应急减排措施制定技术指南》（2024年修订稿）“通用涉PM企业绩效引领性指标”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Height w:val="1315" w:hRule="atLeast"/>
                <w:jc w:val="center"/>
              </w:trPr>
              <w:tc>
                <w:tcPr>
                  <w:tcW w:w="426" w:type="dxa"/>
                  <w:vMerge w:val="continue"/>
                  <w:tcBorders>
                    <w:right w:val="single" w:color="auto" w:sz="4" w:space="0"/>
                  </w:tcBorders>
                  <w:vAlign w:val="center"/>
                </w:tcPr>
                <w:p>
                  <w:pPr>
                    <w:spacing w:line="360" w:lineRule="exact"/>
                    <w:jc w:val="center"/>
                    <w:rPr>
                      <w:color w:val="000000" w:themeColor="text1"/>
                      <w:szCs w:val="21"/>
                      <w:highlight w:val="yellow"/>
                    </w:rPr>
                  </w:pPr>
                </w:p>
              </w:tc>
              <w:tc>
                <w:tcPr>
                  <w:tcW w:w="466" w:type="dxa"/>
                  <w:tcBorders>
                    <w:left w:val="single" w:color="auto" w:sz="4" w:space="0"/>
                    <w:right w:val="single" w:color="auto" w:sz="4" w:space="0"/>
                  </w:tcBorders>
                  <w:vAlign w:val="center"/>
                </w:tcPr>
                <w:p>
                  <w:pPr>
                    <w:spacing w:line="360" w:lineRule="exact"/>
                    <w:jc w:val="center"/>
                    <w:rPr>
                      <w:color w:val="000000" w:themeColor="text1"/>
                      <w:szCs w:val="21"/>
                    </w:rPr>
                  </w:pPr>
                  <w:r>
                    <w:rPr>
                      <w:rFonts w:hint="eastAsia"/>
                      <w:color w:val="000000" w:themeColor="text1"/>
                      <w:szCs w:val="21"/>
                    </w:rPr>
                    <w:t>无组织</w:t>
                  </w:r>
                </w:p>
              </w:tc>
              <w:tc>
                <w:tcPr>
                  <w:tcW w:w="1268" w:type="dxa"/>
                  <w:tcBorders>
                    <w:left w:val="single" w:color="auto" w:sz="4" w:space="0"/>
                  </w:tcBorders>
                  <w:vAlign w:val="center"/>
                </w:tcPr>
                <w:p>
                  <w:pPr>
                    <w:spacing w:line="360" w:lineRule="exact"/>
                    <w:ind w:left="-63" w:leftChars="-30" w:right="-63" w:rightChars="-30"/>
                    <w:jc w:val="center"/>
                    <w:rPr>
                      <w:color w:val="000000" w:themeColor="text1"/>
                      <w:szCs w:val="21"/>
                    </w:rPr>
                  </w:pPr>
                  <w:r>
                    <w:rPr>
                      <w:rFonts w:hint="eastAsia"/>
                      <w:color w:val="000000" w:themeColor="text1"/>
                      <w:szCs w:val="21"/>
                    </w:rPr>
                    <w:t>厂界</w:t>
                  </w:r>
                </w:p>
              </w:tc>
              <w:tc>
                <w:tcPr>
                  <w:tcW w:w="1171" w:type="dxa"/>
                  <w:vAlign w:val="center"/>
                </w:tcPr>
                <w:p>
                  <w:pPr>
                    <w:spacing w:line="360" w:lineRule="exact"/>
                    <w:jc w:val="center"/>
                    <w:rPr>
                      <w:color w:val="000000" w:themeColor="text1"/>
                      <w:szCs w:val="21"/>
                    </w:rPr>
                  </w:pPr>
                  <w:r>
                    <w:rPr>
                      <w:rFonts w:hint="eastAsia"/>
                      <w:color w:val="000000" w:themeColor="text1"/>
                      <w:szCs w:val="21"/>
                    </w:rPr>
                    <w:t>颗粒物</w:t>
                  </w:r>
                </w:p>
              </w:tc>
              <w:tc>
                <w:tcPr>
                  <w:tcW w:w="949" w:type="dxa"/>
                  <w:vAlign w:val="center"/>
                </w:tcPr>
                <w:p>
                  <w:pPr>
                    <w:spacing w:line="360" w:lineRule="exact"/>
                    <w:jc w:val="center"/>
                    <w:rPr>
                      <w:color w:val="000000" w:themeColor="text1"/>
                      <w:kern w:val="0"/>
                      <w:szCs w:val="21"/>
                    </w:rPr>
                  </w:pPr>
                  <w:r>
                    <w:rPr>
                      <w:rFonts w:hint="eastAsia"/>
                      <w:color w:val="000000" w:themeColor="text1"/>
                      <w:kern w:val="0"/>
                      <w:szCs w:val="21"/>
                    </w:rPr>
                    <w:t>1次/年</w:t>
                  </w:r>
                </w:p>
              </w:tc>
              <w:tc>
                <w:tcPr>
                  <w:tcW w:w="3488" w:type="dxa"/>
                  <w:vAlign w:val="center"/>
                </w:tcPr>
                <w:p>
                  <w:pPr>
                    <w:pStyle w:val="80"/>
                  </w:pPr>
                  <w:r>
                    <w:rPr>
                      <w:rFonts w:hint="eastAsia"/>
                      <w:color w:val="000000"/>
                      <w:kern w:val="2"/>
                      <w:szCs w:val="21"/>
                    </w:rPr>
                    <w:t>《大气污染物综合排放标准》（GB16297-1996）表2二级标准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Height w:val="359" w:hRule="atLeast"/>
                <w:jc w:val="center"/>
              </w:trPr>
              <w:tc>
                <w:tcPr>
                  <w:tcW w:w="892" w:type="dxa"/>
                  <w:gridSpan w:val="2"/>
                  <w:vMerge w:val="restart"/>
                  <w:vAlign w:val="center"/>
                </w:tcPr>
                <w:p>
                  <w:pPr>
                    <w:spacing w:line="360" w:lineRule="exact"/>
                    <w:jc w:val="center"/>
                    <w:rPr>
                      <w:color w:val="000000" w:themeColor="text1"/>
                      <w:szCs w:val="21"/>
                    </w:rPr>
                  </w:pPr>
                  <w:r>
                    <w:rPr>
                      <w:rFonts w:hint="eastAsia"/>
                      <w:color w:val="000000" w:themeColor="text1"/>
                      <w:szCs w:val="21"/>
                    </w:rPr>
                    <w:t>噪声</w:t>
                  </w:r>
                </w:p>
              </w:tc>
              <w:tc>
                <w:tcPr>
                  <w:tcW w:w="1268" w:type="dxa"/>
                  <w:vAlign w:val="center"/>
                </w:tcPr>
                <w:p>
                  <w:pPr>
                    <w:spacing w:line="360" w:lineRule="exact"/>
                    <w:ind w:left="-63" w:leftChars="-30" w:right="-63" w:rightChars="-30"/>
                    <w:jc w:val="center"/>
                    <w:rPr>
                      <w:color w:val="000000" w:themeColor="text1"/>
                      <w:szCs w:val="21"/>
                    </w:rPr>
                  </w:pPr>
                  <w:r>
                    <w:rPr>
                      <w:rFonts w:hint="eastAsia"/>
                      <w:color w:val="000000" w:themeColor="text1"/>
                      <w:szCs w:val="21"/>
                    </w:rPr>
                    <w:t>四周厂界</w:t>
                  </w:r>
                </w:p>
              </w:tc>
              <w:tc>
                <w:tcPr>
                  <w:tcW w:w="1171" w:type="dxa"/>
                  <w:vAlign w:val="center"/>
                </w:tcPr>
                <w:p>
                  <w:pPr>
                    <w:spacing w:line="360" w:lineRule="exact"/>
                    <w:jc w:val="center"/>
                    <w:rPr>
                      <w:color w:val="000000" w:themeColor="text1"/>
                      <w:szCs w:val="21"/>
                    </w:rPr>
                  </w:pPr>
                  <w:r>
                    <w:rPr>
                      <w:rFonts w:hint="eastAsia"/>
                      <w:color w:val="000000" w:themeColor="text1"/>
                      <w:szCs w:val="21"/>
                    </w:rPr>
                    <w:t>等效连续A声级</w:t>
                  </w:r>
                </w:p>
              </w:tc>
              <w:tc>
                <w:tcPr>
                  <w:tcW w:w="949" w:type="dxa"/>
                  <w:vAlign w:val="center"/>
                </w:tcPr>
                <w:p>
                  <w:pPr>
                    <w:spacing w:line="360" w:lineRule="exact"/>
                    <w:jc w:val="center"/>
                    <w:rPr>
                      <w:color w:val="000000" w:themeColor="text1"/>
                      <w:kern w:val="0"/>
                      <w:szCs w:val="21"/>
                    </w:rPr>
                  </w:pPr>
                  <w:r>
                    <w:rPr>
                      <w:rFonts w:hint="eastAsia"/>
                      <w:color w:val="000000" w:themeColor="text1"/>
                      <w:kern w:val="0"/>
                      <w:szCs w:val="21"/>
                    </w:rPr>
                    <w:t>1次/季</w:t>
                  </w:r>
                </w:p>
              </w:tc>
              <w:tc>
                <w:tcPr>
                  <w:tcW w:w="3488" w:type="dxa"/>
                </w:tcPr>
                <w:p>
                  <w:pPr>
                    <w:spacing w:line="360" w:lineRule="exact"/>
                    <w:ind w:left="-105" w:leftChars="-50" w:right="-105" w:rightChars="-50"/>
                    <w:jc w:val="center"/>
                    <w:rPr>
                      <w:color w:val="000000" w:themeColor="text1"/>
                      <w:kern w:val="0"/>
                      <w:szCs w:val="21"/>
                    </w:rPr>
                  </w:pPr>
                  <w:r>
                    <w:rPr>
                      <w:rFonts w:hint="eastAsia"/>
                      <w:color w:val="000000" w:themeColor="text1"/>
                      <w:kern w:val="0"/>
                      <w:szCs w:val="21"/>
                    </w:rPr>
                    <w:t>执行《工业企业厂界环境噪声排放标准》（GB12348-2008）中2类标准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Height w:val="359" w:hRule="atLeast"/>
                <w:jc w:val="center"/>
              </w:trPr>
              <w:tc>
                <w:tcPr>
                  <w:tcW w:w="892" w:type="dxa"/>
                  <w:gridSpan w:val="2"/>
                  <w:vMerge w:val="continue"/>
                  <w:vAlign w:val="center"/>
                </w:tcPr>
                <w:p>
                  <w:pPr>
                    <w:spacing w:line="360" w:lineRule="exact"/>
                    <w:jc w:val="center"/>
                    <w:rPr>
                      <w:color w:val="000000" w:themeColor="text1"/>
                      <w:szCs w:val="21"/>
                    </w:rPr>
                  </w:pPr>
                </w:p>
              </w:tc>
              <w:tc>
                <w:tcPr>
                  <w:tcW w:w="1268" w:type="dxa"/>
                  <w:vAlign w:val="center"/>
                </w:tcPr>
                <w:p>
                  <w:pPr>
                    <w:spacing w:line="360" w:lineRule="exact"/>
                    <w:ind w:left="-63" w:leftChars="-30" w:right="-63" w:rightChars="-30"/>
                    <w:jc w:val="center"/>
                    <w:rPr>
                      <w:color w:val="000000" w:themeColor="text1"/>
                      <w:szCs w:val="21"/>
                    </w:rPr>
                  </w:pPr>
                  <w:r>
                    <w:rPr>
                      <w:rFonts w:hint="eastAsia"/>
                      <w:color w:val="000000" w:themeColor="text1"/>
                      <w:szCs w:val="21"/>
                    </w:rPr>
                    <w:t>北侧居民点、东侧居民点</w:t>
                  </w:r>
                </w:p>
              </w:tc>
              <w:tc>
                <w:tcPr>
                  <w:tcW w:w="1171" w:type="dxa"/>
                  <w:vAlign w:val="center"/>
                </w:tcPr>
                <w:p>
                  <w:pPr>
                    <w:spacing w:line="360" w:lineRule="exact"/>
                    <w:jc w:val="center"/>
                    <w:rPr>
                      <w:color w:val="000000" w:themeColor="text1"/>
                      <w:szCs w:val="21"/>
                    </w:rPr>
                  </w:pPr>
                  <w:r>
                    <w:rPr>
                      <w:rFonts w:hint="eastAsia"/>
                      <w:color w:val="000000" w:themeColor="text1"/>
                      <w:szCs w:val="21"/>
                    </w:rPr>
                    <w:t>等效连续A声级</w:t>
                  </w:r>
                </w:p>
              </w:tc>
              <w:tc>
                <w:tcPr>
                  <w:tcW w:w="949" w:type="dxa"/>
                  <w:vAlign w:val="center"/>
                </w:tcPr>
                <w:p>
                  <w:pPr>
                    <w:spacing w:line="360" w:lineRule="exact"/>
                    <w:jc w:val="center"/>
                    <w:rPr>
                      <w:color w:val="000000" w:themeColor="text1"/>
                      <w:kern w:val="0"/>
                      <w:szCs w:val="21"/>
                    </w:rPr>
                  </w:pPr>
                  <w:r>
                    <w:rPr>
                      <w:rFonts w:hint="eastAsia"/>
                      <w:color w:val="000000" w:themeColor="text1"/>
                      <w:kern w:val="0"/>
                      <w:szCs w:val="21"/>
                    </w:rPr>
                    <w:t>1次/季</w:t>
                  </w:r>
                </w:p>
              </w:tc>
              <w:tc>
                <w:tcPr>
                  <w:tcW w:w="3488" w:type="dxa"/>
                </w:tcPr>
                <w:p>
                  <w:pPr>
                    <w:spacing w:line="360" w:lineRule="exact"/>
                    <w:ind w:left="-105" w:leftChars="-50" w:right="-105" w:rightChars="-50"/>
                    <w:jc w:val="center"/>
                    <w:rPr>
                      <w:color w:val="000000" w:themeColor="text1"/>
                      <w:kern w:val="0"/>
                      <w:szCs w:val="21"/>
                    </w:rPr>
                  </w:pPr>
                  <w:r>
                    <w:rPr>
                      <w:rFonts w:hint="eastAsia"/>
                      <w:color w:val="000000" w:themeColor="text1"/>
                      <w:kern w:val="0"/>
                      <w:szCs w:val="21"/>
                    </w:rPr>
                    <w:t>《声环境质量标准》（GB3096-2008）中2类区标准</w:t>
                  </w:r>
                </w:p>
              </w:tc>
            </w:tr>
          </w:tbl>
          <w:p>
            <w:pPr>
              <w:tabs>
                <w:tab w:val="left" w:pos="1081"/>
              </w:tabs>
              <w:adjustRightInd w:val="0"/>
              <w:snapToGrid w:val="0"/>
              <w:spacing w:line="360" w:lineRule="auto"/>
              <w:ind w:firstLine="482" w:firstLineChars="200"/>
              <w:outlineLvl w:val="1"/>
              <w:rPr>
                <w:b/>
                <w:bCs/>
                <w:color w:val="000000" w:themeColor="text1"/>
                <w:sz w:val="24"/>
                <w:szCs w:val="22"/>
              </w:rPr>
            </w:pPr>
            <w:r>
              <w:rPr>
                <w:rFonts w:hint="eastAsia"/>
                <w:b/>
                <w:bCs/>
                <w:color w:val="000000" w:themeColor="text1"/>
                <w:sz w:val="24"/>
                <w:szCs w:val="22"/>
              </w:rPr>
              <w:t>8、规范化排污口</w:t>
            </w:r>
          </w:p>
          <w:p>
            <w:pPr>
              <w:tabs>
                <w:tab w:val="left" w:pos="1081"/>
              </w:tabs>
              <w:adjustRightInd w:val="0"/>
              <w:snapToGrid w:val="0"/>
              <w:spacing w:line="360" w:lineRule="auto"/>
              <w:ind w:firstLine="480" w:firstLineChars="200"/>
              <w:outlineLvl w:val="1"/>
              <w:rPr>
                <w:color w:val="000000" w:themeColor="text1"/>
                <w:sz w:val="24"/>
                <w:szCs w:val="22"/>
              </w:rPr>
            </w:pPr>
            <w:r>
              <w:rPr>
                <w:rFonts w:hint="eastAsia"/>
                <w:color w:val="000000" w:themeColor="text1"/>
                <w:sz w:val="24"/>
                <w:szCs w:val="22"/>
              </w:rPr>
              <w:t>项目设置2个废气排放口（DA001、DA002）。</w:t>
            </w:r>
          </w:p>
          <w:p>
            <w:pPr>
              <w:adjustRightInd w:val="0"/>
              <w:snapToGrid w:val="0"/>
              <w:spacing w:line="360" w:lineRule="auto"/>
              <w:ind w:firstLine="480" w:firstLineChars="200"/>
              <w:outlineLvl w:val="1"/>
              <w:rPr>
                <w:color w:val="000000" w:themeColor="text1"/>
                <w:sz w:val="24"/>
                <w:szCs w:val="22"/>
              </w:rPr>
            </w:pPr>
            <w:r>
              <w:rPr>
                <w:rFonts w:hint="eastAsia"/>
                <w:color w:val="000000" w:themeColor="text1"/>
                <w:sz w:val="24"/>
                <w:szCs w:val="22"/>
              </w:rPr>
              <w:t>根据《排污口规范化整治技术要求》（环监[1996]470号）提出如下建议：</w:t>
            </w:r>
          </w:p>
          <w:p>
            <w:pPr>
              <w:adjustRightInd w:val="0"/>
              <w:snapToGrid w:val="0"/>
              <w:spacing w:line="360" w:lineRule="auto"/>
              <w:ind w:firstLine="480" w:firstLineChars="200"/>
              <w:outlineLvl w:val="1"/>
              <w:rPr>
                <w:color w:val="000000" w:themeColor="text1"/>
                <w:sz w:val="24"/>
                <w:szCs w:val="22"/>
              </w:rPr>
            </w:pPr>
            <w:r>
              <w:rPr>
                <w:rFonts w:hint="eastAsia"/>
                <w:color w:val="000000" w:themeColor="text1"/>
                <w:sz w:val="24"/>
                <w:szCs w:val="22"/>
              </w:rPr>
              <w:t>①排污口规范化整治应遵循便于采集样品，便于计量监测，便于日常现场监督检查的原则；</w:t>
            </w:r>
          </w:p>
          <w:p>
            <w:pPr>
              <w:adjustRightInd w:val="0"/>
              <w:snapToGrid w:val="0"/>
              <w:spacing w:line="360" w:lineRule="auto"/>
              <w:ind w:firstLine="480" w:firstLineChars="200"/>
              <w:outlineLvl w:val="1"/>
              <w:rPr>
                <w:color w:val="000000" w:themeColor="text1"/>
                <w:sz w:val="24"/>
                <w:szCs w:val="22"/>
              </w:rPr>
            </w:pPr>
            <w:r>
              <w:rPr>
                <w:rFonts w:hint="eastAsia"/>
                <w:color w:val="000000" w:themeColor="text1"/>
                <w:sz w:val="24"/>
                <w:szCs w:val="22"/>
              </w:rPr>
              <w:t>②排气筒应设置便于采样、监测的采样口。采样口的设置应符合《污染源监测技术规范》要求；</w:t>
            </w:r>
          </w:p>
          <w:p>
            <w:pPr>
              <w:adjustRightInd w:val="0"/>
              <w:snapToGrid w:val="0"/>
              <w:spacing w:line="360" w:lineRule="auto"/>
              <w:ind w:firstLine="480" w:firstLineChars="200"/>
              <w:outlineLvl w:val="1"/>
              <w:rPr>
                <w:color w:val="000000" w:themeColor="text1"/>
                <w:sz w:val="24"/>
                <w:szCs w:val="22"/>
              </w:rPr>
            </w:pPr>
            <w:r>
              <w:rPr>
                <w:rFonts w:hint="eastAsia"/>
                <w:color w:val="000000" w:themeColor="text1"/>
                <w:sz w:val="24"/>
                <w:szCs w:val="22"/>
              </w:rPr>
              <w:t>③采样口位置无法满足“规范”要求的，其监测位置由当地环境监测部门确认；</w:t>
            </w:r>
          </w:p>
          <w:p>
            <w:pPr>
              <w:adjustRightInd w:val="0"/>
              <w:snapToGrid w:val="0"/>
              <w:spacing w:line="360" w:lineRule="auto"/>
              <w:ind w:firstLine="480" w:firstLineChars="200"/>
              <w:outlineLvl w:val="1"/>
              <w:rPr>
                <w:color w:val="000000" w:themeColor="text1"/>
                <w:sz w:val="24"/>
                <w:szCs w:val="22"/>
              </w:rPr>
            </w:pPr>
            <w:r>
              <w:rPr>
                <w:rFonts w:hint="eastAsia"/>
                <w:color w:val="000000" w:themeColor="text1"/>
                <w:sz w:val="24"/>
                <w:szCs w:val="22"/>
              </w:rPr>
              <w:t>④污染物排放口必须实行规范化整治，按照国家标准《环境保护图形标志 排放口（源）》（GB15562.1-1995）、《环境保护图形标志 固体废物贮存（处置）场》（GB15562.2-1995）及2023年修改单等标准规定，设置与之相适应的环境保护图形标志牌；</w:t>
            </w:r>
          </w:p>
          <w:p>
            <w:pPr>
              <w:adjustRightInd w:val="0"/>
              <w:snapToGrid w:val="0"/>
              <w:spacing w:line="360" w:lineRule="auto"/>
              <w:ind w:firstLine="480" w:firstLineChars="200"/>
              <w:outlineLvl w:val="1"/>
              <w:rPr>
                <w:color w:val="000000" w:themeColor="text1"/>
                <w:sz w:val="24"/>
                <w:szCs w:val="22"/>
              </w:rPr>
            </w:pPr>
            <w:r>
              <w:rPr>
                <w:rFonts w:hint="eastAsia"/>
                <w:color w:val="000000" w:themeColor="text1"/>
                <w:sz w:val="24"/>
                <w:szCs w:val="22"/>
              </w:rPr>
              <w:t>⑤排放口必须使用由国家统一定点制作和监制的环境保护图形标志牌；</w:t>
            </w:r>
          </w:p>
          <w:p>
            <w:pPr>
              <w:adjustRightInd w:val="0"/>
              <w:snapToGrid w:val="0"/>
              <w:spacing w:line="360" w:lineRule="auto"/>
              <w:ind w:firstLine="480" w:firstLineChars="200"/>
              <w:outlineLvl w:val="1"/>
              <w:rPr>
                <w:color w:val="000000" w:themeColor="text1"/>
                <w:sz w:val="24"/>
                <w:szCs w:val="22"/>
              </w:rPr>
            </w:pPr>
            <w:r>
              <w:rPr>
                <w:rFonts w:hint="eastAsia"/>
                <w:color w:val="000000" w:themeColor="text1"/>
                <w:sz w:val="24"/>
                <w:szCs w:val="22"/>
              </w:rPr>
              <w:t>⑥环境保护图形标志牌设置位置应距污染物排放口（源）及采样点较近且醒目处，并能长久保留，设置高度一般为：环境保护图形标志牌上缘距离地面2米；</w:t>
            </w:r>
          </w:p>
          <w:p>
            <w:pPr>
              <w:adjustRightInd w:val="0"/>
              <w:snapToGrid w:val="0"/>
              <w:spacing w:line="360" w:lineRule="auto"/>
              <w:ind w:firstLine="480" w:firstLineChars="200"/>
              <w:outlineLvl w:val="1"/>
              <w:rPr>
                <w:color w:val="000000" w:themeColor="text1"/>
                <w:sz w:val="24"/>
                <w:szCs w:val="22"/>
              </w:rPr>
            </w:pPr>
            <w:r>
              <w:rPr>
                <w:rFonts w:hint="eastAsia"/>
                <w:color w:val="000000" w:themeColor="text1"/>
                <w:sz w:val="24"/>
                <w:szCs w:val="22"/>
              </w:rPr>
              <w:t>⑦环境保护图形标志牌的辅助标志上，需要填写的栏目，要求字迹工整，字的颜色，与标志牌颜色要总体协调。</w:t>
            </w:r>
          </w:p>
          <w:p>
            <w:pPr>
              <w:adjustRightInd w:val="0"/>
              <w:snapToGrid w:val="0"/>
              <w:spacing w:line="360" w:lineRule="auto"/>
              <w:ind w:firstLine="480" w:firstLineChars="200"/>
              <w:outlineLvl w:val="1"/>
              <w:rPr>
                <w:color w:val="000000" w:themeColor="text1"/>
                <w:sz w:val="24"/>
                <w:szCs w:val="22"/>
              </w:rPr>
            </w:pPr>
            <w:r>
              <w:rPr>
                <w:rFonts w:hint="eastAsia"/>
                <w:color w:val="000000" w:themeColor="text1"/>
                <w:sz w:val="24"/>
                <w:szCs w:val="22"/>
              </w:rPr>
              <w:t>项目环境保护图形符号见下表。</w:t>
            </w:r>
          </w:p>
          <w:p>
            <w:pPr>
              <w:pStyle w:val="2"/>
              <w:spacing w:after="0"/>
              <w:ind w:left="0" w:leftChars="0" w:firstLine="482"/>
              <w:jc w:val="center"/>
              <w:rPr>
                <w:b/>
                <w:color w:val="000000" w:themeColor="text1"/>
                <w:sz w:val="24"/>
                <w:szCs w:val="24"/>
              </w:rPr>
            </w:pPr>
            <w:r>
              <w:rPr>
                <w:rFonts w:hint="eastAsia"/>
                <w:b/>
                <w:color w:val="000000" w:themeColor="text1"/>
                <w:sz w:val="24"/>
                <w:szCs w:val="24"/>
              </w:rPr>
              <w:t>表4-15   项目排污口环境保护图形标志一览表</w:t>
            </w:r>
          </w:p>
          <w:tbl>
            <w:tblPr>
              <w:tblStyle w:val="26"/>
              <w:tblW w:w="777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3"/>
              <w:gridCol w:w="2931"/>
              <w:gridCol w:w="28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73" w:type="dxa"/>
                  <w:vAlign w:val="center"/>
                </w:tcPr>
                <w:p>
                  <w:pPr>
                    <w:spacing w:line="320" w:lineRule="exact"/>
                    <w:jc w:val="center"/>
                    <w:outlineLvl w:val="1"/>
                    <w:rPr>
                      <w:rFonts w:hAnsi="宋体"/>
                      <w:color w:val="000000" w:themeColor="text1"/>
                      <w:szCs w:val="21"/>
                    </w:rPr>
                  </w:pPr>
                  <w:r>
                    <w:rPr>
                      <w:rFonts w:hint="eastAsia" w:hAnsi="宋体"/>
                      <w:color w:val="000000" w:themeColor="text1"/>
                      <w:szCs w:val="21"/>
                    </w:rPr>
                    <w:t>排污口名称</w:t>
                  </w:r>
                </w:p>
              </w:tc>
              <w:tc>
                <w:tcPr>
                  <w:tcW w:w="2931" w:type="dxa"/>
                  <w:vAlign w:val="center"/>
                </w:tcPr>
                <w:p>
                  <w:pPr>
                    <w:spacing w:line="320" w:lineRule="exact"/>
                    <w:jc w:val="center"/>
                    <w:outlineLvl w:val="1"/>
                    <w:rPr>
                      <w:rFonts w:hAnsi="宋体"/>
                      <w:color w:val="000000" w:themeColor="text1"/>
                      <w:szCs w:val="21"/>
                    </w:rPr>
                  </w:pPr>
                  <w:r>
                    <w:rPr>
                      <w:rFonts w:hint="eastAsia" w:hAnsi="宋体"/>
                      <w:color w:val="000000" w:themeColor="text1"/>
                      <w:szCs w:val="21"/>
                    </w:rPr>
                    <w:t>提示图形符号</w:t>
                  </w:r>
                </w:p>
              </w:tc>
              <w:tc>
                <w:tcPr>
                  <w:tcW w:w="2870" w:type="dxa"/>
                  <w:vAlign w:val="center"/>
                </w:tcPr>
                <w:p>
                  <w:pPr>
                    <w:spacing w:line="320" w:lineRule="exact"/>
                    <w:jc w:val="center"/>
                    <w:outlineLvl w:val="1"/>
                    <w:rPr>
                      <w:rFonts w:hAnsi="宋体"/>
                      <w:color w:val="000000" w:themeColor="text1"/>
                      <w:szCs w:val="21"/>
                    </w:rPr>
                  </w:pPr>
                  <w:r>
                    <w:rPr>
                      <w:rFonts w:hAnsi="宋体"/>
                      <w:color w:val="000000" w:themeColor="text1"/>
                      <w:szCs w:val="21"/>
                    </w:rPr>
                    <w:t>警告图形符号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94" w:hRule="atLeast"/>
                <w:jc w:val="center"/>
              </w:trPr>
              <w:tc>
                <w:tcPr>
                  <w:tcW w:w="1973" w:type="dxa"/>
                  <w:vAlign w:val="center"/>
                </w:tcPr>
                <w:p>
                  <w:pPr>
                    <w:spacing w:line="320" w:lineRule="exact"/>
                    <w:jc w:val="center"/>
                    <w:outlineLvl w:val="1"/>
                    <w:rPr>
                      <w:rFonts w:hAnsi="宋体"/>
                      <w:color w:val="000000" w:themeColor="text1"/>
                      <w:szCs w:val="21"/>
                    </w:rPr>
                  </w:pPr>
                  <w:r>
                    <w:rPr>
                      <w:rFonts w:hint="eastAsia" w:hAnsi="宋体"/>
                      <w:color w:val="000000" w:themeColor="text1"/>
                      <w:szCs w:val="21"/>
                    </w:rPr>
                    <w:t>废气排放口</w:t>
                  </w:r>
                </w:p>
              </w:tc>
              <w:tc>
                <w:tcPr>
                  <w:tcW w:w="2931" w:type="dxa"/>
                  <w:vAlign w:val="bottom"/>
                </w:tcPr>
                <w:p>
                  <w:pPr>
                    <w:spacing w:line="360" w:lineRule="auto"/>
                    <w:jc w:val="center"/>
                    <w:rPr>
                      <w:color w:val="000000" w:themeColor="text1"/>
                      <w:szCs w:val="22"/>
                    </w:rPr>
                  </w:pPr>
                  <w:r>
                    <w:rPr>
                      <w:color w:val="000000" w:themeColor="text1"/>
                      <w:szCs w:val="22"/>
                    </w:rPr>
                    <w:drawing>
                      <wp:inline distT="0" distB="0" distL="0" distR="0">
                        <wp:extent cx="914400" cy="914400"/>
                        <wp:effectExtent l="0" t="0" r="0" b="0"/>
                        <wp:docPr id="25"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914400" cy="914400"/>
                                </a:xfrm>
                                <a:prstGeom prst="rect">
                                  <a:avLst/>
                                </a:prstGeom>
                                <a:noFill/>
                                <a:ln>
                                  <a:noFill/>
                                </a:ln>
                              </pic:spPr>
                            </pic:pic>
                          </a:graphicData>
                        </a:graphic>
                      </wp:inline>
                    </w:drawing>
                  </w:r>
                </w:p>
              </w:tc>
              <w:tc>
                <w:tcPr>
                  <w:tcW w:w="2870" w:type="dxa"/>
                  <w:vAlign w:val="bottom"/>
                </w:tcPr>
                <w:p>
                  <w:pPr>
                    <w:spacing w:line="360" w:lineRule="auto"/>
                    <w:jc w:val="center"/>
                    <w:rPr>
                      <w:color w:val="000000" w:themeColor="text1"/>
                      <w:szCs w:val="22"/>
                    </w:rPr>
                  </w:pPr>
                  <w:r>
                    <w:rPr>
                      <w:color w:val="000000" w:themeColor="text1"/>
                      <w:szCs w:val="22"/>
                    </w:rPr>
                    <w:drawing>
                      <wp:inline distT="0" distB="0" distL="0" distR="0">
                        <wp:extent cx="1020445" cy="925195"/>
                        <wp:effectExtent l="0" t="0" r="8255" b="8255"/>
                        <wp:docPr id="26"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1020445" cy="9251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11" w:hRule="atLeast"/>
                <w:jc w:val="center"/>
              </w:trPr>
              <w:tc>
                <w:tcPr>
                  <w:tcW w:w="1973" w:type="dxa"/>
                  <w:vAlign w:val="center"/>
                </w:tcPr>
                <w:p>
                  <w:pPr>
                    <w:spacing w:line="320" w:lineRule="exact"/>
                    <w:jc w:val="center"/>
                    <w:outlineLvl w:val="1"/>
                    <w:rPr>
                      <w:rFonts w:hAnsi="宋体"/>
                      <w:color w:val="000000" w:themeColor="text1"/>
                      <w:szCs w:val="21"/>
                    </w:rPr>
                  </w:pPr>
                  <w:r>
                    <w:rPr>
                      <w:rFonts w:hint="eastAsia" w:hAnsi="宋体"/>
                      <w:color w:val="000000" w:themeColor="text1"/>
                      <w:szCs w:val="21"/>
                    </w:rPr>
                    <w:t>噪声排放源</w:t>
                  </w:r>
                </w:p>
              </w:tc>
              <w:tc>
                <w:tcPr>
                  <w:tcW w:w="2931" w:type="dxa"/>
                  <w:vAlign w:val="center"/>
                </w:tcPr>
                <w:p>
                  <w:pPr>
                    <w:spacing w:line="360" w:lineRule="auto"/>
                    <w:jc w:val="center"/>
                    <w:rPr>
                      <w:rFonts w:hAnsi="宋体"/>
                      <w:color w:val="000000" w:themeColor="text1"/>
                      <w:szCs w:val="21"/>
                    </w:rPr>
                  </w:pPr>
                  <w:r>
                    <w:rPr>
                      <w:color w:val="000000" w:themeColor="text1"/>
                      <w:szCs w:val="22"/>
                    </w:rPr>
                    <w:drawing>
                      <wp:inline distT="0" distB="0" distL="0" distR="0">
                        <wp:extent cx="956945" cy="956945"/>
                        <wp:effectExtent l="0" t="0" r="14605" b="14605"/>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956945" cy="956945"/>
                                </a:xfrm>
                                <a:prstGeom prst="rect">
                                  <a:avLst/>
                                </a:prstGeom>
                                <a:noFill/>
                                <a:ln>
                                  <a:noFill/>
                                </a:ln>
                              </pic:spPr>
                            </pic:pic>
                          </a:graphicData>
                        </a:graphic>
                      </wp:inline>
                    </w:drawing>
                  </w:r>
                </w:p>
              </w:tc>
              <w:tc>
                <w:tcPr>
                  <w:tcW w:w="2870" w:type="dxa"/>
                  <w:vAlign w:val="center"/>
                </w:tcPr>
                <w:p>
                  <w:pPr>
                    <w:spacing w:line="360" w:lineRule="auto"/>
                    <w:jc w:val="center"/>
                    <w:rPr>
                      <w:rFonts w:hAnsi="宋体"/>
                      <w:color w:val="000000" w:themeColor="text1"/>
                      <w:szCs w:val="21"/>
                    </w:rPr>
                  </w:pPr>
                  <w:r>
                    <w:rPr>
                      <w:color w:val="000000" w:themeColor="text1"/>
                      <w:szCs w:val="22"/>
                    </w:rPr>
                    <w:drawing>
                      <wp:inline distT="0" distB="0" distL="0" distR="0">
                        <wp:extent cx="1137920" cy="1010285"/>
                        <wp:effectExtent l="0" t="0" r="5080" b="18415"/>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1137920" cy="10102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11" w:hRule="atLeast"/>
                <w:jc w:val="center"/>
              </w:trPr>
              <w:tc>
                <w:tcPr>
                  <w:tcW w:w="1973" w:type="dxa"/>
                  <w:vAlign w:val="center"/>
                </w:tcPr>
                <w:p>
                  <w:pPr>
                    <w:spacing w:line="320" w:lineRule="exact"/>
                    <w:jc w:val="center"/>
                    <w:outlineLvl w:val="1"/>
                    <w:rPr>
                      <w:rFonts w:hAnsi="宋体"/>
                      <w:color w:val="000000" w:themeColor="text1"/>
                      <w:szCs w:val="21"/>
                    </w:rPr>
                  </w:pPr>
                  <w:r>
                    <w:rPr>
                      <w:rFonts w:hint="eastAsia" w:hAnsi="宋体"/>
                      <w:color w:val="000000" w:themeColor="text1"/>
                      <w:szCs w:val="21"/>
                    </w:rPr>
                    <w:t>一般固废</w:t>
                  </w:r>
                </w:p>
              </w:tc>
              <w:tc>
                <w:tcPr>
                  <w:tcW w:w="2931" w:type="dxa"/>
                  <w:vAlign w:val="center"/>
                </w:tcPr>
                <w:p>
                  <w:pPr>
                    <w:jc w:val="center"/>
                    <w:rPr>
                      <w:color w:val="000000" w:themeColor="text1"/>
                      <w:szCs w:val="22"/>
                    </w:rPr>
                  </w:pPr>
                  <w:r>
                    <w:rPr>
                      <w:color w:val="000000" w:themeColor="text1"/>
                      <w:szCs w:val="22"/>
                    </w:rPr>
                    <w:drawing>
                      <wp:inline distT="0" distB="0" distL="0" distR="0">
                        <wp:extent cx="999490" cy="1010285"/>
                        <wp:effectExtent l="0" t="0" r="10160" b="18415"/>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999490" cy="1010285"/>
                                </a:xfrm>
                                <a:prstGeom prst="rect">
                                  <a:avLst/>
                                </a:prstGeom>
                                <a:noFill/>
                                <a:ln>
                                  <a:noFill/>
                                </a:ln>
                              </pic:spPr>
                            </pic:pic>
                          </a:graphicData>
                        </a:graphic>
                      </wp:inline>
                    </w:drawing>
                  </w:r>
                </w:p>
              </w:tc>
              <w:tc>
                <w:tcPr>
                  <w:tcW w:w="2870" w:type="dxa"/>
                  <w:vAlign w:val="center"/>
                </w:tcPr>
                <w:p>
                  <w:pPr>
                    <w:jc w:val="center"/>
                    <w:rPr>
                      <w:color w:val="000000" w:themeColor="text1"/>
                      <w:szCs w:val="22"/>
                    </w:rPr>
                  </w:pPr>
                  <w:r>
                    <w:rPr>
                      <w:color w:val="000000" w:themeColor="text1"/>
                      <w:szCs w:val="22"/>
                    </w:rPr>
                    <w:drawing>
                      <wp:inline distT="0" distB="0" distL="0" distR="0">
                        <wp:extent cx="1148080" cy="1042035"/>
                        <wp:effectExtent l="0" t="0" r="13970" b="5715"/>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1148080" cy="1042035"/>
                                </a:xfrm>
                                <a:prstGeom prst="rect">
                                  <a:avLst/>
                                </a:prstGeom>
                                <a:noFill/>
                                <a:ln>
                                  <a:noFill/>
                                </a:ln>
                              </pic:spPr>
                            </pic:pic>
                          </a:graphicData>
                        </a:graphic>
                      </wp:inline>
                    </w:drawing>
                  </w:r>
                </w:p>
              </w:tc>
            </w:tr>
          </w:tbl>
          <w:p>
            <w:pPr>
              <w:tabs>
                <w:tab w:val="left" w:pos="1081"/>
              </w:tabs>
              <w:adjustRightInd w:val="0"/>
              <w:snapToGrid w:val="0"/>
              <w:spacing w:line="360" w:lineRule="auto"/>
              <w:ind w:firstLine="482" w:firstLineChars="200"/>
              <w:rPr>
                <w:b/>
                <w:color w:val="000000"/>
                <w:sz w:val="24"/>
              </w:rPr>
            </w:pPr>
            <w:r>
              <w:rPr>
                <w:rFonts w:hint="eastAsia"/>
                <w:b/>
                <w:color w:val="000000"/>
                <w:sz w:val="24"/>
              </w:rPr>
              <w:t>9</w:t>
            </w:r>
            <w:r>
              <w:rPr>
                <w:b/>
                <w:color w:val="000000"/>
                <w:sz w:val="24"/>
              </w:rPr>
              <w:t>、环保投资估算</w:t>
            </w:r>
          </w:p>
          <w:p>
            <w:pPr>
              <w:tabs>
                <w:tab w:val="left" w:pos="1081"/>
              </w:tabs>
              <w:adjustRightInd w:val="0"/>
              <w:snapToGrid w:val="0"/>
              <w:spacing w:line="360" w:lineRule="auto"/>
              <w:ind w:firstLine="480" w:firstLineChars="200"/>
              <w:rPr>
                <w:color w:val="000000"/>
                <w:sz w:val="24"/>
              </w:rPr>
            </w:pPr>
            <w:r>
              <w:rPr>
                <w:color w:val="000000"/>
                <w:sz w:val="24"/>
              </w:rPr>
              <w:t>工程环保项目投资概算见表4-</w:t>
            </w:r>
            <w:r>
              <w:rPr>
                <w:rFonts w:hint="eastAsia"/>
                <w:color w:val="000000"/>
                <w:sz w:val="24"/>
              </w:rPr>
              <w:t>16</w:t>
            </w:r>
            <w:r>
              <w:rPr>
                <w:color w:val="000000"/>
                <w:sz w:val="24"/>
              </w:rPr>
              <w:t>。</w:t>
            </w:r>
          </w:p>
          <w:p>
            <w:pPr>
              <w:tabs>
                <w:tab w:val="left" w:pos="1081"/>
              </w:tabs>
              <w:adjustRightInd w:val="0"/>
              <w:snapToGrid w:val="0"/>
              <w:spacing w:line="360" w:lineRule="auto"/>
              <w:jc w:val="center"/>
              <w:rPr>
                <w:b/>
                <w:color w:val="000000"/>
                <w:sz w:val="24"/>
              </w:rPr>
            </w:pPr>
            <w:r>
              <w:rPr>
                <w:b/>
                <w:color w:val="000000"/>
                <w:sz w:val="24"/>
              </w:rPr>
              <w:t>表4-</w:t>
            </w:r>
            <w:r>
              <w:rPr>
                <w:rFonts w:hint="eastAsia"/>
                <w:b/>
                <w:color w:val="000000"/>
                <w:sz w:val="24"/>
              </w:rPr>
              <w:t>16</w:t>
            </w:r>
            <w:r>
              <w:rPr>
                <w:b/>
                <w:color w:val="000000"/>
                <w:sz w:val="24"/>
              </w:rPr>
              <w:t xml:space="preserve">       环保投资一览表</w:t>
            </w:r>
          </w:p>
          <w:tbl>
            <w:tblPr>
              <w:tblStyle w:val="26"/>
              <w:tblW w:w="777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6"/>
              <w:gridCol w:w="1057"/>
              <w:gridCol w:w="1465"/>
              <w:gridCol w:w="3593"/>
              <w:gridCol w:w="10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656" w:type="dxa"/>
                  <w:tcMar>
                    <w:top w:w="57" w:type="dxa"/>
                    <w:bottom w:w="57" w:type="dxa"/>
                  </w:tcMar>
                  <w:vAlign w:val="center"/>
                </w:tcPr>
                <w:p>
                  <w:pPr>
                    <w:snapToGrid w:val="0"/>
                    <w:jc w:val="center"/>
                    <w:rPr>
                      <w:color w:val="000000"/>
                      <w:szCs w:val="21"/>
                    </w:rPr>
                  </w:pPr>
                  <w:r>
                    <w:rPr>
                      <w:color w:val="000000"/>
                      <w:szCs w:val="21"/>
                    </w:rPr>
                    <w:t>类型</w:t>
                  </w:r>
                </w:p>
              </w:tc>
              <w:tc>
                <w:tcPr>
                  <w:tcW w:w="1057" w:type="dxa"/>
                  <w:tcMar>
                    <w:top w:w="57" w:type="dxa"/>
                    <w:bottom w:w="57" w:type="dxa"/>
                  </w:tcMar>
                  <w:vAlign w:val="center"/>
                </w:tcPr>
                <w:p>
                  <w:pPr>
                    <w:snapToGrid w:val="0"/>
                    <w:jc w:val="center"/>
                    <w:rPr>
                      <w:color w:val="000000"/>
                      <w:szCs w:val="21"/>
                    </w:rPr>
                  </w:pPr>
                  <w:r>
                    <w:rPr>
                      <w:color w:val="000000"/>
                      <w:szCs w:val="21"/>
                    </w:rPr>
                    <w:t>主要</w:t>
                  </w:r>
                </w:p>
                <w:p>
                  <w:pPr>
                    <w:snapToGrid w:val="0"/>
                    <w:jc w:val="center"/>
                    <w:rPr>
                      <w:color w:val="000000"/>
                      <w:szCs w:val="21"/>
                    </w:rPr>
                  </w:pPr>
                  <w:r>
                    <w:rPr>
                      <w:color w:val="000000"/>
                      <w:szCs w:val="21"/>
                    </w:rPr>
                    <w:t>污染源</w:t>
                  </w:r>
                </w:p>
              </w:tc>
              <w:tc>
                <w:tcPr>
                  <w:tcW w:w="1465" w:type="dxa"/>
                  <w:tcMar>
                    <w:top w:w="57" w:type="dxa"/>
                    <w:bottom w:w="57" w:type="dxa"/>
                  </w:tcMar>
                  <w:vAlign w:val="center"/>
                </w:tcPr>
                <w:p>
                  <w:pPr>
                    <w:snapToGrid w:val="0"/>
                    <w:jc w:val="center"/>
                    <w:rPr>
                      <w:color w:val="000000"/>
                      <w:szCs w:val="21"/>
                    </w:rPr>
                  </w:pPr>
                  <w:r>
                    <w:rPr>
                      <w:color w:val="000000"/>
                      <w:szCs w:val="21"/>
                    </w:rPr>
                    <w:t>主要污染物</w:t>
                  </w:r>
                </w:p>
              </w:tc>
              <w:tc>
                <w:tcPr>
                  <w:tcW w:w="3593" w:type="dxa"/>
                  <w:tcMar>
                    <w:top w:w="57" w:type="dxa"/>
                    <w:bottom w:w="57" w:type="dxa"/>
                  </w:tcMar>
                  <w:vAlign w:val="center"/>
                </w:tcPr>
                <w:p>
                  <w:pPr>
                    <w:snapToGrid w:val="0"/>
                    <w:jc w:val="center"/>
                    <w:rPr>
                      <w:color w:val="000000"/>
                      <w:szCs w:val="21"/>
                    </w:rPr>
                  </w:pPr>
                  <w:r>
                    <w:rPr>
                      <w:color w:val="000000"/>
                      <w:szCs w:val="21"/>
                    </w:rPr>
                    <w:t>采取措施</w:t>
                  </w:r>
                </w:p>
              </w:tc>
              <w:tc>
                <w:tcPr>
                  <w:tcW w:w="1003" w:type="dxa"/>
                  <w:vAlign w:val="center"/>
                </w:tcPr>
                <w:p>
                  <w:pPr>
                    <w:snapToGrid w:val="0"/>
                    <w:jc w:val="center"/>
                    <w:rPr>
                      <w:color w:val="000000"/>
                      <w:szCs w:val="21"/>
                    </w:rPr>
                  </w:pPr>
                  <w:r>
                    <w:rPr>
                      <w:color w:val="000000"/>
                      <w:szCs w:val="21"/>
                    </w:rPr>
                    <w:t>环保投资</w:t>
                  </w:r>
                </w:p>
                <w:p>
                  <w:pPr>
                    <w:snapToGrid w:val="0"/>
                    <w:jc w:val="center"/>
                    <w:rPr>
                      <w:color w:val="000000"/>
                      <w:szCs w:val="21"/>
                    </w:rPr>
                  </w:pPr>
                  <w:r>
                    <w:rPr>
                      <w:color w:val="000000"/>
                      <w:szCs w:val="21"/>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656" w:type="dxa"/>
                  <w:vMerge w:val="restart"/>
                  <w:tcMar>
                    <w:top w:w="57" w:type="dxa"/>
                    <w:bottom w:w="57" w:type="dxa"/>
                  </w:tcMar>
                  <w:vAlign w:val="center"/>
                </w:tcPr>
                <w:p>
                  <w:pPr>
                    <w:snapToGrid w:val="0"/>
                    <w:jc w:val="center"/>
                    <w:rPr>
                      <w:color w:val="000000"/>
                      <w:szCs w:val="21"/>
                    </w:rPr>
                  </w:pPr>
                  <w:r>
                    <w:rPr>
                      <w:color w:val="000000"/>
                      <w:szCs w:val="21"/>
                    </w:rPr>
                    <w:t>废气</w:t>
                  </w:r>
                </w:p>
              </w:tc>
              <w:tc>
                <w:tcPr>
                  <w:tcW w:w="1057" w:type="dxa"/>
                  <w:tcMar>
                    <w:top w:w="57" w:type="dxa"/>
                    <w:bottom w:w="57" w:type="dxa"/>
                  </w:tcMar>
                  <w:vAlign w:val="center"/>
                </w:tcPr>
                <w:p>
                  <w:pPr>
                    <w:jc w:val="center"/>
                    <w:outlineLvl w:val="0"/>
                    <w:rPr>
                      <w:color w:val="000000"/>
                      <w:szCs w:val="21"/>
                    </w:rPr>
                  </w:pPr>
                  <w:r>
                    <w:rPr>
                      <w:rFonts w:hint="eastAsia"/>
                      <w:color w:val="000000"/>
                      <w:szCs w:val="21"/>
                    </w:rPr>
                    <w:t>破捆、粉碎、提绒工序</w:t>
                  </w:r>
                </w:p>
              </w:tc>
              <w:tc>
                <w:tcPr>
                  <w:tcW w:w="1465" w:type="dxa"/>
                  <w:tcMar>
                    <w:top w:w="57" w:type="dxa"/>
                    <w:bottom w:w="57" w:type="dxa"/>
                  </w:tcMar>
                  <w:vAlign w:val="center"/>
                </w:tcPr>
                <w:p>
                  <w:pPr>
                    <w:jc w:val="center"/>
                    <w:outlineLvl w:val="0"/>
                    <w:rPr>
                      <w:color w:val="000000"/>
                      <w:szCs w:val="21"/>
                    </w:rPr>
                  </w:pPr>
                  <w:r>
                    <w:rPr>
                      <w:rFonts w:hint="eastAsia"/>
                      <w:color w:val="000000"/>
                      <w:szCs w:val="21"/>
                    </w:rPr>
                    <w:t>颗粒物</w:t>
                  </w:r>
                </w:p>
              </w:tc>
              <w:tc>
                <w:tcPr>
                  <w:tcW w:w="3593" w:type="dxa"/>
                  <w:tcMar>
                    <w:top w:w="57" w:type="dxa"/>
                    <w:bottom w:w="57" w:type="dxa"/>
                  </w:tcMar>
                  <w:vAlign w:val="center"/>
                </w:tcPr>
                <w:p>
                  <w:pPr>
                    <w:jc w:val="center"/>
                    <w:outlineLvl w:val="0"/>
                    <w:rPr>
                      <w:color w:val="000000"/>
                      <w:szCs w:val="21"/>
                    </w:rPr>
                  </w:pPr>
                  <w:r>
                    <w:rPr>
                      <w:rFonts w:hint="eastAsia" w:hAnsi="宋体"/>
                      <w:bCs/>
                      <w:color w:val="000000"/>
                    </w:rPr>
                    <w:t>破捆机进料口上方设置集气罩（1个），提绒机出料口安装集气罩（5个），收集粉尘经一套脉冲袋式除尘器处理后经一根15m高排气筒（DA001）排放</w:t>
                  </w:r>
                </w:p>
              </w:tc>
              <w:tc>
                <w:tcPr>
                  <w:tcW w:w="1003" w:type="dxa"/>
                  <w:vMerge w:val="restart"/>
                  <w:vAlign w:val="center"/>
                </w:tcPr>
                <w:p>
                  <w:pPr>
                    <w:snapToGrid w:val="0"/>
                    <w:jc w:val="center"/>
                    <w:rPr>
                      <w:color w:val="000000"/>
                      <w:szCs w:val="21"/>
                    </w:rPr>
                  </w:pPr>
                  <w:r>
                    <w:rPr>
                      <w:rFonts w:hint="eastAsia"/>
                      <w:color w:val="000000"/>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656" w:type="dxa"/>
                  <w:vMerge w:val="continue"/>
                  <w:tcMar>
                    <w:top w:w="57" w:type="dxa"/>
                    <w:bottom w:w="57" w:type="dxa"/>
                  </w:tcMar>
                  <w:vAlign w:val="center"/>
                </w:tcPr>
                <w:p>
                  <w:pPr>
                    <w:snapToGrid w:val="0"/>
                    <w:jc w:val="center"/>
                    <w:rPr>
                      <w:color w:val="000000"/>
                      <w:szCs w:val="21"/>
                    </w:rPr>
                  </w:pPr>
                </w:p>
              </w:tc>
              <w:tc>
                <w:tcPr>
                  <w:tcW w:w="1057" w:type="dxa"/>
                  <w:tcMar>
                    <w:top w:w="57" w:type="dxa"/>
                    <w:bottom w:w="57" w:type="dxa"/>
                  </w:tcMar>
                  <w:vAlign w:val="center"/>
                </w:tcPr>
                <w:p>
                  <w:pPr>
                    <w:jc w:val="center"/>
                    <w:outlineLvl w:val="0"/>
                    <w:rPr>
                      <w:color w:val="000000"/>
                      <w:szCs w:val="21"/>
                    </w:rPr>
                  </w:pPr>
                  <w:r>
                    <w:rPr>
                      <w:rFonts w:hint="eastAsia"/>
                      <w:color w:val="000000"/>
                      <w:szCs w:val="21"/>
                    </w:rPr>
                    <w:t>卷条工序</w:t>
                  </w:r>
                </w:p>
              </w:tc>
              <w:tc>
                <w:tcPr>
                  <w:tcW w:w="1465" w:type="dxa"/>
                  <w:tcMar>
                    <w:top w:w="57" w:type="dxa"/>
                    <w:bottom w:w="57" w:type="dxa"/>
                  </w:tcMar>
                  <w:vAlign w:val="center"/>
                </w:tcPr>
                <w:p>
                  <w:pPr>
                    <w:jc w:val="center"/>
                    <w:outlineLvl w:val="0"/>
                    <w:rPr>
                      <w:color w:val="000000"/>
                      <w:szCs w:val="21"/>
                    </w:rPr>
                  </w:pPr>
                  <w:r>
                    <w:rPr>
                      <w:rFonts w:hint="eastAsia"/>
                      <w:color w:val="000000"/>
                      <w:szCs w:val="21"/>
                    </w:rPr>
                    <w:t>颗粒物</w:t>
                  </w:r>
                </w:p>
              </w:tc>
              <w:tc>
                <w:tcPr>
                  <w:tcW w:w="3593" w:type="dxa"/>
                  <w:tcMar>
                    <w:top w:w="57" w:type="dxa"/>
                    <w:bottom w:w="57" w:type="dxa"/>
                  </w:tcMar>
                  <w:vAlign w:val="center"/>
                </w:tcPr>
                <w:p>
                  <w:pPr>
                    <w:jc w:val="center"/>
                    <w:outlineLvl w:val="0"/>
                    <w:rPr>
                      <w:rFonts w:hAnsi="宋体"/>
                      <w:bCs/>
                      <w:color w:val="000000"/>
                    </w:rPr>
                  </w:pPr>
                  <w:r>
                    <w:rPr>
                      <w:rFonts w:hint="eastAsia" w:hAnsi="宋体"/>
                      <w:bCs/>
                      <w:color w:val="000000"/>
                    </w:rPr>
                    <w:t>卷条机上方设置集气罩（15个），收集粉尘经一套脉冲袋式除尘器处理后经一根15m高排气筒（DA002）排放</w:t>
                  </w:r>
                </w:p>
              </w:tc>
              <w:tc>
                <w:tcPr>
                  <w:tcW w:w="1003" w:type="dxa"/>
                  <w:vMerge w:val="continue"/>
                  <w:vAlign w:val="center"/>
                </w:tcPr>
                <w:p>
                  <w:pPr>
                    <w:snapToGrid w:val="0"/>
                    <w:jc w:val="cente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656" w:type="dxa"/>
                  <w:vMerge w:val="continue"/>
                  <w:tcMar>
                    <w:top w:w="57" w:type="dxa"/>
                    <w:bottom w:w="57" w:type="dxa"/>
                  </w:tcMar>
                  <w:vAlign w:val="center"/>
                </w:tcPr>
                <w:p>
                  <w:pPr>
                    <w:snapToGrid w:val="0"/>
                    <w:jc w:val="center"/>
                    <w:rPr>
                      <w:color w:val="000000"/>
                      <w:szCs w:val="21"/>
                    </w:rPr>
                  </w:pPr>
                </w:p>
              </w:tc>
              <w:tc>
                <w:tcPr>
                  <w:tcW w:w="1057" w:type="dxa"/>
                  <w:tcMar>
                    <w:top w:w="57" w:type="dxa"/>
                    <w:bottom w:w="57" w:type="dxa"/>
                  </w:tcMar>
                  <w:vAlign w:val="center"/>
                </w:tcPr>
                <w:p>
                  <w:pPr>
                    <w:jc w:val="center"/>
                    <w:outlineLvl w:val="0"/>
                    <w:rPr>
                      <w:color w:val="000000"/>
                      <w:szCs w:val="21"/>
                    </w:rPr>
                  </w:pPr>
                  <w:r>
                    <w:rPr>
                      <w:rFonts w:hint="eastAsia"/>
                      <w:color w:val="000000"/>
                      <w:szCs w:val="21"/>
                    </w:rPr>
                    <w:t>无组织</w:t>
                  </w:r>
                </w:p>
              </w:tc>
              <w:tc>
                <w:tcPr>
                  <w:tcW w:w="1465" w:type="dxa"/>
                  <w:tcMar>
                    <w:top w:w="57" w:type="dxa"/>
                    <w:bottom w:w="57" w:type="dxa"/>
                  </w:tcMar>
                  <w:vAlign w:val="center"/>
                </w:tcPr>
                <w:p>
                  <w:pPr>
                    <w:jc w:val="center"/>
                    <w:outlineLvl w:val="0"/>
                    <w:rPr>
                      <w:color w:val="000000"/>
                      <w:szCs w:val="21"/>
                    </w:rPr>
                  </w:pPr>
                  <w:r>
                    <w:rPr>
                      <w:rFonts w:hint="eastAsia"/>
                      <w:color w:val="000000"/>
                      <w:szCs w:val="21"/>
                    </w:rPr>
                    <w:t>颗粒物</w:t>
                  </w:r>
                </w:p>
              </w:tc>
              <w:tc>
                <w:tcPr>
                  <w:tcW w:w="3593" w:type="dxa"/>
                  <w:tcMar>
                    <w:top w:w="57" w:type="dxa"/>
                    <w:bottom w:w="57" w:type="dxa"/>
                  </w:tcMar>
                  <w:vAlign w:val="center"/>
                </w:tcPr>
                <w:p>
                  <w:pPr>
                    <w:jc w:val="center"/>
                    <w:outlineLvl w:val="0"/>
                    <w:rPr>
                      <w:color w:val="000000"/>
                      <w:szCs w:val="21"/>
                    </w:rPr>
                  </w:pPr>
                  <w:r>
                    <w:rPr>
                      <w:rFonts w:hint="eastAsia"/>
                      <w:color w:val="000000"/>
                      <w:szCs w:val="21"/>
                    </w:rPr>
                    <w:t>生产车间封闭，自然沉降</w:t>
                  </w:r>
                </w:p>
              </w:tc>
              <w:tc>
                <w:tcPr>
                  <w:tcW w:w="1003" w:type="dxa"/>
                  <w:vAlign w:val="center"/>
                </w:tcPr>
                <w:p>
                  <w:pPr>
                    <w:snapToGrid w:val="0"/>
                    <w:jc w:val="center"/>
                    <w:rPr>
                      <w:color w:val="000000"/>
                      <w:szCs w:val="21"/>
                    </w:rPr>
                  </w:pPr>
                  <w:r>
                    <w:rPr>
                      <w:rFonts w:hint="eastAsia"/>
                      <w:color w:val="00000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1" w:hRule="atLeast"/>
                <w:jc w:val="center"/>
              </w:trPr>
              <w:tc>
                <w:tcPr>
                  <w:tcW w:w="656" w:type="dxa"/>
                  <w:tcMar>
                    <w:top w:w="57" w:type="dxa"/>
                    <w:bottom w:w="57" w:type="dxa"/>
                  </w:tcMar>
                  <w:vAlign w:val="center"/>
                </w:tcPr>
                <w:p>
                  <w:pPr>
                    <w:snapToGrid w:val="0"/>
                    <w:jc w:val="center"/>
                    <w:rPr>
                      <w:color w:val="000000"/>
                      <w:szCs w:val="21"/>
                    </w:rPr>
                  </w:pPr>
                  <w:r>
                    <w:rPr>
                      <w:color w:val="000000"/>
                      <w:szCs w:val="21"/>
                    </w:rPr>
                    <w:t>废水</w:t>
                  </w:r>
                </w:p>
              </w:tc>
              <w:tc>
                <w:tcPr>
                  <w:tcW w:w="1057" w:type="dxa"/>
                  <w:tcMar>
                    <w:top w:w="57" w:type="dxa"/>
                    <w:bottom w:w="57" w:type="dxa"/>
                  </w:tcMar>
                  <w:vAlign w:val="center"/>
                </w:tcPr>
                <w:p>
                  <w:pPr>
                    <w:jc w:val="center"/>
                    <w:rPr>
                      <w:color w:val="000000"/>
                      <w:szCs w:val="21"/>
                    </w:rPr>
                  </w:pPr>
                  <w:r>
                    <w:rPr>
                      <w:color w:val="000000"/>
                      <w:kern w:val="0"/>
                      <w:szCs w:val="21"/>
                    </w:rPr>
                    <w:t>职工生活</w:t>
                  </w:r>
                  <w:r>
                    <w:rPr>
                      <w:rFonts w:hint="eastAsia"/>
                      <w:color w:val="000000"/>
                      <w:kern w:val="0"/>
                      <w:szCs w:val="21"/>
                    </w:rPr>
                    <w:t>废水</w:t>
                  </w:r>
                </w:p>
              </w:tc>
              <w:tc>
                <w:tcPr>
                  <w:tcW w:w="1465" w:type="dxa"/>
                  <w:tcMar>
                    <w:top w:w="57" w:type="dxa"/>
                    <w:bottom w:w="57" w:type="dxa"/>
                  </w:tcMar>
                  <w:vAlign w:val="center"/>
                </w:tcPr>
                <w:p>
                  <w:pPr>
                    <w:pStyle w:val="15"/>
                    <w:spacing w:line="340" w:lineRule="exact"/>
                    <w:ind w:left="0" w:right="0"/>
                    <w:jc w:val="center"/>
                    <w:rPr>
                      <w:color w:val="000000"/>
                      <w:sz w:val="21"/>
                      <w:szCs w:val="21"/>
                    </w:rPr>
                  </w:pPr>
                  <w:r>
                    <w:rPr>
                      <w:rFonts w:hint="eastAsia"/>
                      <w:color w:val="000000"/>
                      <w:sz w:val="21"/>
                      <w:szCs w:val="21"/>
                    </w:rPr>
                    <w:t>化学需氧量、五日生化需氧量、悬浮物、氨氮</w:t>
                  </w:r>
                </w:p>
              </w:tc>
              <w:tc>
                <w:tcPr>
                  <w:tcW w:w="3593" w:type="dxa"/>
                  <w:tcMar>
                    <w:top w:w="57" w:type="dxa"/>
                    <w:bottom w:w="57" w:type="dxa"/>
                  </w:tcMar>
                  <w:vAlign w:val="center"/>
                </w:tcPr>
                <w:p>
                  <w:pPr>
                    <w:jc w:val="center"/>
                    <w:rPr>
                      <w:color w:val="000000"/>
                      <w:szCs w:val="21"/>
                    </w:rPr>
                  </w:pPr>
                  <w:r>
                    <w:rPr>
                      <w:color w:val="000000"/>
                      <w:kern w:val="0"/>
                    </w:rPr>
                    <w:t>项目营运期职工生活污水经化粪池处理后</w:t>
                  </w:r>
                  <w:r>
                    <w:rPr>
                      <w:rFonts w:hint="eastAsia"/>
                      <w:color w:val="000000"/>
                      <w:kern w:val="0"/>
                    </w:rPr>
                    <w:t>农田施肥</w:t>
                  </w:r>
                </w:p>
              </w:tc>
              <w:tc>
                <w:tcPr>
                  <w:tcW w:w="1003" w:type="dxa"/>
                  <w:vAlign w:val="center"/>
                </w:tcPr>
                <w:p>
                  <w:pPr>
                    <w:snapToGrid w:val="0"/>
                    <w:jc w:val="center"/>
                    <w:rPr>
                      <w:color w:val="000000"/>
                      <w:szCs w:val="21"/>
                    </w:rPr>
                  </w:pPr>
                  <w:r>
                    <w:rPr>
                      <w:rFonts w:hint="eastAsia"/>
                      <w:color w:val="000000"/>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656" w:type="dxa"/>
                  <w:vMerge w:val="restart"/>
                  <w:tcMar>
                    <w:top w:w="57" w:type="dxa"/>
                    <w:bottom w:w="57" w:type="dxa"/>
                  </w:tcMar>
                  <w:vAlign w:val="center"/>
                </w:tcPr>
                <w:p>
                  <w:pPr>
                    <w:snapToGrid w:val="0"/>
                    <w:jc w:val="center"/>
                    <w:rPr>
                      <w:color w:val="000000"/>
                      <w:szCs w:val="21"/>
                    </w:rPr>
                  </w:pPr>
                  <w:r>
                    <w:rPr>
                      <w:color w:val="000000"/>
                      <w:szCs w:val="21"/>
                    </w:rPr>
                    <w:t>固废</w:t>
                  </w:r>
                </w:p>
              </w:tc>
              <w:tc>
                <w:tcPr>
                  <w:tcW w:w="1057" w:type="dxa"/>
                  <w:vMerge w:val="restart"/>
                  <w:tcMar>
                    <w:top w:w="57" w:type="dxa"/>
                    <w:bottom w:w="57" w:type="dxa"/>
                  </w:tcMar>
                  <w:vAlign w:val="center"/>
                </w:tcPr>
                <w:p>
                  <w:pPr>
                    <w:jc w:val="center"/>
                    <w:rPr>
                      <w:color w:val="000000"/>
                      <w:szCs w:val="21"/>
                    </w:rPr>
                  </w:pPr>
                  <w:r>
                    <w:rPr>
                      <w:color w:val="000000"/>
                      <w:szCs w:val="21"/>
                    </w:rPr>
                    <w:t>在厂职工</w:t>
                  </w:r>
                </w:p>
              </w:tc>
              <w:tc>
                <w:tcPr>
                  <w:tcW w:w="1465" w:type="dxa"/>
                  <w:tcMar>
                    <w:top w:w="57" w:type="dxa"/>
                    <w:bottom w:w="57" w:type="dxa"/>
                  </w:tcMar>
                  <w:vAlign w:val="center"/>
                </w:tcPr>
                <w:p>
                  <w:pPr>
                    <w:jc w:val="center"/>
                    <w:rPr>
                      <w:color w:val="000000"/>
                      <w:szCs w:val="21"/>
                    </w:rPr>
                  </w:pPr>
                  <w:r>
                    <w:rPr>
                      <w:color w:val="000000"/>
                      <w:szCs w:val="21"/>
                    </w:rPr>
                    <w:t>生活垃圾</w:t>
                  </w:r>
                </w:p>
              </w:tc>
              <w:tc>
                <w:tcPr>
                  <w:tcW w:w="3593" w:type="dxa"/>
                  <w:tcMar>
                    <w:top w:w="57" w:type="dxa"/>
                    <w:bottom w:w="57" w:type="dxa"/>
                  </w:tcMar>
                  <w:vAlign w:val="center"/>
                </w:tcPr>
                <w:p>
                  <w:pPr>
                    <w:snapToGrid w:val="0"/>
                    <w:jc w:val="center"/>
                    <w:rPr>
                      <w:bCs/>
                      <w:color w:val="000000"/>
                      <w:szCs w:val="21"/>
                    </w:rPr>
                  </w:pPr>
                  <w:r>
                    <w:rPr>
                      <w:rFonts w:hint="eastAsia"/>
                      <w:bCs/>
                      <w:color w:val="000000"/>
                      <w:szCs w:val="21"/>
                    </w:rPr>
                    <w:t>集中分类收集后交由环卫部门运至垃圾中转站进行处理</w:t>
                  </w:r>
                </w:p>
              </w:tc>
              <w:tc>
                <w:tcPr>
                  <w:tcW w:w="1003" w:type="dxa"/>
                  <w:vAlign w:val="center"/>
                </w:tcPr>
                <w:p>
                  <w:pPr>
                    <w:snapToGrid w:val="0"/>
                    <w:jc w:val="center"/>
                    <w:rPr>
                      <w:color w:val="000000"/>
                      <w:kern w:val="0"/>
                      <w:szCs w:val="21"/>
                    </w:rPr>
                  </w:pPr>
                  <w:r>
                    <w:rPr>
                      <w:rFonts w:hint="eastAsia"/>
                      <w:color w:val="000000"/>
                      <w:kern w:val="0"/>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656" w:type="dxa"/>
                  <w:vMerge w:val="continue"/>
                  <w:tcMar>
                    <w:top w:w="57" w:type="dxa"/>
                    <w:bottom w:w="57" w:type="dxa"/>
                  </w:tcMar>
                  <w:vAlign w:val="center"/>
                </w:tcPr>
                <w:p>
                  <w:pPr>
                    <w:snapToGrid w:val="0"/>
                    <w:jc w:val="center"/>
                    <w:rPr>
                      <w:color w:val="000000"/>
                      <w:szCs w:val="21"/>
                    </w:rPr>
                  </w:pPr>
                </w:p>
              </w:tc>
              <w:tc>
                <w:tcPr>
                  <w:tcW w:w="1057" w:type="dxa"/>
                  <w:vMerge w:val="continue"/>
                  <w:tcMar>
                    <w:top w:w="57" w:type="dxa"/>
                    <w:bottom w:w="57" w:type="dxa"/>
                  </w:tcMar>
                  <w:vAlign w:val="center"/>
                </w:tcPr>
                <w:p>
                  <w:pPr>
                    <w:jc w:val="center"/>
                    <w:rPr>
                      <w:color w:val="000000"/>
                      <w:szCs w:val="21"/>
                    </w:rPr>
                  </w:pPr>
                </w:p>
              </w:tc>
              <w:tc>
                <w:tcPr>
                  <w:tcW w:w="1465" w:type="dxa"/>
                  <w:tcMar>
                    <w:top w:w="57" w:type="dxa"/>
                    <w:bottom w:w="57" w:type="dxa"/>
                  </w:tcMar>
                  <w:vAlign w:val="center"/>
                </w:tcPr>
                <w:p>
                  <w:pPr>
                    <w:jc w:val="center"/>
                    <w:rPr>
                      <w:color w:val="000000"/>
                      <w:szCs w:val="21"/>
                    </w:rPr>
                  </w:pPr>
                  <w:r>
                    <w:rPr>
                      <w:rFonts w:hint="eastAsia"/>
                      <w:color w:val="000000"/>
                      <w:szCs w:val="21"/>
                    </w:rPr>
                    <w:t>化粪池污泥</w:t>
                  </w:r>
                </w:p>
              </w:tc>
              <w:tc>
                <w:tcPr>
                  <w:tcW w:w="3593" w:type="dxa"/>
                  <w:tcMar>
                    <w:top w:w="57" w:type="dxa"/>
                    <w:bottom w:w="57" w:type="dxa"/>
                  </w:tcMar>
                  <w:vAlign w:val="center"/>
                </w:tcPr>
                <w:p>
                  <w:pPr>
                    <w:snapToGrid w:val="0"/>
                    <w:jc w:val="center"/>
                    <w:rPr>
                      <w:bCs/>
                      <w:color w:val="000000"/>
                      <w:szCs w:val="21"/>
                    </w:rPr>
                  </w:pPr>
                  <w:r>
                    <w:rPr>
                      <w:rFonts w:hint="eastAsia"/>
                      <w:bCs/>
                      <w:color w:val="000000"/>
                      <w:szCs w:val="21"/>
                    </w:rPr>
                    <w:t>定期清掏，农田施肥</w:t>
                  </w:r>
                </w:p>
              </w:tc>
              <w:tc>
                <w:tcPr>
                  <w:tcW w:w="1003" w:type="dxa"/>
                  <w:vAlign w:val="center"/>
                </w:tcPr>
                <w:p>
                  <w:pPr>
                    <w:snapToGrid w:val="0"/>
                    <w:jc w:val="center"/>
                    <w:rPr>
                      <w:color w:val="000000"/>
                      <w:kern w:val="0"/>
                      <w:szCs w:val="21"/>
                    </w:rPr>
                  </w:pPr>
                  <w:r>
                    <w:rPr>
                      <w:rFonts w:hint="eastAsia"/>
                      <w:color w:val="000000"/>
                      <w:kern w:val="0"/>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8" w:hRule="atLeast"/>
                <w:jc w:val="center"/>
              </w:trPr>
              <w:tc>
                <w:tcPr>
                  <w:tcW w:w="656" w:type="dxa"/>
                  <w:vMerge w:val="continue"/>
                  <w:tcMar>
                    <w:top w:w="57" w:type="dxa"/>
                    <w:bottom w:w="57" w:type="dxa"/>
                  </w:tcMar>
                  <w:vAlign w:val="center"/>
                </w:tcPr>
                <w:p>
                  <w:pPr>
                    <w:snapToGrid w:val="0"/>
                    <w:jc w:val="center"/>
                    <w:rPr>
                      <w:color w:val="000000"/>
                      <w:szCs w:val="21"/>
                    </w:rPr>
                  </w:pPr>
                </w:p>
              </w:tc>
              <w:tc>
                <w:tcPr>
                  <w:tcW w:w="1057" w:type="dxa"/>
                  <w:tcMar>
                    <w:top w:w="57" w:type="dxa"/>
                    <w:bottom w:w="57" w:type="dxa"/>
                  </w:tcMar>
                  <w:vAlign w:val="center"/>
                </w:tcPr>
                <w:p>
                  <w:pPr>
                    <w:jc w:val="center"/>
                    <w:rPr>
                      <w:color w:val="000000"/>
                      <w:szCs w:val="21"/>
                    </w:rPr>
                  </w:pPr>
                  <w:r>
                    <w:rPr>
                      <w:rFonts w:hint="eastAsia"/>
                      <w:color w:val="000000"/>
                      <w:szCs w:val="21"/>
                    </w:rPr>
                    <w:t>原材料使用及成品包装</w:t>
                  </w:r>
                </w:p>
              </w:tc>
              <w:tc>
                <w:tcPr>
                  <w:tcW w:w="1465" w:type="dxa"/>
                  <w:tcMar>
                    <w:top w:w="57" w:type="dxa"/>
                    <w:bottom w:w="57" w:type="dxa"/>
                  </w:tcMar>
                  <w:vAlign w:val="center"/>
                </w:tcPr>
                <w:p>
                  <w:pPr>
                    <w:jc w:val="center"/>
                    <w:rPr>
                      <w:bCs/>
                      <w:color w:val="000000"/>
                      <w:szCs w:val="21"/>
                    </w:rPr>
                  </w:pPr>
                  <w:r>
                    <w:rPr>
                      <w:rFonts w:hint="eastAsia"/>
                      <w:color w:val="000000"/>
                      <w:szCs w:val="21"/>
                    </w:rPr>
                    <w:t>一般废包装材料</w:t>
                  </w:r>
                </w:p>
              </w:tc>
              <w:tc>
                <w:tcPr>
                  <w:tcW w:w="3593" w:type="dxa"/>
                  <w:tcMar>
                    <w:top w:w="57" w:type="dxa"/>
                    <w:bottom w:w="57" w:type="dxa"/>
                  </w:tcMar>
                  <w:vAlign w:val="center"/>
                </w:tcPr>
                <w:p>
                  <w:pPr>
                    <w:snapToGrid w:val="0"/>
                    <w:jc w:val="center"/>
                    <w:rPr>
                      <w:bCs/>
                      <w:color w:val="000000"/>
                      <w:szCs w:val="21"/>
                    </w:rPr>
                  </w:pPr>
                  <w:r>
                    <w:rPr>
                      <w:rFonts w:hint="eastAsia"/>
                      <w:bCs/>
                      <w:color w:val="000000"/>
                      <w:szCs w:val="21"/>
                    </w:rPr>
                    <w:t>集中收集后外售给废品回收站</w:t>
                  </w:r>
                </w:p>
              </w:tc>
              <w:tc>
                <w:tcPr>
                  <w:tcW w:w="1003" w:type="dxa"/>
                  <w:vAlign w:val="center"/>
                </w:tcPr>
                <w:p>
                  <w:pPr>
                    <w:snapToGrid w:val="0"/>
                    <w:jc w:val="center"/>
                    <w:rPr>
                      <w:color w:val="000000"/>
                      <w:kern w:val="0"/>
                      <w:szCs w:val="21"/>
                    </w:rPr>
                  </w:pPr>
                  <w:r>
                    <w:rPr>
                      <w:rFonts w:hint="eastAsia"/>
                      <w:color w:val="000000"/>
                      <w:kern w:val="0"/>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4" w:hRule="atLeast"/>
                <w:jc w:val="center"/>
              </w:trPr>
              <w:tc>
                <w:tcPr>
                  <w:tcW w:w="656" w:type="dxa"/>
                  <w:vMerge w:val="continue"/>
                  <w:tcMar>
                    <w:top w:w="57" w:type="dxa"/>
                    <w:bottom w:w="57" w:type="dxa"/>
                  </w:tcMar>
                  <w:vAlign w:val="center"/>
                </w:tcPr>
                <w:p>
                  <w:pPr>
                    <w:snapToGrid w:val="0"/>
                    <w:jc w:val="center"/>
                    <w:rPr>
                      <w:color w:val="000000"/>
                      <w:szCs w:val="21"/>
                    </w:rPr>
                  </w:pPr>
                </w:p>
              </w:tc>
              <w:tc>
                <w:tcPr>
                  <w:tcW w:w="1057" w:type="dxa"/>
                  <w:tcMar>
                    <w:top w:w="57" w:type="dxa"/>
                    <w:bottom w:w="57" w:type="dxa"/>
                  </w:tcMar>
                  <w:vAlign w:val="center"/>
                </w:tcPr>
                <w:p>
                  <w:pPr>
                    <w:jc w:val="center"/>
                    <w:rPr>
                      <w:color w:val="FF0000"/>
                      <w:szCs w:val="21"/>
                      <w:u w:val="single"/>
                    </w:rPr>
                  </w:pPr>
                  <w:r>
                    <w:rPr>
                      <w:rFonts w:hint="eastAsia"/>
                      <w:color w:val="000000"/>
                      <w:szCs w:val="21"/>
                    </w:rPr>
                    <w:t>废气治理</w:t>
                  </w:r>
                </w:p>
              </w:tc>
              <w:tc>
                <w:tcPr>
                  <w:tcW w:w="1465" w:type="dxa"/>
                  <w:tcMar>
                    <w:top w:w="57" w:type="dxa"/>
                    <w:bottom w:w="57" w:type="dxa"/>
                  </w:tcMar>
                  <w:vAlign w:val="center"/>
                </w:tcPr>
                <w:p>
                  <w:pPr>
                    <w:tabs>
                      <w:tab w:val="left" w:pos="5250"/>
                    </w:tabs>
                    <w:adjustRightInd w:val="0"/>
                    <w:snapToGrid w:val="0"/>
                    <w:jc w:val="center"/>
                    <w:rPr>
                      <w:color w:val="FF0000"/>
                      <w:szCs w:val="21"/>
                      <w:u w:val="single"/>
                    </w:rPr>
                  </w:pPr>
                  <w:r>
                    <w:rPr>
                      <w:rFonts w:hint="eastAsia"/>
                      <w:bCs/>
                      <w:color w:val="000000"/>
                      <w:szCs w:val="21"/>
                    </w:rPr>
                    <w:t>除尘器粉尘</w:t>
                  </w:r>
                </w:p>
              </w:tc>
              <w:tc>
                <w:tcPr>
                  <w:tcW w:w="3593" w:type="dxa"/>
                  <w:tcMar>
                    <w:top w:w="57" w:type="dxa"/>
                    <w:bottom w:w="57" w:type="dxa"/>
                  </w:tcMar>
                  <w:vAlign w:val="center"/>
                </w:tcPr>
                <w:p>
                  <w:pPr>
                    <w:tabs>
                      <w:tab w:val="left" w:pos="5250"/>
                    </w:tabs>
                    <w:adjustRightInd w:val="0"/>
                    <w:snapToGrid w:val="0"/>
                    <w:jc w:val="center"/>
                    <w:rPr>
                      <w:bCs/>
                      <w:color w:val="FF0000"/>
                      <w:szCs w:val="21"/>
                      <w:u w:val="single"/>
                    </w:rPr>
                  </w:pPr>
                  <w:r>
                    <w:rPr>
                      <w:rFonts w:hint="eastAsia" w:eastAsiaTheme="majorEastAsia"/>
                    </w:rPr>
                    <w:t>外售综合利用</w:t>
                  </w:r>
                </w:p>
              </w:tc>
              <w:tc>
                <w:tcPr>
                  <w:tcW w:w="1003" w:type="dxa"/>
                  <w:vAlign w:val="center"/>
                </w:tcPr>
                <w:p>
                  <w:pPr>
                    <w:snapToGrid w:val="0"/>
                    <w:jc w:val="center"/>
                    <w:rPr>
                      <w:color w:val="000000"/>
                      <w:kern w:val="0"/>
                      <w:szCs w:val="21"/>
                    </w:rPr>
                  </w:pPr>
                  <w:r>
                    <w:rPr>
                      <w:rFonts w:hint="eastAsia"/>
                      <w:color w:val="000000"/>
                      <w:kern w:val="0"/>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5" w:hRule="atLeast"/>
                <w:jc w:val="center"/>
              </w:trPr>
              <w:tc>
                <w:tcPr>
                  <w:tcW w:w="656" w:type="dxa"/>
                  <w:tcMar>
                    <w:top w:w="57" w:type="dxa"/>
                    <w:bottom w:w="57" w:type="dxa"/>
                  </w:tcMar>
                  <w:vAlign w:val="center"/>
                </w:tcPr>
                <w:p>
                  <w:pPr>
                    <w:snapToGrid w:val="0"/>
                    <w:jc w:val="center"/>
                    <w:rPr>
                      <w:color w:val="000000"/>
                      <w:szCs w:val="21"/>
                    </w:rPr>
                  </w:pPr>
                  <w:r>
                    <w:rPr>
                      <w:color w:val="000000"/>
                      <w:szCs w:val="21"/>
                    </w:rPr>
                    <w:t>噪声</w:t>
                  </w:r>
                </w:p>
              </w:tc>
              <w:tc>
                <w:tcPr>
                  <w:tcW w:w="1057" w:type="dxa"/>
                  <w:tcMar>
                    <w:top w:w="57" w:type="dxa"/>
                    <w:bottom w:w="57" w:type="dxa"/>
                  </w:tcMar>
                  <w:vAlign w:val="center"/>
                </w:tcPr>
                <w:p>
                  <w:pPr>
                    <w:jc w:val="center"/>
                    <w:rPr>
                      <w:color w:val="000000"/>
                      <w:szCs w:val="21"/>
                    </w:rPr>
                  </w:pPr>
                  <w:r>
                    <w:rPr>
                      <w:rFonts w:hint="eastAsia"/>
                      <w:color w:val="000000"/>
                      <w:szCs w:val="21"/>
                    </w:rPr>
                    <w:t>机械</w:t>
                  </w:r>
                  <w:r>
                    <w:rPr>
                      <w:color w:val="000000"/>
                      <w:szCs w:val="21"/>
                    </w:rPr>
                    <w:t>设备</w:t>
                  </w:r>
                </w:p>
              </w:tc>
              <w:tc>
                <w:tcPr>
                  <w:tcW w:w="1465" w:type="dxa"/>
                  <w:tcMar>
                    <w:top w:w="57" w:type="dxa"/>
                    <w:bottom w:w="57" w:type="dxa"/>
                  </w:tcMar>
                  <w:vAlign w:val="center"/>
                </w:tcPr>
                <w:p>
                  <w:pPr>
                    <w:snapToGrid w:val="0"/>
                    <w:jc w:val="center"/>
                    <w:rPr>
                      <w:color w:val="000000"/>
                      <w:szCs w:val="21"/>
                    </w:rPr>
                  </w:pPr>
                  <w:r>
                    <w:rPr>
                      <w:color w:val="000000"/>
                      <w:szCs w:val="21"/>
                    </w:rPr>
                    <w:t>噪声</w:t>
                  </w:r>
                </w:p>
              </w:tc>
              <w:tc>
                <w:tcPr>
                  <w:tcW w:w="3593" w:type="dxa"/>
                  <w:tcMar>
                    <w:top w:w="57" w:type="dxa"/>
                    <w:bottom w:w="57" w:type="dxa"/>
                  </w:tcMar>
                  <w:vAlign w:val="center"/>
                </w:tcPr>
                <w:p>
                  <w:pPr>
                    <w:snapToGrid w:val="0"/>
                    <w:jc w:val="center"/>
                    <w:rPr>
                      <w:bCs/>
                      <w:color w:val="000000"/>
                      <w:szCs w:val="21"/>
                    </w:rPr>
                  </w:pPr>
                  <w:r>
                    <w:rPr>
                      <w:bCs/>
                      <w:color w:val="000000"/>
                      <w:szCs w:val="21"/>
                    </w:rPr>
                    <w:t>加装减振装置；产噪设备车间合理布局，定期保养养护</w:t>
                  </w:r>
                </w:p>
              </w:tc>
              <w:tc>
                <w:tcPr>
                  <w:tcW w:w="1003" w:type="dxa"/>
                  <w:vAlign w:val="center"/>
                </w:tcPr>
                <w:p>
                  <w:pPr>
                    <w:snapToGrid w:val="0"/>
                    <w:jc w:val="center"/>
                    <w:rPr>
                      <w:color w:val="000000"/>
                      <w:kern w:val="0"/>
                      <w:szCs w:val="21"/>
                    </w:rPr>
                  </w:pPr>
                  <w:r>
                    <w:rPr>
                      <w:rFonts w:hint="eastAsia"/>
                      <w:color w:val="000000"/>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5" w:hRule="atLeast"/>
                <w:jc w:val="center"/>
              </w:trPr>
              <w:tc>
                <w:tcPr>
                  <w:tcW w:w="6771" w:type="dxa"/>
                  <w:gridSpan w:val="4"/>
                  <w:tcMar>
                    <w:top w:w="57" w:type="dxa"/>
                    <w:bottom w:w="57" w:type="dxa"/>
                  </w:tcMar>
                  <w:vAlign w:val="center"/>
                </w:tcPr>
                <w:p>
                  <w:pPr>
                    <w:snapToGrid w:val="0"/>
                    <w:jc w:val="center"/>
                    <w:rPr>
                      <w:color w:val="000000"/>
                      <w:szCs w:val="21"/>
                    </w:rPr>
                  </w:pPr>
                  <w:r>
                    <w:rPr>
                      <w:color w:val="000000"/>
                      <w:szCs w:val="21"/>
                    </w:rPr>
                    <w:t>合计</w:t>
                  </w:r>
                </w:p>
              </w:tc>
              <w:tc>
                <w:tcPr>
                  <w:tcW w:w="1003" w:type="dxa"/>
                  <w:vAlign w:val="center"/>
                </w:tcPr>
                <w:p>
                  <w:pPr>
                    <w:snapToGrid w:val="0"/>
                    <w:jc w:val="center"/>
                    <w:rPr>
                      <w:color w:val="000000"/>
                      <w:kern w:val="0"/>
                      <w:szCs w:val="21"/>
                    </w:rPr>
                  </w:pPr>
                  <w:r>
                    <w:rPr>
                      <w:color w:val="000000"/>
                      <w:kern w:val="0"/>
                      <w:szCs w:val="21"/>
                    </w:rPr>
                    <w:fldChar w:fldCharType="begin"/>
                  </w:r>
                  <w:r>
                    <w:rPr>
                      <w:color w:val="000000"/>
                      <w:kern w:val="0"/>
                      <w:szCs w:val="21"/>
                    </w:rPr>
                    <w:instrText xml:space="preserve"> =SUM(ABOVE) </w:instrText>
                  </w:r>
                  <w:r>
                    <w:rPr>
                      <w:color w:val="000000"/>
                      <w:kern w:val="0"/>
                      <w:szCs w:val="21"/>
                    </w:rPr>
                    <w:fldChar w:fldCharType="separate"/>
                  </w:r>
                  <w:r>
                    <w:rPr>
                      <w:color w:val="000000"/>
                      <w:kern w:val="0"/>
                      <w:szCs w:val="21"/>
                    </w:rPr>
                    <w:t>8</w:t>
                  </w:r>
                  <w:r>
                    <w:rPr>
                      <w:color w:val="000000"/>
                      <w:kern w:val="0"/>
                      <w:szCs w:val="21"/>
                    </w:rPr>
                    <w:fldChar w:fldCharType="end"/>
                  </w:r>
                </w:p>
              </w:tc>
            </w:tr>
          </w:tbl>
          <w:p>
            <w:pPr>
              <w:adjustRightInd w:val="0"/>
              <w:snapToGrid w:val="0"/>
              <w:spacing w:line="360" w:lineRule="auto"/>
              <w:ind w:left="71" w:leftChars="34" w:firstLine="480" w:firstLineChars="200"/>
              <w:rPr>
                <w:color w:val="000000"/>
                <w:sz w:val="24"/>
              </w:rPr>
            </w:pPr>
          </w:p>
        </w:tc>
      </w:tr>
    </w:tbl>
    <w:p>
      <w:pPr>
        <w:pStyle w:val="2"/>
        <w:ind w:firstLine="0"/>
        <w:sectPr>
          <w:pgSz w:w="11906" w:h="16838"/>
          <w:pgMar w:top="1440" w:right="1797" w:bottom="1440" w:left="1797" w:header="851" w:footer="992" w:gutter="0"/>
          <w:cols w:space="425" w:num="1"/>
          <w:docGrid w:linePitch="312" w:charSpace="0"/>
        </w:sectPr>
      </w:pPr>
    </w:p>
    <w:p>
      <w:pPr>
        <w:numPr>
          <w:ilvl w:val="0"/>
          <w:numId w:val="1"/>
        </w:numPr>
        <w:jc w:val="center"/>
        <w:outlineLvl w:val="0"/>
        <w:rPr>
          <w:rFonts w:eastAsia="黑体"/>
          <w:snapToGrid w:val="0"/>
          <w:kern w:val="21"/>
          <w:sz w:val="30"/>
          <w:szCs w:val="30"/>
        </w:rPr>
      </w:pPr>
      <w:bookmarkStart w:id="52" w:name="_Hlk54167917"/>
      <w:bookmarkStart w:id="53" w:name="_Toc172623775"/>
      <w:r>
        <w:rPr>
          <w:rFonts w:eastAsia="黑体"/>
          <w:snapToGrid w:val="0"/>
          <w:kern w:val="21"/>
          <w:sz w:val="30"/>
          <w:szCs w:val="30"/>
        </w:rPr>
        <w:t>环境保护措施监督检查清单</w:t>
      </w:r>
      <w:bookmarkEnd w:id="52"/>
      <w:bookmarkEnd w:id="53"/>
    </w:p>
    <w:tbl>
      <w:tblPr>
        <w:tblStyle w:val="26"/>
        <w:tblW w:w="9071"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76"/>
        <w:gridCol w:w="850"/>
        <w:gridCol w:w="851"/>
        <w:gridCol w:w="1417"/>
        <w:gridCol w:w="2268"/>
        <w:gridCol w:w="230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376" w:type="dxa"/>
            <w:tcBorders>
              <w:bottom w:val="single" w:color="auto" w:sz="8" w:space="0"/>
              <w:tl2br w:val="single" w:color="auto" w:sz="4" w:space="0"/>
              <w:tr2bl w:val="nil"/>
            </w:tcBorders>
            <w:vAlign w:val="center"/>
          </w:tcPr>
          <w:p>
            <w:pPr>
              <w:adjustRightInd w:val="0"/>
              <w:snapToGrid w:val="0"/>
              <w:spacing w:line="320" w:lineRule="exact"/>
              <w:jc w:val="center"/>
              <w:rPr>
                <w:kern w:val="21"/>
                <w:szCs w:val="21"/>
              </w:rPr>
            </w:pPr>
            <w:r>
              <w:rPr>
                <w:kern w:val="21"/>
                <w:szCs w:val="21"/>
              </w:rPr>
              <w:t xml:space="preserve">  内容</w:t>
            </w:r>
          </w:p>
          <w:p>
            <w:pPr>
              <w:adjustRightInd w:val="0"/>
              <w:snapToGrid w:val="0"/>
              <w:spacing w:line="320" w:lineRule="exact"/>
              <w:rPr>
                <w:kern w:val="21"/>
                <w:szCs w:val="21"/>
              </w:rPr>
            </w:pPr>
            <w:r>
              <w:rPr>
                <w:kern w:val="21"/>
                <w:szCs w:val="21"/>
              </w:rPr>
              <w:t>要素</w:t>
            </w:r>
          </w:p>
        </w:tc>
        <w:tc>
          <w:tcPr>
            <w:tcW w:w="1701" w:type="dxa"/>
            <w:gridSpan w:val="2"/>
            <w:tcBorders>
              <w:tl2br w:val="nil"/>
              <w:tr2bl w:val="nil"/>
            </w:tcBorders>
            <w:vAlign w:val="center"/>
          </w:tcPr>
          <w:p>
            <w:pPr>
              <w:adjustRightInd w:val="0"/>
              <w:snapToGrid w:val="0"/>
              <w:spacing w:line="320" w:lineRule="exact"/>
              <w:jc w:val="center"/>
              <w:rPr>
                <w:kern w:val="21"/>
                <w:szCs w:val="21"/>
              </w:rPr>
            </w:pPr>
            <w:r>
              <w:rPr>
                <w:kern w:val="21"/>
                <w:szCs w:val="21"/>
              </w:rPr>
              <w:t>排放口（编号、</w:t>
            </w:r>
          </w:p>
          <w:p>
            <w:pPr>
              <w:adjustRightInd w:val="0"/>
              <w:snapToGrid w:val="0"/>
              <w:spacing w:line="320" w:lineRule="exact"/>
              <w:jc w:val="center"/>
              <w:rPr>
                <w:kern w:val="21"/>
                <w:szCs w:val="21"/>
              </w:rPr>
            </w:pPr>
            <w:r>
              <w:rPr>
                <w:kern w:val="21"/>
                <w:szCs w:val="21"/>
              </w:rPr>
              <w:t>名称）/</w:t>
            </w:r>
            <w:r>
              <w:rPr>
                <w:bCs/>
                <w:color w:val="000000"/>
                <w:szCs w:val="21"/>
              </w:rPr>
              <w:t>污染源</w:t>
            </w:r>
          </w:p>
        </w:tc>
        <w:tc>
          <w:tcPr>
            <w:tcW w:w="1417" w:type="dxa"/>
            <w:tcBorders>
              <w:tl2br w:val="nil"/>
              <w:tr2bl w:val="nil"/>
            </w:tcBorders>
            <w:vAlign w:val="center"/>
          </w:tcPr>
          <w:p>
            <w:pPr>
              <w:adjustRightInd w:val="0"/>
              <w:snapToGrid w:val="0"/>
              <w:spacing w:line="320" w:lineRule="exact"/>
              <w:jc w:val="center"/>
              <w:rPr>
                <w:kern w:val="21"/>
                <w:szCs w:val="21"/>
              </w:rPr>
            </w:pPr>
            <w:r>
              <w:rPr>
                <w:kern w:val="21"/>
                <w:szCs w:val="21"/>
              </w:rPr>
              <w:t>污染物项目</w:t>
            </w:r>
          </w:p>
        </w:tc>
        <w:tc>
          <w:tcPr>
            <w:tcW w:w="2268" w:type="dxa"/>
            <w:tcBorders>
              <w:tl2br w:val="nil"/>
              <w:tr2bl w:val="nil"/>
            </w:tcBorders>
            <w:vAlign w:val="center"/>
          </w:tcPr>
          <w:p>
            <w:pPr>
              <w:adjustRightInd w:val="0"/>
              <w:snapToGrid w:val="0"/>
              <w:spacing w:line="320" w:lineRule="exact"/>
              <w:jc w:val="center"/>
              <w:rPr>
                <w:kern w:val="21"/>
                <w:szCs w:val="21"/>
              </w:rPr>
            </w:pPr>
            <w:r>
              <w:rPr>
                <w:kern w:val="21"/>
                <w:szCs w:val="21"/>
              </w:rPr>
              <w:t>环境保护</w:t>
            </w:r>
            <w:r>
              <w:rPr>
                <w:bCs/>
                <w:color w:val="000000"/>
                <w:szCs w:val="21"/>
              </w:rPr>
              <w:t>措施</w:t>
            </w:r>
          </w:p>
        </w:tc>
        <w:tc>
          <w:tcPr>
            <w:tcW w:w="2309" w:type="dxa"/>
            <w:tcBorders>
              <w:tl2br w:val="nil"/>
              <w:tr2bl w:val="nil"/>
            </w:tcBorders>
            <w:vAlign w:val="center"/>
          </w:tcPr>
          <w:p>
            <w:pPr>
              <w:adjustRightInd w:val="0"/>
              <w:snapToGrid w:val="0"/>
              <w:spacing w:line="320" w:lineRule="exact"/>
              <w:jc w:val="center"/>
              <w:rPr>
                <w:kern w:val="21"/>
                <w:szCs w:val="21"/>
              </w:rPr>
            </w:pPr>
            <w:r>
              <w:rPr>
                <w:kern w:val="21"/>
                <w:szCs w:val="21"/>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071" w:hRule="atLeast"/>
          <w:jc w:val="center"/>
        </w:trPr>
        <w:tc>
          <w:tcPr>
            <w:tcW w:w="1376" w:type="dxa"/>
            <w:vMerge w:val="restart"/>
            <w:tcBorders>
              <w:top w:val="single" w:color="auto" w:sz="8" w:space="0"/>
              <w:left w:val="single" w:color="auto" w:sz="12" w:space="0"/>
              <w:right w:val="single" w:color="auto" w:sz="8" w:space="0"/>
              <w:tl2br w:val="nil"/>
              <w:tr2bl w:val="nil"/>
            </w:tcBorders>
            <w:vAlign w:val="center"/>
          </w:tcPr>
          <w:p>
            <w:pPr>
              <w:adjustRightInd w:val="0"/>
              <w:snapToGrid w:val="0"/>
              <w:spacing w:line="320" w:lineRule="exact"/>
              <w:jc w:val="center"/>
              <w:rPr>
                <w:kern w:val="21"/>
                <w:szCs w:val="21"/>
              </w:rPr>
            </w:pPr>
            <w:r>
              <w:rPr>
                <w:kern w:val="21"/>
                <w:szCs w:val="21"/>
              </w:rPr>
              <w:t>大气环境</w:t>
            </w:r>
          </w:p>
        </w:tc>
        <w:tc>
          <w:tcPr>
            <w:tcW w:w="850" w:type="dxa"/>
            <w:vMerge w:val="restart"/>
            <w:tcBorders>
              <w:left w:val="single" w:color="auto" w:sz="8" w:space="0"/>
              <w:tl2br w:val="nil"/>
              <w:tr2bl w:val="nil"/>
            </w:tcBorders>
            <w:vAlign w:val="center"/>
          </w:tcPr>
          <w:p>
            <w:pPr>
              <w:snapToGrid w:val="0"/>
              <w:jc w:val="center"/>
              <w:rPr>
                <w:color w:val="000000"/>
                <w:szCs w:val="21"/>
              </w:rPr>
            </w:pPr>
            <w:r>
              <w:rPr>
                <w:rFonts w:hint="eastAsia"/>
                <w:color w:val="000000"/>
                <w:szCs w:val="21"/>
              </w:rPr>
              <w:t>有组织</w:t>
            </w:r>
          </w:p>
        </w:tc>
        <w:tc>
          <w:tcPr>
            <w:tcW w:w="851" w:type="dxa"/>
            <w:tcBorders>
              <w:left w:val="single" w:color="auto" w:sz="8" w:space="0"/>
              <w:tl2br w:val="nil"/>
              <w:tr2bl w:val="nil"/>
            </w:tcBorders>
            <w:vAlign w:val="center"/>
          </w:tcPr>
          <w:p>
            <w:pPr>
              <w:jc w:val="center"/>
              <w:outlineLvl w:val="0"/>
              <w:rPr>
                <w:color w:val="000000"/>
                <w:szCs w:val="21"/>
              </w:rPr>
            </w:pPr>
            <w:r>
              <w:rPr>
                <w:rFonts w:hint="eastAsia"/>
                <w:color w:val="000000"/>
                <w:szCs w:val="21"/>
              </w:rPr>
              <w:t>破捆、粉碎、提绒工序</w:t>
            </w:r>
          </w:p>
        </w:tc>
        <w:tc>
          <w:tcPr>
            <w:tcW w:w="1417" w:type="dxa"/>
            <w:tcBorders>
              <w:tl2br w:val="nil"/>
              <w:tr2bl w:val="nil"/>
            </w:tcBorders>
            <w:vAlign w:val="center"/>
          </w:tcPr>
          <w:p>
            <w:pPr>
              <w:jc w:val="center"/>
              <w:outlineLvl w:val="0"/>
              <w:rPr>
                <w:color w:val="000000"/>
                <w:szCs w:val="21"/>
              </w:rPr>
            </w:pPr>
            <w:r>
              <w:rPr>
                <w:rFonts w:hint="eastAsia"/>
                <w:color w:val="000000"/>
                <w:szCs w:val="21"/>
              </w:rPr>
              <w:t>颗粒物</w:t>
            </w:r>
          </w:p>
        </w:tc>
        <w:tc>
          <w:tcPr>
            <w:tcW w:w="2268" w:type="dxa"/>
            <w:tcBorders>
              <w:tl2br w:val="nil"/>
              <w:tr2bl w:val="nil"/>
            </w:tcBorders>
            <w:vAlign w:val="center"/>
          </w:tcPr>
          <w:p>
            <w:pPr>
              <w:jc w:val="center"/>
              <w:outlineLvl w:val="0"/>
              <w:rPr>
                <w:color w:val="000000"/>
                <w:szCs w:val="21"/>
              </w:rPr>
            </w:pPr>
            <w:r>
              <w:rPr>
                <w:rFonts w:hint="eastAsia" w:hAnsi="宋体"/>
                <w:bCs/>
                <w:color w:val="000000"/>
              </w:rPr>
              <w:t>破捆机进料口上方设置集气罩（1个），提绒机出料口安装集气罩（5个），收集粉尘经一套脉冲袋式除尘器处理后经一根15m高排气筒（DA001）排放</w:t>
            </w:r>
          </w:p>
        </w:tc>
        <w:tc>
          <w:tcPr>
            <w:tcW w:w="2309" w:type="dxa"/>
            <w:vMerge w:val="restart"/>
            <w:tcBorders>
              <w:tl2br w:val="nil"/>
              <w:tr2bl w:val="nil"/>
            </w:tcBorders>
            <w:vAlign w:val="center"/>
          </w:tcPr>
          <w:p>
            <w:pPr>
              <w:adjustRightInd w:val="0"/>
              <w:snapToGrid w:val="0"/>
              <w:spacing w:line="320" w:lineRule="exact"/>
              <w:jc w:val="center"/>
              <w:rPr>
                <w:kern w:val="21"/>
                <w:szCs w:val="21"/>
              </w:rPr>
            </w:pPr>
            <w:r>
              <w:rPr>
                <w:rFonts w:hint="eastAsia"/>
                <w:color w:val="000000"/>
                <w:szCs w:val="21"/>
              </w:rPr>
              <w:t>《大气污染物综合排放标准》（GB16297-1996）表2二级标准、《河南省重污染天气通用行业应急减排措施制定技术指南》（2024年修订稿）“通用涉PM企业绩效引领性指标”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071" w:hRule="atLeast"/>
          <w:jc w:val="center"/>
        </w:trPr>
        <w:tc>
          <w:tcPr>
            <w:tcW w:w="1376" w:type="dxa"/>
            <w:vMerge w:val="continue"/>
            <w:tcBorders>
              <w:top w:val="single" w:color="auto" w:sz="8" w:space="0"/>
              <w:left w:val="single" w:color="auto" w:sz="12" w:space="0"/>
              <w:right w:val="single" w:color="auto" w:sz="8" w:space="0"/>
              <w:tl2br w:val="nil"/>
              <w:tr2bl w:val="nil"/>
            </w:tcBorders>
            <w:vAlign w:val="center"/>
          </w:tcPr>
          <w:p>
            <w:pPr>
              <w:adjustRightInd w:val="0"/>
              <w:snapToGrid w:val="0"/>
              <w:spacing w:line="320" w:lineRule="exact"/>
              <w:jc w:val="center"/>
              <w:rPr>
                <w:kern w:val="21"/>
                <w:szCs w:val="21"/>
              </w:rPr>
            </w:pPr>
          </w:p>
        </w:tc>
        <w:tc>
          <w:tcPr>
            <w:tcW w:w="850" w:type="dxa"/>
            <w:vMerge w:val="continue"/>
            <w:tcBorders>
              <w:left w:val="single" w:color="auto" w:sz="8" w:space="0"/>
              <w:tl2br w:val="nil"/>
              <w:tr2bl w:val="nil"/>
            </w:tcBorders>
            <w:vAlign w:val="center"/>
          </w:tcPr>
          <w:p>
            <w:pPr>
              <w:snapToGrid w:val="0"/>
              <w:jc w:val="center"/>
              <w:rPr>
                <w:color w:val="000000"/>
                <w:szCs w:val="21"/>
              </w:rPr>
            </w:pPr>
          </w:p>
        </w:tc>
        <w:tc>
          <w:tcPr>
            <w:tcW w:w="851" w:type="dxa"/>
            <w:tcBorders>
              <w:left w:val="single" w:color="auto" w:sz="8" w:space="0"/>
              <w:tl2br w:val="nil"/>
              <w:tr2bl w:val="nil"/>
            </w:tcBorders>
            <w:vAlign w:val="center"/>
          </w:tcPr>
          <w:p>
            <w:pPr>
              <w:jc w:val="center"/>
              <w:outlineLvl w:val="0"/>
              <w:rPr>
                <w:color w:val="000000"/>
                <w:szCs w:val="21"/>
              </w:rPr>
            </w:pPr>
            <w:r>
              <w:rPr>
                <w:rFonts w:hint="eastAsia"/>
                <w:color w:val="000000"/>
                <w:szCs w:val="21"/>
              </w:rPr>
              <w:t>卷条工序</w:t>
            </w:r>
          </w:p>
        </w:tc>
        <w:tc>
          <w:tcPr>
            <w:tcW w:w="1417" w:type="dxa"/>
            <w:tcBorders>
              <w:tl2br w:val="nil"/>
              <w:tr2bl w:val="nil"/>
            </w:tcBorders>
            <w:vAlign w:val="center"/>
          </w:tcPr>
          <w:p>
            <w:pPr>
              <w:jc w:val="center"/>
              <w:outlineLvl w:val="0"/>
              <w:rPr>
                <w:color w:val="000000"/>
                <w:szCs w:val="21"/>
              </w:rPr>
            </w:pPr>
            <w:r>
              <w:rPr>
                <w:rFonts w:hint="eastAsia"/>
                <w:color w:val="000000"/>
                <w:szCs w:val="21"/>
              </w:rPr>
              <w:t>颗粒物</w:t>
            </w:r>
          </w:p>
        </w:tc>
        <w:tc>
          <w:tcPr>
            <w:tcW w:w="2268" w:type="dxa"/>
            <w:tcBorders>
              <w:tl2br w:val="nil"/>
              <w:tr2bl w:val="nil"/>
            </w:tcBorders>
            <w:vAlign w:val="center"/>
          </w:tcPr>
          <w:p>
            <w:pPr>
              <w:jc w:val="center"/>
              <w:outlineLvl w:val="0"/>
              <w:rPr>
                <w:rFonts w:hAnsi="宋体"/>
                <w:bCs/>
                <w:color w:val="000000"/>
              </w:rPr>
            </w:pPr>
            <w:r>
              <w:rPr>
                <w:rFonts w:hint="eastAsia" w:hAnsi="宋体"/>
                <w:bCs/>
                <w:color w:val="000000"/>
              </w:rPr>
              <w:t>卷条机上方设置集气罩（15个），收集粉尘经一套脉冲袋式除尘器处理后经一根15m高排气筒（DA002）排放</w:t>
            </w:r>
          </w:p>
        </w:tc>
        <w:tc>
          <w:tcPr>
            <w:tcW w:w="2309" w:type="dxa"/>
            <w:vMerge w:val="continue"/>
            <w:tcBorders>
              <w:tl2br w:val="nil"/>
              <w:tr2bl w:val="nil"/>
            </w:tcBorders>
            <w:vAlign w:val="center"/>
          </w:tcPr>
          <w:p>
            <w:pPr>
              <w:adjustRightInd w:val="0"/>
              <w:snapToGrid w:val="0"/>
              <w:spacing w:line="320" w:lineRule="exact"/>
              <w:jc w:val="center"/>
              <w:rPr>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070" w:hRule="atLeast"/>
          <w:jc w:val="center"/>
        </w:trPr>
        <w:tc>
          <w:tcPr>
            <w:tcW w:w="1376" w:type="dxa"/>
            <w:vMerge w:val="continue"/>
            <w:tcBorders>
              <w:left w:val="single" w:color="auto" w:sz="12" w:space="0"/>
              <w:right w:val="single" w:color="auto" w:sz="8" w:space="0"/>
              <w:tl2br w:val="nil"/>
              <w:tr2bl w:val="nil"/>
            </w:tcBorders>
            <w:vAlign w:val="center"/>
          </w:tcPr>
          <w:p>
            <w:pPr>
              <w:adjustRightInd w:val="0"/>
              <w:snapToGrid w:val="0"/>
              <w:spacing w:line="320" w:lineRule="exact"/>
              <w:jc w:val="center"/>
              <w:rPr>
                <w:kern w:val="21"/>
                <w:szCs w:val="21"/>
              </w:rPr>
            </w:pPr>
          </w:p>
        </w:tc>
        <w:tc>
          <w:tcPr>
            <w:tcW w:w="850" w:type="dxa"/>
            <w:tcBorders>
              <w:left w:val="single" w:color="auto" w:sz="8" w:space="0"/>
              <w:tl2br w:val="nil"/>
              <w:tr2bl w:val="nil"/>
            </w:tcBorders>
            <w:vAlign w:val="center"/>
          </w:tcPr>
          <w:p>
            <w:pPr>
              <w:snapToGrid w:val="0"/>
              <w:jc w:val="center"/>
              <w:rPr>
                <w:color w:val="000000"/>
                <w:szCs w:val="21"/>
              </w:rPr>
            </w:pPr>
            <w:r>
              <w:rPr>
                <w:rFonts w:hint="eastAsia"/>
                <w:color w:val="000000"/>
                <w:szCs w:val="21"/>
              </w:rPr>
              <w:t>无组织</w:t>
            </w:r>
          </w:p>
        </w:tc>
        <w:tc>
          <w:tcPr>
            <w:tcW w:w="851" w:type="dxa"/>
            <w:tcBorders>
              <w:left w:val="single" w:color="auto" w:sz="8" w:space="0"/>
              <w:tl2br w:val="nil"/>
              <w:tr2bl w:val="nil"/>
            </w:tcBorders>
            <w:vAlign w:val="center"/>
          </w:tcPr>
          <w:p>
            <w:pPr>
              <w:snapToGrid w:val="0"/>
              <w:jc w:val="center"/>
              <w:rPr>
                <w:color w:val="000000"/>
                <w:szCs w:val="21"/>
              </w:rPr>
            </w:pPr>
            <w:r>
              <w:rPr>
                <w:rFonts w:hint="eastAsia"/>
                <w:color w:val="000000"/>
                <w:szCs w:val="21"/>
              </w:rPr>
              <w:t>生产车间</w:t>
            </w:r>
          </w:p>
        </w:tc>
        <w:tc>
          <w:tcPr>
            <w:tcW w:w="1417" w:type="dxa"/>
            <w:tcBorders>
              <w:tl2br w:val="nil"/>
              <w:tr2bl w:val="nil"/>
            </w:tcBorders>
            <w:vAlign w:val="center"/>
          </w:tcPr>
          <w:p>
            <w:pPr>
              <w:snapToGrid w:val="0"/>
              <w:jc w:val="center"/>
              <w:rPr>
                <w:color w:val="000000"/>
                <w:szCs w:val="21"/>
              </w:rPr>
            </w:pPr>
            <w:r>
              <w:rPr>
                <w:rFonts w:hint="eastAsia"/>
                <w:color w:val="000000"/>
                <w:szCs w:val="21"/>
              </w:rPr>
              <w:t>颗粒物</w:t>
            </w:r>
          </w:p>
        </w:tc>
        <w:tc>
          <w:tcPr>
            <w:tcW w:w="2268" w:type="dxa"/>
            <w:tcBorders>
              <w:tl2br w:val="nil"/>
              <w:tr2bl w:val="nil"/>
            </w:tcBorders>
            <w:vAlign w:val="center"/>
          </w:tcPr>
          <w:p>
            <w:pPr>
              <w:spacing w:line="320" w:lineRule="exact"/>
              <w:jc w:val="center"/>
              <w:outlineLvl w:val="0"/>
              <w:rPr>
                <w:rFonts w:hAnsi="宋体"/>
                <w:bCs/>
                <w:color w:val="000000"/>
              </w:rPr>
            </w:pPr>
            <w:r>
              <w:rPr>
                <w:rFonts w:hint="eastAsia"/>
                <w:color w:val="000000"/>
                <w:szCs w:val="21"/>
              </w:rPr>
              <w:t>生产车间封闭，自然沉降</w:t>
            </w:r>
          </w:p>
        </w:tc>
        <w:tc>
          <w:tcPr>
            <w:tcW w:w="2309" w:type="dxa"/>
            <w:tcBorders>
              <w:tl2br w:val="nil"/>
              <w:tr2bl w:val="nil"/>
            </w:tcBorders>
            <w:vAlign w:val="center"/>
          </w:tcPr>
          <w:p>
            <w:pPr>
              <w:adjustRightInd w:val="0"/>
              <w:snapToGrid w:val="0"/>
              <w:spacing w:line="320" w:lineRule="exact"/>
              <w:jc w:val="center"/>
              <w:rPr>
                <w:rFonts w:hAnsi="宋体"/>
              </w:rPr>
            </w:pPr>
            <w:r>
              <w:rPr>
                <w:rFonts w:hint="eastAsia"/>
                <w:color w:val="000000"/>
                <w:szCs w:val="21"/>
              </w:rPr>
              <w:t>《大气污染物综合排放标准》（GB16297-1996）表2二级标准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064" w:hRule="atLeast"/>
          <w:jc w:val="center"/>
        </w:trPr>
        <w:tc>
          <w:tcPr>
            <w:tcW w:w="1376" w:type="dxa"/>
            <w:tcBorders>
              <w:tl2br w:val="nil"/>
              <w:tr2bl w:val="nil"/>
            </w:tcBorders>
            <w:vAlign w:val="center"/>
          </w:tcPr>
          <w:p>
            <w:pPr>
              <w:adjustRightInd w:val="0"/>
              <w:snapToGrid w:val="0"/>
              <w:spacing w:line="320" w:lineRule="exact"/>
              <w:jc w:val="center"/>
              <w:rPr>
                <w:kern w:val="21"/>
                <w:szCs w:val="21"/>
              </w:rPr>
            </w:pPr>
            <w:r>
              <w:rPr>
                <w:kern w:val="21"/>
                <w:szCs w:val="21"/>
              </w:rPr>
              <w:t>地表水环境</w:t>
            </w:r>
          </w:p>
        </w:tc>
        <w:tc>
          <w:tcPr>
            <w:tcW w:w="1701" w:type="dxa"/>
            <w:gridSpan w:val="2"/>
            <w:tcBorders>
              <w:tl2br w:val="nil"/>
              <w:tr2bl w:val="nil"/>
            </w:tcBorders>
            <w:vAlign w:val="center"/>
          </w:tcPr>
          <w:p>
            <w:pPr>
              <w:jc w:val="center"/>
              <w:rPr>
                <w:color w:val="000000"/>
                <w:szCs w:val="21"/>
              </w:rPr>
            </w:pPr>
            <w:r>
              <w:rPr>
                <w:color w:val="000000"/>
                <w:kern w:val="0"/>
                <w:szCs w:val="21"/>
              </w:rPr>
              <w:t>职工生活</w:t>
            </w:r>
            <w:r>
              <w:rPr>
                <w:rFonts w:hint="eastAsia"/>
                <w:color w:val="000000"/>
                <w:kern w:val="0"/>
                <w:szCs w:val="21"/>
              </w:rPr>
              <w:t>废水</w:t>
            </w:r>
          </w:p>
        </w:tc>
        <w:tc>
          <w:tcPr>
            <w:tcW w:w="1417" w:type="dxa"/>
            <w:tcBorders>
              <w:tl2br w:val="nil"/>
              <w:tr2bl w:val="nil"/>
            </w:tcBorders>
            <w:vAlign w:val="center"/>
          </w:tcPr>
          <w:p>
            <w:pPr>
              <w:snapToGrid w:val="0"/>
              <w:jc w:val="center"/>
              <w:rPr>
                <w:bCs/>
                <w:color w:val="000000"/>
                <w:szCs w:val="21"/>
              </w:rPr>
            </w:pPr>
            <w:r>
              <w:rPr>
                <w:rFonts w:hint="eastAsia"/>
                <w:bCs/>
                <w:szCs w:val="21"/>
              </w:rPr>
              <w:t>化学需氧量、氨氮、悬浮物、五日生化需氧量</w:t>
            </w:r>
          </w:p>
        </w:tc>
        <w:tc>
          <w:tcPr>
            <w:tcW w:w="2268" w:type="dxa"/>
            <w:tcBorders>
              <w:tl2br w:val="nil"/>
              <w:tr2bl w:val="nil"/>
            </w:tcBorders>
            <w:vAlign w:val="center"/>
          </w:tcPr>
          <w:p>
            <w:pPr>
              <w:jc w:val="center"/>
              <w:rPr>
                <w:color w:val="000000"/>
                <w:szCs w:val="21"/>
              </w:rPr>
            </w:pPr>
            <w:r>
              <w:rPr>
                <w:color w:val="000000"/>
                <w:kern w:val="0"/>
              </w:rPr>
              <w:t>项目营运期职工生活污水经化粪池处理后</w:t>
            </w:r>
            <w:r>
              <w:rPr>
                <w:rFonts w:hint="eastAsia"/>
                <w:color w:val="000000"/>
                <w:kern w:val="0"/>
              </w:rPr>
              <w:t>农田施肥</w:t>
            </w:r>
          </w:p>
        </w:tc>
        <w:tc>
          <w:tcPr>
            <w:tcW w:w="2309" w:type="dxa"/>
            <w:tcBorders>
              <w:tl2br w:val="nil"/>
              <w:tr2bl w:val="nil"/>
            </w:tcBorders>
            <w:vAlign w:val="center"/>
          </w:tcPr>
          <w:p>
            <w:pPr>
              <w:adjustRightInd w:val="0"/>
              <w:snapToGrid w:val="0"/>
              <w:spacing w:line="320" w:lineRule="exact"/>
              <w:jc w:val="center"/>
              <w:rPr>
                <w:kern w:val="21"/>
                <w:szCs w:val="21"/>
              </w:rPr>
            </w:pPr>
            <w:r>
              <w:rPr>
                <w:rFonts w:hint="eastAsia"/>
                <w:color w:val="000000"/>
                <w:szCs w:val="21"/>
              </w:rPr>
              <w:t>对周围水环境影响较小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376" w:type="dxa"/>
            <w:tcBorders>
              <w:tl2br w:val="nil"/>
              <w:tr2bl w:val="nil"/>
            </w:tcBorders>
            <w:vAlign w:val="center"/>
          </w:tcPr>
          <w:p>
            <w:pPr>
              <w:adjustRightInd w:val="0"/>
              <w:snapToGrid w:val="0"/>
              <w:spacing w:line="320" w:lineRule="exact"/>
              <w:jc w:val="center"/>
              <w:rPr>
                <w:kern w:val="21"/>
                <w:szCs w:val="21"/>
              </w:rPr>
            </w:pPr>
            <w:r>
              <w:rPr>
                <w:kern w:val="21"/>
                <w:szCs w:val="21"/>
              </w:rPr>
              <w:t>声环境</w:t>
            </w:r>
          </w:p>
        </w:tc>
        <w:tc>
          <w:tcPr>
            <w:tcW w:w="1701" w:type="dxa"/>
            <w:gridSpan w:val="2"/>
            <w:tcBorders>
              <w:tl2br w:val="nil"/>
              <w:tr2bl w:val="nil"/>
            </w:tcBorders>
            <w:vAlign w:val="center"/>
          </w:tcPr>
          <w:p>
            <w:pPr>
              <w:adjustRightInd w:val="0"/>
              <w:snapToGrid w:val="0"/>
              <w:spacing w:line="320" w:lineRule="exact"/>
              <w:jc w:val="center"/>
              <w:rPr>
                <w:kern w:val="21"/>
                <w:szCs w:val="21"/>
              </w:rPr>
            </w:pPr>
            <w:r>
              <w:rPr>
                <w:rFonts w:hint="eastAsia"/>
                <w:color w:val="000000"/>
              </w:rPr>
              <w:t>机械</w:t>
            </w:r>
            <w:r>
              <w:rPr>
                <w:color w:val="000000"/>
              </w:rPr>
              <w:t>设备</w:t>
            </w:r>
          </w:p>
        </w:tc>
        <w:tc>
          <w:tcPr>
            <w:tcW w:w="1417" w:type="dxa"/>
            <w:tcBorders>
              <w:tl2br w:val="nil"/>
              <w:tr2bl w:val="nil"/>
            </w:tcBorders>
            <w:vAlign w:val="center"/>
          </w:tcPr>
          <w:p>
            <w:pPr>
              <w:adjustRightInd w:val="0"/>
              <w:snapToGrid w:val="0"/>
              <w:spacing w:line="320" w:lineRule="exact"/>
              <w:jc w:val="center"/>
              <w:rPr>
                <w:kern w:val="21"/>
                <w:szCs w:val="21"/>
              </w:rPr>
            </w:pPr>
            <w:r>
              <w:rPr>
                <w:szCs w:val="21"/>
              </w:rPr>
              <w:t>机械</w:t>
            </w:r>
            <w:r>
              <w:rPr>
                <w:kern w:val="21"/>
                <w:szCs w:val="21"/>
              </w:rPr>
              <w:t>噪声</w:t>
            </w:r>
          </w:p>
        </w:tc>
        <w:tc>
          <w:tcPr>
            <w:tcW w:w="2268" w:type="dxa"/>
            <w:tcBorders>
              <w:tl2br w:val="nil"/>
              <w:tr2bl w:val="nil"/>
            </w:tcBorders>
            <w:vAlign w:val="center"/>
          </w:tcPr>
          <w:p>
            <w:pPr>
              <w:adjustRightInd w:val="0"/>
              <w:snapToGrid w:val="0"/>
              <w:spacing w:line="320" w:lineRule="exact"/>
              <w:jc w:val="center"/>
              <w:rPr>
                <w:kern w:val="21"/>
                <w:szCs w:val="21"/>
              </w:rPr>
            </w:pPr>
            <w:r>
              <w:rPr>
                <w:szCs w:val="21"/>
              </w:rPr>
              <w:t>车间合理布局；产噪设备加装减振装置，</w:t>
            </w:r>
            <w:r>
              <w:rPr>
                <w:kern w:val="21"/>
                <w:szCs w:val="21"/>
              </w:rPr>
              <w:t>设备定期维护</w:t>
            </w:r>
            <w:r>
              <w:rPr>
                <w:szCs w:val="21"/>
              </w:rPr>
              <w:t>保养</w:t>
            </w:r>
          </w:p>
        </w:tc>
        <w:tc>
          <w:tcPr>
            <w:tcW w:w="2309" w:type="dxa"/>
            <w:tcBorders>
              <w:tl2br w:val="nil"/>
              <w:tr2bl w:val="nil"/>
            </w:tcBorders>
            <w:vAlign w:val="center"/>
          </w:tcPr>
          <w:p>
            <w:pPr>
              <w:adjustRightInd w:val="0"/>
              <w:snapToGrid w:val="0"/>
              <w:spacing w:line="320" w:lineRule="exact"/>
              <w:jc w:val="center"/>
              <w:rPr>
                <w:kern w:val="21"/>
                <w:szCs w:val="21"/>
              </w:rPr>
            </w:pPr>
            <w:r>
              <w:rPr>
                <w:szCs w:val="21"/>
              </w:rPr>
              <w:t>满足《工业企业厂界噪声排放标准》（</w:t>
            </w:r>
            <w:r>
              <w:rPr>
                <w:kern w:val="21"/>
                <w:szCs w:val="21"/>
              </w:rPr>
              <w:t>GB12348</w:t>
            </w:r>
            <w:r>
              <w:rPr>
                <w:szCs w:val="21"/>
              </w:rPr>
              <w:t>-2008）</w:t>
            </w:r>
            <w:r>
              <w:rPr>
                <w:rFonts w:hint="eastAsia"/>
                <w:szCs w:val="21"/>
              </w:rPr>
              <w:t>2</w:t>
            </w:r>
            <w:r>
              <w:rPr>
                <w:szCs w:val="21"/>
              </w:rPr>
              <w:t>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8" w:hRule="atLeast"/>
          <w:jc w:val="center"/>
        </w:trPr>
        <w:tc>
          <w:tcPr>
            <w:tcW w:w="1376" w:type="dxa"/>
            <w:tcBorders>
              <w:tl2br w:val="nil"/>
              <w:tr2bl w:val="nil"/>
            </w:tcBorders>
            <w:vAlign w:val="center"/>
          </w:tcPr>
          <w:p>
            <w:pPr>
              <w:adjustRightInd w:val="0"/>
              <w:snapToGrid w:val="0"/>
              <w:spacing w:line="320" w:lineRule="exact"/>
              <w:jc w:val="center"/>
              <w:rPr>
                <w:kern w:val="21"/>
                <w:szCs w:val="21"/>
              </w:rPr>
            </w:pPr>
            <w:r>
              <w:rPr>
                <w:kern w:val="21"/>
                <w:szCs w:val="21"/>
              </w:rPr>
              <w:t>电磁辐射</w:t>
            </w:r>
          </w:p>
        </w:tc>
        <w:tc>
          <w:tcPr>
            <w:tcW w:w="1701" w:type="dxa"/>
            <w:gridSpan w:val="2"/>
            <w:tcBorders>
              <w:tl2br w:val="nil"/>
              <w:tr2bl w:val="nil"/>
            </w:tcBorders>
            <w:vAlign w:val="center"/>
          </w:tcPr>
          <w:p>
            <w:pPr>
              <w:adjustRightInd w:val="0"/>
              <w:snapToGrid w:val="0"/>
              <w:spacing w:line="320" w:lineRule="exact"/>
              <w:jc w:val="center"/>
              <w:rPr>
                <w:kern w:val="21"/>
                <w:szCs w:val="21"/>
              </w:rPr>
            </w:pPr>
            <w:r>
              <w:rPr>
                <w:szCs w:val="21"/>
              </w:rPr>
              <w:t>无</w:t>
            </w:r>
          </w:p>
        </w:tc>
        <w:tc>
          <w:tcPr>
            <w:tcW w:w="1417" w:type="dxa"/>
            <w:tcBorders>
              <w:tl2br w:val="nil"/>
              <w:tr2bl w:val="nil"/>
            </w:tcBorders>
            <w:vAlign w:val="center"/>
          </w:tcPr>
          <w:p>
            <w:pPr>
              <w:adjustRightInd w:val="0"/>
              <w:snapToGrid w:val="0"/>
              <w:spacing w:line="320" w:lineRule="exact"/>
              <w:jc w:val="center"/>
              <w:rPr>
                <w:kern w:val="21"/>
                <w:szCs w:val="21"/>
              </w:rPr>
            </w:pPr>
            <w:r>
              <w:rPr>
                <w:szCs w:val="21"/>
              </w:rPr>
              <w:t>无</w:t>
            </w:r>
          </w:p>
        </w:tc>
        <w:tc>
          <w:tcPr>
            <w:tcW w:w="2268" w:type="dxa"/>
            <w:tcBorders>
              <w:tl2br w:val="nil"/>
              <w:tr2bl w:val="nil"/>
            </w:tcBorders>
            <w:vAlign w:val="center"/>
          </w:tcPr>
          <w:p>
            <w:pPr>
              <w:adjustRightInd w:val="0"/>
              <w:snapToGrid w:val="0"/>
              <w:spacing w:line="320" w:lineRule="exact"/>
              <w:jc w:val="center"/>
              <w:rPr>
                <w:kern w:val="21"/>
                <w:szCs w:val="21"/>
              </w:rPr>
            </w:pPr>
            <w:r>
              <w:rPr>
                <w:kern w:val="21"/>
                <w:szCs w:val="21"/>
              </w:rPr>
              <w:t>无</w:t>
            </w:r>
          </w:p>
        </w:tc>
        <w:tc>
          <w:tcPr>
            <w:tcW w:w="2309" w:type="dxa"/>
            <w:tcBorders>
              <w:tl2br w:val="nil"/>
              <w:tr2bl w:val="nil"/>
            </w:tcBorders>
            <w:vAlign w:val="center"/>
          </w:tcPr>
          <w:p>
            <w:pPr>
              <w:adjustRightInd w:val="0"/>
              <w:snapToGrid w:val="0"/>
              <w:spacing w:line="320" w:lineRule="exact"/>
              <w:jc w:val="center"/>
              <w:rPr>
                <w:kern w:val="21"/>
                <w:szCs w:val="21"/>
              </w:rPr>
            </w:pPr>
            <w:r>
              <w:rPr>
                <w:kern w:val="21"/>
                <w:szCs w:val="21"/>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5" w:hRule="atLeast"/>
          <w:jc w:val="center"/>
        </w:trPr>
        <w:tc>
          <w:tcPr>
            <w:tcW w:w="1376" w:type="dxa"/>
            <w:vMerge w:val="restart"/>
            <w:tcBorders>
              <w:tl2br w:val="nil"/>
              <w:tr2bl w:val="nil"/>
            </w:tcBorders>
            <w:vAlign w:val="center"/>
          </w:tcPr>
          <w:p>
            <w:pPr>
              <w:adjustRightInd w:val="0"/>
              <w:snapToGrid w:val="0"/>
              <w:spacing w:line="320" w:lineRule="exact"/>
              <w:jc w:val="center"/>
              <w:rPr>
                <w:kern w:val="21"/>
                <w:szCs w:val="21"/>
              </w:rPr>
            </w:pPr>
            <w:r>
              <w:rPr>
                <w:kern w:val="21"/>
                <w:szCs w:val="21"/>
              </w:rPr>
              <w:t>固体废物</w:t>
            </w:r>
          </w:p>
        </w:tc>
        <w:tc>
          <w:tcPr>
            <w:tcW w:w="1701" w:type="dxa"/>
            <w:gridSpan w:val="2"/>
            <w:vMerge w:val="restart"/>
            <w:tcBorders>
              <w:tl2br w:val="nil"/>
              <w:tr2bl w:val="nil"/>
            </w:tcBorders>
            <w:vAlign w:val="center"/>
          </w:tcPr>
          <w:p>
            <w:pPr>
              <w:jc w:val="center"/>
              <w:rPr>
                <w:color w:val="000000"/>
                <w:szCs w:val="21"/>
              </w:rPr>
            </w:pPr>
            <w:r>
              <w:rPr>
                <w:color w:val="000000"/>
                <w:szCs w:val="21"/>
              </w:rPr>
              <w:t>在厂职工</w:t>
            </w:r>
          </w:p>
        </w:tc>
        <w:tc>
          <w:tcPr>
            <w:tcW w:w="1417" w:type="dxa"/>
            <w:tcBorders>
              <w:tl2br w:val="nil"/>
              <w:tr2bl w:val="nil"/>
            </w:tcBorders>
            <w:vAlign w:val="center"/>
          </w:tcPr>
          <w:p>
            <w:pPr>
              <w:jc w:val="center"/>
              <w:rPr>
                <w:color w:val="000000"/>
                <w:szCs w:val="21"/>
              </w:rPr>
            </w:pPr>
            <w:r>
              <w:rPr>
                <w:color w:val="000000"/>
                <w:szCs w:val="21"/>
              </w:rPr>
              <w:t>生活垃圾</w:t>
            </w:r>
          </w:p>
        </w:tc>
        <w:tc>
          <w:tcPr>
            <w:tcW w:w="2268" w:type="dxa"/>
            <w:tcBorders>
              <w:tl2br w:val="nil"/>
              <w:tr2bl w:val="nil"/>
            </w:tcBorders>
            <w:vAlign w:val="center"/>
          </w:tcPr>
          <w:p>
            <w:pPr>
              <w:snapToGrid w:val="0"/>
              <w:jc w:val="center"/>
              <w:rPr>
                <w:bCs/>
                <w:color w:val="000000"/>
                <w:szCs w:val="21"/>
              </w:rPr>
            </w:pPr>
            <w:r>
              <w:rPr>
                <w:rFonts w:hint="eastAsia"/>
                <w:bCs/>
                <w:color w:val="000000"/>
                <w:szCs w:val="21"/>
              </w:rPr>
              <w:t>集中分类收集后交由环卫部门运至垃圾中转站进行处理</w:t>
            </w:r>
          </w:p>
        </w:tc>
        <w:tc>
          <w:tcPr>
            <w:tcW w:w="2309" w:type="dxa"/>
            <w:vMerge w:val="restart"/>
            <w:tcBorders>
              <w:tl2br w:val="nil"/>
              <w:tr2bl w:val="nil"/>
            </w:tcBorders>
            <w:vAlign w:val="center"/>
          </w:tcPr>
          <w:p>
            <w:pPr>
              <w:adjustRightInd w:val="0"/>
              <w:snapToGrid w:val="0"/>
              <w:spacing w:line="320" w:lineRule="exact"/>
              <w:jc w:val="center"/>
              <w:rPr>
                <w:kern w:val="21"/>
                <w:szCs w:val="21"/>
              </w:rPr>
            </w:pPr>
            <w:r>
              <w:rPr>
                <w:color w:val="000000"/>
                <w:szCs w:val="21"/>
              </w:rPr>
              <w:t>执行《一般工业固体废物贮存和填埋污染控制标准》（GB18599-2020）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5" w:hRule="atLeast"/>
          <w:jc w:val="center"/>
        </w:trPr>
        <w:tc>
          <w:tcPr>
            <w:tcW w:w="1376" w:type="dxa"/>
            <w:vMerge w:val="continue"/>
            <w:tcBorders>
              <w:tl2br w:val="nil"/>
              <w:tr2bl w:val="nil"/>
            </w:tcBorders>
            <w:vAlign w:val="center"/>
          </w:tcPr>
          <w:p>
            <w:pPr>
              <w:adjustRightInd w:val="0"/>
              <w:snapToGrid w:val="0"/>
              <w:spacing w:line="320" w:lineRule="exact"/>
              <w:jc w:val="center"/>
              <w:rPr>
                <w:kern w:val="21"/>
                <w:szCs w:val="21"/>
              </w:rPr>
            </w:pPr>
          </w:p>
        </w:tc>
        <w:tc>
          <w:tcPr>
            <w:tcW w:w="1701" w:type="dxa"/>
            <w:gridSpan w:val="2"/>
            <w:vMerge w:val="continue"/>
            <w:tcBorders>
              <w:tl2br w:val="nil"/>
              <w:tr2bl w:val="nil"/>
            </w:tcBorders>
            <w:vAlign w:val="center"/>
          </w:tcPr>
          <w:p>
            <w:pPr>
              <w:jc w:val="center"/>
              <w:rPr>
                <w:color w:val="000000"/>
                <w:szCs w:val="21"/>
              </w:rPr>
            </w:pPr>
          </w:p>
        </w:tc>
        <w:tc>
          <w:tcPr>
            <w:tcW w:w="1417" w:type="dxa"/>
            <w:tcBorders>
              <w:tl2br w:val="nil"/>
              <w:tr2bl w:val="nil"/>
            </w:tcBorders>
            <w:vAlign w:val="center"/>
          </w:tcPr>
          <w:p>
            <w:pPr>
              <w:jc w:val="center"/>
              <w:rPr>
                <w:color w:val="000000"/>
                <w:szCs w:val="21"/>
              </w:rPr>
            </w:pPr>
            <w:r>
              <w:rPr>
                <w:rFonts w:hint="eastAsia"/>
                <w:color w:val="000000"/>
                <w:szCs w:val="21"/>
              </w:rPr>
              <w:t>化粪池污泥</w:t>
            </w:r>
          </w:p>
        </w:tc>
        <w:tc>
          <w:tcPr>
            <w:tcW w:w="2268" w:type="dxa"/>
            <w:tcBorders>
              <w:tl2br w:val="nil"/>
              <w:tr2bl w:val="nil"/>
            </w:tcBorders>
            <w:vAlign w:val="center"/>
          </w:tcPr>
          <w:p>
            <w:pPr>
              <w:snapToGrid w:val="0"/>
              <w:jc w:val="center"/>
              <w:rPr>
                <w:bCs/>
                <w:color w:val="000000"/>
                <w:szCs w:val="21"/>
              </w:rPr>
            </w:pPr>
            <w:r>
              <w:rPr>
                <w:rFonts w:hint="eastAsia"/>
                <w:bCs/>
                <w:color w:val="000000"/>
                <w:szCs w:val="21"/>
              </w:rPr>
              <w:t>定期清掏，农田施肥</w:t>
            </w:r>
          </w:p>
        </w:tc>
        <w:tc>
          <w:tcPr>
            <w:tcW w:w="2309" w:type="dxa"/>
            <w:vMerge w:val="continue"/>
            <w:tcBorders>
              <w:tl2br w:val="nil"/>
              <w:tr2bl w:val="nil"/>
            </w:tcBorders>
            <w:vAlign w:val="center"/>
          </w:tcPr>
          <w:p>
            <w:pPr>
              <w:adjustRightInd w:val="0"/>
              <w:snapToGrid w:val="0"/>
              <w:spacing w:line="320" w:lineRule="exact"/>
              <w:jc w:val="center"/>
              <w:rPr>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376" w:type="dxa"/>
            <w:vMerge w:val="continue"/>
            <w:tcBorders>
              <w:tl2br w:val="nil"/>
              <w:tr2bl w:val="nil"/>
            </w:tcBorders>
            <w:vAlign w:val="center"/>
          </w:tcPr>
          <w:p>
            <w:pPr>
              <w:adjustRightInd w:val="0"/>
              <w:snapToGrid w:val="0"/>
              <w:spacing w:line="320" w:lineRule="exact"/>
              <w:jc w:val="center"/>
              <w:rPr>
                <w:kern w:val="21"/>
                <w:szCs w:val="21"/>
              </w:rPr>
            </w:pPr>
          </w:p>
        </w:tc>
        <w:tc>
          <w:tcPr>
            <w:tcW w:w="1701" w:type="dxa"/>
            <w:gridSpan w:val="2"/>
            <w:tcBorders>
              <w:tl2br w:val="nil"/>
              <w:tr2bl w:val="nil"/>
            </w:tcBorders>
            <w:vAlign w:val="center"/>
          </w:tcPr>
          <w:p>
            <w:pPr>
              <w:jc w:val="center"/>
              <w:rPr>
                <w:color w:val="000000"/>
                <w:szCs w:val="21"/>
              </w:rPr>
            </w:pPr>
            <w:r>
              <w:rPr>
                <w:rFonts w:hint="eastAsia"/>
                <w:color w:val="000000"/>
                <w:szCs w:val="21"/>
              </w:rPr>
              <w:t>原材料使用及成品包装</w:t>
            </w:r>
          </w:p>
        </w:tc>
        <w:tc>
          <w:tcPr>
            <w:tcW w:w="1417" w:type="dxa"/>
            <w:tcBorders>
              <w:tl2br w:val="nil"/>
              <w:tr2bl w:val="nil"/>
            </w:tcBorders>
            <w:vAlign w:val="center"/>
          </w:tcPr>
          <w:p>
            <w:pPr>
              <w:jc w:val="center"/>
              <w:rPr>
                <w:bCs/>
                <w:color w:val="000000"/>
                <w:szCs w:val="21"/>
              </w:rPr>
            </w:pPr>
            <w:r>
              <w:rPr>
                <w:rFonts w:hint="eastAsia"/>
                <w:color w:val="000000"/>
                <w:szCs w:val="21"/>
              </w:rPr>
              <w:t>一般废包装材料</w:t>
            </w:r>
          </w:p>
        </w:tc>
        <w:tc>
          <w:tcPr>
            <w:tcW w:w="2268" w:type="dxa"/>
            <w:tcBorders>
              <w:tl2br w:val="nil"/>
              <w:tr2bl w:val="nil"/>
            </w:tcBorders>
            <w:vAlign w:val="center"/>
          </w:tcPr>
          <w:p>
            <w:pPr>
              <w:snapToGrid w:val="0"/>
              <w:jc w:val="center"/>
              <w:rPr>
                <w:bCs/>
                <w:color w:val="000000"/>
                <w:szCs w:val="21"/>
              </w:rPr>
            </w:pPr>
            <w:r>
              <w:rPr>
                <w:rFonts w:hint="eastAsia"/>
                <w:bCs/>
                <w:color w:val="000000"/>
                <w:szCs w:val="21"/>
              </w:rPr>
              <w:t>集中收集后外售给废品回收站</w:t>
            </w:r>
          </w:p>
        </w:tc>
        <w:tc>
          <w:tcPr>
            <w:tcW w:w="2309" w:type="dxa"/>
            <w:vMerge w:val="continue"/>
            <w:tcBorders>
              <w:tl2br w:val="nil"/>
              <w:tr2bl w:val="nil"/>
            </w:tcBorders>
            <w:vAlign w:val="center"/>
          </w:tcPr>
          <w:p>
            <w:pPr>
              <w:adjustRightInd w:val="0"/>
              <w:snapToGrid w:val="0"/>
              <w:spacing w:line="32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87" w:hRule="atLeast"/>
          <w:jc w:val="center"/>
        </w:trPr>
        <w:tc>
          <w:tcPr>
            <w:tcW w:w="1376" w:type="dxa"/>
            <w:vMerge w:val="continue"/>
            <w:tcBorders>
              <w:tl2br w:val="nil"/>
              <w:tr2bl w:val="nil"/>
            </w:tcBorders>
            <w:vAlign w:val="center"/>
          </w:tcPr>
          <w:p>
            <w:pPr>
              <w:adjustRightInd w:val="0"/>
              <w:snapToGrid w:val="0"/>
              <w:spacing w:line="320" w:lineRule="exact"/>
              <w:jc w:val="center"/>
              <w:rPr>
                <w:kern w:val="21"/>
                <w:szCs w:val="21"/>
              </w:rPr>
            </w:pPr>
          </w:p>
        </w:tc>
        <w:tc>
          <w:tcPr>
            <w:tcW w:w="1701" w:type="dxa"/>
            <w:gridSpan w:val="2"/>
            <w:tcBorders>
              <w:tl2br w:val="nil"/>
              <w:tr2bl w:val="nil"/>
            </w:tcBorders>
            <w:vAlign w:val="center"/>
          </w:tcPr>
          <w:p>
            <w:pPr>
              <w:jc w:val="center"/>
              <w:rPr>
                <w:color w:val="FF0000"/>
                <w:u w:val="single"/>
              </w:rPr>
            </w:pPr>
            <w:r>
              <w:rPr>
                <w:rFonts w:hint="eastAsia"/>
                <w:color w:val="000000"/>
                <w:szCs w:val="21"/>
              </w:rPr>
              <w:t>废气治理</w:t>
            </w:r>
          </w:p>
        </w:tc>
        <w:tc>
          <w:tcPr>
            <w:tcW w:w="1417" w:type="dxa"/>
            <w:tcBorders>
              <w:tl2br w:val="nil"/>
              <w:tr2bl w:val="nil"/>
            </w:tcBorders>
            <w:vAlign w:val="center"/>
          </w:tcPr>
          <w:p>
            <w:pPr>
              <w:tabs>
                <w:tab w:val="left" w:pos="5250"/>
              </w:tabs>
              <w:adjustRightInd w:val="0"/>
              <w:snapToGrid w:val="0"/>
              <w:jc w:val="center"/>
              <w:rPr>
                <w:color w:val="FF0000"/>
                <w:szCs w:val="21"/>
                <w:u w:val="single"/>
              </w:rPr>
            </w:pPr>
            <w:r>
              <w:rPr>
                <w:rFonts w:hint="eastAsia"/>
                <w:bCs/>
                <w:color w:val="000000"/>
                <w:szCs w:val="21"/>
              </w:rPr>
              <w:t>除尘器粉尘</w:t>
            </w:r>
          </w:p>
        </w:tc>
        <w:tc>
          <w:tcPr>
            <w:tcW w:w="2268" w:type="dxa"/>
            <w:tcBorders>
              <w:tl2br w:val="nil"/>
              <w:tr2bl w:val="nil"/>
            </w:tcBorders>
            <w:vAlign w:val="center"/>
          </w:tcPr>
          <w:p>
            <w:pPr>
              <w:tabs>
                <w:tab w:val="left" w:pos="5250"/>
              </w:tabs>
              <w:adjustRightInd w:val="0"/>
              <w:snapToGrid w:val="0"/>
              <w:jc w:val="center"/>
              <w:rPr>
                <w:bCs/>
                <w:color w:val="FF0000"/>
                <w:szCs w:val="21"/>
                <w:u w:val="single"/>
              </w:rPr>
            </w:pPr>
            <w:r>
              <w:rPr>
                <w:rFonts w:hint="eastAsia" w:eastAsiaTheme="majorEastAsia"/>
              </w:rPr>
              <w:t>外售综合利用</w:t>
            </w:r>
          </w:p>
        </w:tc>
        <w:tc>
          <w:tcPr>
            <w:tcW w:w="2309" w:type="dxa"/>
            <w:vMerge w:val="continue"/>
            <w:tcBorders>
              <w:tl2br w:val="nil"/>
              <w:tr2bl w:val="nil"/>
            </w:tcBorders>
            <w:vAlign w:val="center"/>
          </w:tcPr>
          <w:p>
            <w:pPr>
              <w:adjustRightInd w:val="0"/>
              <w:snapToGrid w:val="0"/>
              <w:spacing w:line="32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376" w:type="dxa"/>
            <w:tcBorders>
              <w:tl2br w:val="nil"/>
              <w:tr2bl w:val="nil"/>
            </w:tcBorders>
            <w:vAlign w:val="center"/>
          </w:tcPr>
          <w:p>
            <w:pPr>
              <w:adjustRightInd w:val="0"/>
              <w:snapToGrid w:val="0"/>
              <w:spacing w:line="320" w:lineRule="exact"/>
              <w:jc w:val="center"/>
              <w:rPr>
                <w:kern w:val="21"/>
                <w:szCs w:val="21"/>
              </w:rPr>
            </w:pPr>
            <w:r>
              <w:rPr>
                <w:kern w:val="21"/>
                <w:szCs w:val="21"/>
              </w:rPr>
              <w:t>土壤及地下水污染防治措施</w:t>
            </w:r>
          </w:p>
        </w:tc>
        <w:tc>
          <w:tcPr>
            <w:tcW w:w="7695" w:type="dxa"/>
            <w:gridSpan w:val="5"/>
            <w:tcBorders>
              <w:tl2br w:val="nil"/>
              <w:tr2bl w:val="nil"/>
            </w:tcBorders>
            <w:vAlign w:val="center"/>
          </w:tcPr>
          <w:p>
            <w:pPr>
              <w:adjustRightInd w:val="0"/>
              <w:snapToGrid w:val="0"/>
              <w:spacing w:line="320" w:lineRule="exact"/>
              <w:jc w:val="center"/>
              <w:rPr>
                <w:kern w:val="21"/>
                <w:szCs w:val="21"/>
              </w:rPr>
            </w:pPr>
            <w:r>
              <w:rPr>
                <w:kern w:val="21"/>
                <w:szCs w:val="21"/>
              </w:rPr>
              <w:t>采取</w:t>
            </w:r>
            <w:r>
              <w:rPr>
                <w:rFonts w:hint="eastAsia"/>
                <w:kern w:val="21"/>
                <w:szCs w:val="21"/>
              </w:rPr>
              <w:t>分区</w:t>
            </w:r>
            <w:r>
              <w:rPr>
                <w:kern w:val="21"/>
                <w:szCs w:val="21"/>
              </w:rPr>
              <w:t>防渗措施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14" w:hRule="atLeast"/>
          <w:jc w:val="center"/>
        </w:trPr>
        <w:tc>
          <w:tcPr>
            <w:tcW w:w="1376" w:type="dxa"/>
            <w:tcBorders>
              <w:tl2br w:val="nil"/>
              <w:tr2bl w:val="nil"/>
            </w:tcBorders>
            <w:vAlign w:val="center"/>
          </w:tcPr>
          <w:p>
            <w:pPr>
              <w:adjustRightInd w:val="0"/>
              <w:snapToGrid w:val="0"/>
              <w:spacing w:line="320" w:lineRule="exact"/>
              <w:jc w:val="center"/>
              <w:rPr>
                <w:kern w:val="21"/>
                <w:szCs w:val="21"/>
              </w:rPr>
            </w:pPr>
            <w:r>
              <w:rPr>
                <w:kern w:val="21"/>
                <w:szCs w:val="21"/>
              </w:rPr>
              <w:t>生态保护措施</w:t>
            </w:r>
          </w:p>
        </w:tc>
        <w:tc>
          <w:tcPr>
            <w:tcW w:w="7695" w:type="dxa"/>
            <w:gridSpan w:val="5"/>
            <w:tcBorders>
              <w:tl2br w:val="nil"/>
              <w:tr2bl w:val="nil"/>
            </w:tcBorders>
            <w:vAlign w:val="center"/>
          </w:tcPr>
          <w:p>
            <w:pPr>
              <w:adjustRightInd w:val="0"/>
              <w:snapToGrid w:val="0"/>
              <w:spacing w:line="320" w:lineRule="exact"/>
              <w:jc w:val="center"/>
              <w:rPr>
                <w:kern w:val="21"/>
                <w:szCs w:val="21"/>
              </w:rPr>
            </w:pPr>
            <w:r>
              <w:rPr>
                <w:rFonts w:hint="eastAsia" w:ascii="宋体" w:hAnsi="宋体" w:cs="宋体"/>
                <w:szCs w:val="21"/>
              </w:rPr>
              <w:t>厂区裸露地面进行绿化等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376" w:type="dxa"/>
            <w:tcBorders>
              <w:tl2br w:val="nil"/>
              <w:tr2bl w:val="nil"/>
            </w:tcBorders>
            <w:vAlign w:val="center"/>
          </w:tcPr>
          <w:p>
            <w:pPr>
              <w:adjustRightInd w:val="0"/>
              <w:snapToGrid w:val="0"/>
              <w:spacing w:line="320" w:lineRule="exact"/>
              <w:jc w:val="center"/>
              <w:rPr>
                <w:kern w:val="21"/>
                <w:szCs w:val="21"/>
              </w:rPr>
            </w:pPr>
            <w:r>
              <w:rPr>
                <w:kern w:val="21"/>
                <w:szCs w:val="21"/>
              </w:rPr>
              <w:t>环境风险</w:t>
            </w:r>
          </w:p>
          <w:p>
            <w:pPr>
              <w:adjustRightInd w:val="0"/>
              <w:snapToGrid w:val="0"/>
              <w:spacing w:line="320" w:lineRule="exact"/>
              <w:jc w:val="center"/>
              <w:rPr>
                <w:kern w:val="21"/>
                <w:szCs w:val="21"/>
              </w:rPr>
            </w:pPr>
            <w:r>
              <w:rPr>
                <w:kern w:val="21"/>
                <w:szCs w:val="21"/>
              </w:rPr>
              <w:t>防范措施</w:t>
            </w:r>
          </w:p>
        </w:tc>
        <w:tc>
          <w:tcPr>
            <w:tcW w:w="7695" w:type="dxa"/>
            <w:gridSpan w:val="5"/>
            <w:tcBorders>
              <w:tl2br w:val="nil"/>
              <w:tr2bl w:val="nil"/>
            </w:tcBorders>
            <w:vAlign w:val="center"/>
          </w:tcPr>
          <w:p>
            <w:pPr>
              <w:adjustRightInd w:val="0"/>
              <w:snapToGrid w:val="0"/>
              <w:spacing w:line="320" w:lineRule="exact"/>
              <w:jc w:val="center"/>
              <w:rPr>
                <w:kern w:val="21"/>
                <w:szCs w:val="21"/>
              </w:rPr>
            </w:pPr>
            <w:r>
              <w:rPr>
                <w:kern w:val="21"/>
                <w:szCs w:val="21"/>
              </w:rPr>
              <w:t>加强日常安全意识及落实各项风险防范措施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376" w:type="dxa"/>
            <w:tcBorders>
              <w:tl2br w:val="nil"/>
              <w:tr2bl w:val="nil"/>
            </w:tcBorders>
            <w:vAlign w:val="center"/>
          </w:tcPr>
          <w:p>
            <w:pPr>
              <w:adjustRightInd w:val="0"/>
              <w:snapToGrid w:val="0"/>
              <w:spacing w:line="320" w:lineRule="exact"/>
              <w:jc w:val="center"/>
              <w:rPr>
                <w:kern w:val="21"/>
                <w:szCs w:val="21"/>
              </w:rPr>
            </w:pPr>
            <w:r>
              <w:rPr>
                <w:kern w:val="21"/>
                <w:szCs w:val="21"/>
              </w:rPr>
              <w:t>其他环境</w:t>
            </w:r>
          </w:p>
          <w:p>
            <w:pPr>
              <w:adjustRightInd w:val="0"/>
              <w:snapToGrid w:val="0"/>
              <w:spacing w:line="320" w:lineRule="exact"/>
              <w:jc w:val="center"/>
              <w:rPr>
                <w:kern w:val="21"/>
                <w:szCs w:val="21"/>
              </w:rPr>
            </w:pPr>
            <w:r>
              <w:rPr>
                <w:kern w:val="21"/>
                <w:szCs w:val="21"/>
              </w:rPr>
              <w:t>管理要求</w:t>
            </w:r>
          </w:p>
        </w:tc>
        <w:tc>
          <w:tcPr>
            <w:tcW w:w="7695" w:type="dxa"/>
            <w:gridSpan w:val="5"/>
            <w:tcBorders>
              <w:tl2br w:val="nil"/>
              <w:tr2bl w:val="nil"/>
            </w:tcBorders>
            <w:vAlign w:val="center"/>
          </w:tcPr>
          <w:p>
            <w:pPr>
              <w:pStyle w:val="80"/>
              <w:rPr>
                <w:color w:val="000000"/>
                <w:kern w:val="2"/>
                <w:szCs w:val="21"/>
              </w:rPr>
            </w:pPr>
            <w:r>
              <w:rPr>
                <w:rFonts w:hint="eastAsia"/>
                <w:color w:val="000000"/>
                <w:kern w:val="2"/>
                <w:szCs w:val="21"/>
              </w:rPr>
              <w:t>建立完善的环境管理制度，设立专门环境管理机构，建立完善的环境监测制度。</w:t>
            </w:r>
          </w:p>
          <w:p>
            <w:pPr>
              <w:pStyle w:val="80"/>
              <w:jc w:val="both"/>
              <w:rPr>
                <w:color w:val="000000"/>
                <w:kern w:val="2"/>
                <w:szCs w:val="21"/>
              </w:rPr>
            </w:pPr>
            <w:r>
              <w:rPr>
                <w:rFonts w:hint="eastAsia"/>
                <w:color w:val="000000"/>
                <w:kern w:val="2"/>
                <w:szCs w:val="21"/>
              </w:rPr>
              <w:t>按照环境监测计划对项目废气、厂界噪声等定期进行监测。</w:t>
            </w:r>
          </w:p>
          <w:p>
            <w:pPr>
              <w:pStyle w:val="80"/>
              <w:jc w:val="both"/>
              <w:rPr>
                <w:color w:val="000000"/>
                <w:kern w:val="2"/>
                <w:szCs w:val="21"/>
              </w:rPr>
            </w:pPr>
            <w:r>
              <w:rPr>
                <w:rFonts w:hint="eastAsia"/>
                <w:color w:val="000000"/>
                <w:kern w:val="2"/>
                <w:szCs w:val="21"/>
              </w:rPr>
              <w:t>按照《固定源废气监测技术规范》（HJ/T 397-2007）要求设置采样口。</w:t>
            </w:r>
          </w:p>
          <w:p>
            <w:pPr>
              <w:pStyle w:val="80"/>
              <w:jc w:val="both"/>
              <w:rPr>
                <w:szCs w:val="21"/>
              </w:rPr>
            </w:pPr>
            <w:r>
              <w:rPr>
                <w:rFonts w:hint="eastAsia"/>
                <w:color w:val="000000"/>
                <w:kern w:val="2"/>
                <w:szCs w:val="21"/>
              </w:rPr>
              <w:t>废气排放口、一般工业固废贮存设施按照《环境保护图形标志 排放口（源）》（GB15562.1-1995）、《环境保护图形标志 固体废物贮存（处置）场》（GB15562.2-1995）及2023年修改单等标准规定设置警示标志。</w:t>
            </w:r>
          </w:p>
        </w:tc>
      </w:tr>
    </w:tbl>
    <w:p>
      <w:pPr>
        <w:pStyle w:val="2"/>
        <w:ind w:firstLine="0"/>
        <w:sectPr>
          <w:pgSz w:w="11906" w:h="16838"/>
          <w:pgMar w:top="1440" w:right="1797" w:bottom="1440" w:left="1797" w:header="851" w:footer="992" w:gutter="0"/>
          <w:cols w:space="425" w:num="1"/>
          <w:docGrid w:linePitch="312" w:charSpace="0"/>
        </w:sectPr>
      </w:pPr>
    </w:p>
    <w:p>
      <w:pPr>
        <w:numPr>
          <w:ilvl w:val="0"/>
          <w:numId w:val="1"/>
        </w:numPr>
        <w:jc w:val="center"/>
        <w:outlineLvl w:val="0"/>
        <w:rPr>
          <w:rFonts w:eastAsia="黑体"/>
          <w:snapToGrid w:val="0"/>
          <w:kern w:val="21"/>
          <w:sz w:val="30"/>
          <w:szCs w:val="30"/>
        </w:rPr>
      </w:pPr>
      <w:bookmarkStart w:id="54" w:name="_Toc172623776"/>
      <w:r>
        <w:rPr>
          <w:rFonts w:eastAsia="黑体"/>
          <w:snapToGrid w:val="0"/>
          <w:kern w:val="21"/>
          <w:sz w:val="30"/>
          <w:szCs w:val="30"/>
        </w:rPr>
        <w:t>结论</w:t>
      </w:r>
      <w:bookmarkEnd w:id="54"/>
    </w:p>
    <w:tbl>
      <w:tblPr>
        <w:tblStyle w:val="26"/>
        <w:tblW w:w="9071"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none" w:color="auto" w:sz="0" w:space="0"/>
        </w:tblBorders>
        <w:tblLayout w:type="fixed"/>
        <w:tblCellMar>
          <w:top w:w="0" w:type="dxa"/>
          <w:left w:w="108" w:type="dxa"/>
          <w:bottom w:w="0" w:type="dxa"/>
          <w:right w:w="108" w:type="dxa"/>
        </w:tblCellMar>
      </w:tblPr>
      <w:tblGrid>
        <w:gridCol w:w="9071"/>
      </w:tblGrid>
      <w:tr>
        <w:tblPrEx>
          <w:tblBorders>
            <w:top w:val="single" w:color="auto" w:sz="12" w:space="0"/>
            <w:left w:val="single" w:color="auto" w:sz="12" w:space="0"/>
            <w:bottom w:val="single" w:color="auto" w:sz="12" w:space="0"/>
            <w:right w:val="single" w:color="auto" w:sz="12" w:space="0"/>
            <w:insideH w:val="single" w:color="auto" w:sz="4" w:space="0"/>
            <w:insideV w:val="none" w:color="auto" w:sz="0" w:space="0"/>
          </w:tblBorders>
          <w:tblLayout w:type="fixed"/>
          <w:tblCellMar>
            <w:top w:w="0" w:type="dxa"/>
            <w:left w:w="108" w:type="dxa"/>
            <w:bottom w:w="0" w:type="dxa"/>
            <w:right w:w="108" w:type="dxa"/>
          </w:tblCellMar>
        </w:tblPrEx>
        <w:trPr>
          <w:trHeight w:val="1134" w:hRule="atLeast"/>
          <w:jc w:val="center"/>
        </w:trPr>
        <w:tc>
          <w:tcPr>
            <w:tcW w:w="9071" w:type="dxa"/>
            <w:tcBorders>
              <w:tl2br w:val="nil"/>
              <w:tr2bl w:val="nil"/>
            </w:tcBorders>
            <w:vAlign w:val="center"/>
          </w:tcPr>
          <w:p>
            <w:pPr>
              <w:adjustRightInd w:val="0"/>
              <w:snapToGrid w:val="0"/>
              <w:spacing w:line="360" w:lineRule="auto"/>
              <w:ind w:firstLine="480" w:firstLineChars="200"/>
              <w:rPr>
                <w:sz w:val="24"/>
              </w:rPr>
            </w:pPr>
            <w:r>
              <w:rPr>
                <w:rFonts w:hint="eastAsia"/>
                <w:sz w:val="24"/>
                <w:szCs w:val="22"/>
              </w:rPr>
              <w:t>南阳延春堂艾业有限公司</w:t>
            </w:r>
            <w:r>
              <w:rPr>
                <w:sz w:val="24"/>
                <w:szCs w:val="22"/>
              </w:rPr>
              <w:t>年产100吨艾草制品项目的建设符合国家产业政策要求，项目符合规划、选址合理。在严格执行有关环保法规和“三同时”制度，认真落实环评提出的环保措施和对策的基础上能够实现污染物达标排放和合理处置，实现社会效益、经济效益和环境效益的协调发展，从环保角度分析，该项目建设是可行的。</w:t>
            </w:r>
          </w:p>
          <w:p>
            <w:pPr>
              <w:pStyle w:val="2"/>
              <w:rPr>
                <w:sz w:val="24"/>
              </w:rPr>
            </w:pPr>
          </w:p>
          <w:p>
            <w:pPr>
              <w:rPr>
                <w:sz w:val="24"/>
              </w:rPr>
            </w:pPr>
          </w:p>
          <w:p>
            <w:pPr>
              <w:pStyle w:val="2"/>
              <w:rPr>
                <w:sz w:val="24"/>
              </w:rPr>
            </w:pPr>
          </w:p>
          <w:p>
            <w:pPr>
              <w:rPr>
                <w:sz w:val="24"/>
              </w:rPr>
            </w:pPr>
          </w:p>
          <w:p>
            <w:pPr>
              <w:pStyle w:val="2"/>
              <w:rPr>
                <w:sz w:val="24"/>
              </w:rPr>
            </w:pPr>
          </w:p>
          <w:p>
            <w:pPr>
              <w:rPr>
                <w:sz w:val="24"/>
              </w:rPr>
            </w:pPr>
          </w:p>
          <w:p>
            <w:pPr>
              <w:pStyle w:val="2"/>
              <w:rPr>
                <w:sz w:val="24"/>
              </w:rPr>
            </w:pPr>
          </w:p>
          <w:p>
            <w:pPr>
              <w:rPr>
                <w:sz w:val="24"/>
              </w:rPr>
            </w:pPr>
          </w:p>
          <w:p>
            <w:pPr>
              <w:pStyle w:val="2"/>
              <w:rPr>
                <w:sz w:val="24"/>
              </w:rPr>
            </w:pPr>
          </w:p>
          <w:p>
            <w:pPr>
              <w:rPr>
                <w:sz w:val="24"/>
              </w:rPr>
            </w:pPr>
          </w:p>
          <w:p>
            <w:pPr>
              <w:pStyle w:val="2"/>
              <w:rPr>
                <w:sz w:val="24"/>
              </w:rPr>
            </w:pPr>
          </w:p>
          <w:p>
            <w:pPr>
              <w:rPr>
                <w:sz w:val="24"/>
              </w:rPr>
            </w:pPr>
          </w:p>
          <w:p>
            <w:pPr>
              <w:pStyle w:val="2"/>
              <w:rPr>
                <w:sz w:val="24"/>
              </w:rPr>
            </w:pPr>
          </w:p>
          <w:p>
            <w:pPr>
              <w:rPr>
                <w:sz w:val="24"/>
              </w:rPr>
            </w:pPr>
          </w:p>
          <w:p>
            <w:pPr>
              <w:pStyle w:val="2"/>
              <w:rPr>
                <w:sz w:val="24"/>
              </w:rPr>
            </w:pPr>
          </w:p>
          <w:p>
            <w:pPr>
              <w:rPr>
                <w:sz w:val="24"/>
              </w:rPr>
            </w:pPr>
          </w:p>
          <w:p>
            <w:pPr>
              <w:pStyle w:val="2"/>
              <w:rPr>
                <w:sz w:val="24"/>
              </w:rPr>
            </w:pPr>
          </w:p>
          <w:p>
            <w:pPr>
              <w:rPr>
                <w:sz w:val="24"/>
              </w:rPr>
            </w:pPr>
          </w:p>
          <w:p>
            <w:pPr>
              <w:pStyle w:val="2"/>
              <w:rPr>
                <w:sz w:val="24"/>
              </w:rPr>
            </w:pPr>
          </w:p>
          <w:p>
            <w:pPr>
              <w:rPr>
                <w:sz w:val="24"/>
              </w:rPr>
            </w:pPr>
          </w:p>
          <w:p/>
          <w:p>
            <w:pPr>
              <w:rPr>
                <w:sz w:val="24"/>
              </w:rPr>
            </w:pPr>
          </w:p>
          <w:p>
            <w:pPr>
              <w:pStyle w:val="2"/>
              <w:rPr>
                <w:sz w:val="24"/>
              </w:rPr>
            </w:pPr>
          </w:p>
          <w:p>
            <w:pPr>
              <w:rPr>
                <w:sz w:val="24"/>
              </w:rPr>
            </w:pPr>
          </w:p>
          <w:p>
            <w:pPr>
              <w:adjustRightInd w:val="0"/>
              <w:snapToGrid w:val="0"/>
              <w:rPr>
                <w:sz w:val="24"/>
              </w:rPr>
            </w:pPr>
          </w:p>
          <w:p>
            <w:pPr>
              <w:pStyle w:val="2"/>
            </w:pPr>
          </w:p>
          <w:p/>
          <w:p>
            <w:pPr>
              <w:pStyle w:val="2"/>
            </w:pPr>
          </w:p>
          <w:p>
            <w:pPr>
              <w:adjustRightInd w:val="0"/>
              <w:snapToGrid w:val="0"/>
              <w:ind w:firstLine="480" w:firstLineChars="200"/>
              <w:rPr>
                <w:kern w:val="21"/>
                <w:sz w:val="24"/>
              </w:rPr>
            </w:pPr>
          </w:p>
        </w:tc>
      </w:tr>
    </w:tbl>
    <w:p>
      <w:pPr>
        <w:pStyle w:val="2"/>
        <w:ind w:firstLine="0"/>
        <w:sectPr>
          <w:pgSz w:w="11906" w:h="16838"/>
          <w:pgMar w:top="1440" w:right="1797" w:bottom="1440" w:left="1797" w:header="851" w:footer="992" w:gutter="0"/>
          <w:cols w:space="425" w:num="1"/>
          <w:docGrid w:linePitch="312" w:charSpace="0"/>
        </w:sectPr>
      </w:pPr>
    </w:p>
    <w:p>
      <w:pPr>
        <w:pStyle w:val="24"/>
        <w:adjustRightInd w:val="0"/>
        <w:snapToGrid w:val="0"/>
        <w:spacing w:before="0" w:beforeAutospacing="0" w:after="0" w:afterAutospacing="0"/>
        <w:outlineLvl w:val="0"/>
        <w:rPr>
          <w:rFonts w:ascii="Times New Roman" w:hAnsi="Times New Roman" w:eastAsia="黑体"/>
          <w:snapToGrid w:val="0"/>
          <w:kern w:val="21"/>
          <w:sz w:val="21"/>
          <w:szCs w:val="21"/>
        </w:rPr>
      </w:pPr>
      <w:bookmarkStart w:id="55" w:name="_Toc172623777"/>
      <w:r>
        <w:rPr>
          <w:rFonts w:ascii="Times New Roman" w:hAnsi="Times New Roman" w:eastAsia="黑体"/>
          <w:snapToGrid w:val="0"/>
          <w:kern w:val="21"/>
          <w:sz w:val="32"/>
          <w:szCs w:val="32"/>
        </w:rPr>
        <w:t>附表</w:t>
      </w:r>
      <w:bookmarkEnd w:id="55"/>
    </w:p>
    <w:p>
      <w:pPr>
        <w:pStyle w:val="24"/>
        <w:adjustRightInd w:val="0"/>
        <w:snapToGrid w:val="0"/>
        <w:spacing w:before="0" w:beforeAutospacing="0" w:after="0" w:afterAutospacing="0"/>
        <w:jc w:val="center"/>
        <w:outlineLvl w:val="0"/>
        <w:rPr>
          <w:rFonts w:ascii="Times New Roman" w:hAnsi="Times New Roman" w:eastAsia="方正小标宋_GBK"/>
          <w:snapToGrid w:val="0"/>
          <w:kern w:val="21"/>
          <w:sz w:val="38"/>
          <w:szCs w:val="38"/>
        </w:rPr>
      </w:pPr>
      <w:bookmarkStart w:id="56" w:name="_Toc172623778"/>
      <w:r>
        <w:rPr>
          <w:rFonts w:ascii="Times New Roman" w:hAnsi="Times New Roman" w:eastAsia="方正小标宋_GBK"/>
          <w:snapToGrid w:val="0"/>
          <w:kern w:val="21"/>
          <w:sz w:val="38"/>
          <w:szCs w:val="38"/>
        </w:rPr>
        <w:t>建设项目污染物排放量汇总表</w:t>
      </w:r>
      <w:bookmarkEnd w:id="56"/>
    </w:p>
    <w:tbl>
      <w:tblPr>
        <w:tblStyle w:val="26"/>
        <w:tblW w:w="14014"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21"/>
        <w:gridCol w:w="2175"/>
        <w:gridCol w:w="1584"/>
        <w:gridCol w:w="1225"/>
        <w:gridCol w:w="1623"/>
        <w:gridCol w:w="1598"/>
        <w:gridCol w:w="1769"/>
        <w:gridCol w:w="1713"/>
        <w:gridCol w:w="130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jc w:val="center"/>
        </w:trPr>
        <w:tc>
          <w:tcPr>
            <w:tcW w:w="1021" w:type="dxa"/>
            <w:tcBorders>
              <w:tl2br w:val="single" w:color="auto" w:sz="4" w:space="0"/>
            </w:tcBorders>
            <w:tcMar>
              <w:left w:w="28" w:type="dxa"/>
              <w:right w:w="28" w:type="dxa"/>
            </w:tcMar>
            <w:vAlign w:val="center"/>
          </w:tcPr>
          <w:p>
            <w:pPr>
              <w:pStyle w:val="37"/>
              <w:spacing w:beforeLines="0" w:afterLines="0" w:line="360" w:lineRule="exact"/>
              <w:jc w:val="right"/>
              <w:rPr>
                <w:rFonts w:ascii="Times New Roman" w:eastAsia="黑体"/>
                <w:snapToGrid w:val="0"/>
                <w:kern w:val="21"/>
                <w:szCs w:val="21"/>
              </w:rPr>
            </w:pPr>
            <w:r>
              <w:rPr>
                <w:rFonts w:ascii="Times New Roman" w:eastAsia="黑体"/>
                <w:snapToGrid w:val="0"/>
                <w:kern w:val="21"/>
                <w:szCs w:val="21"/>
              </w:rPr>
              <w:t>项目</w:t>
            </w:r>
          </w:p>
          <w:p>
            <w:pPr>
              <w:pStyle w:val="37"/>
              <w:spacing w:beforeLines="0" w:afterLines="0" w:line="360" w:lineRule="exact"/>
              <w:jc w:val="both"/>
              <w:rPr>
                <w:rFonts w:ascii="Times New Roman" w:eastAsia="黑体"/>
                <w:snapToGrid w:val="0"/>
                <w:kern w:val="21"/>
                <w:szCs w:val="21"/>
              </w:rPr>
            </w:pPr>
            <w:r>
              <w:rPr>
                <w:rFonts w:ascii="Times New Roman" w:eastAsia="黑体"/>
                <w:snapToGrid w:val="0"/>
                <w:kern w:val="21"/>
                <w:szCs w:val="21"/>
              </w:rPr>
              <w:t>分类</w:t>
            </w:r>
          </w:p>
        </w:tc>
        <w:tc>
          <w:tcPr>
            <w:tcW w:w="2175" w:type="dxa"/>
            <w:tcMar>
              <w:left w:w="28" w:type="dxa"/>
              <w:right w:w="28" w:type="dxa"/>
            </w:tcMar>
            <w:vAlign w:val="center"/>
          </w:tcPr>
          <w:p>
            <w:pPr>
              <w:pStyle w:val="37"/>
              <w:spacing w:beforeLines="0" w:afterLines="0" w:line="360" w:lineRule="exact"/>
              <w:rPr>
                <w:rFonts w:ascii="Times New Roman" w:eastAsia="黑体"/>
                <w:snapToGrid w:val="0"/>
                <w:kern w:val="21"/>
                <w:szCs w:val="21"/>
              </w:rPr>
            </w:pPr>
            <w:r>
              <w:rPr>
                <w:rFonts w:ascii="Times New Roman" w:eastAsia="黑体"/>
                <w:snapToGrid w:val="0"/>
                <w:kern w:val="21"/>
                <w:szCs w:val="21"/>
              </w:rPr>
              <w:t>污染物名称</w:t>
            </w:r>
          </w:p>
        </w:tc>
        <w:tc>
          <w:tcPr>
            <w:tcW w:w="1584" w:type="dxa"/>
            <w:tcMar>
              <w:left w:w="28" w:type="dxa"/>
              <w:right w:w="28" w:type="dxa"/>
            </w:tcMar>
            <w:vAlign w:val="center"/>
          </w:tcPr>
          <w:p>
            <w:pPr>
              <w:adjustRightInd w:val="0"/>
              <w:snapToGrid w:val="0"/>
              <w:spacing w:line="360" w:lineRule="exact"/>
              <w:jc w:val="center"/>
              <w:textAlignment w:val="baseline"/>
              <w:rPr>
                <w:rFonts w:eastAsia="黑体"/>
                <w:szCs w:val="21"/>
              </w:rPr>
            </w:pPr>
            <w:r>
              <w:rPr>
                <w:rFonts w:eastAsia="黑体"/>
                <w:szCs w:val="21"/>
              </w:rPr>
              <w:t>现有工程</w:t>
            </w:r>
          </w:p>
          <w:p>
            <w:pPr>
              <w:adjustRightInd w:val="0"/>
              <w:snapToGrid w:val="0"/>
              <w:spacing w:line="360" w:lineRule="exact"/>
              <w:jc w:val="center"/>
              <w:textAlignment w:val="baseline"/>
              <w:rPr>
                <w:rFonts w:eastAsia="黑体"/>
                <w:snapToGrid w:val="0"/>
                <w:kern w:val="21"/>
                <w:szCs w:val="21"/>
              </w:rPr>
            </w:pPr>
            <w:r>
              <w:rPr>
                <w:rFonts w:eastAsia="黑体"/>
                <w:szCs w:val="21"/>
              </w:rPr>
              <w:t>排放量（固体废物产生量）</w:t>
            </w:r>
            <w:r>
              <w:rPr>
                <w:rFonts w:eastAsia="黑体"/>
                <w:szCs w:val="21"/>
              </w:rPr>
              <w:fldChar w:fldCharType="begin"/>
            </w:r>
            <w:r>
              <w:rPr>
                <w:rFonts w:eastAsia="黑体"/>
                <w:szCs w:val="21"/>
              </w:rPr>
              <w:instrText xml:space="preserve"> = 1 \* GB3 \* MERGEFORMAT </w:instrText>
            </w:r>
            <w:r>
              <w:rPr>
                <w:rFonts w:eastAsia="黑体"/>
                <w:szCs w:val="21"/>
              </w:rPr>
              <w:fldChar w:fldCharType="separate"/>
            </w:r>
            <w:r>
              <w:rPr>
                <w:rFonts w:eastAsia="黑体"/>
                <w:szCs w:val="21"/>
              </w:rPr>
              <w:t>①</w:t>
            </w:r>
            <w:r>
              <w:rPr>
                <w:rFonts w:eastAsia="黑体"/>
                <w:szCs w:val="21"/>
              </w:rPr>
              <w:fldChar w:fldCharType="end"/>
            </w:r>
          </w:p>
        </w:tc>
        <w:tc>
          <w:tcPr>
            <w:tcW w:w="1225" w:type="dxa"/>
            <w:tcMar>
              <w:left w:w="28" w:type="dxa"/>
              <w:right w:w="28" w:type="dxa"/>
            </w:tcMar>
            <w:vAlign w:val="center"/>
          </w:tcPr>
          <w:p>
            <w:pPr>
              <w:pStyle w:val="37"/>
              <w:spacing w:beforeLines="0" w:afterLines="0" w:line="360" w:lineRule="exact"/>
              <w:rPr>
                <w:rFonts w:ascii="Times New Roman" w:eastAsia="黑体"/>
                <w:snapToGrid w:val="0"/>
                <w:kern w:val="21"/>
                <w:szCs w:val="21"/>
              </w:rPr>
            </w:pPr>
            <w:r>
              <w:rPr>
                <w:rFonts w:ascii="Times New Roman" w:eastAsia="黑体"/>
                <w:snapToGrid w:val="0"/>
                <w:kern w:val="21"/>
                <w:szCs w:val="21"/>
              </w:rPr>
              <w:t>现有工程</w:t>
            </w:r>
          </w:p>
          <w:p>
            <w:pPr>
              <w:adjustRightInd w:val="0"/>
              <w:snapToGrid w:val="0"/>
              <w:spacing w:line="360" w:lineRule="exact"/>
              <w:jc w:val="center"/>
              <w:textAlignment w:val="baseline"/>
              <w:rPr>
                <w:rFonts w:eastAsia="黑体"/>
                <w:snapToGrid w:val="0"/>
                <w:kern w:val="21"/>
                <w:szCs w:val="21"/>
              </w:rPr>
            </w:pPr>
            <w:r>
              <w:rPr>
                <w:rFonts w:eastAsia="黑体"/>
                <w:snapToGrid w:val="0"/>
                <w:kern w:val="21"/>
                <w:szCs w:val="21"/>
              </w:rPr>
              <w:t>许可</w:t>
            </w:r>
            <w:r>
              <w:rPr>
                <w:rFonts w:eastAsia="黑体"/>
                <w:szCs w:val="21"/>
              </w:rPr>
              <w:t>排放量</w:t>
            </w:r>
          </w:p>
          <w:p>
            <w:pPr>
              <w:adjustRightInd w:val="0"/>
              <w:snapToGrid w:val="0"/>
              <w:spacing w:line="360" w:lineRule="exact"/>
              <w:jc w:val="center"/>
              <w:textAlignment w:val="baseline"/>
              <w:rPr>
                <w:rFonts w:eastAsia="黑体"/>
                <w:snapToGrid w:val="0"/>
                <w:kern w:val="21"/>
                <w:szCs w:val="21"/>
              </w:rPr>
            </w:pPr>
            <w:r>
              <w:rPr>
                <w:rFonts w:eastAsia="黑体"/>
                <w:snapToGrid w:val="0"/>
                <w:kern w:val="21"/>
                <w:szCs w:val="21"/>
              </w:rPr>
              <w:fldChar w:fldCharType="begin"/>
            </w:r>
            <w:r>
              <w:rPr>
                <w:rFonts w:eastAsia="黑体"/>
                <w:snapToGrid w:val="0"/>
                <w:kern w:val="21"/>
                <w:szCs w:val="21"/>
              </w:rPr>
              <w:instrText xml:space="preserve"> = 2 \* GB3 \* MERGEFORMAT </w:instrText>
            </w:r>
            <w:r>
              <w:rPr>
                <w:rFonts w:eastAsia="黑体"/>
                <w:snapToGrid w:val="0"/>
                <w:kern w:val="21"/>
                <w:szCs w:val="21"/>
              </w:rPr>
              <w:fldChar w:fldCharType="separate"/>
            </w:r>
            <w:r>
              <w:rPr>
                <w:rFonts w:eastAsia="黑体"/>
                <w:snapToGrid w:val="0"/>
                <w:kern w:val="21"/>
                <w:szCs w:val="21"/>
              </w:rPr>
              <w:t>②</w:t>
            </w:r>
            <w:r>
              <w:rPr>
                <w:rFonts w:eastAsia="黑体"/>
                <w:snapToGrid w:val="0"/>
                <w:kern w:val="21"/>
                <w:szCs w:val="21"/>
              </w:rPr>
              <w:fldChar w:fldCharType="end"/>
            </w:r>
          </w:p>
        </w:tc>
        <w:tc>
          <w:tcPr>
            <w:tcW w:w="1623" w:type="dxa"/>
            <w:tcMar>
              <w:left w:w="28" w:type="dxa"/>
              <w:right w:w="28" w:type="dxa"/>
            </w:tcMar>
            <w:vAlign w:val="center"/>
          </w:tcPr>
          <w:p>
            <w:pPr>
              <w:pStyle w:val="37"/>
              <w:spacing w:beforeLines="0" w:afterLines="0" w:line="360" w:lineRule="exact"/>
              <w:rPr>
                <w:rFonts w:ascii="Times New Roman" w:eastAsia="黑体"/>
                <w:snapToGrid w:val="0"/>
                <w:kern w:val="21"/>
                <w:szCs w:val="21"/>
              </w:rPr>
            </w:pPr>
            <w:r>
              <w:rPr>
                <w:rFonts w:ascii="Times New Roman" w:eastAsia="黑体"/>
                <w:snapToGrid w:val="0"/>
                <w:kern w:val="21"/>
                <w:szCs w:val="21"/>
              </w:rPr>
              <w:t>在建工程</w:t>
            </w:r>
          </w:p>
          <w:p>
            <w:pPr>
              <w:adjustRightInd w:val="0"/>
              <w:snapToGrid w:val="0"/>
              <w:spacing w:line="360" w:lineRule="exact"/>
              <w:jc w:val="center"/>
              <w:textAlignment w:val="baseline"/>
              <w:rPr>
                <w:rFonts w:eastAsia="黑体"/>
                <w:snapToGrid w:val="0"/>
                <w:kern w:val="21"/>
                <w:szCs w:val="21"/>
              </w:rPr>
            </w:pPr>
            <w:r>
              <w:rPr>
                <w:rFonts w:eastAsia="黑体"/>
                <w:snapToGrid w:val="0"/>
                <w:kern w:val="21"/>
                <w:szCs w:val="21"/>
              </w:rPr>
              <w:t>排放量（固体废物产生量）</w:t>
            </w:r>
            <w:r>
              <w:rPr>
                <w:rFonts w:eastAsia="黑体"/>
                <w:snapToGrid w:val="0"/>
                <w:kern w:val="21"/>
                <w:szCs w:val="21"/>
              </w:rPr>
              <w:fldChar w:fldCharType="begin"/>
            </w:r>
            <w:r>
              <w:rPr>
                <w:rFonts w:eastAsia="黑体"/>
                <w:snapToGrid w:val="0"/>
                <w:kern w:val="21"/>
                <w:szCs w:val="21"/>
              </w:rPr>
              <w:instrText xml:space="preserve"> = 3 \* GB3 \* MERGEFORMAT </w:instrText>
            </w:r>
            <w:r>
              <w:rPr>
                <w:rFonts w:eastAsia="黑体"/>
                <w:snapToGrid w:val="0"/>
                <w:kern w:val="21"/>
                <w:szCs w:val="21"/>
              </w:rPr>
              <w:fldChar w:fldCharType="separate"/>
            </w:r>
            <w:r>
              <w:rPr>
                <w:rFonts w:eastAsia="黑体"/>
                <w:kern w:val="21"/>
                <w:szCs w:val="21"/>
              </w:rPr>
              <w:t>③</w:t>
            </w:r>
            <w:r>
              <w:rPr>
                <w:rFonts w:eastAsia="黑体"/>
                <w:snapToGrid w:val="0"/>
                <w:kern w:val="21"/>
                <w:szCs w:val="21"/>
              </w:rPr>
              <w:fldChar w:fldCharType="end"/>
            </w:r>
          </w:p>
        </w:tc>
        <w:tc>
          <w:tcPr>
            <w:tcW w:w="1598" w:type="dxa"/>
            <w:tcMar>
              <w:left w:w="28" w:type="dxa"/>
              <w:right w:w="28" w:type="dxa"/>
            </w:tcMar>
            <w:vAlign w:val="center"/>
          </w:tcPr>
          <w:p>
            <w:pPr>
              <w:pStyle w:val="37"/>
              <w:spacing w:beforeLines="0" w:afterLines="0" w:line="360" w:lineRule="exact"/>
              <w:rPr>
                <w:rFonts w:ascii="Times New Roman" w:eastAsia="黑体"/>
                <w:snapToGrid w:val="0"/>
                <w:kern w:val="21"/>
                <w:szCs w:val="21"/>
              </w:rPr>
            </w:pPr>
            <w:r>
              <w:rPr>
                <w:rFonts w:ascii="Times New Roman" w:eastAsia="黑体"/>
                <w:snapToGrid w:val="0"/>
                <w:kern w:val="21"/>
                <w:szCs w:val="21"/>
              </w:rPr>
              <w:t>本项目</w:t>
            </w:r>
          </w:p>
          <w:p>
            <w:pPr>
              <w:pStyle w:val="37"/>
              <w:spacing w:beforeLines="0" w:afterLines="0" w:line="360" w:lineRule="exact"/>
              <w:rPr>
                <w:rFonts w:ascii="Times New Roman" w:eastAsia="黑体"/>
                <w:snapToGrid w:val="0"/>
                <w:kern w:val="21"/>
                <w:szCs w:val="21"/>
              </w:rPr>
            </w:pPr>
            <w:r>
              <w:rPr>
                <w:rFonts w:ascii="Times New Roman" w:eastAsia="黑体"/>
                <w:snapToGrid w:val="0"/>
                <w:kern w:val="21"/>
                <w:szCs w:val="21"/>
              </w:rPr>
              <w:t>排放量（固体废物产生量）</w:t>
            </w:r>
            <w:r>
              <w:rPr>
                <w:rFonts w:ascii="Times New Roman" w:eastAsia="黑体"/>
                <w:snapToGrid w:val="0"/>
                <w:kern w:val="21"/>
                <w:szCs w:val="21"/>
              </w:rPr>
              <w:fldChar w:fldCharType="begin"/>
            </w:r>
            <w:r>
              <w:rPr>
                <w:rFonts w:ascii="Times New Roman" w:eastAsia="黑体"/>
                <w:snapToGrid w:val="0"/>
                <w:kern w:val="21"/>
                <w:szCs w:val="21"/>
              </w:rPr>
              <w:instrText xml:space="preserve"> = 4 \* GB3 \* MERGEFORMAT </w:instrText>
            </w:r>
            <w:r>
              <w:rPr>
                <w:rFonts w:ascii="Times New Roman" w:eastAsia="黑体"/>
                <w:snapToGrid w:val="0"/>
                <w:kern w:val="21"/>
                <w:szCs w:val="21"/>
              </w:rPr>
              <w:fldChar w:fldCharType="separate"/>
            </w:r>
            <w:r>
              <w:rPr>
                <w:rFonts w:ascii="Times New Roman" w:eastAsia="黑体"/>
                <w:kern w:val="21"/>
                <w:szCs w:val="21"/>
              </w:rPr>
              <w:t>④</w:t>
            </w:r>
            <w:r>
              <w:rPr>
                <w:rFonts w:ascii="Times New Roman" w:eastAsia="黑体"/>
                <w:snapToGrid w:val="0"/>
                <w:kern w:val="21"/>
                <w:szCs w:val="21"/>
              </w:rPr>
              <w:fldChar w:fldCharType="end"/>
            </w:r>
          </w:p>
        </w:tc>
        <w:tc>
          <w:tcPr>
            <w:tcW w:w="1769" w:type="dxa"/>
            <w:tcMar>
              <w:left w:w="28" w:type="dxa"/>
              <w:right w:w="28" w:type="dxa"/>
            </w:tcMar>
            <w:vAlign w:val="center"/>
          </w:tcPr>
          <w:p>
            <w:pPr>
              <w:pStyle w:val="37"/>
              <w:spacing w:beforeLines="0" w:afterLines="0" w:line="360" w:lineRule="exact"/>
              <w:rPr>
                <w:rFonts w:ascii="Times New Roman" w:eastAsia="黑体"/>
                <w:snapToGrid w:val="0"/>
                <w:kern w:val="21"/>
                <w:szCs w:val="21"/>
              </w:rPr>
            </w:pPr>
            <w:r>
              <w:rPr>
                <w:rFonts w:ascii="Times New Roman" w:eastAsia="黑体"/>
                <w:snapToGrid w:val="0"/>
                <w:kern w:val="21"/>
                <w:szCs w:val="21"/>
              </w:rPr>
              <w:t>以新带老削减量</w:t>
            </w:r>
          </w:p>
          <w:p>
            <w:pPr>
              <w:adjustRightInd w:val="0"/>
              <w:snapToGrid w:val="0"/>
              <w:spacing w:line="360" w:lineRule="exact"/>
              <w:jc w:val="center"/>
              <w:textAlignment w:val="baseline"/>
              <w:rPr>
                <w:rFonts w:eastAsia="黑体"/>
                <w:snapToGrid w:val="0"/>
                <w:kern w:val="21"/>
                <w:szCs w:val="21"/>
              </w:rPr>
            </w:pPr>
            <w:r>
              <w:rPr>
                <w:rFonts w:eastAsia="黑体"/>
                <w:snapToGrid w:val="0"/>
                <w:kern w:val="21"/>
                <w:szCs w:val="21"/>
              </w:rPr>
              <w:t>（新建项目不填）</w:t>
            </w:r>
            <w:r>
              <w:rPr>
                <w:rFonts w:eastAsia="黑体"/>
                <w:snapToGrid w:val="0"/>
                <w:kern w:val="21"/>
                <w:szCs w:val="21"/>
              </w:rPr>
              <w:fldChar w:fldCharType="begin"/>
            </w:r>
            <w:r>
              <w:rPr>
                <w:rFonts w:eastAsia="黑体"/>
                <w:snapToGrid w:val="0"/>
                <w:kern w:val="21"/>
                <w:szCs w:val="21"/>
              </w:rPr>
              <w:instrText xml:space="preserve"> = 5 \* GB3 \* MERGEFORMAT </w:instrText>
            </w:r>
            <w:r>
              <w:rPr>
                <w:rFonts w:eastAsia="黑体"/>
                <w:snapToGrid w:val="0"/>
                <w:kern w:val="21"/>
                <w:szCs w:val="21"/>
              </w:rPr>
              <w:fldChar w:fldCharType="separate"/>
            </w:r>
            <w:r>
              <w:rPr>
                <w:rFonts w:eastAsia="黑体"/>
                <w:kern w:val="21"/>
                <w:szCs w:val="21"/>
              </w:rPr>
              <w:t>⑤</w:t>
            </w:r>
            <w:r>
              <w:rPr>
                <w:rFonts w:eastAsia="黑体"/>
                <w:snapToGrid w:val="0"/>
                <w:kern w:val="21"/>
                <w:szCs w:val="21"/>
              </w:rPr>
              <w:fldChar w:fldCharType="end"/>
            </w:r>
          </w:p>
        </w:tc>
        <w:tc>
          <w:tcPr>
            <w:tcW w:w="1713" w:type="dxa"/>
            <w:tcMar>
              <w:left w:w="28" w:type="dxa"/>
              <w:right w:w="28" w:type="dxa"/>
            </w:tcMar>
            <w:vAlign w:val="center"/>
          </w:tcPr>
          <w:p>
            <w:pPr>
              <w:pStyle w:val="37"/>
              <w:spacing w:beforeLines="0" w:afterLines="0" w:line="360" w:lineRule="exact"/>
              <w:rPr>
                <w:rFonts w:ascii="Times New Roman" w:eastAsia="黑体"/>
                <w:snapToGrid w:val="0"/>
                <w:kern w:val="21"/>
                <w:szCs w:val="21"/>
              </w:rPr>
            </w:pPr>
            <w:r>
              <w:rPr>
                <w:rFonts w:ascii="Times New Roman" w:eastAsia="黑体"/>
                <w:snapToGrid w:val="0"/>
                <w:kern w:val="21"/>
                <w:szCs w:val="21"/>
              </w:rPr>
              <w:t>本项目建成后</w:t>
            </w:r>
          </w:p>
          <w:p>
            <w:pPr>
              <w:adjustRightInd w:val="0"/>
              <w:snapToGrid w:val="0"/>
              <w:spacing w:line="360" w:lineRule="exact"/>
              <w:jc w:val="center"/>
              <w:textAlignment w:val="baseline"/>
              <w:rPr>
                <w:rFonts w:eastAsia="黑体"/>
                <w:snapToGrid w:val="0"/>
                <w:kern w:val="21"/>
                <w:szCs w:val="21"/>
              </w:rPr>
            </w:pPr>
            <w:r>
              <w:rPr>
                <w:rFonts w:eastAsia="黑体"/>
                <w:snapToGrid w:val="0"/>
                <w:kern w:val="21"/>
                <w:szCs w:val="21"/>
              </w:rPr>
              <w:t>全厂</w:t>
            </w:r>
            <w:r>
              <w:rPr>
                <w:rFonts w:eastAsia="黑体"/>
                <w:szCs w:val="21"/>
              </w:rPr>
              <w:t>排放量</w:t>
            </w:r>
            <w:r>
              <w:rPr>
                <w:rFonts w:eastAsia="黑体"/>
                <w:snapToGrid w:val="0"/>
                <w:kern w:val="21"/>
                <w:szCs w:val="21"/>
              </w:rPr>
              <w:t>（固体废物产生量）</w:t>
            </w:r>
            <w:r>
              <w:rPr>
                <w:rFonts w:eastAsia="黑体"/>
                <w:snapToGrid w:val="0"/>
                <w:kern w:val="21"/>
                <w:szCs w:val="21"/>
              </w:rPr>
              <w:fldChar w:fldCharType="begin"/>
            </w:r>
            <w:r>
              <w:rPr>
                <w:rFonts w:eastAsia="黑体"/>
                <w:snapToGrid w:val="0"/>
                <w:kern w:val="21"/>
                <w:szCs w:val="21"/>
              </w:rPr>
              <w:instrText xml:space="preserve"> = 6 \* GB3 \* MERGEFORMAT </w:instrText>
            </w:r>
            <w:r>
              <w:rPr>
                <w:rFonts w:eastAsia="黑体"/>
                <w:snapToGrid w:val="0"/>
                <w:kern w:val="21"/>
                <w:szCs w:val="21"/>
              </w:rPr>
              <w:fldChar w:fldCharType="separate"/>
            </w:r>
            <w:r>
              <w:rPr>
                <w:rFonts w:eastAsia="黑体"/>
                <w:kern w:val="21"/>
                <w:szCs w:val="21"/>
              </w:rPr>
              <w:t>⑥</w:t>
            </w:r>
            <w:r>
              <w:rPr>
                <w:rFonts w:eastAsia="黑体"/>
                <w:snapToGrid w:val="0"/>
                <w:kern w:val="21"/>
                <w:szCs w:val="21"/>
              </w:rPr>
              <w:fldChar w:fldCharType="end"/>
            </w:r>
          </w:p>
        </w:tc>
        <w:tc>
          <w:tcPr>
            <w:tcW w:w="1306" w:type="dxa"/>
            <w:tcMar>
              <w:left w:w="28" w:type="dxa"/>
              <w:right w:w="28" w:type="dxa"/>
            </w:tcMar>
            <w:vAlign w:val="center"/>
          </w:tcPr>
          <w:p>
            <w:pPr>
              <w:adjustRightInd w:val="0"/>
              <w:snapToGrid w:val="0"/>
              <w:spacing w:line="360" w:lineRule="exact"/>
              <w:jc w:val="center"/>
              <w:textAlignment w:val="baseline"/>
              <w:rPr>
                <w:rFonts w:eastAsia="黑体"/>
                <w:snapToGrid w:val="0"/>
                <w:kern w:val="21"/>
                <w:szCs w:val="21"/>
              </w:rPr>
            </w:pPr>
            <w:r>
              <w:rPr>
                <w:rFonts w:eastAsia="黑体"/>
                <w:szCs w:val="21"/>
              </w:rPr>
              <w:t>变化</w:t>
            </w:r>
            <w:r>
              <w:rPr>
                <w:rFonts w:eastAsia="黑体"/>
                <w:snapToGrid w:val="0"/>
                <w:kern w:val="21"/>
                <w:szCs w:val="21"/>
              </w:rPr>
              <w:t>量</w:t>
            </w:r>
          </w:p>
          <w:p>
            <w:pPr>
              <w:pStyle w:val="37"/>
              <w:spacing w:beforeLines="0" w:afterLines="0" w:line="360" w:lineRule="exact"/>
              <w:rPr>
                <w:rFonts w:ascii="Times New Roman" w:eastAsia="黑体"/>
                <w:snapToGrid w:val="0"/>
                <w:kern w:val="21"/>
                <w:szCs w:val="21"/>
              </w:rPr>
            </w:pPr>
            <w:r>
              <w:rPr>
                <w:rFonts w:ascii="Times New Roman" w:eastAsia="黑体"/>
                <w:snapToGrid w:val="0"/>
                <w:kern w:val="21"/>
                <w:szCs w:val="21"/>
              </w:rPr>
              <w:fldChar w:fldCharType="begin"/>
            </w:r>
            <w:r>
              <w:rPr>
                <w:rFonts w:ascii="Times New Roman" w:eastAsia="黑体"/>
                <w:snapToGrid w:val="0"/>
                <w:kern w:val="21"/>
                <w:szCs w:val="21"/>
              </w:rPr>
              <w:instrText xml:space="preserve"> = 7 \* GB3 \* MERGEFORMAT </w:instrText>
            </w:r>
            <w:r>
              <w:rPr>
                <w:rFonts w:ascii="Times New Roman" w:eastAsia="黑体"/>
                <w:snapToGrid w:val="0"/>
                <w:kern w:val="21"/>
                <w:szCs w:val="21"/>
              </w:rPr>
              <w:fldChar w:fldCharType="separate"/>
            </w:r>
            <w:r>
              <w:rPr>
                <w:rFonts w:ascii="Times New Roman" w:eastAsia="黑体"/>
                <w:kern w:val="21"/>
                <w:szCs w:val="21"/>
              </w:rPr>
              <w:t>⑦</w:t>
            </w:r>
            <w:r>
              <w:rPr>
                <w:rFonts w:ascii="Times New Roman" w:eastAsia="黑体"/>
                <w:snapToGrid w:val="0"/>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07" w:hRule="atLeast"/>
          <w:jc w:val="center"/>
        </w:trPr>
        <w:tc>
          <w:tcPr>
            <w:tcW w:w="1021" w:type="dxa"/>
            <w:vMerge w:val="restart"/>
            <w:vAlign w:val="center"/>
          </w:tcPr>
          <w:p>
            <w:pPr>
              <w:pStyle w:val="37"/>
              <w:spacing w:beforeLines="0" w:afterLines="0" w:line="360" w:lineRule="exact"/>
              <w:rPr>
                <w:rFonts w:ascii="Times New Roman" w:eastAsiaTheme="minorEastAsia"/>
                <w:snapToGrid w:val="0"/>
                <w:kern w:val="21"/>
                <w:szCs w:val="21"/>
              </w:rPr>
            </w:pPr>
            <w:r>
              <w:rPr>
                <w:rFonts w:ascii="Times New Roman" w:eastAsiaTheme="minorEastAsia"/>
                <w:snapToGrid w:val="0"/>
                <w:kern w:val="21"/>
                <w:szCs w:val="21"/>
              </w:rPr>
              <w:t>废气</w:t>
            </w:r>
          </w:p>
        </w:tc>
        <w:tc>
          <w:tcPr>
            <w:tcW w:w="2175" w:type="dxa"/>
            <w:vAlign w:val="center"/>
          </w:tcPr>
          <w:p>
            <w:pPr>
              <w:adjustRightInd w:val="0"/>
              <w:snapToGrid w:val="0"/>
              <w:spacing w:line="360" w:lineRule="exact"/>
              <w:jc w:val="center"/>
              <w:textAlignment w:val="baseline"/>
              <w:rPr>
                <w:rFonts w:eastAsiaTheme="minorEastAsia"/>
                <w:snapToGrid w:val="0"/>
                <w:kern w:val="21"/>
                <w:szCs w:val="21"/>
              </w:rPr>
            </w:pPr>
            <w:r>
              <w:rPr>
                <w:rFonts w:hint="eastAsia" w:eastAsiaTheme="minorEastAsia"/>
                <w:szCs w:val="21"/>
              </w:rPr>
              <w:t>颗粒物</w:t>
            </w:r>
            <w:r>
              <w:rPr>
                <w:rFonts w:hint="eastAsia" w:eastAsiaTheme="minorEastAsia"/>
                <w:snapToGrid w:val="0"/>
                <w:kern w:val="21"/>
                <w:szCs w:val="21"/>
              </w:rPr>
              <w:t>（有组织）（t/a）</w:t>
            </w:r>
          </w:p>
        </w:tc>
        <w:tc>
          <w:tcPr>
            <w:tcW w:w="1584" w:type="dxa"/>
            <w:vAlign w:val="center"/>
          </w:tcPr>
          <w:p>
            <w:pPr>
              <w:adjustRightInd w:val="0"/>
              <w:snapToGrid w:val="0"/>
              <w:jc w:val="center"/>
              <w:rPr>
                <w:color w:val="000000"/>
                <w:kern w:val="0"/>
                <w:szCs w:val="21"/>
              </w:rPr>
            </w:pPr>
            <w:r>
              <w:rPr>
                <w:rFonts w:hint="eastAsia"/>
                <w:color w:val="000000"/>
                <w:kern w:val="0"/>
                <w:szCs w:val="21"/>
              </w:rPr>
              <w:t>/</w:t>
            </w:r>
          </w:p>
        </w:tc>
        <w:tc>
          <w:tcPr>
            <w:tcW w:w="1225" w:type="dxa"/>
            <w:vAlign w:val="center"/>
          </w:tcPr>
          <w:p>
            <w:pPr>
              <w:adjustRightInd w:val="0"/>
              <w:snapToGrid w:val="0"/>
              <w:jc w:val="center"/>
              <w:rPr>
                <w:color w:val="000000"/>
                <w:kern w:val="0"/>
                <w:szCs w:val="21"/>
              </w:rPr>
            </w:pPr>
            <w:r>
              <w:rPr>
                <w:rFonts w:hint="eastAsia"/>
                <w:color w:val="000000"/>
                <w:kern w:val="0"/>
                <w:szCs w:val="21"/>
              </w:rPr>
              <w:t>/</w:t>
            </w:r>
          </w:p>
        </w:tc>
        <w:tc>
          <w:tcPr>
            <w:tcW w:w="1623" w:type="dxa"/>
            <w:vAlign w:val="center"/>
          </w:tcPr>
          <w:p>
            <w:pPr>
              <w:adjustRightInd w:val="0"/>
              <w:snapToGrid w:val="0"/>
              <w:jc w:val="center"/>
              <w:rPr>
                <w:color w:val="000000"/>
                <w:kern w:val="0"/>
                <w:szCs w:val="21"/>
              </w:rPr>
            </w:pPr>
            <w:r>
              <w:rPr>
                <w:rFonts w:hint="eastAsia"/>
                <w:color w:val="000000"/>
                <w:kern w:val="0"/>
                <w:szCs w:val="21"/>
              </w:rPr>
              <w:t>/</w:t>
            </w:r>
          </w:p>
        </w:tc>
        <w:tc>
          <w:tcPr>
            <w:tcW w:w="1598" w:type="dxa"/>
            <w:vAlign w:val="center"/>
          </w:tcPr>
          <w:p>
            <w:pPr>
              <w:adjustRightInd w:val="0"/>
              <w:snapToGrid w:val="0"/>
              <w:jc w:val="center"/>
              <w:rPr>
                <w:color w:val="000000"/>
                <w:kern w:val="0"/>
                <w:szCs w:val="21"/>
              </w:rPr>
            </w:pPr>
            <w:r>
              <w:rPr>
                <w:rFonts w:hint="eastAsia"/>
                <w:color w:val="000000"/>
                <w:kern w:val="0"/>
                <w:szCs w:val="21"/>
              </w:rPr>
              <w:t>0.02026</w:t>
            </w:r>
          </w:p>
        </w:tc>
        <w:tc>
          <w:tcPr>
            <w:tcW w:w="1769" w:type="dxa"/>
            <w:vAlign w:val="center"/>
          </w:tcPr>
          <w:p>
            <w:pPr>
              <w:adjustRightInd w:val="0"/>
              <w:snapToGrid w:val="0"/>
              <w:jc w:val="center"/>
              <w:rPr>
                <w:color w:val="000000"/>
                <w:kern w:val="0"/>
                <w:szCs w:val="21"/>
              </w:rPr>
            </w:pPr>
            <w:r>
              <w:rPr>
                <w:rFonts w:hint="eastAsia"/>
                <w:color w:val="000000"/>
                <w:kern w:val="0"/>
                <w:szCs w:val="21"/>
              </w:rPr>
              <w:t>/</w:t>
            </w:r>
          </w:p>
        </w:tc>
        <w:tc>
          <w:tcPr>
            <w:tcW w:w="1713" w:type="dxa"/>
            <w:vAlign w:val="center"/>
          </w:tcPr>
          <w:p>
            <w:pPr>
              <w:adjustRightInd w:val="0"/>
              <w:snapToGrid w:val="0"/>
              <w:jc w:val="center"/>
              <w:rPr>
                <w:color w:val="000000"/>
                <w:kern w:val="0"/>
                <w:szCs w:val="21"/>
              </w:rPr>
            </w:pPr>
            <w:r>
              <w:rPr>
                <w:rFonts w:hint="eastAsia"/>
                <w:color w:val="000000"/>
                <w:kern w:val="0"/>
                <w:szCs w:val="21"/>
              </w:rPr>
              <w:t>0.02026</w:t>
            </w:r>
          </w:p>
        </w:tc>
        <w:tc>
          <w:tcPr>
            <w:tcW w:w="1306" w:type="dxa"/>
            <w:vAlign w:val="center"/>
          </w:tcPr>
          <w:p>
            <w:pPr>
              <w:adjustRightInd w:val="0"/>
              <w:snapToGrid w:val="0"/>
              <w:jc w:val="center"/>
              <w:rPr>
                <w:color w:val="000000"/>
                <w:kern w:val="0"/>
                <w:szCs w:val="21"/>
              </w:rPr>
            </w:pPr>
            <w:r>
              <w:rPr>
                <w:rFonts w:hint="eastAsia"/>
                <w:color w:val="000000"/>
                <w:kern w:val="0"/>
                <w:szCs w:val="21"/>
              </w:rPr>
              <w:t>+0.02026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07" w:hRule="atLeast"/>
          <w:jc w:val="center"/>
        </w:trPr>
        <w:tc>
          <w:tcPr>
            <w:tcW w:w="1021" w:type="dxa"/>
            <w:vMerge w:val="continue"/>
            <w:vAlign w:val="center"/>
          </w:tcPr>
          <w:p>
            <w:pPr>
              <w:pStyle w:val="37"/>
              <w:spacing w:beforeLines="0" w:afterLines="0" w:line="360" w:lineRule="exact"/>
              <w:rPr>
                <w:rFonts w:ascii="Times New Roman" w:eastAsiaTheme="minorEastAsia"/>
                <w:snapToGrid w:val="0"/>
                <w:kern w:val="21"/>
                <w:szCs w:val="21"/>
              </w:rPr>
            </w:pPr>
          </w:p>
        </w:tc>
        <w:tc>
          <w:tcPr>
            <w:tcW w:w="2175" w:type="dxa"/>
            <w:vAlign w:val="center"/>
          </w:tcPr>
          <w:p>
            <w:pPr>
              <w:adjustRightInd w:val="0"/>
              <w:snapToGrid w:val="0"/>
              <w:spacing w:line="360" w:lineRule="exact"/>
              <w:jc w:val="center"/>
              <w:textAlignment w:val="baseline"/>
              <w:rPr>
                <w:rFonts w:eastAsiaTheme="minorEastAsia"/>
                <w:snapToGrid w:val="0"/>
                <w:kern w:val="21"/>
                <w:szCs w:val="21"/>
              </w:rPr>
            </w:pPr>
            <w:r>
              <w:rPr>
                <w:rFonts w:hint="eastAsia" w:eastAsiaTheme="minorEastAsia"/>
                <w:szCs w:val="21"/>
              </w:rPr>
              <w:t>颗粒物</w:t>
            </w:r>
            <w:r>
              <w:rPr>
                <w:rFonts w:hint="eastAsia" w:eastAsiaTheme="minorEastAsia"/>
                <w:snapToGrid w:val="0"/>
                <w:kern w:val="21"/>
                <w:szCs w:val="21"/>
              </w:rPr>
              <w:t>（无组织）（t/a）</w:t>
            </w:r>
          </w:p>
        </w:tc>
        <w:tc>
          <w:tcPr>
            <w:tcW w:w="1584" w:type="dxa"/>
            <w:vAlign w:val="center"/>
          </w:tcPr>
          <w:p>
            <w:pPr>
              <w:adjustRightInd w:val="0"/>
              <w:snapToGrid w:val="0"/>
              <w:jc w:val="center"/>
              <w:rPr>
                <w:color w:val="000000"/>
                <w:kern w:val="0"/>
                <w:szCs w:val="21"/>
              </w:rPr>
            </w:pPr>
            <w:r>
              <w:rPr>
                <w:rFonts w:hint="eastAsia"/>
                <w:color w:val="000000"/>
                <w:kern w:val="0"/>
                <w:szCs w:val="21"/>
              </w:rPr>
              <w:t>/</w:t>
            </w:r>
          </w:p>
        </w:tc>
        <w:tc>
          <w:tcPr>
            <w:tcW w:w="1225" w:type="dxa"/>
            <w:vAlign w:val="center"/>
          </w:tcPr>
          <w:p>
            <w:pPr>
              <w:adjustRightInd w:val="0"/>
              <w:snapToGrid w:val="0"/>
              <w:jc w:val="center"/>
              <w:rPr>
                <w:color w:val="000000"/>
                <w:kern w:val="0"/>
                <w:szCs w:val="21"/>
              </w:rPr>
            </w:pPr>
            <w:r>
              <w:rPr>
                <w:rFonts w:hint="eastAsia"/>
                <w:color w:val="000000"/>
                <w:kern w:val="0"/>
                <w:szCs w:val="21"/>
              </w:rPr>
              <w:t>/</w:t>
            </w:r>
          </w:p>
        </w:tc>
        <w:tc>
          <w:tcPr>
            <w:tcW w:w="1623" w:type="dxa"/>
            <w:vAlign w:val="center"/>
          </w:tcPr>
          <w:p>
            <w:pPr>
              <w:adjustRightInd w:val="0"/>
              <w:snapToGrid w:val="0"/>
              <w:jc w:val="center"/>
              <w:rPr>
                <w:color w:val="000000"/>
                <w:kern w:val="0"/>
                <w:szCs w:val="21"/>
              </w:rPr>
            </w:pPr>
            <w:r>
              <w:rPr>
                <w:rFonts w:hint="eastAsia"/>
                <w:color w:val="000000"/>
                <w:kern w:val="0"/>
                <w:szCs w:val="21"/>
              </w:rPr>
              <w:t>/</w:t>
            </w:r>
          </w:p>
        </w:tc>
        <w:tc>
          <w:tcPr>
            <w:tcW w:w="1598" w:type="dxa"/>
            <w:vAlign w:val="center"/>
          </w:tcPr>
          <w:p>
            <w:pPr>
              <w:adjustRightInd w:val="0"/>
              <w:snapToGrid w:val="0"/>
              <w:jc w:val="center"/>
              <w:rPr>
                <w:color w:val="000000"/>
                <w:kern w:val="0"/>
                <w:szCs w:val="21"/>
              </w:rPr>
            </w:pPr>
            <w:r>
              <w:rPr>
                <w:rFonts w:hint="eastAsia"/>
                <w:color w:val="000000"/>
                <w:szCs w:val="21"/>
              </w:rPr>
              <w:t>0.04512</w:t>
            </w:r>
          </w:p>
        </w:tc>
        <w:tc>
          <w:tcPr>
            <w:tcW w:w="1769" w:type="dxa"/>
            <w:vAlign w:val="center"/>
          </w:tcPr>
          <w:p>
            <w:pPr>
              <w:adjustRightInd w:val="0"/>
              <w:snapToGrid w:val="0"/>
              <w:jc w:val="center"/>
              <w:rPr>
                <w:color w:val="000000"/>
                <w:kern w:val="0"/>
                <w:szCs w:val="21"/>
              </w:rPr>
            </w:pPr>
            <w:r>
              <w:rPr>
                <w:rFonts w:hint="eastAsia"/>
                <w:color w:val="000000"/>
                <w:kern w:val="0"/>
                <w:szCs w:val="21"/>
              </w:rPr>
              <w:t>/</w:t>
            </w:r>
          </w:p>
        </w:tc>
        <w:tc>
          <w:tcPr>
            <w:tcW w:w="1713" w:type="dxa"/>
            <w:vAlign w:val="center"/>
          </w:tcPr>
          <w:p>
            <w:pPr>
              <w:adjustRightInd w:val="0"/>
              <w:snapToGrid w:val="0"/>
              <w:jc w:val="center"/>
              <w:rPr>
                <w:color w:val="000000"/>
                <w:kern w:val="0"/>
                <w:szCs w:val="21"/>
              </w:rPr>
            </w:pPr>
            <w:r>
              <w:rPr>
                <w:rFonts w:hint="eastAsia"/>
                <w:color w:val="000000"/>
                <w:szCs w:val="21"/>
              </w:rPr>
              <w:t>0.04512</w:t>
            </w:r>
          </w:p>
        </w:tc>
        <w:tc>
          <w:tcPr>
            <w:tcW w:w="1306" w:type="dxa"/>
            <w:vAlign w:val="center"/>
          </w:tcPr>
          <w:p>
            <w:pPr>
              <w:adjustRightInd w:val="0"/>
              <w:snapToGrid w:val="0"/>
              <w:jc w:val="center"/>
              <w:rPr>
                <w:color w:val="000000"/>
                <w:kern w:val="0"/>
                <w:szCs w:val="21"/>
              </w:rPr>
            </w:pPr>
            <w:r>
              <w:rPr>
                <w:rFonts w:hint="eastAsia"/>
                <w:color w:val="000000"/>
                <w:kern w:val="0"/>
                <w:szCs w:val="21"/>
              </w:rPr>
              <w:t>+</w:t>
            </w:r>
            <w:r>
              <w:rPr>
                <w:rFonts w:hint="eastAsia"/>
                <w:color w:val="000000"/>
                <w:szCs w:val="21"/>
              </w:rPr>
              <w:t>0.04512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23" w:hRule="atLeast"/>
          <w:jc w:val="center"/>
        </w:trPr>
        <w:tc>
          <w:tcPr>
            <w:tcW w:w="1021" w:type="dxa"/>
            <w:vMerge w:val="restart"/>
            <w:vAlign w:val="center"/>
          </w:tcPr>
          <w:p>
            <w:pPr>
              <w:pStyle w:val="37"/>
              <w:spacing w:beforeLines="0" w:afterLines="0" w:line="360" w:lineRule="exact"/>
              <w:rPr>
                <w:rFonts w:ascii="Times New Roman" w:eastAsiaTheme="minorEastAsia"/>
                <w:snapToGrid w:val="0"/>
                <w:kern w:val="21"/>
                <w:szCs w:val="21"/>
              </w:rPr>
            </w:pPr>
            <w:r>
              <w:rPr>
                <w:rFonts w:ascii="Times New Roman" w:eastAsiaTheme="minorEastAsia"/>
                <w:snapToGrid w:val="0"/>
                <w:kern w:val="21"/>
                <w:szCs w:val="21"/>
              </w:rPr>
              <w:t>废水</w:t>
            </w:r>
          </w:p>
        </w:tc>
        <w:tc>
          <w:tcPr>
            <w:tcW w:w="2175" w:type="dxa"/>
            <w:vAlign w:val="center"/>
          </w:tcPr>
          <w:p>
            <w:pPr>
              <w:pStyle w:val="37"/>
              <w:spacing w:beforeLines="0" w:afterLines="0" w:line="360" w:lineRule="exact"/>
              <w:rPr>
                <w:rFonts w:ascii="Times New Roman" w:eastAsiaTheme="minorEastAsia"/>
                <w:snapToGrid w:val="0"/>
                <w:kern w:val="21"/>
                <w:szCs w:val="21"/>
              </w:rPr>
            </w:pPr>
            <w:r>
              <w:rPr>
                <w:rFonts w:ascii="Times New Roman" w:eastAsiaTheme="minorEastAsia"/>
                <w:snapToGrid w:val="0"/>
                <w:kern w:val="21"/>
                <w:szCs w:val="21"/>
              </w:rPr>
              <w:t>废水量</w:t>
            </w:r>
            <w:r>
              <w:rPr>
                <w:rFonts w:hint="eastAsia" w:ascii="Times New Roman" w:eastAsiaTheme="minorEastAsia"/>
                <w:snapToGrid w:val="0"/>
                <w:kern w:val="21"/>
                <w:szCs w:val="21"/>
              </w:rPr>
              <w:t>（t/a）</w:t>
            </w:r>
          </w:p>
        </w:tc>
        <w:tc>
          <w:tcPr>
            <w:tcW w:w="1584" w:type="dxa"/>
            <w:vAlign w:val="center"/>
          </w:tcPr>
          <w:p>
            <w:pPr>
              <w:pStyle w:val="37"/>
              <w:spacing w:beforeLines="0" w:afterLines="0" w:line="360" w:lineRule="exact"/>
              <w:rPr>
                <w:rFonts w:ascii="Times New Roman" w:eastAsiaTheme="minorEastAsia"/>
                <w:snapToGrid w:val="0"/>
                <w:kern w:val="21"/>
                <w:szCs w:val="21"/>
              </w:rPr>
            </w:pPr>
            <w:r>
              <w:rPr>
                <w:rFonts w:hint="eastAsia" w:ascii="Times New Roman" w:eastAsiaTheme="minorEastAsia"/>
                <w:snapToGrid w:val="0"/>
                <w:kern w:val="21"/>
                <w:szCs w:val="21"/>
              </w:rPr>
              <w:t>/</w:t>
            </w:r>
          </w:p>
        </w:tc>
        <w:tc>
          <w:tcPr>
            <w:tcW w:w="1225" w:type="dxa"/>
            <w:vAlign w:val="center"/>
          </w:tcPr>
          <w:p>
            <w:pPr>
              <w:pStyle w:val="37"/>
              <w:spacing w:beforeLines="0" w:afterLines="0" w:line="360" w:lineRule="exact"/>
              <w:rPr>
                <w:rFonts w:ascii="Times New Roman" w:eastAsiaTheme="minorEastAsia"/>
                <w:snapToGrid w:val="0"/>
                <w:kern w:val="21"/>
                <w:szCs w:val="21"/>
              </w:rPr>
            </w:pPr>
            <w:r>
              <w:rPr>
                <w:rFonts w:hint="eastAsia" w:ascii="Times New Roman" w:eastAsiaTheme="minorEastAsia"/>
                <w:snapToGrid w:val="0"/>
                <w:kern w:val="21"/>
                <w:szCs w:val="21"/>
              </w:rPr>
              <w:t>/</w:t>
            </w:r>
          </w:p>
        </w:tc>
        <w:tc>
          <w:tcPr>
            <w:tcW w:w="1623" w:type="dxa"/>
            <w:vAlign w:val="center"/>
          </w:tcPr>
          <w:p>
            <w:pPr>
              <w:pStyle w:val="37"/>
              <w:spacing w:beforeLines="0" w:afterLines="0" w:line="360" w:lineRule="exact"/>
              <w:rPr>
                <w:rFonts w:ascii="Times New Roman" w:eastAsiaTheme="minorEastAsia"/>
                <w:snapToGrid w:val="0"/>
                <w:kern w:val="21"/>
                <w:szCs w:val="21"/>
              </w:rPr>
            </w:pPr>
            <w:r>
              <w:rPr>
                <w:rFonts w:hint="eastAsia" w:ascii="Times New Roman" w:eastAsiaTheme="minorEastAsia"/>
                <w:snapToGrid w:val="0"/>
                <w:kern w:val="21"/>
                <w:szCs w:val="21"/>
              </w:rPr>
              <w:t>/</w:t>
            </w:r>
          </w:p>
        </w:tc>
        <w:tc>
          <w:tcPr>
            <w:tcW w:w="1598" w:type="dxa"/>
            <w:vAlign w:val="center"/>
          </w:tcPr>
          <w:p>
            <w:pPr>
              <w:adjustRightInd w:val="0"/>
              <w:snapToGrid w:val="0"/>
              <w:spacing w:line="360" w:lineRule="exact"/>
              <w:jc w:val="center"/>
              <w:textAlignment w:val="baseline"/>
              <w:rPr>
                <w:rFonts w:eastAsiaTheme="minorEastAsia"/>
                <w:szCs w:val="21"/>
              </w:rPr>
            </w:pPr>
            <w:r>
              <w:rPr>
                <w:rFonts w:hint="eastAsia" w:eastAsiaTheme="minorEastAsia"/>
                <w:szCs w:val="21"/>
              </w:rPr>
              <w:t>0</w:t>
            </w:r>
          </w:p>
        </w:tc>
        <w:tc>
          <w:tcPr>
            <w:tcW w:w="1769" w:type="dxa"/>
            <w:vAlign w:val="center"/>
          </w:tcPr>
          <w:p>
            <w:pPr>
              <w:pStyle w:val="37"/>
              <w:spacing w:beforeLines="0" w:afterLines="0" w:line="360" w:lineRule="exact"/>
              <w:rPr>
                <w:rFonts w:ascii="Times New Roman" w:eastAsiaTheme="minorEastAsia"/>
                <w:snapToGrid w:val="0"/>
                <w:kern w:val="21"/>
                <w:szCs w:val="21"/>
              </w:rPr>
            </w:pPr>
            <w:r>
              <w:rPr>
                <w:rFonts w:hint="eastAsia" w:ascii="Times New Roman" w:eastAsiaTheme="minorEastAsia"/>
                <w:snapToGrid w:val="0"/>
                <w:kern w:val="21"/>
                <w:szCs w:val="21"/>
              </w:rPr>
              <w:t>/</w:t>
            </w:r>
          </w:p>
        </w:tc>
        <w:tc>
          <w:tcPr>
            <w:tcW w:w="1713" w:type="dxa"/>
            <w:vAlign w:val="center"/>
          </w:tcPr>
          <w:p>
            <w:pPr>
              <w:adjustRightInd w:val="0"/>
              <w:snapToGrid w:val="0"/>
              <w:spacing w:line="360" w:lineRule="exact"/>
              <w:jc w:val="center"/>
              <w:textAlignment w:val="baseline"/>
              <w:rPr>
                <w:rFonts w:eastAsiaTheme="minorEastAsia"/>
                <w:szCs w:val="21"/>
              </w:rPr>
            </w:pPr>
            <w:r>
              <w:rPr>
                <w:rFonts w:hint="eastAsia" w:eastAsiaTheme="minorEastAsia"/>
                <w:szCs w:val="21"/>
              </w:rPr>
              <w:t>0</w:t>
            </w:r>
          </w:p>
        </w:tc>
        <w:tc>
          <w:tcPr>
            <w:tcW w:w="1306" w:type="dxa"/>
            <w:vAlign w:val="center"/>
          </w:tcPr>
          <w:p>
            <w:pPr>
              <w:adjustRightInd w:val="0"/>
              <w:snapToGrid w:val="0"/>
              <w:spacing w:line="360" w:lineRule="exact"/>
              <w:jc w:val="center"/>
              <w:textAlignment w:val="baseline"/>
              <w:rPr>
                <w:rFonts w:eastAsiaTheme="minorEastAsia"/>
                <w:szCs w:val="21"/>
              </w:rPr>
            </w:pPr>
            <w:r>
              <w:rPr>
                <w:rFonts w:hint="eastAsia"/>
                <w:color w:val="000000"/>
                <w:kern w:val="0"/>
                <w:szCs w:val="21"/>
              </w:rPr>
              <w:t>+</w:t>
            </w:r>
            <w:r>
              <w:rPr>
                <w:rFonts w:hint="eastAsia" w:eastAsiaTheme="minorEastAsia"/>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98" w:hRule="atLeast"/>
          <w:jc w:val="center"/>
        </w:trPr>
        <w:tc>
          <w:tcPr>
            <w:tcW w:w="1021" w:type="dxa"/>
            <w:vMerge w:val="continue"/>
            <w:vAlign w:val="center"/>
          </w:tcPr>
          <w:p>
            <w:pPr>
              <w:pStyle w:val="37"/>
              <w:spacing w:beforeLines="0" w:afterLines="0" w:line="360" w:lineRule="exact"/>
              <w:rPr>
                <w:rFonts w:ascii="Times New Roman" w:eastAsiaTheme="minorEastAsia"/>
                <w:snapToGrid w:val="0"/>
                <w:kern w:val="21"/>
                <w:szCs w:val="21"/>
              </w:rPr>
            </w:pPr>
          </w:p>
        </w:tc>
        <w:tc>
          <w:tcPr>
            <w:tcW w:w="2175" w:type="dxa"/>
            <w:vAlign w:val="center"/>
          </w:tcPr>
          <w:p>
            <w:pPr>
              <w:spacing w:line="360" w:lineRule="exact"/>
              <w:jc w:val="center"/>
              <w:rPr>
                <w:rFonts w:eastAsiaTheme="minorEastAsia"/>
                <w:snapToGrid w:val="0"/>
                <w:kern w:val="21"/>
                <w:szCs w:val="21"/>
              </w:rPr>
            </w:pPr>
            <w:r>
              <w:rPr>
                <w:rFonts w:eastAsiaTheme="minorEastAsia"/>
                <w:kern w:val="0"/>
                <w:szCs w:val="21"/>
              </w:rPr>
              <w:t>COD</w:t>
            </w:r>
            <w:r>
              <w:rPr>
                <w:rFonts w:hint="eastAsia" w:eastAsiaTheme="minorEastAsia"/>
                <w:snapToGrid w:val="0"/>
                <w:kern w:val="21"/>
                <w:szCs w:val="21"/>
              </w:rPr>
              <w:t>（t/a）</w:t>
            </w:r>
          </w:p>
        </w:tc>
        <w:tc>
          <w:tcPr>
            <w:tcW w:w="1584" w:type="dxa"/>
            <w:vAlign w:val="center"/>
          </w:tcPr>
          <w:p>
            <w:pPr>
              <w:adjustRightInd w:val="0"/>
              <w:snapToGrid w:val="0"/>
              <w:jc w:val="center"/>
              <w:rPr>
                <w:color w:val="000000"/>
                <w:kern w:val="0"/>
                <w:szCs w:val="21"/>
              </w:rPr>
            </w:pPr>
            <w:r>
              <w:rPr>
                <w:rFonts w:hint="eastAsia"/>
                <w:color w:val="000000"/>
                <w:kern w:val="0"/>
                <w:szCs w:val="21"/>
              </w:rPr>
              <w:t>/</w:t>
            </w:r>
          </w:p>
        </w:tc>
        <w:tc>
          <w:tcPr>
            <w:tcW w:w="1225" w:type="dxa"/>
            <w:vAlign w:val="center"/>
          </w:tcPr>
          <w:p>
            <w:pPr>
              <w:adjustRightInd w:val="0"/>
              <w:snapToGrid w:val="0"/>
              <w:jc w:val="center"/>
              <w:rPr>
                <w:color w:val="000000"/>
                <w:kern w:val="0"/>
                <w:szCs w:val="21"/>
              </w:rPr>
            </w:pPr>
            <w:r>
              <w:rPr>
                <w:rFonts w:hint="eastAsia"/>
                <w:color w:val="000000"/>
                <w:kern w:val="0"/>
                <w:szCs w:val="21"/>
              </w:rPr>
              <w:t>/</w:t>
            </w:r>
          </w:p>
        </w:tc>
        <w:tc>
          <w:tcPr>
            <w:tcW w:w="1623" w:type="dxa"/>
            <w:vAlign w:val="center"/>
          </w:tcPr>
          <w:p>
            <w:pPr>
              <w:adjustRightInd w:val="0"/>
              <w:snapToGrid w:val="0"/>
              <w:jc w:val="center"/>
              <w:rPr>
                <w:color w:val="000000"/>
                <w:kern w:val="0"/>
                <w:szCs w:val="21"/>
              </w:rPr>
            </w:pPr>
            <w:r>
              <w:rPr>
                <w:rFonts w:hint="eastAsia"/>
                <w:color w:val="000000"/>
                <w:kern w:val="0"/>
                <w:szCs w:val="21"/>
              </w:rPr>
              <w:t>/</w:t>
            </w:r>
          </w:p>
        </w:tc>
        <w:tc>
          <w:tcPr>
            <w:tcW w:w="1598" w:type="dxa"/>
            <w:vAlign w:val="center"/>
          </w:tcPr>
          <w:p>
            <w:pPr>
              <w:adjustRightInd w:val="0"/>
              <w:snapToGrid w:val="0"/>
              <w:jc w:val="center"/>
              <w:rPr>
                <w:color w:val="000000"/>
                <w:kern w:val="0"/>
                <w:szCs w:val="21"/>
              </w:rPr>
            </w:pPr>
            <w:r>
              <w:rPr>
                <w:rFonts w:hint="eastAsia"/>
                <w:color w:val="000000"/>
                <w:kern w:val="0"/>
                <w:szCs w:val="21"/>
              </w:rPr>
              <w:t>0</w:t>
            </w:r>
          </w:p>
        </w:tc>
        <w:tc>
          <w:tcPr>
            <w:tcW w:w="1769" w:type="dxa"/>
            <w:vAlign w:val="center"/>
          </w:tcPr>
          <w:p>
            <w:pPr>
              <w:adjustRightInd w:val="0"/>
              <w:snapToGrid w:val="0"/>
              <w:jc w:val="center"/>
              <w:rPr>
                <w:color w:val="000000"/>
                <w:kern w:val="0"/>
                <w:szCs w:val="21"/>
              </w:rPr>
            </w:pPr>
            <w:r>
              <w:rPr>
                <w:rFonts w:hint="eastAsia"/>
                <w:color w:val="000000"/>
                <w:kern w:val="0"/>
                <w:szCs w:val="21"/>
              </w:rPr>
              <w:t>/</w:t>
            </w:r>
          </w:p>
        </w:tc>
        <w:tc>
          <w:tcPr>
            <w:tcW w:w="1713" w:type="dxa"/>
            <w:vAlign w:val="center"/>
          </w:tcPr>
          <w:p>
            <w:pPr>
              <w:adjustRightInd w:val="0"/>
              <w:snapToGrid w:val="0"/>
              <w:jc w:val="center"/>
              <w:rPr>
                <w:color w:val="000000"/>
                <w:kern w:val="0"/>
                <w:szCs w:val="21"/>
              </w:rPr>
            </w:pPr>
            <w:r>
              <w:rPr>
                <w:rFonts w:hint="eastAsia"/>
                <w:color w:val="000000"/>
                <w:kern w:val="0"/>
                <w:szCs w:val="21"/>
              </w:rPr>
              <w:t>0</w:t>
            </w:r>
          </w:p>
        </w:tc>
        <w:tc>
          <w:tcPr>
            <w:tcW w:w="1306" w:type="dxa"/>
            <w:vAlign w:val="center"/>
          </w:tcPr>
          <w:p>
            <w:pPr>
              <w:adjustRightInd w:val="0"/>
              <w:snapToGrid w:val="0"/>
              <w:jc w:val="center"/>
              <w:rPr>
                <w:color w:val="000000"/>
                <w:kern w:val="0"/>
                <w:szCs w:val="21"/>
              </w:rPr>
            </w:pPr>
            <w:r>
              <w:rPr>
                <w:rFonts w:hint="eastAsia"/>
                <w:color w:val="000000"/>
                <w:kern w:val="0"/>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98" w:hRule="atLeast"/>
          <w:jc w:val="center"/>
        </w:trPr>
        <w:tc>
          <w:tcPr>
            <w:tcW w:w="1021" w:type="dxa"/>
            <w:vMerge w:val="continue"/>
            <w:vAlign w:val="center"/>
          </w:tcPr>
          <w:p>
            <w:pPr>
              <w:pStyle w:val="37"/>
              <w:spacing w:beforeLines="0" w:afterLines="0" w:line="360" w:lineRule="exact"/>
              <w:rPr>
                <w:rFonts w:ascii="Times New Roman" w:eastAsiaTheme="minorEastAsia"/>
                <w:snapToGrid w:val="0"/>
                <w:kern w:val="21"/>
                <w:szCs w:val="21"/>
              </w:rPr>
            </w:pPr>
          </w:p>
        </w:tc>
        <w:tc>
          <w:tcPr>
            <w:tcW w:w="2175" w:type="dxa"/>
            <w:vAlign w:val="center"/>
          </w:tcPr>
          <w:p>
            <w:pPr>
              <w:spacing w:line="360" w:lineRule="exact"/>
              <w:jc w:val="center"/>
              <w:rPr>
                <w:rFonts w:eastAsiaTheme="minorEastAsia"/>
                <w:kern w:val="0"/>
                <w:szCs w:val="21"/>
              </w:rPr>
            </w:pPr>
            <w:r>
              <w:rPr>
                <w:rFonts w:hint="eastAsia" w:eastAsiaTheme="minorEastAsia"/>
                <w:kern w:val="0"/>
                <w:szCs w:val="21"/>
              </w:rPr>
              <w:t>NH-N</w:t>
            </w:r>
            <w:r>
              <w:rPr>
                <w:rFonts w:hint="eastAsia" w:eastAsiaTheme="minorEastAsia"/>
                <w:kern w:val="0"/>
                <w:szCs w:val="21"/>
                <w:vertAlign w:val="subscript"/>
              </w:rPr>
              <w:t>3</w:t>
            </w:r>
            <w:r>
              <w:rPr>
                <w:rFonts w:hint="eastAsia" w:eastAsiaTheme="minorEastAsia"/>
                <w:snapToGrid w:val="0"/>
                <w:kern w:val="21"/>
                <w:szCs w:val="21"/>
              </w:rPr>
              <w:t>（t/a）</w:t>
            </w:r>
          </w:p>
        </w:tc>
        <w:tc>
          <w:tcPr>
            <w:tcW w:w="1584" w:type="dxa"/>
            <w:vAlign w:val="center"/>
          </w:tcPr>
          <w:p>
            <w:pPr>
              <w:adjustRightInd w:val="0"/>
              <w:snapToGrid w:val="0"/>
              <w:jc w:val="center"/>
              <w:rPr>
                <w:color w:val="000000"/>
                <w:kern w:val="0"/>
                <w:szCs w:val="21"/>
              </w:rPr>
            </w:pPr>
            <w:r>
              <w:rPr>
                <w:rFonts w:hint="eastAsia"/>
                <w:color w:val="000000"/>
                <w:kern w:val="0"/>
                <w:szCs w:val="21"/>
              </w:rPr>
              <w:t>/</w:t>
            </w:r>
          </w:p>
        </w:tc>
        <w:tc>
          <w:tcPr>
            <w:tcW w:w="1225" w:type="dxa"/>
            <w:vAlign w:val="center"/>
          </w:tcPr>
          <w:p>
            <w:pPr>
              <w:adjustRightInd w:val="0"/>
              <w:snapToGrid w:val="0"/>
              <w:jc w:val="center"/>
              <w:rPr>
                <w:color w:val="000000"/>
                <w:kern w:val="0"/>
                <w:szCs w:val="21"/>
              </w:rPr>
            </w:pPr>
            <w:r>
              <w:rPr>
                <w:rFonts w:hint="eastAsia"/>
                <w:color w:val="000000"/>
                <w:kern w:val="0"/>
                <w:szCs w:val="21"/>
              </w:rPr>
              <w:t>/</w:t>
            </w:r>
          </w:p>
        </w:tc>
        <w:tc>
          <w:tcPr>
            <w:tcW w:w="1623" w:type="dxa"/>
            <w:vAlign w:val="center"/>
          </w:tcPr>
          <w:p>
            <w:pPr>
              <w:adjustRightInd w:val="0"/>
              <w:snapToGrid w:val="0"/>
              <w:jc w:val="center"/>
              <w:rPr>
                <w:color w:val="000000"/>
                <w:kern w:val="0"/>
                <w:szCs w:val="21"/>
              </w:rPr>
            </w:pPr>
            <w:r>
              <w:rPr>
                <w:rFonts w:hint="eastAsia"/>
                <w:color w:val="000000"/>
                <w:kern w:val="0"/>
                <w:szCs w:val="21"/>
              </w:rPr>
              <w:t>/</w:t>
            </w:r>
          </w:p>
        </w:tc>
        <w:tc>
          <w:tcPr>
            <w:tcW w:w="1598" w:type="dxa"/>
            <w:vAlign w:val="center"/>
          </w:tcPr>
          <w:p>
            <w:pPr>
              <w:adjustRightInd w:val="0"/>
              <w:snapToGrid w:val="0"/>
              <w:jc w:val="center"/>
              <w:rPr>
                <w:color w:val="000000"/>
                <w:kern w:val="0"/>
                <w:szCs w:val="21"/>
              </w:rPr>
            </w:pPr>
            <w:r>
              <w:rPr>
                <w:rFonts w:hint="eastAsia"/>
                <w:color w:val="000000"/>
                <w:kern w:val="0"/>
                <w:szCs w:val="21"/>
              </w:rPr>
              <w:t>0</w:t>
            </w:r>
          </w:p>
        </w:tc>
        <w:tc>
          <w:tcPr>
            <w:tcW w:w="1769" w:type="dxa"/>
            <w:vAlign w:val="center"/>
          </w:tcPr>
          <w:p>
            <w:pPr>
              <w:adjustRightInd w:val="0"/>
              <w:snapToGrid w:val="0"/>
              <w:jc w:val="center"/>
              <w:rPr>
                <w:color w:val="000000"/>
                <w:kern w:val="0"/>
                <w:szCs w:val="21"/>
              </w:rPr>
            </w:pPr>
            <w:r>
              <w:rPr>
                <w:rFonts w:hint="eastAsia"/>
                <w:color w:val="000000"/>
                <w:kern w:val="0"/>
                <w:szCs w:val="21"/>
              </w:rPr>
              <w:t>/</w:t>
            </w:r>
          </w:p>
        </w:tc>
        <w:tc>
          <w:tcPr>
            <w:tcW w:w="1713" w:type="dxa"/>
            <w:vAlign w:val="center"/>
          </w:tcPr>
          <w:p>
            <w:pPr>
              <w:adjustRightInd w:val="0"/>
              <w:snapToGrid w:val="0"/>
              <w:jc w:val="center"/>
              <w:rPr>
                <w:color w:val="000000"/>
                <w:kern w:val="0"/>
                <w:szCs w:val="21"/>
              </w:rPr>
            </w:pPr>
            <w:r>
              <w:rPr>
                <w:rFonts w:hint="eastAsia"/>
                <w:color w:val="000000"/>
                <w:kern w:val="0"/>
                <w:szCs w:val="21"/>
              </w:rPr>
              <w:t>0</w:t>
            </w:r>
          </w:p>
        </w:tc>
        <w:tc>
          <w:tcPr>
            <w:tcW w:w="1306" w:type="dxa"/>
            <w:vAlign w:val="center"/>
          </w:tcPr>
          <w:p>
            <w:pPr>
              <w:adjustRightInd w:val="0"/>
              <w:snapToGrid w:val="0"/>
              <w:jc w:val="center"/>
              <w:rPr>
                <w:color w:val="000000"/>
                <w:kern w:val="0"/>
                <w:szCs w:val="21"/>
              </w:rPr>
            </w:pPr>
            <w:r>
              <w:rPr>
                <w:rFonts w:hint="eastAsia"/>
                <w:color w:val="000000"/>
                <w:kern w:val="0"/>
                <w:szCs w:val="21"/>
              </w:rPr>
              <w:t>+</w:t>
            </w:r>
            <w:r>
              <w:rPr>
                <w:color w:val="000000"/>
                <w:kern w:val="0"/>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76" w:hRule="atLeast"/>
          <w:jc w:val="center"/>
        </w:trPr>
        <w:tc>
          <w:tcPr>
            <w:tcW w:w="1021" w:type="dxa"/>
            <w:vMerge w:val="restart"/>
            <w:vAlign w:val="center"/>
          </w:tcPr>
          <w:p>
            <w:pPr>
              <w:pStyle w:val="37"/>
              <w:spacing w:beforeLines="0" w:afterLines="0" w:line="360" w:lineRule="exact"/>
              <w:rPr>
                <w:rFonts w:ascii="Times New Roman" w:eastAsiaTheme="minorEastAsia"/>
                <w:snapToGrid w:val="0"/>
                <w:kern w:val="21"/>
                <w:szCs w:val="21"/>
              </w:rPr>
            </w:pPr>
            <w:r>
              <w:rPr>
                <w:rFonts w:ascii="Times New Roman" w:eastAsiaTheme="minorEastAsia"/>
                <w:snapToGrid w:val="0"/>
                <w:kern w:val="21"/>
                <w:szCs w:val="21"/>
              </w:rPr>
              <w:t>一般工业固体废物</w:t>
            </w:r>
          </w:p>
        </w:tc>
        <w:tc>
          <w:tcPr>
            <w:tcW w:w="2175" w:type="dxa"/>
            <w:vAlign w:val="center"/>
          </w:tcPr>
          <w:p>
            <w:pPr>
              <w:pStyle w:val="37"/>
              <w:spacing w:before="24" w:after="24" w:line="360" w:lineRule="exact"/>
              <w:rPr>
                <w:rFonts w:ascii="Times New Roman" w:eastAsiaTheme="minorEastAsia"/>
                <w:snapToGrid w:val="0"/>
                <w:kern w:val="21"/>
                <w:szCs w:val="21"/>
              </w:rPr>
            </w:pPr>
            <w:r>
              <w:rPr>
                <w:rFonts w:ascii="Times New Roman" w:eastAsiaTheme="minorEastAsia"/>
                <w:snapToGrid w:val="0"/>
                <w:kern w:val="21"/>
                <w:szCs w:val="21"/>
              </w:rPr>
              <w:t>生活垃圾</w:t>
            </w:r>
            <w:r>
              <w:rPr>
                <w:rFonts w:hint="eastAsia" w:ascii="Times New Roman" w:eastAsiaTheme="minorEastAsia"/>
                <w:snapToGrid w:val="0"/>
                <w:kern w:val="21"/>
                <w:szCs w:val="21"/>
              </w:rPr>
              <w:t>（t/a）</w:t>
            </w:r>
          </w:p>
        </w:tc>
        <w:tc>
          <w:tcPr>
            <w:tcW w:w="1584" w:type="dxa"/>
            <w:vAlign w:val="center"/>
          </w:tcPr>
          <w:p>
            <w:pPr>
              <w:adjustRightInd w:val="0"/>
              <w:snapToGrid w:val="0"/>
              <w:jc w:val="center"/>
              <w:rPr>
                <w:color w:val="000000"/>
                <w:kern w:val="0"/>
                <w:szCs w:val="21"/>
              </w:rPr>
            </w:pPr>
            <w:r>
              <w:rPr>
                <w:rFonts w:hint="eastAsia"/>
                <w:color w:val="000000"/>
                <w:kern w:val="0"/>
                <w:szCs w:val="21"/>
              </w:rPr>
              <w:t>/</w:t>
            </w:r>
          </w:p>
        </w:tc>
        <w:tc>
          <w:tcPr>
            <w:tcW w:w="1225" w:type="dxa"/>
            <w:vAlign w:val="center"/>
          </w:tcPr>
          <w:p>
            <w:pPr>
              <w:adjustRightInd w:val="0"/>
              <w:snapToGrid w:val="0"/>
              <w:jc w:val="center"/>
              <w:rPr>
                <w:color w:val="000000"/>
                <w:kern w:val="0"/>
                <w:szCs w:val="21"/>
              </w:rPr>
            </w:pPr>
            <w:r>
              <w:rPr>
                <w:rFonts w:hint="eastAsia"/>
                <w:color w:val="000000"/>
                <w:kern w:val="0"/>
                <w:szCs w:val="21"/>
              </w:rPr>
              <w:t>/</w:t>
            </w:r>
          </w:p>
        </w:tc>
        <w:tc>
          <w:tcPr>
            <w:tcW w:w="1623" w:type="dxa"/>
            <w:vAlign w:val="center"/>
          </w:tcPr>
          <w:p>
            <w:pPr>
              <w:adjustRightInd w:val="0"/>
              <w:snapToGrid w:val="0"/>
              <w:jc w:val="center"/>
              <w:rPr>
                <w:color w:val="000000"/>
                <w:kern w:val="0"/>
                <w:szCs w:val="21"/>
              </w:rPr>
            </w:pPr>
            <w:r>
              <w:rPr>
                <w:rFonts w:hint="eastAsia"/>
                <w:color w:val="000000"/>
                <w:kern w:val="0"/>
                <w:szCs w:val="21"/>
              </w:rPr>
              <w:t>/</w:t>
            </w:r>
          </w:p>
        </w:tc>
        <w:tc>
          <w:tcPr>
            <w:tcW w:w="1598" w:type="dxa"/>
            <w:vAlign w:val="center"/>
          </w:tcPr>
          <w:p>
            <w:pPr>
              <w:adjustRightInd w:val="0"/>
              <w:snapToGrid w:val="0"/>
              <w:jc w:val="center"/>
              <w:rPr>
                <w:color w:val="000000"/>
                <w:kern w:val="0"/>
                <w:szCs w:val="21"/>
              </w:rPr>
            </w:pPr>
            <w:r>
              <w:rPr>
                <w:rFonts w:hint="eastAsia"/>
                <w:color w:val="000000"/>
                <w:kern w:val="0"/>
                <w:szCs w:val="21"/>
              </w:rPr>
              <w:t>0.6</w:t>
            </w:r>
          </w:p>
        </w:tc>
        <w:tc>
          <w:tcPr>
            <w:tcW w:w="1769" w:type="dxa"/>
            <w:vAlign w:val="center"/>
          </w:tcPr>
          <w:p>
            <w:pPr>
              <w:adjustRightInd w:val="0"/>
              <w:snapToGrid w:val="0"/>
              <w:jc w:val="center"/>
              <w:rPr>
                <w:color w:val="000000"/>
                <w:kern w:val="0"/>
                <w:szCs w:val="21"/>
              </w:rPr>
            </w:pPr>
            <w:r>
              <w:rPr>
                <w:rFonts w:hint="eastAsia"/>
                <w:color w:val="000000"/>
                <w:kern w:val="0"/>
                <w:szCs w:val="21"/>
              </w:rPr>
              <w:t>/</w:t>
            </w:r>
          </w:p>
        </w:tc>
        <w:tc>
          <w:tcPr>
            <w:tcW w:w="1713" w:type="dxa"/>
            <w:vAlign w:val="center"/>
          </w:tcPr>
          <w:p>
            <w:pPr>
              <w:adjustRightInd w:val="0"/>
              <w:snapToGrid w:val="0"/>
              <w:jc w:val="center"/>
              <w:rPr>
                <w:color w:val="000000"/>
                <w:kern w:val="0"/>
                <w:szCs w:val="21"/>
              </w:rPr>
            </w:pPr>
            <w:r>
              <w:rPr>
                <w:rFonts w:hint="eastAsia"/>
                <w:color w:val="000000"/>
                <w:kern w:val="0"/>
                <w:szCs w:val="21"/>
              </w:rPr>
              <w:t>0.6</w:t>
            </w:r>
          </w:p>
        </w:tc>
        <w:tc>
          <w:tcPr>
            <w:tcW w:w="1306" w:type="dxa"/>
            <w:vAlign w:val="center"/>
          </w:tcPr>
          <w:p>
            <w:pPr>
              <w:adjustRightInd w:val="0"/>
              <w:snapToGrid w:val="0"/>
              <w:jc w:val="center"/>
              <w:rPr>
                <w:color w:val="000000"/>
                <w:kern w:val="0"/>
                <w:szCs w:val="21"/>
              </w:rPr>
            </w:pPr>
            <w:r>
              <w:rPr>
                <w:rFonts w:hint="eastAsia"/>
                <w:color w:val="000000"/>
                <w:kern w:val="0"/>
                <w:szCs w:val="21"/>
              </w:rPr>
              <w:t>+0.6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55" w:hRule="atLeast"/>
          <w:jc w:val="center"/>
        </w:trPr>
        <w:tc>
          <w:tcPr>
            <w:tcW w:w="1021" w:type="dxa"/>
            <w:vMerge w:val="continue"/>
            <w:vAlign w:val="center"/>
          </w:tcPr>
          <w:p>
            <w:pPr>
              <w:pStyle w:val="37"/>
              <w:spacing w:beforeLines="0" w:afterLines="0" w:line="360" w:lineRule="exact"/>
              <w:rPr>
                <w:rFonts w:ascii="Times New Roman" w:eastAsiaTheme="minorEastAsia"/>
                <w:snapToGrid w:val="0"/>
                <w:kern w:val="21"/>
                <w:szCs w:val="21"/>
              </w:rPr>
            </w:pPr>
          </w:p>
        </w:tc>
        <w:tc>
          <w:tcPr>
            <w:tcW w:w="2175" w:type="dxa"/>
            <w:vAlign w:val="center"/>
          </w:tcPr>
          <w:p>
            <w:pPr>
              <w:pStyle w:val="37"/>
              <w:spacing w:beforeLines="0" w:afterLines="0" w:line="360" w:lineRule="exact"/>
              <w:rPr>
                <w:rFonts w:ascii="Times New Roman" w:eastAsiaTheme="minorEastAsia"/>
                <w:snapToGrid w:val="0"/>
                <w:kern w:val="21"/>
                <w:szCs w:val="21"/>
              </w:rPr>
            </w:pPr>
            <w:r>
              <w:rPr>
                <w:rFonts w:ascii="Times New Roman" w:eastAsiaTheme="minorEastAsia"/>
                <w:snapToGrid w:val="0"/>
                <w:kern w:val="21"/>
                <w:szCs w:val="21"/>
              </w:rPr>
              <w:t>废包装材料</w:t>
            </w:r>
            <w:r>
              <w:rPr>
                <w:rFonts w:hint="eastAsia" w:ascii="Times New Roman" w:eastAsiaTheme="minorEastAsia"/>
                <w:snapToGrid w:val="0"/>
                <w:kern w:val="21"/>
                <w:szCs w:val="21"/>
              </w:rPr>
              <w:t>（t/a）</w:t>
            </w:r>
          </w:p>
        </w:tc>
        <w:tc>
          <w:tcPr>
            <w:tcW w:w="1584" w:type="dxa"/>
            <w:vAlign w:val="center"/>
          </w:tcPr>
          <w:p>
            <w:pPr>
              <w:adjustRightInd w:val="0"/>
              <w:snapToGrid w:val="0"/>
              <w:jc w:val="center"/>
              <w:rPr>
                <w:color w:val="000000"/>
                <w:kern w:val="0"/>
                <w:szCs w:val="21"/>
              </w:rPr>
            </w:pPr>
            <w:r>
              <w:rPr>
                <w:rFonts w:hint="eastAsia"/>
                <w:color w:val="000000"/>
                <w:kern w:val="0"/>
                <w:szCs w:val="21"/>
              </w:rPr>
              <w:t>/</w:t>
            </w:r>
          </w:p>
        </w:tc>
        <w:tc>
          <w:tcPr>
            <w:tcW w:w="1225" w:type="dxa"/>
            <w:vAlign w:val="center"/>
          </w:tcPr>
          <w:p>
            <w:pPr>
              <w:adjustRightInd w:val="0"/>
              <w:snapToGrid w:val="0"/>
              <w:jc w:val="center"/>
              <w:rPr>
                <w:color w:val="000000"/>
                <w:kern w:val="0"/>
                <w:szCs w:val="21"/>
              </w:rPr>
            </w:pPr>
            <w:r>
              <w:rPr>
                <w:rFonts w:hint="eastAsia"/>
                <w:color w:val="000000"/>
                <w:kern w:val="0"/>
                <w:szCs w:val="21"/>
              </w:rPr>
              <w:t>/</w:t>
            </w:r>
          </w:p>
        </w:tc>
        <w:tc>
          <w:tcPr>
            <w:tcW w:w="1623" w:type="dxa"/>
            <w:vAlign w:val="center"/>
          </w:tcPr>
          <w:p>
            <w:pPr>
              <w:adjustRightInd w:val="0"/>
              <w:snapToGrid w:val="0"/>
              <w:jc w:val="center"/>
              <w:rPr>
                <w:color w:val="000000"/>
                <w:kern w:val="0"/>
                <w:szCs w:val="21"/>
              </w:rPr>
            </w:pPr>
            <w:r>
              <w:rPr>
                <w:rFonts w:hint="eastAsia"/>
                <w:color w:val="000000"/>
                <w:kern w:val="0"/>
                <w:szCs w:val="21"/>
              </w:rPr>
              <w:t>/</w:t>
            </w:r>
          </w:p>
        </w:tc>
        <w:tc>
          <w:tcPr>
            <w:tcW w:w="1598" w:type="dxa"/>
            <w:vAlign w:val="center"/>
          </w:tcPr>
          <w:p>
            <w:pPr>
              <w:adjustRightInd w:val="0"/>
              <w:snapToGrid w:val="0"/>
              <w:jc w:val="center"/>
              <w:rPr>
                <w:color w:val="000000"/>
                <w:kern w:val="0"/>
                <w:szCs w:val="21"/>
              </w:rPr>
            </w:pPr>
            <w:r>
              <w:rPr>
                <w:rFonts w:hint="eastAsia"/>
                <w:color w:val="000000"/>
                <w:kern w:val="0"/>
                <w:szCs w:val="21"/>
              </w:rPr>
              <w:t>0.5</w:t>
            </w:r>
          </w:p>
        </w:tc>
        <w:tc>
          <w:tcPr>
            <w:tcW w:w="1769" w:type="dxa"/>
            <w:vAlign w:val="center"/>
          </w:tcPr>
          <w:p>
            <w:pPr>
              <w:adjustRightInd w:val="0"/>
              <w:snapToGrid w:val="0"/>
              <w:jc w:val="center"/>
              <w:rPr>
                <w:color w:val="000000"/>
                <w:kern w:val="0"/>
                <w:szCs w:val="21"/>
              </w:rPr>
            </w:pPr>
            <w:r>
              <w:rPr>
                <w:rFonts w:hint="eastAsia"/>
                <w:color w:val="000000"/>
                <w:kern w:val="0"/>
                <w:szCs w:val="21"/>
              </w:rPr>
              <w:t>/</w:t>
            </w:r>
          </w:p>
        </w:tc>
        <w:tc>
          <w:tcPr>
            <w:tcW w:w="1713" w:type="dxa"/>
            <w:vAlign w:val="center"/>
          </w:tcPr>
          <w:p>
            <w:pPr>
              <w:adjustRightInd w:val="0"/>
              <w:snapToGrid w:val="0"/>
              <w:jc w:val="center"/>
              <w:rPr>
                <w:color w:val="000000"/>
                <w:kern w:val="0"/>
                <w:szCs w:val="21"/>
              </w:rPr>
            </w:pPr>
            <w:r>
              <w:rPr>
                <w:rFonts w:hint="eastAsia"/>
                <w:color w:val="000000"/>
                <w:kern w:val="0"/>
                <w:szCs w:val="21"/>
              </w:rPr>
              <w:t>0.5</w:t>
            </w:r>
          </w:p>
        </w:tc>
        <w:tc>
          <w:tcPr>
            <w:tcW w:w="1306" w:type="dxa"/>
            <w:vAlign w:val="center"/>
          </w:tcPr>
          <w:p>
            <w:pPr>
              <w:adjustRightInd w:val="0"/>
              <w:snapToGrid w:val="0"/>
              <w:jc w:val="center"/>
              <w:rPr>
                <w:color w:val="000000"/>
                <w:kern w:val="0"/>
                <w:szCs w:val="21"/>
              </w:rPr>
            </w:pPr>
            <w:r>
              <w:rPr>
                <w:rFonts w:hint="eastAsia"/>
                <w:color w:val="000000"/>
                <w:kern w:val="0"/>
                <w:szCs w:val="21"/>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55" w:hRule="atLeast"/>
          <w:jc w:val="center"/>
        </w:trPr>
        <w:tc>
          <w:tcPr>
            <w:tcW w:w="1021" w:type="dxa"/>
            <w:vMerge w:val="continue"/>
            <w:vAlign w:val="center"/>
          </w:tcPr>
          <w:p>
            <w:pPr>
              <w:pStyle w:val="37"/>
              <w:spacing w:beforeLines="0" w:afterLines="0" w:line="360" w:lineRule="exact"/>
              <w:rPr>
                <w:rFonts w:ascii="Times New Roman" w:eastAsiaTheme="minorEastAsia"/>
                <w:snapToGrid w:val="0"/>
                <w:kern w:val="21"/>
                <w:szCs w:val="21"/>
              </w:rPr>
            </w:pPr>
          </w:p>
        </w:tc>
        <w:tc>
          <w:tcPr>
            <w:tcW w:w="2175" w:type="dxa"/>
            <w:vAlign w:val="center"/>
          </w:tcPr>
          <w:p>
            <w:pPr>
              <w:adjustRightInd w:val="0"/>
              <w:snapToGrid w:val="0"/>
              <w:jc w:val="center"/>
              <w:rPr>
                <w:color w:val="000000"/>
                <w:kern w:val="0"/>
                <w:szCs w:val="21"/>
              </w:rPr>
            </w:pPr>
            <w:r>
              <w:rPr>
                <w:rFonts w:hint="eastAsia"/>
                <w:color w:val="000000"/>
                <w:kern w:val="0"/>
                <w:szCs w:val="21"/>
              </w:rPr>
              <w:t>除尘器粉尘（t/a）</w:t>
            </w:r>
          </w:p>
        </w:tc>
        <w:tc>
          <w:tcPr>
            <w:tcW w:w="1584" w:type="dxa"/>
            <w:vAlign w:val="center"/>
          </w:tcPr>
          <w:p>
            <w:pPr>
              <w:adjustRightInd w:val="0"/>
              <w:snapToGrid w:val="0"/>
              <w:jc w:val="center"/>
              <w:rPr>
                <w:color w:val="000000"/>
                <w:kern w:val="0"/>
                <w:szCs w:val="21"/>
              </w:rPr>
            </w:pPr>
            <w:r>
              <w:rPr>
                <w:rFonts w:hint="eastAsia"/>
                <w:color w:val="000000"/>
                <w:kern w:val="0"/>
                <w:szCs w:val="21"/>
              </w:rPr>
              <w:t>/</w:t>
            </w:r>
          </w:p>
        </w:tc>
        <w:tc>
          <w:tcPr>
            <w:tcW w:w="1225" w:type="dxa"/>
            <w:vAlign w:val="center"/>
          </w:tcPr>
          <w:p>
            <w:pPr>
              <w:adjustRightInd w:val="0"/>
              <w:snapToGrid w:val="0"/>
              <w:jc w:val="center"/>
              <w:rPr>
                <w:color w:val="000000"/>
                <w:kern w:val="0"/>
                <w:szCs w:val="21"/>
              </w:rPr>
            </w:pPr>
            <w:r>
              <w:rPr>
                <w:rFonts w:hint="eastAsia"/>
                <w:color w:val="000000"/>
                <w:kern w:val="0"/>
                <w:szCs w:val="21"/>
              </w:rPr>
              <w:t>/</w:t>
            </w:r>
          </w:p>
        </w:tc>
        <w:tc>
          <w:tcPr>
            <w:tcW w:w="1623" w:type="dxa"/>
            <w:vAlign w:val="center"/>
          </w:tcPr>
          <w:p>
            <w:pPr>
              <w:adjustRightInd w:val="0"/>
              <w:snapToGrid w:val="0"/>
              <w:jc w:val="center"/>
              <w:rPr>
                <w:color w:val="000000"/>
                <w:kern w:val="0"/>
                <w:szCs w:val="21"/>
              </w:rPr>
            </w:pPr>
            <w:r>
              <w:rPr>
                <w:rFonts w:hint="eastAsia"/>
                <w:color w:val="000000"/>
                <w:kern w:val="0"/>
                <w:szCs w:val="21"/>
              </w:rPr>
              <w:t>/</w:t>
            </w:r>
          </w:p>
        </w:tc>
        <w:tc>
          <w:tcPr>
            <w:tcW w:w="1598" w:type="dxa"/>
            <w:vAlign w:val="center"/>
          </w:tcPr>
          <w:p>
            <w:pPr>
              <w:adjustRightInd w:val="0"/>
              <w:snapToGrid w:val="0"/>
              <w:jc w:val="center"/>
              <w:rPr>
                <w:color w:val="000000"/>
                <w:kern w:val="0"/>
                <w:szCs w:val="21"/>
              </w:rPr>
            </w:pPr>
            <w:r>
              <w:rPr>
                <w:rFonts w:hint="eastAsia" w:eastAsiaTheme="majorEastAsia"/>
              </w:rPr>
              <w:t>2.00574</w:t>
            </w:r>
          </w:p>
        </w:tc>
        <w:tc>
          <w:tcPr>
            <w:tcW w:w="1769" w:type="dxa"/>
            <w:vAlign w:val="center"/>
          </w:tcPr>
          <w:p>
            <w:pPr>
              <w:adjustRightInd w:val="0"/>
              <w:snapToGrid w:val="0"/>
              <w:jc w:val="center"/>
              <w:rPr>
                <w:color w:val="000000"/>
                <w:kern w:val="0"/>
                <w:szCs w:val="21"/>
              </w:rPr>
            </w:pPr>
            <w:r>
              <w:rPr>
                <w:rFonts w:hint="eastAsia"/>
                <w:color w:val="000000"/>
                <w:kern w:val="0"/>
                <w:szCs w:val="21"/>
              </w:rPr>
              <w:t>/</w:t>
            </w:r>
          </w:p>
        </w:tc>
        <w:tc>
          <w:tcPr>
            <w:tcW w:w="1713" w:type="dxa"/>
            <w:vAlign w:val="center"/>
          </w:tcPr>
          <w:p>
            <w:pPr>
              <w:adjustRightInd w:val="0"/>
              <w:snapToGrid w:val="0"/>
              <w:jc w:val="center"/>
              <w:rPr>
                <w:color w:val="000000"/>
                <w:kern w:val="0"/>
                <w:szCs w:val="21"/>
              </w:rPr>
            </w:pPr>
            <w:r>
              <w:rPr>
                <w:rFonts w:hint="eastAsia" w:eastAsiaTheme="majorEastAsia"/>
              </w:rPr>
              <w:t>2.00574</w:t>
            </w:r>
          </w:p>
        </w:tc>
        <w:tc>
          <w:tcPr>
            <w:tcW w:w="1306" w:type="dxa"/>
            <w:vAlign w:val="center"/>
          </w:tcPr>
          <w:p>
            <w:pPr>
              <w:adjustRightInd w:val="0"/>
              <w:snapToGrid w:val="0"/>
              <w:jc w:val="center"/>
              <w:rPr>
                <w:color w:val="000000"/>
                <w:kern w:val="0"/>
                <w:szCs w:val="21"/>
              </w:rPr>
            </w:pPr>
            <w:r>
              <w:rPr>
                <w:rFonts w:hint="eastAsia"/>
                <w:color w:val="000000"/>
                <w:kern w:val="0"/>
                <w:szCs w:val="21"/>
              </w:rPr>
              <w:t>+</w:t>
            </w:r>
            <w:r>
              <w:rPr>
                <w:rFonts w:hint="eastAsia" w:eastAsiaTheme="majorEastAsia"/>
              </w:rPr>
              <w:t>2.00574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55" w:hRule="atLeast"/>
          <w:jc w:val="center"/>
        </w:trPr>
        <w:tc>
          <w:tcPr>
            <w:tcW w:w="1021" w:type="dxa"/>
            <w:vMerge w:val="continue"/>
            <w:vAlign w:val="center"/>
          </w:tcPr>
          <w:p>
            <w:pPr>
              <w:pStyle w:val="37"/>
              <w:spacing w:beforeLines="0" w:afterLines="0" w:line="360" w:lineRule="exact"/>
              <w:rPr>
                <w:rFonts w:ascii="Times New Roman" w:eastAsiaTheme="minorEastAsia"/>
                <w:snapToGrid w:val="0"/>
                <w:kern w:val="21"/>
                <w:szCs w:val="21"/>
              </w:rPr>
            </w:pPr>
          </w:p>
        </w:tc>
        <w:tc>
          <w:tcPr>
            <w:tcW w:w="2175" w:type="dxa"/>
            <w:vAlign w:val="center"/>
          </w:tcPr>
          <w:p>
            <w:pPr>
              <w:adjustRightInd w:val="0"/>
              <w:snapToGrid w:val="0"/>
              <w:jc w:val="center"/>
              <w:rPr>
                <w:color w:val="000000"/>
                <w:kern w:val="0"/>
                <w:szCs w:val="21"/>
              </w:rPr>
            </w:pPr>
            <w:r>
              <w:rPr>
                <w:rFonts w:hint="eastAsia"/>
                <w:color w:val="000000"/>
                <w:kern w:val="0"/>
                <w:szCs w:val="21"/>
              </w:rPr>
              <w:t>化粪池污泥（t/a）</w:t>
            </w:r>
          </w:p>
        </w:tc>
        <w:tc>
          <w:tcPr>
            <w:tcW w:w="1584" w:type="dxa"/>
            <w:vAlign w:val="center"/>
          </w:tcPr>
          <w:p>
            <w:pPr>
              <w:adjustRightInd w:val="0"/>
              <w:snapToGrid w:val="0"/>
              <w:jc w:val="center"/>
              <w:rPr>
                <w:color w:val="000000"/>
                <w:kern w:val="0"/>
                <w:szCs w:val="21"/>
              </w:rPr>
            </w:pPr>
            <w:r>
              <w:rPr>
                <w:rFonts w:hint="eastAsia"/>
                <w:color w:val="000000"/>
                <w:kern w:val="0"/>
                <w:szCs w:val="21"/>
              </w:rPr>
              <w:t>/</w:t>
            </w:r>
          </w:p>
        </w:tc>
        <w:tc>
          <w:tcPr>
            <w:tcW w:w="1225" w:type="dxa"/>
            <w:vAlign w:val="center"/>
          </w:tcPr>
          <w:p>
            <w:pPr>
              <w:adjustRightInd w:val="0"/>
              <w:snapToGrid w:val="0"/>
              <w:jc w:val="center"/>
              <w:rPr>
                <w:color w:val="000000"/>
                <w:kern w:val="0"/>
                <w:szCs w:val="21"/>
              </w:rPr>
            </w:pPr>
            <w:r>
              <w:rPr>
                <w:rFonts w:hint="eastAsia"/>
                <w:color w:val="000000"/>
                <w:kern w:val="0"/>
                <w:szCs w:val="21"/>
              </w:rPr>
              <w:t>/</w:t>
            </w:r>
          </w:p>
        </w:tc>
        <w:tc>
          <w:tcPr>
            <w:tcW w:w="1623" w:type="dxa"/>
            <w:vAlign w:val="center"/>
          </w:tcPr>
          <w:p>
            <w:pPr>
              <w:adjustRightInd w:val="0"/>
              <w:snapToGrid w:val="0"/>
              <w:jc w:val="center"/>
              <w:rPr>
                <w:color w:val="000000"/>
                <w:kern w:val="0"/>
                <w:szCs w:val="21"/>
              </w:rPr>
            </w:pPr>
            <w:r>
              <w:rPr>
                <w:rFonts w:hint="eastAsia"/>
                <w:color w:val="000000"/>
                <w:kern w:val="0"/>
                <w:szCs w:val="21"/>
              </w:rPr>
              <w:t>/</w:t>
            </w:r>
          </w:p>
        </w:tc>
        <w:tc>
          <w:tcPr>
            <w:tcW w:w="1598" w:type="dxa"/>
            <w:vAlign w:val="center"/>
          </w:tcPr>
          <w:p>
            <w:pPr>
              <w:adjustRightInd w:val="0"/>
              <w:snapToGrid w:val="0"/>
              <w:jc w:val="center"/>
              <w:rPr>
                <w:color w:val="000000"/>
                <w:kern w:val="0"/>
                <w:szCs w:val="21"/>
              </w:rPr>
            </w:pPr>
            <w:r>
              <w:rPr>
                <w:rFonts w:hint="eastAsia"/>
                <w:color w:val="000000"/>
                <w:kern w:val="0"/>
                <w:szCs w:val="21"/>
              </w:rPr>
              <w:t>0.3</w:t>
            </w:r>
          </w:p>
        </w:tc>
        <w:tc>
          <w:tcPr>
            <w:tcW w:w="1769" w:type="dxa"/>
            <w:vAlign w:val="center"/>
          </w:tcPr>
          <w:p>
            <w:pPr>
              <w:adjustRightInd w:val="0"/>
              <w:snapToGrid w:val="0"/>
              <w:jc w:val="center"/>
              <w:rPr>
                <w:color w:val="000000"/>
                <w:kern w:val="0"/>
                <w:szCs w:val="21"/>
              </w:rPr>
            </w:pPr>
            <w:r>
              <w:rPr>
                <w:rFonts w:hint="eastAsia"/>
                <w:color w:val="000000"/>
                <w:kern w:val="0"/>
                <w:szCs w:val="21"/>
              </w:rPr>
              <w:t>/</w:t>
            </w:r>
          </w:p>
        </w:tc>
        <w:tc>
          <w:tcPr>
            <w:tcW w:w="1713" w:type="dxa"/>
            <w:vAlign w:val="center"/>
          </w:tcPr>
          <w:p>
            <w:pPr>
              <w:adjustRightInd w:val="0"/>
              <w:snapToGrid w:val="0"/>
              <w:jc w:val="center"/>
              <w:rPr>
                <w:color w:val="000000"/>
                <w:kern w:val="0"/>
                <w:szCs w:val="21"/>
              </w:rPr>
            </w:pPr>
            <w:r>
              <w:rPr>
                <w:rFonts w:hint="eastAsia"/>
                <w:color w:val="000000"/>
                <w:kern w:val="0"/>
                <w:szCs w:val="21"/>
              </w:rPr>
              <w:t>0.3</w:t>
            </w:r>
          </w:p>
        </w:tc>
        <w:tc>
          <w:tcPr>
            <w:tcW w:w="1306" w:type="dxa"/>
            <w:vAlign w:val="center"/>
          </w:tcPr>
          <w:p>
            <w:pPr>
              <w:adjustRightInd w:val="0"/>
              <w:snapToGrid w:val="0"/>
              <w:jc w:val="center"/>
              <w:rPr>
                <w:color w:val="000000"/>
                <w:kern w:val="0"/>
                <w:szCs w:val="21"/>
              </w:rPr>
            </w:pPr>
            <w:r>
              <w:rPr>
                <w:rFonts w:hint="eastAsia"/>
                <w:color w:val="000000"/>
                <w:kern w:val="0"/>
                <w:szCs w:val="21"/>
              </w:rPr>
              <w:t>+0.3</w:t>
            </w:r>
          </w:p>
        </w:tc>
      </w:tr>
    </w:tbl>
    <w:p>
      <w:pPr>
        <w:pStyle w:val="37"/>
        <w:spacing w:beforeLines="80" w:after="24"/>
        <w:jc w:val="left"/>
        <w:rPr>
          <w:rFonts w:hAnsi="宋体"/>
          <w:sz w:val="24"/>
        </w:rPr>
        <w:sectPr>
          <w:footerReference r:id="rId5" w:type="default"/>
          <w:pgSz w:w="16838" w:h="11906" w:orient="landscape"/>
          <w:pgMar w:top="1797" w:right="1440" w:bottom="1797" w:left="1440" w:header="709" w:footer="709" w:gutter="0"/>
          <w:cols w:space="708" w:num="1"/>
          <w:docGrid w:linePitch="360" w:charSpace="0"/>
        </w:sectPr>
      </w:pPr>
      <w:r>
        <w:rPr>
          <w:rFonts w:ascii="Times New Roman"/>
          <w:snapToGrid w:val="0"/>
          <w:kern w:val="21"/>
          <w:szCs w:val="21"/>
        </w:rPr>
        <w:t>注：</w:t>
      </w:r>
      <w:r>
        <w:rPr>
          <w:rFonts w:ascii="Times New Roman"/>
          <w:snapToGrid w:val="0"/>
          <w:kern w:val="21"/>
          <w:szCs w:val="21"/>
        </w:rPr>
        <w:fldChar w:fldCharType="begin"/>
      </w:r>
      <w:r>
        <w:rPr>
          <w:rFonts w:ascii="Times New Roman"/>
          <w:snapToGrid w:val="0"/>
          <w:kern w:val="21"/>
          <w:szCs w:val="21"/>
        </w:rPr>
        <w:instrText xml:space="preserve"> = 6 \* GB3 \* MERGEFORMAT </w:instrText>
      </w:r>
      <w:r>
        <w:rPr>
          <w:rFonts w:ascii="Times New Roman"/>
          <w:snapToGrid w:val="0"/>
          <w:kern w:val="21"/>
          <w:szCs w:val="21"/>
        </w:rPr>
        <w:fldChar w:fldCharType="separate"/>
      </w:r>
      <w:r>
        <w:rPr>
          <w:rFonts w:hint="eastAsia" w:hAnsi="宋体" w:cs="宋体"/>
          <w:kern w:val="21"/>
          <w:szCs w:val="21"/>
        </w:rPr>
        <w:t>⑥</w:t>
      </w:r>
      <w:r>
        <w:rPr>
          <w:rFonts w:ascii="Times New Roman"/>
          <w:snapToGrid w:val="0"/>
          <w:kern w:val="21"/>
          <w:szCs w:val="21"/>
        </w:rPr>
        <w:fldChar w:fldCharType="end"/>
      </w:r>
      <w:r>
        <w:rPr>
          <w:rFonts w:ascii="Times New Roman"/>
          <w:snapToGrid w:val="0"/>
          <w:kern w:val="21"/>
          <w:szCs w:val="21"/>
        </w:rPr>
        <w:t>=</w:t>
      </w:r>
      <w:r>
        <w:rPr>
          <w:rFonts w:ascii="Times New Roman"/>
          <w:snapToGrid w:val="0"/>
          <w:kern w:val="21"/>
          <w:szCs w:val="21"/>
        </w:rPr>
        <w:fldChar w:fldCharType="begin"/>
      </w:r>
      <w:r>
        <w:rPr>
          <w:rFonts w:ascii="Times New Roman"/>
          <w:snapToGrid w:val="0"/>
          <w:kern w:val="21"/>
          <w:szCs w:val="21"/>
        </w:rPr>
        <w:instrText xml:space="preserve"> = 1 \* GB3 \* MERGEFORMAT </w:instrText>
      </w:r>
      <w:r>
        <w:rPr>
          <w:rFonts w:ascii="Times New Roman"/>
          <w:snapToGrid w:val="0"/>
          <w:kern w:val="21"/>
          <w:szCs w:val="21"/>
        </w:rPr>
        <w:fldChar w:fldCharType="separate"/>
      </w:r>
      <w:r>
        <w:rPr>
          <w:rFonts w:hint="eastAsia" w:hAnsi="宋体" w:cs="宋体"/>
          <w:kern w:val="21"/>
          <w:szCs w:val="21"/>
        </w:rPr>
        <w:t>①</w:t>
      </w:r>
      <w:r>
        <w:rPr>
          <w:rFonts w:ascii="Times New Roman"/>
          <w:snapToGrid w:val="0"/>
          <w:kern w:val="21"/>
          <w:szCs w:val="21"/>
        </w:rPr>
        <w:fldChar w:fldCharType="end"/>
      </w:r>
      <w:r>
        <w:rPr>
          <w:rFonts w:ascii="Times New Roman"/>
          <w:snapToGrid w:val="0"/>
          <w:kern w:val="21"/>
          <w:szCs w:val="21"/>
        </w:rPr>
        <w:t>+</w:t>
      </w:r>
      <w:r>
        <w:rPr>
          <w:rFonts w:ascii="Times New Roman"/>
          <w:snapToGrid w:val="0"/>
          <w:kern w:val="21"/>
          <w:szCs w:val="21"/>
        </w:rPr>
        <w:fldChar w:fldCharType="begin"/>
      </w:r>
      <w:r>
        <w:rPr>
          <w:rFonts w:ascii="Times New Roman"/>
          <w:snapToGrid w:val="0"/>
          <w:kern w:val="21"/>
          <w:szCs w:val="21"/>
        </w:rPr>
        <w:instrText xml:space="preserve"> = 3 \* GB3 \* MERGEFORMAT </w:instrText>
      </w:r>
      <w:r>
        <w:rPr>
          <w:rFonts w:ascii="Times New Roman"/>
          <w:snapToGrid w:val="0"/>
          <w:kern w:val="21"/>
          <w:szCs w:val="21"/>
        </w:rPr>
        <w:fldChar w:fldCharType="separate"/>
      </w:r>
      <w:r>
        <w:rPr>
          <w:rFonts w:hint="eastAsia" w:hAnsi="宋体" w:cs="宋体"/>
          <w:kern w:val="21"/>
          <w:szCs w:val="21"/>
        </w:rPr>
        <w:t>③</w:t>
      </w:r>
      <w:r>
        <w:rPr>
          <w:rFonts w:ascii="Times New Roman"/>
          <w:snapToGrid w:val="0"/>
          <w:kern w:val="21"/>
          <w:szCs w:val="21"/>
        </w:rPr>
        <w:fldChar w:fldCharType="end"/>
      </w:r>
      <w:r>
        <w:rPr>
          <w:rFonts w:ascii="Times New Roman"/>
          <w:snapToGrid w:val="0"/>
          <w:kern w:val="21"/>
          <w:szCs w:val="21"/>
        </w:rPr>
        <w:t>+</w:t>
      </w:r>
      <w:r>
        <w:rPr>
          <w:rFonts w:ascii="Times New Roman"/>
          <w:snapToGrid w:val="0"/>
          <w:kern w:val="21"/>
          <w:szCs w:val="21"/>
        </w:rPr>
        <w:fldChar w:fldCharType="begin"/>
      </w:r>
      <w:r>
        <w:rPr>
          <w:rFonts w:ascii="Times New Roman"/>
          <w:snapToGrid w:val="0"/>
          <w:kern w:val="21"/>
          <w:szCs w:val="21"/>
        </w:rPr>
        <w:instrText xml:space="preserve"> = 4 \* GB3 \* MERGEFORMAT </w:instrText>
      </w:r>
      <w:r>
        <w:rPr>
          <w:rFonts w:ascii="Times New Roman"/>
          <w:snapToGrid w:val="0"/>
          <w:kern w:val="21"/>
          <w:szCs w:val="21"/>
        </w:rPr>
        <w:fldChar w:fldCharType="separate"/>
      </w:r>
      <w:r>
        <w:rPr>
          <w:rFonts w:hint="eastAsia" w:hAnsi="宋体" w:cs="宋体"/>
          <w:kern w:val="21"/>
          <w:szCs w:val="21"/>
        </w:rPr>
        <w:t>④</w:t>
      </w:r>
      <w:r>
        <w:rPr>
          <w:rFonts w:ascii="Times New Roman"/>
          <w:snapToGrid w:val="0"/>
          <w:kern w:val="21"/>
          <w:szCs w:val="21"/>
        </w:rPr>
        <w:fldChar w:fldCharType="end"/>
      </w:r>
      <w:r>
        <w:rPr>
          <w:rFonts w:ascii="Times New Roman"/>
          <w:snapToGrid w:val="0"/>
          <w:kern w:val="21"/>
          <w:szCs w:val="21"/>
        </w:rPr>
        <w:t>-</w:t>
      </w:r>
      <w:r>
        <w:rPr>
          <w:rFonts w:ascii="Times New Roman"/>
          <w:snapToGrid w:val="0"/>
          <w:kern w:val="21"/>
          <w:szCs w:val="21"/>
        </w:rPr>
        <w:fldChar w:fldCharType="begin"/>
      </w:r>
      <w:r>
        <w:rPr>
          <w:rFonts w:ascii="Times New Roman"/>
          <w:snapToGrid w:val="0"/>
          <w:kern w:val="21"/>
          <w:szCs w:val="21"/>
        </w:rPr>
        <w:instrText xml:space="preserve"> = 5 \* GB3 \* MERGEFORMAT </w:instrText>
      </w:r>
      <w:r>
        <w:rPr>
          <w:rFonts w:ascii="Times New Roman"/>
          <w:snapToGrid w:val="0"/>
          <w:kern w:val="21"/>
          <w:szCs w:val="21"/>
        </w:rPr>
        <w:fldChar w:fldCharType="separate"/>
      </w:r>
      <w:r>
        <w:rPr>
          <w:rFonts w:hint="eastAsia" w:hAnsi="宋体" w:cs="宋体"/>
          <w:kern w:val="21"/>
          <w:szCs w:val="21"/>
        </w:rPr>
        <w:t>⑤</w:t>
      </w:r>
      <w:r>
        <w:rPr>
          <w:rFonts w:ascii="Times New Roman"/>
          <w:snapToGrid w:val="0"/>
          <w:kern w:val="21"/>
          <w:szCs w:val="21"/>
        </w:rPr>
        <w:fldChar w:fldCharType="end"/>
      </w:r>
      <w:r>
        <w:rPr>
          <w:rFonts w:ascii="Times New Roman"/>
          <w:snapToGrid w:val="0"/>
          <w:kern w:val="21"/>
          <w:szCs w:val="21"/>
        </w:rPr>
        <w:t>；</w:t>
      </w:r>
      <w:r>
        <w:rPr>
          <w:rFonts w:ascii="Times New Roman"/>
          <w:snapToGrid w:val="0"/>
          <w:kern w:val="21"/>
          <w:szCs w:val="21"/>
        </w:rPr>
        <w:fldChar w:fldCharType="begin"/>
      </w:r>
      <w:r>
        <w:rPr>
          <w:rFonts w:ascii="Times New Roman"/>
          <w:snapToGrid w:val="0"/>
          <w:kern w:val="21"/>
          <w:szCs w:val="21"/>
        </w:rPr>
        <w:instrText xml:space="preserve"> = 7 \* GB3 \* MERGEFORMAT </w:instrText>
      </w:r>
      <w:r>
        <w:rPr>
          <w:rFonts w:ascii="Times New Roman"/>
          <w:snapToGrid w:val="0"/>
          <w:kern w:val="21"/>
          <w:szCs w:val="21"/>
        </w:rPr>
        <w:fldChar w:fldCharType="separate"/>
      </w:r>
      <w:r>
        <w:rPr>
          <w:rFonts w:hint="eastAsia" w:hAnsi="宋体" w:cs="宋体"/>
          <w:kern w:val="21"/>
          <w:szCs w:val="21"/>
        </w:rPr>
        <w:t>⑦</w:t>
      </w:r>
      <w:r>
        <w:rPr>
          <w:rFonts w:ascii="Times New Roman"/>
          <w:snapToGrid w:val="0"/>
          <w:kern w:val="21"/>
          <w:szCs w:val="21"/>
        </w:rPr>
        <w:fldChar w:fldCharType="end"/>
      </w:r>
      <w:r>
        <w:rPr>
          <w:rFonts w:ascii="Times New Roman"/>
          <w:snapToGrid w:val="0"/>
          <w:kern w:val="21"/>
          <w:szCs w:val="21"/>
        </w:rPr>
        <w:t>=</w:t>
      </w:r>
      <w:r>
        <w:rPr>
          <w:rFonts w:ascii="Times New Roman"/>
          <w:snapToGrid w:val="0"/>
          <w:kern w:val="21"/>
          <w:szCs w:val="21"/>
        </w:rPr>
        <w:fldChar w:fldCharType="begin"/>
      </w:r>
      <w:r>
        <w:rPr>
          <w:rFonts w:ascii="Times New Roman"/>
          <w:snapToGrid w:val="0"/>
          <w:kern w:val="21"/>
          <w:szCs w:val="21"/>
        </w:rPr>
        <w:instrText xml:space="preserve"> = 6 \* GB3 \* MERGEFORMAT </w:instrText>
      </w:r>
      <w:r>
        <w:rPr>
          <w:rFonts w:ascii="Times New Roman"/>
          <w:snapToGrid w:val="0"/>
          <w:kern w:val="21"/>
          <w:szCs w:val="21"/>
        </w:rPr>
        <w:fldChar w:fldCharType="separate"/>
      </w:r>
      <w:r>
        <w:rPr>
          <w:rFonts w:hint="eastAsia" w:hAnsi="宋体" w:cs="宋体"/>
          <w:kern w:val="21"/>
          <w:szCs w:val="21"/>
        </w:rPr>
        <w:t>⑥</w:t>
      </w:r>
      <w:r>
        <w:rPr>
          <w:rFonts w:ascii="Times New Roman"/>
          <w:snapToGrid w:val="0"/>
          <w:kern w:val="21"/>
          <w:szCs w:val="21"/>
        </w:rPr>
        <w:fldChar w:fldCharType="end"/>
      </w:r>
      <w:r>
        <w:rPr>
          <w:rFonts w:ascii="Times New Roman"/>
          <w:snapToGrid w:val="0"/>
          <w:kern w:val="21"/>
          <w:szCs w:val="21"/>
        </w:rPr>
        <w:t>-</w:t>
      </w:r>
      <w:r>
        <w:rPr>
          <w:rFonts w:ascii="Times New Roman"/>
          <w:snapToGrid w:val="0"/>
          <w:kern w:val="21"/>
          <w:szCs w:val="21"/>
        </w:rPr>
        <w:fldChar w:fldCharType="begin"/>
      </w:r>
      <w:r>
        <w:rPr>
          <w:rFonts w:ascii="Times New Roman"/>
          <w:snapToGrid w:val="0"/>
          <w:kern w:val="21"/>
          <w:szCs w:val="21"/>
        </w:rPr>
        <w:instrText xml:space="preserve"> = 1 \* GB3 \* MERGEFORMAT </w:instrText>
      </w:r>
      <w:r>
        <w:rPr>
          <w:rFonts w:ascii="Times New Roman"/>
          <w:snapToGrid w:val="0"/>
          <w:kern w:val="21"/>
          <w:szCs w:val="21"/>
        </w:rPr>
        <w:fldChar w:fldCharType="separate"/>
      </w:r>
      <w:r>
        <w:rPr>
          <w:rFonts w:hint="eastAsia" w:hAnsi="宋体" w:cs="宋体"/>
          <w:kern w:val="21"/>
          <w:szCs w:val="21"/>
        </w:rPr>
        <w:t>①</w:t>
      </w:r>
      <w:r>
        <w:rPr>
          <w:rFonts w:ascii="Times New Roman"/>
          <w:snapToGrid w:val="0"/>
          <w:kern w:val="21"/>
          <w:szCs w:val="21"/>
        </w:rPr>
        <w:fldChar w:fldCharType="end"/>
      </w:r>
    </w:p>
    <w:p>
      <w:pPr>
        <w:ind w:firstLine="1155" w:firstLineChars="550"/>
        <w:rPr>
          <w:rFonts w:hint="eastAsia"/>
        </w:rPr>
      </w:pPr>
      <w:r>
        <w:rPr>
          <w:rFonts w:hint="eastAsia"/>
        </w:rPr>
        <w:pict>
          <v:rect id="_x0000_s4184" o:spid="_x0000_s4184" o:spt="1" style="position:absolute;left:0pt;margin-left:78.45pt;margin-top:23.6pt;height:23pt;width:24pt;z-index:251671552;mso-width-relative:page;mso-height-relative:page;" filled="f" stroked="f" coordsize="21600,21600">
            <v:path/>
            <v:fill on="f" focussize="0,0"/>
            <v:stroke on="f"/>
            <v:imagedata o:title=""/>
            <o:lock v:ext="edit"/>
            <v:textbox>
              <w:txbxContent>
                <w:p>
                  <w:pPr>
                    <w:rPr>
                      <w:b/>
                    </w:rPr>
                  </w:pPr>
                  <w:r>
                    <w:rPr>
                      <w:rFonts w:hint="eastAsia"/>
                      <w:b/>
                    </w:rPr>
                    <w:t>北</w:t>
                  </w:r>
                </w:p>
              </w:txbxContent>
            </v:textbox>
          </v:rect>
        </w:pict>
      </w:r>
      <w:r>
        <w:rPr>
          <w:rFonts w:hint="eastAsia"/>
        </w:rPr>
        <w:pict>
          <v:shape id="_x0000_s4183" o:spid="_x0000_s4183" o:spt="68" type="#_x0000_t68" style="position:absolute;left:0pt;margin-left:58.45pt;margin-top:3.6pt;height:40.5pt;width:20pt;z-index:251670528;mso-width-relative:page;mso-height-relative:page;" fillcolor="#FF0000" filled="t" coordsize="21600,21600">
            <v:path/>
            <v:fill on="t" focussize="0,0"/>
            <v:stroke joinstyle="miter"/>
            <v:imagedata o:title=""/>
            <o:lock v:ext="edit"/>
            <v:textbox style="layout-flow:vertical-ideographic;"/>
          </v:shape>
        </w:pict>
      </w:r>
      <w:r>
        <w:rPr>
          <w:rFonts w:hint="eastAsia"/>
          <w:lang w:val="en-US" w:eastAsia="zh-CN"/>
        </w:rPr>
        <w:pict>
          <v:shape id="自选图形 6" o:spid="_x0000_s4177" o:spt="62" type="#_x0000_t62" style="position:absolute;left:0pt;margin-left:545.85pt;margin-top:103.6pt;height:23.4pt;width:63.35pt;z-index:251664384;mso-width-relative:page;mso-height-relative:page;" coordsize="21600,21600" adj="-51281,129415">
            <v:path/>
            <v:fill focussize="0,0"/>
            <v:stroke joinstyle="miter"/>
            <v:imagedata o:title=""/>
            <o:lock v:ext="edit"/>
            <v:textbox>
              <w:txbxContent>
                <w:p>
                  <w:pPr>
                    <w:rPr>
                      <w:rFonts w:hint="eastAsia"/>
                    </w:rPr>
                  </w:pPr>
                  <w:r>
                    <w:rPr>
                      <w:rFonts w:hint="eastAsia"/>
                    </w:rPr>
                    <w:t>项目位置</w:t>
                  </w:r>
                </w:p>
              </w:txbxContent>
            </v:textbox>
          </v:shape>
        </w:pict>
      </w:r>
      <w:r>
        <w:rPr>
          <w:rFonts w:hint="eastAsia"/>
          <w:lang w:val="en-US" w:eastAsia="zh-CN"/>
        </w:rPr>
        <w:pict>
          <v:shape id="自选图形 5" o:spid="_x0000_s4176" o:spt="12" type="#_x0000_t12" style="position:absolute;left:0pt;margin-left:385.5pt;margin-top:238.75pt;height:14.15pt;width:14.15pt;z-index:251663360;mso-width-relative:page;mso-height-relative:page;" fillcolor="#FF0000" filled="t" stroked="t" coordsize="21600,21600">
            <v:path/>
            <v:fill on="t" focussize="0,0"/>
            <v:stroke color="#FF0000" joinstyle="miter"/>
            <v:imagedata o:title=""/>
            <o:lock v:ext="edit"/>
          </v:shape>
        </w:pict>
      </w:r>
      <w:r>
        <w:rPr>
          <w:rFonts w:hint="eastAsia"/>
        </w:rPr>
        <w:drawing>
          <wp:inline distT="0" distB="0" distL="0" distR="0">
            <wp:extent cx="7134225" cy="5132705"/>
            <wp:effectExtent l="19050" t="0" r="9525" b="0"/>
            <wp:docPr id="35" name="图片 2" descr="潦河 蒲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descr="潦河 蒲山"/>
                    <pic:cNvPicPr>
                      <a:picLocks noChangeAspect="1" noChangeArrowheads="1"/>
                    </pic:cNvPicPr>
                  </pic:nvPicPr>
                  <pic:blipFill>
                    <a:blip r:embed="rId31" cstate="print"/>
                    <a:srcRect l="3949" t="57564" r="14255" b="639"/>
                    <a:stretch>
                      <a:fillRect/>
                    </a:stretch>
                  </pic:blipFill>
                  <pic:spPr>
                    <a:xfrm>
                      <a:off x="0" y="0"/>
                      <a:ext cx="7134225" cy="5132705"/>
                    </a:xfrm>
                    <a:prstGeom prst="rect">
                      <a:avLst/>
                    </a:prstGeom>
                    <a:noFill/>
                    <a:ln w="9525">
                      <a:noFill/>
                      <a:miter lim="800000"/>
                      <a:headEnd/>
                      <a:tailEnd/>
                    </a:ln>
                  </pic:spPr>
                </pic:pic>
              </a:graphicData>
            </a:graphic>
          </wp:inline>
        </w:drawing>
      </w:r>
    </w:p>
    <w:p>
      <w:pPr>
        <w:spacing w:line="360" w:lineRule="auto"/>
        <w:jc w:val="center"/>
        <w:rPr>
          <w:rFonts w:hint="eastAsia"/>
          <w:b/>
          <w:sz w:val="24"/>
        </w:rPr>
      </w:pPr>
      <w:r>
        <w:rPr>
          <w:rFonts w:hint="eastAsia"/>
          <w:b/>
          <w:sz w:val="24"/>
        </w:rPr>
        <w:t>附图1 项目地理位置图</w:t>
      </w:r>
    </w:p>
    <w:p>
      <w:pPr>
        <w:spacing w:line="360" w:lineRule="auto"/>
        <w:jc w:val="center"/>
        <w:rPr>
          <w:rFonts w:hint="eastAsia"/>
          <w:b/>
          <w:sz w:val="24"/>
        </w:rPr>
      </w:pPr>
    </w:p>
    <w:p>
      <w:pPr>
        <w:spacing w:line="360" w:lineRule="auto"/>
        <w:jc w:val="center"/>
        <w:rPr>
          <w:b/>
          <w:sz w:val="24"/>
        </w:rPr>
        <w:sectPr>
          <w:pgSz w:w="16838" w:h="11906" w:orient="landscape"/>
          <w:pgMar w:top="1418" w:right="1701" w:bottom="1418" w:left="1701" w:header="851" w:footer="992" w:gutter="0"/>
          <w:cols w:space="720" w:num="1"/>
          <w:docGrid w:type="lines" w:linePitch="312" w:charSpace="0"/>
        </w:sectPr>
      </w:pPr>
    </w:p>
    <w:p>
      <w:pPr>
        <w:spacing w:line="360" w:lineRule="auto"/>
        <w:jc w:val="center"/>
        <w:rPr>
          <w:b/>
          <w:sz w:val="24"/>
        </w:rPr>
      </w:pPr>
      <w:r>
        <w:rPr>
          <w:rFonts w:hint="eastAsia"/>
          <w:b/>
          <w:sz w:val="24"/>
        </w:rPr>
        <w:pict>
          <v:rect id="_x0000_s4182" o:spid="_x0000_s4182" o:spt="1" style="position:absolute;left:0pt;margin-left:16.1pt;margin-top:38.45pt;height:26pt;width:22.5pt;z-index:251669504;mso-width-relative:page;mso-height-relative:page;" filled="f" stroked="f" coordsize="21600,21600">
            <v:path/>
            <v:fill on="f" focussize="0,0"/>
            <v:stroke on="f"/>
            <v:imagedata o:title=""/>
            <o:lock v:ext="edit"/>
            <v:textbox>
              <w:txbxContent>
                <w:p>
                  <w:r>
                    <w:rPr>
                      <w:rFonts w:hint="eastAsia"/>
                    </w:rPr>
                    <w:t>北</w:t>
                  </w:r>
                </w:p>
              </w:txbxContent>
            </v:textbox>
          </v:rect>
        </w:pict>
      </w:r>
      <w:r>
        <w:rPr>
          <w:rFonts w:hint="eastAsia"/>
          <w:b/>
          <w:sz w:val="24"/>
        </w:rPr>
        <w:pict>
          <v:shape id="_x0000_s4181" o:spid="_x0000_s4181" o:spt="68" type="#_x0000_t68" style="position:absolute;left:0pt;margin-left:-2.9pt;margin-top:23.95pt;height:38pt;width:16.5pt;z-index:251668480;mso-width-relative:page;mso-height-relative:page;" fillcolor="#000000" filled="t" coordsize="21600,21600">
            <v:path/>
            <v:fill on="t" focussize="0,0"/>
            <v:stroke joinstyle="miter"/>
            <v:imagedata o:title=""/>
            <o:lock v:ext="edit"/>
            <v:textbox style="layout-flow:vertical-ideographic;"/>
          </v:shape>
        </w:pict>
      </w:r>
    </w:p>
    <w:p>
      <w:pPr>
        <w:rPr>
          <w:sz w:val="24"/>
        </w:rPr>
      </w:pPr>
    </w:p>
    <w:p>
      <w:pPr>
        <w:rPr>
          <w:sz w:val="24"/>
        </w:rPr>
      </w:pPr>
      <w:r>
        <w:rPr>
          <w:rFonts w:hint="eastAsia"/>
          <w:b/>
          <w:sz w:val="24"/>
        </w:rPr>
        <w:pict>
          <v:rect id="_x0000_s4196" o:spid="_x0000_s4196" o:spt="1" style="position:absolute;left:0pt;margin-left:142.2pt;margin-top:11.95pt;height:22.5pt;width:47.5pt;z-index:251683840;mso-width-relative:page;mso-height-relative:page;" filled="f" stroked="f" coordsize="21600,21600">
            <v:path/>
            <v:fill on="f" focussize="0,0"/>
            <v:stroke on="f"/>
            <v:imagedata o:title=""/>
            <o:lock v:ext="edit"/>
            <v:textbox>
              <w:txbxContent>
                <w:p>
                  <w:r>
                    <w:rPr>
                      <w:rFonts w:hint="eastAsia"/>
                    </w:rPr>
                    <w:t>DA002</w:t>
                  </w:r>
                </w:p>
              </w:txbxContent>
            </v:textbox>
          </v:rect>
        </w:pict>
      </w:r>
      <w:r>
        <w:rPr>
          <w:sz w:val="24"/>
        </w:rPr>
        <w:pict>
          <v:shape id="_x0000_s4192" o:spid="_x0000_s4192" o:spt="22" type="#_x0000_t22" style="position:absolute;left:0pt;margin-left:135.25pt;margin-top:5.95pt;height:19.5pt;width:8.5pt;z-index:251679744;mso-width-relative:page;mso-height-relative:page;" fillcolor="#FFFF00" filled="t" coordsize="21600,21600">
            <v:path/>
            <v:fill on="t" focussize="0,0"/>
            <v:stroke/>
            <v:imagedata o:title=""/>
            <o:lock v:ext="edit"/>
          </v:shape>
        </w:pict>
      </w:r>
      <w:r>
        <w:rPr>
          <w:sz w:val="24"/>
        </w:rPr>
        <w:pict>
          <v:rect id="_x0000_s4195" o:spid="_x0000_s4195" o:spt="1" style="position:absolute;left:0pt;margin-left:68.6pt;margin-top:0.45pt;height:22.5pt;width:47.5pt;z-index:251682816;mso-width-relative:page;mso-height-relative:page;" filled="f" stroked="f" coordsize="21600,21600">
            <v:path/>
            <v:fill on="f" focussize="0,0"/>
            <v:stroke on="f"/>
            <v:imagedata o:title=""/>
            <o:lock v:ext="edit"/>
            <v:textbox>
              <w:txbxContent>
                <w:p>
                  <w:r>
                    <w:rPr>
                      <w:rFonts w:hint="eastAsia"/>
                    </w:rPr>
                    <w:t>DA001</w:t>
                  </w:r>
                </w:p>
              </w:txbxContent>
            </v:textbox>
          </v:rect>
        </w:pict>
      </w:r>
      <w:r>
        <w:rPr>
          <w:sz w:val="24"/>
        </w:rPr>
        <w:pict>
          <v:shape id="_x0000_s4191" o:spid="_x0000_s4191" o:spt="22" type="#_x0000_t22" style="position:absolute;left:0pt;margin-left:62.6pt;margin-top:8.95pt;height:19.5pt;width:8.5pt;z-index:251678720;mso-width-relative:page;mso-height-relative:page;" fillcolor="#FFFF00" filled="t" coordsize="21600,21600">
            <v:path/>
            <v:fill on="t" focussize="0,0"/>
            <v:stroke/>
            <v:imagedata o:title=""/>
            <o:lock v:ext="edit"/>
          </v:shape>
        </w:pict>
      </w:r>
    </w:p>
    <w:p>
      <w:pPr>
        <w:rPr>
          <w:sz w:val="24"/>
        </w:rPr>
      </w:pPr>
      <w:r>
        <w:rPr>
          <w:rFonts w:hint="eastAsia"/>
          <w:b/>
          <w:sz w:val="24"/>
        </w:rPr>
        <w:pict>
          <v:shape id="_x0000_s4194" o:spid="_x0000_s4194" o:spt="109" type="#_x0000_t109" style="position:absolute;left:0pt;margin-left:128.8pt;margin-top:9.85pt;height:9pt;width:18.5pt;z-index:251681792;mso-width-relative:page;mso-height-relative:page;" fillcolor="#00B050" filled="t" coordsize="21600,21600">
            <v:path/>
            <v:fill on="t" focussize="0,0"/>
            <v:stroke joinstyle="miter"/>
            <v:imagedata o:title=""/>
            <o:lock v:ext="edit"/>
          </v:shape>
        </w:pict>
      </w:r>
      <w:r>
        <w:rPr>
          <w:rFonts w:hint="eastAsia"/>
          <w:b/>
          <w:sz w:val="24"/>
        </w:rPr>
        <w:pict>
          <v:shape id="_x0000_s4193" o:spid="_x0000_s4193" o:spt="109" type="#_x0000_t109" style="position:absolute;left:0pt;margin-left:62.6pt;margin-top:12.85pt;height:9pt;width:18.5pt;z-index:251680768;mso-width-relative:page;mso-height-relative:page;" fillcolor="#00B050" filled="t" coordsize="21600,21600">
            <v:path/>
            <v:fill on="t" focussize="0,0"/>
            <v:stroke joinstyle="miter"/>
            <v:imagedata o:title=""/>
            <o:lock v:ext="edit"/>
          </v:shape>
        </w:pict>
      </w:r>
      <w:r>
        <w:rPr>
          <w:rFonts w:hint="eastAsia"/>
          <w:b/>
          <w:sz w:val="24"/>
        </w:rPr>
        <w:pict>
          <v:shape id="_x0000_s4185" o:spid="_x0000_s4185" o:spt="32" type="#_x0000_t32" style="position:absolute;left:0pt;margin-left:222.1pt;margin-top:9.85pt;height:158.5pt;width:0pt;z-index:251672576;mso-width-relative:page;mso-height-relative:page;" o:connectortype="straight" filled="f" coordsize="21600,21600">
            <v:path arrowok="t"/>
            <v:fill on="f" focussize="0,0"/>
            <v:stroke/>
            <v:imagedata o:title=""/>
            <o:lock v:ext="edit"/>
          </v:shape>
        </w:pict>
      </w:r>
      <w:r>
        <w:rPr>
          <w:rFonts w:hint="eastAsia"/>
          <w:b/>
          <w:sz w:val="24"/>
        </w:rPr>
        <w:pict>
          <v:rect id="_x0000_s4180" o:spid="_x0000_s4180" o:spt="1" style="position:absolute;left:0pt;margin-left:62.6pt;margin-top:9.85pt;height:158.5pt;width:318.5pt;z-index:251667456;mso-width-relative:page;mso-height-relative:page;" filled="f" coordsize="21600,21600">
            <v:path/>
            <v:fill on="f" focussize="0,0"/>
            <v:stroke/>
            <v:imagedata o:title=""/>
            <o:lock v:ext="edit"/>
            <v:textbox>
              <w:txbxContent>
                <w:p>
                  <w:pPr>
                    <w:rPr>
                      <w:rFonts w:hint="eastAsia"/>
                    </w:rPr>
                  </w:pPr>
                </w:p>
                <w:p>
                  <w:pPr>
                    <w:rPr>
                      <w:rFonts w:hint="eastAsia"/>
                    </w:rPr>
                  </w:pPr>
                </w:p>
                <w:p>
                  <w:pPr>
                    <w:rPr>
                      <w:rFonts w:hint="eastAsia"/>
                    </w:rPr>
                  </w:pPr>
                </w:p>
                <w:p>
                  <w:pPr>
                    <w:rPr>
                      <w:rFonts w:hint="eastAsia"/>
                    </w:rPr>
                  </w:pPr>
                </w:p>
              </w:txbxContent>
            </v:textbox>
          </v:rect>
        </w:pict>
      </w:r>
      <w:r>
        <w:rPr>
          <w:rFonts w:hint="eastAsia"/>
          <w:b/>
          <w:sz w:val="24"/>
        </w:rPr>
        <w:pict>
          <v:rect id="_x0000_s4178" o:spid="_x0000_s4178" o:spt="1" style="position:absolute;left:0pt;margin-left:62.6pt;margin-top:9.85pt;height:395pt;width:318.5pt;z-index:251665408;mso-width-relative:page;mso-height-relative:page;" filled="f" coordsize="21600,21600">
            <v:path/>
            <v:fill on="f" focussize="0,0"/>
            <v:stroke/>
            <v:imagedata o:title=""/>
            <o:lock v:ext="edit"/>
          </v:rect>
        </w:pict>
      </w:r>
    </w:p>
    <w:p>
      <w:pPr>
        <w:rPr>
          <w:sz w:val="24"/>
        </w:rPr>
      </w:pPr>
    </w:p>
    <w:p>
      <w:pPr>
        <w:rPr>
          <w:sz w:val="24"/>
        </w:rPr>
      </w:pPr>
      <w:r>
        <w:rPr>
          <w:sz w:val="24"/>
        </w:rPr>
        <w:pict>
          <v:rect id="_x0000_s4188" o:spid="_x0000_s4188" o:spt="1" style="position:absolute;left:0pt;margin-left:261.5pt;margin-top:0.3pt;height:29.5pt;width:59.5pt;z-index:251675648;mso-width-relative:page;mso-height-relative:page;" filled="f" stroked="f" coordsize="21600,21600">
            <v:path/>
            <v:fill on="f" focussize="0,0"/>
            <v:stroke on="f"/>
            <v:imagedata o:title=""/>
            <o:lock v:ext="edit"/>
            <v:textbox>
              <w:txbxContent>
                <w:p>
                  <w:r>
                    <w:rPr>
                      <w:rFonts w:hint="eastAsia"/>
                    </w:rPr>
                    <w:t>成品区</w:t>
                  </w:r>
                </w:p>
              </w:txbxContent>
            </v:textbox>
          </v:rect>
        </w:pict>
      </w:r>
    </w:p>
    <w:p>
      <w:pPr>
        <w:rPr>
          <w:sz w:val="24"/>
        </w:rPr>
      </w:pPr>
    </w:p>
    <w:p>
      <w:pPr>
        <w:rPr>
          <w:sz w:val="24"/>
        </w:rPr>
      </w:pPr>
      <w:r>
        <w:rPr>
          <w:sz w:val="24"/>
        </w:rPr>
        <w:pict>
          <v:rect id="_x0000_s4186" o:spid="_x0000_s4186" o:spt="1" style="position:absolute;left:0pt;margin-left:101.3pt;margin-top:3.75pt;height:29.5pt;width:59.5pt;z-index:251673600;mso-width-relative:page;mso-height-relative:page;" filled="f" stroked="f" coordsize="21600,21600">
            <v:path/>
            <v:fill on="f" focussize="0,0"/>
            <v:stroke on="f"/>
            <v:imagedata o:title=""/>
            <o:lock v:ext="edit"/>
            <v:textbox>
              <w:txbxContent>
                <w:p>
                  <w:r>
                    <w:rPr>
                      <w:rFonts w:hint="eastAsia"/>
                    </w:rPr>
                    <w:t>生产区</w:t>
                  </w:r>
                </w:p>
              </w:txbxContent>
            </v:textbox>
          </v:rect>
        </w:pict>
      </w:r>
    </w:p>
    <w:p>
      <w:pPr>
        <w:rPr>
          <w:sz w:val="24"/>
        </w:rPr>
      </w:pPr>
      <w:r>
        <w:rPr>
          <w:sz w:val="24"/>
        </w:rPr>
        <w:pict>
          <v:shape id="_x0000_s4187" o:spid="_x0000_s4187" o:spt="32" type="#_x0000_t32" style="position:absolute;left:0pt;margin-left:222.1pt;margin-top:10.35pt;height:0pt;width:159.5pt;z-index:251674624;mso-width-relative:page;mso-height-relative:page;" o:connectortype="straight" filled="f" coordsize="21600,21600">
            <v:path arrowok="t"/>
            <v:fill on="f" focussize="0,0"/>
            <v:stroke/>
            <v:imagedata o:title=""/>
            <o:lock v:ext="edit"/>
          </v:shape>
        </w:pict>
      </w:r>
    </w:p>
    <w:p>
      <w:pPr>
        <w:rPr>
          <w:sz w:val="24"/>
        </w:rPr>
      </w:pPr>
    </w:p>
    <w:p>
      <w:pPr>
        <w:rPr>
          <w:sz w:val="24"/>
        </w:rPr>
      </w:pPr>
      <w:r>
        <w:rPr>
          <w:sz w:val="24"/>
        </w:rPr>
        <w:pict>
          <v:rect id="_x0000_s4189" o:spid="_x0000_s4189" o:spt="1" style="position:absolute;left:0pt;margin-left:268.7pt;margin-top:2.65pt;height:29.5pt;width:59.5pt;z-index:251676672;mso-width-relative:page;mso-height-relative:page;" filled="f" stroked="f" coordsize="21600,21600">
            <v:path/>
            <v:fill on="f" focussize="0,0"/>
            <v:stroke on="f"/>
            <v:imagedata o:title=""/>
            <o:lock v:ext="edit"/>
            <v:textbox>
              <w:txbxContent>
                <w:p>
                  <w:r>
                    <w:rPr>
                      <w:rFonts w:hint="eastAsia"/>
                    </w:rPr>
                    <w:t>原料区</w:t>
                  </w:r>
                </w:p>
              </w:txbxContent>
            </v:textbox>
          </v:rect>
        </w:pict>
      </w:r>
    </w:p>
    <w:p>
      <w:pPr>
        <w:rPr>
          <w:sz w:val="24"/>
        </w:rPr>
      </w:pPr>
    </w:p>
    <w:p>
      <w:pPr>
        <w:rPr>
          <w:sz w:val="24"/>
        </w:rPr>
      </w:pPr>
      <w:r>
        <w:rPr>
          <w:sz w:val="24"/>
        </w:rPr>
        <w:pict>
          <v:rect id="_x0000_s4225" o:spid="_x0000_s4225" o:spt="1" style="position:absolute;left:0pt;margin-left:328.2pt;margin-top:12.05pt;height:30.55pt;width:87.15pt;z-index:251713536;mso-width-relative:page;mso-height-relative:page;" filled="f" stroked="f" coordsize="21600,21600">
            <v:path/>
            <v:fill on="f" focussize="0,0"/>
            <v:stroke on="f"/>
            <v:imagedata o:title=""/>
            <o:lock v:ext="edit"/>
            <v:textbox>
              <w:txbxContent>
                <w:p>
                  <w:r>
                    <w:rPr>
                      <w:rFonts w:hint="eastAsia"/>
                    </w:rPr>
                    <w:t>一般固废间</w:t>
                  </w:r>
                </w:p>
              </w:txbxContent>
            </v:textbox>
          </v:rect>
        </w:pict>
      </w:r>
      <w:r>
        <w:rPr>
          <w:sz w:val="24"/>
        </w:rPr>
        <w:pict>
          <v:rect id="_x0000_s4224" o:spid="_x0000_s4224" o:spt="1" style="position:absolute;left:0pt;margin-left:348.1pt;margin-top:12.05pt;height:15.9pt;width:33pt;z-index:251712512;mso-width-relative:page;mso-height-relative:page;" stroked="t" coordsize="21600,21600">
            <v:path/>
            <v:fill focussize="0,0"/>
            <v:stroke color="#7030A0"/>
            <v:imagedata o:title=""/>
            <o:lock v:ext="edit"/>
          </v:rect>
        </w:pict>
      </w:r>
    </w:p>
    <w:p>
      <w:pPr>
        <w:rPr>
          <w:sz w:val="24"/>
        </w:rPr>
      </w:pPr>
    </w:p>
    <w:p>
      <w:pPr>
        <w:rPr>
          <w:sz w:val="24"/>
        </w:rPr>
      </w:pPr>
    </w:p>
    <w:p>
      <w:pPr>
        <w:rPr>
          <w:sz w:val="24"/>
        </w:rPr>
      </w:pPr>
    </w:p>
    <w:p>
      <w:pPr>
        <w:rPr>
          <w:sz w:val="24"/>
        </w:rPr>
      </w:pPr>
    </w:p>
    <w:p>
      <w:pPr>
        <w:rPr>
          <w:sz w:val="24"/>
        </w:rPr>
      </w:pPr>
    </w:p>
    <w:p>
      <w:pPr>
        <w:rPr>
          <w:sz w:val="24"/>
        </w:rPr>
      </w:pPr>
      <w:r>
        <w:rPr>
          <w:sz w:val="24"/>
        </w:rPr>
        <w:pict>
          <v:rect id="_x0000_s4219" o:spid="_x0000_s4219" o:spt="1" style="position:absolute;left:0pt;margin-left:189.7pt;margin-top:2.65pt;height:40.1pt;width:118.15pt;z-index:251707392;mso-width-relative:page;mso-height-relative:page;" filled="f" stroked="f" coordsize="21600,21600">
            <v:path/>
            <v:fill on="f" focussize="0,0"/>
            <v:stroke on="f"/>
            <v:imagedata o:title=""/>
            <o:lock v:ext="edit"/>
            <v:textbox>
              <w:txbxContent>
                <w:p>
                  <w:r>
                    <w:rPr>
                      <w:rFonts w:hint="eastAsia"/>
                    </w:rPr>
                    <w:t>院区</w:t>
                  </w:r>
                </w:p>
              </w:txbxContent>
            </v:textbox>
          </v:rect>
        </w:pict>
      </w:r>
    </w:p>
    <w:p>
      <w:pPr>
        <w:rPr>
          <w:sz w:val="24"/>
        </w:rPr>
      </w:pPr>
    </w:p>
    <w:p>
      <w:pPr>
        <w:rPr>
          <w:sz w:val="24"/>
        </w:rPr>
      </w:pPr>
    </w:p>
    <w:p>
      <w:pPr>
        <w:rPr>
          <w:sz w:val="24"/>
        </w:rPr>
      </w:pPr>
    </w:p>
    <w:p>
      <w:pPr>
        <w:rPr>
          <w:sz w:val="24"/>
        </w:rPr>
      </w:pPr>
    </w:p>
    <w:p>
      <w:pPr>
        <w:rPr>
          <w:sz w:val="24"/>
        </w:rPr>
      </w:pPr>
    </w:p>
    <w:p>
      <w:pPr>
        <w:rPr>
          <w:sz w:val="24"/>
        </w:rPr>
      </w:pPr>
    </w:p>
    <w:p>
      <w:pPr>
        <w:rPr>
          <w:sz w:val="24"/>
        </w:rPr>
      </w:pPr>
      <w:r>
        <w:rPr>
          <w:rFonts w:hint="eastAsia"/>
          <w:b/>
          <w:sz w:val="24"/>
        </w:rPr>
        <w:pict>
          <v:rect id="_x0000_s4179" o:spid="_x0000_s4179" o:spt="1" style="position:absolute;left:0pt;margin-left:62.6pt;margin-top:12.65pt;height:49pt;width:281.5pt;z-index:251666432;mso-width-relative:page;mso-height-relative:page;" filled="f" coordsize="21600,21600">
            <v:path/>
            <v:fill on="f" focussize="0,0"/>
            <v:stroke/>
            <v:imagedata o:title=""/>
            <o:lock v:ext="edit"/>
            <v:textbox>
              <w:txbxContent>
                <w:p>
                  <w:pPr>
                    <w:ind w:firstLine="2415" w:firstLineChars="1150"/>
                    <w:rPr>
                      <w:rFonts w:hint="eastAsia"/>
                    </w:rPr>
                  </w:pPr>
                  <w:r>
                    <w:rPr>
                      <w:rFonts w:hint="eastAsia"/>
                    </w:rPr>
                    <w:t>1F办公区</w:t>
                  </w:r>
                </w:p>
                <w:p>
                  <w:pPr>
                    <w:ind w:firstLine="2205" w:firstLineChars="1050"/>
                  </w:pPr>
                  <w:r>
                    <w:rPr>
                      <w:rFonts w:hint="eastAsia"/>
                    </w:rPr>
                    <w:t>2F职工休息区</w:t>
                  </w:r>
                </w:p>
              </w:txbxContent>
            </v:textbox>
          </v:rect>
        </w:pict>
      </w:r>
    </w:p>
    <w:p>
      <w:pPr>
        <w:rPr>
          <w:sz w:val="24"/>
        </w:rPr>
      </w:pPr>
    </w:p>
    <w:p>
      <w:pPr>
        <w:rPr>
          <w:sz w:val="24"/>
        </w:rPr>
      </w:pPr>
    </w:p>
    <w:p>
      <w:pPr>
        <w:rPr>
          <w:sz w:val="24"/>
        </w:rPr>
      </w:pPr>
      <w:r>
        <w:rPr>
          <w:rFonts w:hint="eastAsia"/>
          <w:b/>
          <w:sz w:val="24"/>
        </w:rPr>
        <w:pict>
          <v:rect id="_x0000_s4198" o:spid="_x0000_s4198" o:spt="1" style="position:absolute;left:0pt;margin-left:48.1pt;margin-top:8.85pt;height:22.5pt;width:47.5pt;z-index:251685888;mso-width-relative:page;mso-height-relative:page;" filled="f" stroked="f" coordsize="21600,21600">
            <v:path/>
            <v:fill on="f" focussize="0,0"/>
            <v:stroke on="f"/>
            <v:imagedata o:title=""/>
            <o:lock v:ext="edit"/>
            <v:textbox>
              <w:txbxContent>
                <w:p>
                  <w:r>
                    <w:rPr>
                      <w:rFonts w:hint="eastAsia"/>
                    </w:rPr>
                    <w:t>化粪池</w:t>
                  </w:r>
                </w:p>
              </w:txbxContent>
            </v:textbox>
          </v:rect>
        </w:pict>
      </w:r>
      <w:r>
        <w:rPr>
          <w:sz w:val="24"/>
        </w:rPr>
        <w:pict>
          <v:rect id="_x0000_s4197" o:spid="_x0000_s4197" o:spt="1" style="position:absolute;left:0pt;margin-left:62.6pt;margin-top:1.85pt;height:13pt;width:21pt;z-index:251684864;mso-width-relative:page;mso-height-relative:page;" fillcolor="#FABF8F" filled="t" coordsize="21600,21600">
            <v:path/>
            <v:fill on="t" focussize="0,0"/>
            <v:stroke/>
            <v:imagedata o:title=""/>
            <o:lock v:ext="edit"/>
          </v:rect>
        </w:pict>
      </w:r>
      <w:r>
        <w:rPr>
          <w:sz w:val="24"/>
        </w:rPr>
        <w:pict>
          <v:rect id="_x0000_s4190" o:spid="_x0000_s4190" o:spt="1" style="position:absolute;left:0pt;margin-left:344.1pt;margin-top:1.85pt;height:23pt;width:37pt;z-index:251677696;mso-width-relative:page;mso-height-relative:page;" coordsize="21600,21600">
            <v:path/>
            <v:fill focussize="0,0"/>
            <v:stroke/>
            <v:imagedata o:title=""/>
            <o:lock v:ext="edit"/>
            <v:textbox>
              <w:txbxContent>
                <w:p>
                  <w:r>
                    <w:rPr>
                      <w:rFonts w:hint="eastAsia"/>
                    </w:rPr>
                    <w:t>大门</w:t>
                  </w:r>
                </w:p>
              </w:txbxContent>
            </v:textbox>
          </v:rect>
        </w:pict>
      </w:r>
    </w:p>
    <w:p>
      <w:pPr>
        <w:rPr>
          <w:sz w:val="24"/>
        </w:rPr>
      </w:pPr>
    </w:p>
    <w:p>
      <w:pPr>
        <w:rPr>
          <w:rFonts w:hint="eastAsia"/>
          <w:sz w:val="24"/>
        </w:rPr>
      </w:pPr>
    </w:p>
    <w:p>
      <w:pPr>
        <w:rPr>
          <w:rFonts w:hint="eastAsia"/>
          <w:sz w:val="24"/>
        </w:rPr>
      </w:pPr>
      <w:r>
        <w:rPr>
          <w:sz w:val="24"/>
        </w:rPr>
        <w:pict>
          <v:rect id="_x0000_s4218" o:spid="_x0000_s4218" o:spt="1" style="position:absolute;left:0pt;margin-left:38.6pt;margin-top:7pt;height:23.1pt;width:77.5pt;z-index:251706368;mso-width-relative:page;mso-height-relative:page;" filled="f" stroked="f" coordsize="21600,21600">
            <v:path/>
            <v:fill on="f" focussize="0,0"/>
            <v:stroke on="f"/>
            <v:imagedata o:title=""/>
            <o:lock v:ext="edit"/>
            <v:textbox>
              <w:txbxContent>
                <w:p>
                  <w:r>
                    <w:rPr>
                      <w:rFonts w:hint="eastAsia"/>
                    </w:rPr>
                    <w:t>1:3800</w:t>
                  </w:r>
                </w:p>
              </w:txbxContent>
            </v:textbox>
          </v:rect>
        </w:pict>
      </w:r>
      <w:r>
        <w:rPr>
          <w:sz w:val="24"/>
        </w:rPr>
        <w:pict>
          <v:shape id="_x0000_s4217" o:spid="_x0000_s4217" o:spt="32" type="#_x0000_t32" style="position:absolute;left:0pt;flip:y;margin-left:32.35pt;margin-top:12.45pt;height:12.9pt;width:0pt;z-index:251705344;mso-width-relative:page;mso-height-relative:page;" o:connectortype="straight" filled="f" coordsize="21600,21600">
            <v:path arrowok="t"/>
            <v:fill on="f" focussize="0,0"/>
            <v:stroke weight="1.5pt"/>
            <v:imagedata o:title=""/>
            <o:lock v:ext="edit"/>
          </v:shape>
        </w:pict>
      </w:r>
      <w:r>
        <w:rPr>
          <w:rFonts w:hint="eastAsia"/>
          <w:sz w:val="24"/>
        </w:rPr>
        <w:pict>
          <v:shape id="_x0000_s4216" o:spid="_x0000_s4216" o:spt="32" type="#_x0000_t32" style="position:absolute;left:0pt;flip:y;margin-left:-2.9pt;margin-top:12.45pt;height:12.9pt;width:0pt;z-index:251704320;mso-width-relative:page;mso-height-relative:page;" o:connectortype="straight" filled="f" coordsize="21600,21600">
            <v:path arrowok="t"/>
            <v:fill on="f" focussize="0,0"/>
            <v:stroke weight="1.5pt"/>
            <v:imagedata o:title=""/>
            <o:lock v:ext="edit"/>
          </v:shape>
        </w:pict>
      </w:r>
    </w:p>
    <w:p>
      <w:pPr>
        <w:rPr>
          <w:sz w:val="24"/>
        </w:rPr>
      </w:pPr>
      <w:r>
        <w:rPr>
          <w:sz w:val="24"/>
        </w:rPr>
        <w:pict>
          <v:shape id="_x0000_s4215" o:spid="_x0000_s4215" o:spt="32" type="#_x0000_t32" style="position:absolute;left:0pt;margin-left:-2.9pt;margin-top:9.75pt;height:0pt;width:35.25pt;z-index:251703296;mso-width-relative:page;mso-height-relative:page;" o:connectortype="straight" filled="f" coordsize="21600,21600">
            <v:path arrowok="t"/>
            <v:fill on="f" focussize="0,0"/>
            <v:stroke weight="1.5pt"/>
            <v:imagedata o:title=""/>
            <o:lock v:ext="edit"/>
          </v:shape>
        </w:pict>
      </w:r>
    </w:p>
    <w:p>
      <w:pPr>
        <w:tabs>
          <w:tab w:val="left" w:pos="5670"/>
        </w:tabs>
        <w:jc w:val="center"/>
        <w:rPr>
          <w:rFonts w:hint="eastAsia"/>
          <w:sz w:val="24"/>
        </w:rPr>
      </w:pPr>
      <w:r>
        <w:rPr>
          <w:rFonts w:hint="eastAsia"/>
          <w:sz w:val="24"/>
        </w:rPr>
        <w:t>附图2   项目平面布置图</w:t>
      </w:r>
    </w:p>
    <w:p>
      <w:pPr>
        <w:tabs>
          <w:tab w:val="left" w:pos="5670"/>
        </w:tabs>
        <w:jc w:val="center"/>
        <w:rPr>
          <w:rFonts w:hint="eastAsia"/>
          <w:sz w:val="24"/>
        </w:rPr>
      </w:pPr>
    </w:p>
    <w:p>
      <w:pPr>
        <w:tabs>
          <w:tab w:val="left" w:pos="5670"/>
        </w:tabs>
        <w:jc w:val="center"/>
        <w:rPr>
          <w:rFonts w:hint="eastAsia"/>
          <w:sz w:val="24"/>
        </w:rPr>
      </w:pPr>
    </w:p>
    <w:p>
      <w:pPr>
        <w:tabs>
          <w:tab w:val="left" w:pos="5670"/>
        </w:tabs>
        <w:jc w:val="center"/>
        <w:rPr>
          <w:rFonts w:hint="eastAsia"/>
          <w:sz w:val="24"/>
        </w:rPr>
      </w:pPr>
    </w:p>
    <w:p>
      <w:pPr>
        <w:tabs>
          <w:tab w:val="left" w:pos="5670"/>
        </w:tabs>
        <w:jc w:val="center"/>
        <w:rPr>
          <w:rFonts w:hint="eastAsia"/>
          <w:sz w:val="24"/>
        </w:rPr>
      </w:pPr>
    </w:p>
    <w:p>
      <w:pPr>
        <w:tabs>
          <w:tab w:val="left" w:pos="5670"/>
        </w:tabs>
        <w:jc w:val="center"/>
        <w:rPr>
          <w:rFonts w:hint="eastAsia"/>
          <w:sz w:val="24"/>
        </w:rPr>
      </w:pPr>
    </w:p>
    <w:p>
      <w:pPr>
        <w:tabs>
          <w:tab w:val="left" w:pos="5670"/>
        </w:tabs>
        <w:jc w:val="center"/>
        <w:rPr>
          <w:sz w:val="24"/>
        </w:rPr>
        <w:sectPr>
          <w:pgSz w:w="11906" w:h="16838"/>
          <w:pgMar w:top="1701" w:right="1418" w:bottom="1701" w:left="1418" w:header="851" w:footer="992" w:gutter="0"/>
          <w:cols w:space="720" w:num="1"/>
          <w:docGrid w:type="linesAndChars" w:linePitch="312" w:charSpace="0"/>
        </w:sectPr>
      </w:pPr>
    </w:p>
    <w:p>
      <w:pPr>
        <w:tabs>
          <w:tab w:val="left" w:pos="5670"/>
        </w:tabs>
        <w:jc w:val="center"/>
        <w:rPr>
          <w:rFonts w:hint="eastAsia"/>
          <w:sz w:val="24"/>
        </w:rPr>
      </w:pPr>
      <w:r>
        <w:drawing>
          <wp:anchor distT="0" distB="0" distL="114300" distR="114300" simplePos="0" relativeHeight="251702272" behindDoc="0" locked="0" layoutInCell="1" allowOverlap="1">
            <wp:simplePos x="0" y="0"/>
            <wp:positionH relativeFrom="column">
              <wp:posOffset>696595</wp:posOffset>
            </wp:positionH>
            <wp:positionV relativeFrom="paragraph">
              <wp:posOffset>5085080</wp:posOffset>
            </wp:positionV>
            <wp:extent cx="638175" cy="449580"/>
            <wp:effectExtent l="19050" t="0" r="9525" b="0"/>
            <wp:wrapNone/>
            <wp:docPr id="2166" name="图片 2166" descr="173520842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 name="图片 2166" descr="1735208424110"/>
                    <pic:cNvPicPr>
                      <a:picLocks noChangeAspect="1" noChangeArrowheads="1"/>
                    </pic:cNvPicPr>
                  </pic:nvPicPr>
                  <pic:blipFill>
                    <a:blip r:embed="rId32" cstate="print"/>
                    <a:srcRect/>
                    <a:stretch>
                      <a:fillRect/>
                    </a:stretch>
                  </pic:blipFill>
                  <pic:spPr>
                    <a:xfrm>
                      <a:off x="0" y="0"/>
                      <a:ext cx="638175" cy="449580"/>
                    </a:xfrm>
                    <a:prstGeom prst="rect">
                      <a:avLst/>
                    </a:prstGeom>
                    <a:noFill/>
                    <a:ln w="9525">
                      <a:noFill/>
                      <a:miter lim="800000"/>
                      <a:headEnd/>
                      <a:tailEnd/>
                    </a:ln>
                  </pic:spPr>
                </pic:pic>
              </a:graphicData>
            </a:graphic>
          </wp:anchor>
        </w:drawing>
      </w:r>
      <w:r>
        <w:rPr>
          <w:sz w:val="24"/>
        </w:rPr>
        <w:pict>
          <v:rect id="_x0000_s4213" o:spid="_x0000_s4213" o:spt="1" style="position:absolute;left:0pt;margin-left:68.45pt;margin-top:34.4pt;height:27.15pt;width:30.55pt;z-index:251701248;mso-width-relative:page;mso-height-relative:page;" filled="f" stroked="f" coordsize="21600,21600">
            <v:path/>
            <v:fill on="f" focussize="0,0"/>
            <v:stroke on="f"/>
            <v:imagedata o:title=""/>
            <o:lock v:ext="edit"/>
            <v:textbox>
              <w:txbxContent>
                <w:p>
                  <w:pPr>
                    <w:rPr>
                      <w:b/>
                      <w:color w:val="FF0000"/>
                    </w:rPr>
                  </w:pPr>
                  <w:r>
                    <w:rPr>
                      <w:rFonts w:hint="eastAsia"/>
                      <w:b/>
                      <w:color w:val="FF0000"/>
                    </w:rPr>
                    <w:t>北</w:t>
                  </w:r>
                </w:p>
              </w:txbxContent>
            </v:textbox>
          </v:rect>
        </w:pict>
      </w:r>
      <w:r>
        <w:rPr>
          <w:sz w:val="24"/>
        </w:rPr>
        <w:pict>
          <v:shape id="_x0000_s4212" o:spid="_x0000_s4212" o:spt="68" type="#_x0000_t68" style="position:absolute;left:0pt;margin-left:54.85pt;margin-top:1.8pt;height:50.25pt;width:20.4pt;z-index:251700224;mso-width-relative:page;mso-height-relative:page;" fillcolor="#FF0000" filled="t" coordsize="21600,21600">
            <v:path/>
            <v:fill on="t" focussize="0,0"/>
            <v:stroke joinstyle="miter"/>
            <v:imagedata o:title=""/>
            <o:lock v:ext="edit"/>
            <v:textbox style="layout-flow:vertical-ideographic;"/>
          </v:shape>
        </w:pict>
      </w:r>
      <w:r>
        <w:rPr>
          <w:sz w:val="24"/>
        </w:rPr>
        <w:pict>
          <v:rect id="_x0000_s4209" o:spid="_x0000_s4209" o:spt="1" style="position:absolute;left:0pt;margin-left:304.85pt;margin-top:201.5pt;height:24.45pt;width:67.95pt;z-index:251697152;mso-width-relative:page;mso-height-relative:page;" filled="f" stroked="f" coordsize="21600,21600">
            <v:path/>
            <v:fill on="f" focussize="0,0"/>
            <v:stroke on="f"/>
            <v:imagedata o:title=""/>
            <o:lock v:ext="edit"/>
            <v:textbox>
              <w:txbxContent>
                <w:p>
                  <w:pPr>
                    <w:rPr>
                      <w:b/>
                      <w:color w:val="FF0000"/>
                    </w:rPr>
                  </w:pPr>
                  <w:r>
                    <w:rPr>
                      <w:rFonts w:hint="eastAsia"/>
                      <w:b/>
                      <w:color w:val="FF0000"/>
                    </w:rPr>
                    <w:t>26m</w:t>
                  </w:r>
                </w:p>
              </w:txbxContent>
            </v:textbox>
          </v:rect>
        </w:pict>
      </w:r>
      <w:r>
        <w:rPr>
          <w:sz w:val="24"/>
        </w:rPr>
        <w:pict>
          <v:rect id="_x0000_s4211" o:spid="_x0000_s4211" o:spt="1" style="position:absolute;left:0pt;margin-left:249.8pt;margin-top:270.1pt;height:24.45pt;width:67.95pt;z-index:251699200;mso-width-relative:page;mso-height-relative:page;" filled="f" stroked="f" coordsize="21600,21600">
            <v:path/>
            <v:fill on="f" focussize="0,0"/>
            <v:stroke on="f"/>
            <v:imagedata o:title=""/>
            <o:lock v:ext="edit"/>
            <v:textbox>
              <w:txbxContent>
                <w:p>
                  <w:pPr>
                    <w:rPr>
                      <w:b/>
                      <w:color w:val="FF0000"/>
                    </w:rPr>
                  </w:pPr>
                  <w:r>
                    <w:rPr>
                      <w:rFonts w:hint="eastAsia"/>
                      <w:b/>
                      <w:color w:val="FF0000"/>
                    </w:rPr>
                    <w:t>266m</w:t>
                  </w:r>
                </w:p>
              </w:txbxContent>
            </v:textbox>
          </v:rect>
        </w:pict>
      </w:r>
      <w:r>
        <w:rPr>
          <w:sz w:val="24"/>
        </w:rPr>
        <w:pict>
          <v:rect id="_x0000_s4210" o:spid="_x0000_s4210" o:spt="1" style="position:absolute;left:0pt;margin-left:317.75pt;margin-top:298.6pt;height:24.45pt;width:67.95pt;z-index:251698176;mso-width-relative:page;mso-height-relative:page;" filled="f" stroked="f" coordsize="21600,21600">
            <v:path/>
            <v:fill on="f" focussize="0,0"/>
            <v:stroke on="f"/>
            <v:imagedata o:title=""/>
            <o:lock v:ext="edit"/>
            <v:textbox>
              <w:txbxContent>
                <w:p>
                  <w:pPr>
                    <w:rPr>
                      <w:b/>
                      <w:color w:val="FF0000"/>
                    </w:rPr>
                  </w:pPr>
                  <w:r>
                    <w:rPr>
                      <w:rFonts w:hint="eastAsia"/>
                      <w:b/>
                      <w:color w:val="FF0000"/>
                    </w:rPr>
                    <w:t>410m</w:t>
                  </w:r>
                </w:p>
              </w:txbxContent>
            </v:textbox>
          </v:rect>
        </w:pict>
      </w:r>
      <w:r>
        <w:rPr>
          <w:sz w:val="24"/>
        </w:rPr>
        <w:pict>
          <v:rect id="_x0000_s4208" o:spid="_x0000_s4208" o:spt="1" style="position:absolute;left:0pt;margin-left:292.35pt;margin-top:133.55pt;height:24.45pt;width:67.95pt;z-index:251696128;mso-width-relative:page;mso-height-relative:page;" filled="f" stroked="f" coordsize="21600,21600">
            <v:path/>
            <v:fill on="f" focussize="0,0"/>
            <v:stroke on="f"/>
            <v:imagedata o:title=""/>
            <o:lock v:ext="edit"/>
            <v:textbox>
              <w:txbxContent>
                <w:p>
                  <w:pPr>
                    <w:rPr>
                      <w:b/>
                      <w:color w:val="FF0000"/>
                    </w:rPr>
                  </w:pPr>
                  <w:r>
                    <w:rPr>
                      <w:rFonts w:hint="eastAsia"/>
                      <w:b/>
                      <w:color w:val="FF0000"/>
                    </w:rPr>
                    <w:t>480m</w:t>
                  </w:r>
                </w:p>
              </w:txbxContent>
            </v:textbox>
          </v:rect>
        </w:pict>
      </w:r>
      <w:r>
        <w:rPr>
          <w:sz w:val="24"/>
        </w:rPr>
        <w:pict>
          <v:shape id="_x0000_s4207" o:spid="_x0000_s4207" o:spt="32" type="#_x0000_t32" style="position:absolute;left:0pt;margin-left:304.85pt;margin-top:241.55pt;height:119.55pt;width:47.55pt;z-index:251695104;mso-width-relative:page;mso-height-relative:page;" o:connectortype="straight" filled="f" stroked="t" coordsize="21600,21600">
            <v:path arrowok="t"/>
            <v:fill on="f" focussize="0,0"/>
            <v:stroke weight="1.5pt" color="#7030A0" endarrow="block"/>
            <v:imagedata o:title=""/>
            <o:lock v:ext="edit"/>
          </v:shape>
        </w:pict>
      </w:r>
      <w:r>
        <w:rPr>
          <w:sz w:val="24"/>
        </w:rPr>
        <w:pict>
          <v:shape id="_x0000_s4206" o:spid="_x0000_s4206" o:spt="32" type="#_x0000_t32" style="position:absolute;left:0pt;flip:x;margin-left:270.2pt;margin-top:241.55pt;height:81.5pt;width:31.25pt;z-index:251694080;mso-width-relative:page;mso-height-relative:page;" o:connectortype="straight" filled="f" stroked="t" coordsize="21600,21600">
            <v:path arrowok="t"/>
            <v:fill on="f" focussize="0,0"/>
            <v:stroke weight="1.5pt" color="#7030A0" endarrow="block"/>
            <v:imagedata o:title=""/>
            <o:lock v:ext="edit"/>
          </v:shape>
        </w:pict>
      </w:r>
      <w:r>
        <w:rPr>
          <w:sz w:val="24"/>
        </w:rPr>
        <w:pict>
          <v:shape id="_x0000_s4205" o:spid="_x0000_s4205" o:spt="32" type="#_x0000_t32" style="position:absolute;left:0pt;flip:y;margin-left:311.65pt;margin-top:201.5pt;height:15.6pt;width:6.1pt;z-index:251693056;mso-width-relative:page;mso-height-relative:page;" o:connectortype="straight" filled="f" stroked="t" coordsize="21600,21600">
            <v:path arrowok="t"/>
            <v:fill on="f" focussize="0,0"/>
            <v:stroke weight="1.5pt" color="#7030A0" endarrow="block"/>
            <v:imagedata o:title=""/>
            <o:lock v:ext="edit"/>
          </v:shape>
        </w:pict>
      </w:r>
      <w:r>
        <w:rPr>
          <w:sz w:val="24"/>
        </w:rPr>
        <w:pict>
          <v:shape id="_x0000_s4204" o:spid="_x0000_s4204" o:spt="32" type="#_x0000_t32" style="position:absolute;left:0pt;flip:y;margin-left:301.45pt;margin-top:101.65pt;height:115.45pt;width:26.5pt;z-index:251692032;mso-width-relative:page;mso-height-relative:page;" o:connectortype="straight" filled="f" stroked="t" coordsize="21600,21600">
            <v:path arrowok="t"/>
            <v:fill on="f" focussize="0,0"/>
            <v:stroke weight="1.5pt" color="#7030A0" endarrow="block"/>
            <v:imagedata o:title=""/>
            <o:lock v:ext="edit"/>
          </v:shape>
        </w:pict>
      </w:r>
      <w:r>
        <w:rPr>
          <w:sz w:val="24"/>
        </w:rPr>
        <w:pict>
          <v:rect id="_x0000_s4203" o:spid="_x0000_s4203" o:spt="1" style="position:absolute;left:0pt;margin-left:266.8pt;margin-top:217.1pt;height:24.45pt;width:67.95pt;z-index:251691008;mso-width-relative:page;mso-height-relative:page;" filled="f" stroked="f" coordsize="21600,21600">
            <v:path/>
            <v:fill on="f" focussize="0,0"/>
            <v:stroke on="f"/>
            <v:imagedata o:title=""/>
            <o:lock v:ext="edit"/>
            <v:textbox>
              <w:txbxContent>
                <w:p>
                  <w:pPr>
                    <w:rPr>
                      <w:b/>
                      <w:color w:val="FF0000"/>
                    </w:rPr>
                  </w:pPr>
                  <w:r>
                    <w:rPr>
                      <w:rFonts w:hint="eastAsia"/>
                      <w:b/>
                      <w:color w:val="FF0000"/>
                    </w:rPr>
                    <w:t>项目位置</w:t>
                  </w:r>
                </w:p>
              </w:txbxContent>
            </v:textbox>
          </v:rect>
        </w:pict>
      </w:r>
      <w:r>
        <w:rPr>
          <w:sz w:val="24"/>
        </w:rPr>
        <w:pict>
          <v:shape id="_x0000_s4202" o:spid="_x0000_s4202" style="position:absolute;left:0pt;margin-left:266.8pt;margin-top:1.8pt;height:108pt;width:126.35pt;z-index:251689984;mso-width-relative:page;mso-height-relative:page;" filled="f" stroked="t" coordsize="2527,2160" path="m149,258l0,774,448,910,340,1290,1032,1494,937,1847,1888,2160,2527,13,557,0,149,258xe">
            <v:path arrowok="t"/>
            <v:fill on="f" focussize="0,0"/>
            <v:stroke weight="1.5pt" color="#FFFF00"/>
            <v:imagedata o:title=""/>
            <o:lock v:ext="edit"/>
          </v:shape>
        </w:pict>
      </w:r>
      <w:r>
        <w:rPr>
          <w:sz w:val="24"/>
        </w:rPr>
        <w:pict>
          <v:shape id="_x0000_s4201" o:spid="_x0000_s4201" style="position:absolute;left:0pt;margin-left:323.85pt;margin-top:361.1pt;height:74.7pt;width:53.65pt;z-index:251688960;mso-width-relative:page;mso-height-relative:page;" filled="f" stroked="t" coordsize="1073,1494" path="m1073,299l544,0,122,598,0,1236,598,1494,1073,299xe">
            <v:path arrowok="t"/>
            <v:fill on="f" focussize="0,0"/>
            <v:stroke weight="1.5pt" color="#FFFF00"/>
            <v:imagedata o:title=""/>
            <o:lock v:ext="edit"/>
          </v:shape>
        </w:pict>
      </w:r>
      <w:r>
        <w:rPr>
          <w:sz w:val="24"/>
        </w:rPr>
        <w:pict>
          <v:shape id="_x0000_s4200" o:spid="_x0000_s4200" style="position:absolute;left:0pt;margin-left:210.4pt;margin-top:306.75pt;height:48.25pt;width:63.85pt;z-index:251687936;mso-width-relative:page;mso-height-relative:page;" filled="f" stroked="t" coordsize="1277,965" path="m1101,965l1277,340,422,0,0,679,1101,965xe">
            <v:path arrowok="t"/>
            <v:fill on="f" focussize="0,0"/>
            <v:stroke weight="1.5pt" color="#FFFF00"/>
            <v:imagedata o:title=""/>
            <o:lock v:ext="edit"/>
          </v:shape>
        </w:pict>
      </w:r>
      <w:r>
        <w:rPr>
          <w:sz w:val="24"/>
        </w:rPr>
        <w:pict>
          <v:shape id="_x0000_s4199" o:spid="_x0000_s4199" style="position:absolute;left:0pt;margin-left:304.85pt;margin-top:185.85pt;height:84.25pt;width:141.95pt;z-index:251686912;mso-width-relative:page;mso-height-relative:page;" filled="f" stroked="t" coordsize="2839,1685" path="m258,611l0,1345,597,1481,788,937,1630,1182,1548,1685,2554,1685,2839,802,2391,639,2309,842,625,503,475,448,557,27,108,0,54,245,326,313,258,611xe">
            <v:path arrowok="t"/>
            <v:fill on="f" focussize="0,0"/>
            <v:stroke weight="1.5pt" color="#FFFF00"/>
            <v:imagedata o:title=""/>
            <o:lock v:ext="edit"/>
          </v:shape>
        </w:pict>
      </w:r>
      <w:r>
        <w:rPr>
          <w:sz w:val="24"/>
        </w:rPr>
        <w:drawing>
          <wp:inline distT="0" distB="0" distL="0" distR="0">
            <wp:extent cx="7194550" cy="5520690"/>
            <wp:effectExtent l="19050" t="0" r="6350" b="0"/>
            <wp:docPr id="36" name="图片 36" descr="1735207683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735207683628"/>
                    <pic:cNvPicPr>
                      <a:picLocks noChangeAspect="1" noChangeArrowheads="1"/>
                    </pic:cNvPicPr>
                  </pic:nvPicPr>
                  <pic:blipFill>
                    <a:blip r:embed="rId33" cstate="print"/>
                    <a:srcRect/>
                    <a:stretch>
                      <a:fillRect/>
                    </a:stretch>
                  </pic:blipFill>
                  <pic:spPr>
                    <a:xfrm>
                      <a:off x="0" y="0"/>
                      <a:ext cx="7194550" cy="5520690"/>
                    </a:xfrm>
                    <a:prstGeom prst="rect">
                      <a:avLst/>
                    </a:prstGeom>
                    <a:noFill/>
                    <a:ln w="9525">
                      <a:noFill/>
                      <a:miter lim="800000"/>
                      <a:headEnd/>
                      <a:tailEnd/>
                    </a:ln>
                  </pic:spPr>
                </pic:pic>
              </a:graphicData>
            </a:graphic>
          </wp:inline>
        </w:drawing>
      </w:r>
    </w:p>
    <w:p>
      <w:pPr>
        <w:tabs>
          <w:tab w:val="left" w:pos="5670"/>
        </w:tabs>
        <w:jc w:val="center"/>
        <w:rPr>
          <w:sz w:val="24"/>
        </w:rPr>
        <w:sectPr>
          <w:pgSz w:w="16838" w:h="11906" w:orient="landscape"/>
          <w:pgMar w:top="1418" w:right="1701" w:bottom="1418" w:left="1701" w:header="851" w:footer="992" w:gutter="0"/>
          <w:cols w:space="720" w:num="1"/>
          <w:docGrid w:type="lines" w:linePitch="312" w:charSpace="0"/>
        </w:sectPr>
      </w:pPr>
      <w:r>
        <w:rPr>
          <w:rFonts w:hint="eastAsia"/>
          <w:sz w:val="24"/>
        </w:rPr>
        <w:t>附图3   项目周围敏感点卫星示意图</w:t>
      </w:r>
    </w:p>
    <w:p>
      <w:pPr>
        <w:tabs>
          <w:tab w:val="left" w:pos="5670"/>
        </w:tabs>
        <w:jc w:val="center"/>
        <w:rPr>
          <w:rFonts w:hint="eastAsia"/>
          <w:sz w:val="24"/>
        </w:rPr>
      </w:pPr>
      <w:r>
        <w:rPr>
          <w:sz w:val="24"/>
        </w:rPr>
        <w:pict>
          <v:shape id="_x0000_s4222" o:spid="_x0000_s4222" o:spt="109" type="#_x0000_t109" style="position:absolute;left:0pt;margin-left:252.5pt;margin-top:310.15pt;height:23.8pt;width:57.05pt;z-index:251710464;mso-width-relative:page;mso-height-relative:page;" filled="f" stroked="f" coordsize="21600,21600">
            <v:path/>
            <v:fill on="f" focussize="0,0"/>
            <v:stroke on="f" joinstyle="miter"/>
            <v:imagedata o:title=""/>
            <o:lock v:ext="edit"/>
            <v:textbox>
              <w:txbxContent>
                <w:p>
                  <w:pPr>
                    <w:rPr>
                      <w:b/>
                      <w:color w:val="FF0000"/>
                    </w:rPr>
                  </w:pPr>
                  <w:r>
                    <w:rPr>
                      <w:rFonts w:hint="eastAsia"/>
                      <w:b/>
                      <w:color w:val="FF0000"/>
                    </w:rPr>
                    <w:t>564m</w:t>
                  </w:r>
                </w:p>
              </w:txbxContent>
            </v:textbox>
          </v:shape>
        </w:pict>
      </w:r>
      <w:r>
        <w:rPr>
          <w:sz w:val="24"/>
        </w:rPr>
        <w:pict>
          <v:shape id="_x0000_s4221" o:spid="_x0000_s4221" o:spt="32" type="#_x0000_t32" style="position:absolute;left:0pt;margin-left:245.75pt;margin-top:304.05pt;height:40.75pt;width:15.6pt;z-index:251709440;mso-width-relative:page;mso-height-relative:page;" o:connectortype="straight" filled="f" stroked="t" coordsize="21600,21600">
            <v:path arrowok="t"/>
            <v:fill on="f" focussize="0,0"/>
            <v:stroke color="#FF0000" endarrow="block"/>
            <v:imagedata o:title=""/>
            <o:lock v:ext="edit"/>
          </v:shape>
        </w:pict>
      </w:r>
      <w:r>
        <w:rPr>
          <w:sz w:val="24"/>
        </w:rPr>
        <w:pict>
          <v:shape id="_x0000_s4220" o:spid="_x0000_s4220" o:spt="187" type="#_x0000_t187" style="position:absolute;left:0pt;margin-left:231.5pt;margin-top:288.45pt;height:21.7pt;width:29.85pt;z-index:251708416;mso-width-relative:page;mso-height-relative:page;" fillcolor="#FF0000" filled="t" coordsize="21600,21600" adj="8881">
            <v:path/>
            <v:fill on="t" focussize="0,0"/>
            <v:stroke joinstyle="miter"/>
            <v:imagedata o:title=""/>
            <o:lock v:ext="edit"/>
          </v:shape>
        </w:pict>
      </w:r>
      <w:r>
        <w:rPr>
          <w:sz w:val="24"/>
        </w:rPr>
        <w:drawing>
          <wp:inline distT="0" distB="0" distL="0" distR="0">
            <wp:extent cx="7470775" cy="5279390"/>
            <wp:effectExtent l="19050" t="0" r="0" b="0"/>
            <wp:docPr id="37" name="图片 37" descr="a0175137e71b56255f50e77d468a8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a0175137e71b56255f50e77d468a8cb"/>
                    <pic:cNvPicPr>
                      <a:picLocks noChangeAspect="1" noChangeArrowheads="1"/>
                    </pic:cNvPicPr>
                  </pic:nvPicPr>
                  <pic:blipFill>
                    <a:blip r:embed="rId34" cstate="print"/>
                    <a:srcRect/>
                    <a:stretch>
                      <a:fillRect/>
                    </a:stretch>
                  </pic:blipFill>
                  <pic:spPr>
                    <a:xfrm>
                      <a:off x="0" y="0"/>
                      <a:ext cx="7470775" cy="5279390"/>
                    </a:xfrm>
                    <a:prstGeom prst="rect">
                      <a:avLst/>
                    </a:prstGeom>
                    <a:noFill/>
                    <a:ln w="9525">
                      <a:noFill/>
                      <a:miter lim="800000"/>
                      <a:headEnd/>
                      <a:tailEnd/>
                    </a:ln>
                  </pic:spPr>
                </pic:pic>
              </a:graphicData>
            </a:graphic>
          </wp:inline>
        </w:drawing>
      </w:r>
    </w:p>
    <w:p>
      <w:pPr>
        <w:tabs>
          <w:tab w:val="left" w:pos="5670"/>
        </w:tabs>
        <w:jc w:val="center"/>
        <w:rPr>
          <w:rFonts w:hint="eastAsia"/>
          <w:sz w:val="24"/>
        </w:rPr>
      </w:pPr>
      <w:r>
        <w:rPr>
          <w:rFonts w:hint="eastAsia"/>
          <w:sz w:val="24"/>
        </w:rPr>
        <w:t>附图4   项目与南水北调中线工程位置关系图</w:t>
      </w:r>
    </w:p>
    <w:p>
      <w:pPr>
        <w:tabs>
          <w:tab w:val="left" w:pos="5670"/>
        </w:tabs>
        <w:jc w:val="center"/>
        <w:rPr>
          <w:rFonts w:hint="eastAsia"/>
          <w:sz w:val="24"/>
        </w:rPr>
      </w:pPr>
    </w:p>
    <w:p>
      <w:pPr>
        <w:tabs>
          <w:tab w:val="left" w:pos="5670"/>
        </w:tabs>
        <w:jc w:val="center"/>
        <w:rPr>
          <w:rFonts w:hint="eastAsia"/>
          <w:sz w:val="24"/>
        </w:rPr>
      </w:pPr>
      <w:r>
        <w:rPr>
          <w:sz w:val="24"/>
        </w:rPr>
        <w:pict>
          <v:shape id="_x0000_s4223" o:spid="_x0000_s4223" o:spt="109" type="#_x0000_t109" style="position:absolute;left:0pt;margin-left:426.9pt;margin-top:189.25pt;height:23.8pt;width:57.05pt;z-index:251711488;mso-width-relative:page;mso-height-relative:page;" filled="f" stroked="f" coordsize="21600,21600">
            <v:path/>
            <v:fill on="f" focussize="0,0"/>
            <v:stroke on="f" joinstyle="miter"/>
            <v:imagedata o:title=""/>
            <o:lock v:ext="edit"/>
            <v:textbox>
              <w:txbxContent>
                <w:p>
                  <w:pPr>
                    <w:rPr>
                      <w:b/>
                      <w:color w:val="FF0000"/>
                    </w:rPr>
                  </w:pPr>
                  <w:r>
                    <w:rPr>
                      <w:rFonts w:hint="eastAsia"/>
                      <w:b/>
                      <w:color w:val="FF0000"/>
                    </w:rPr>
                    <w:t>项目位置</w:t>
                  </w:r>
                </w:p>
              </w:txbxContent>
            </v:textbox>
          </v:shape>
        </w:pict>
      </w:r>
      <w:r>
        <w:rPr>
          <w:sz w:val="24"/>
        </w:rPr>
        <w:drawing>
          <wp:inline distT="0" distB="0" distL="0" distR="0">
            <wp:extent cx="9377045" cy="5236210"/>
            <wp:effectExtent l="19050" t="0" r="0" b="0"/>
            <wp:docPr id="38" name="图片 38" descr="765702ce8b998498b9c82588d4991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765702ce8b998498b9c82588d49911c"/>
                    <pic:cNvPicPr>
                      <a:picLocks noChangeAspect="1" noChangeArrowheads="1"/>
                    </pic:cNvPicPr>
                  </pic:nvPicPr>
                  <pic:blipFill>
                    <a:blip r:embed="rId35" cstate="print"/>
                    <a:srcRect/>
                    <a:stretch>
                      <a:fillRect/>
                    </a:stretch>
                  </pic:blipFill>
                  <pic:spPr>
                    <a:xfrm>
                      <a:off x="0" y="0"/>
                      <a:ext cx="9377045" cy="5236210"/>
                    </a:xfrm>
                    <a:prstGeom prst="rect">
                      <a:avLst/>
                    </a:prstGeom>
                    <a:noFill/>
                    <a:ln w="9525">
                      <a:noFill/>
                      <a:miter lim="800000"/>
                      <a:headEnd/>
                      <a:tailEnd/>
                    </a:ln>
                  </pic:spPr>
                </pic:pic>
              </a:graphicData>
            </a:graphic>
          </wp:inline>
        </w:drawing>
      </w:r>
    </w:p>
    <w:p>
      <w:pPr>
        <w:ind w:firstLine="960" w:firstLineChars="400"/>
        <w:jc w:val="center"/>
        <w:rPr>
          <w:sz w:val="24"/>
        </w:rPr>
      </w:pPr>
      <w:r>
        <w:rPr>
          <w:rFonts w:hint="eastAsia"/>
          <w:sz w:val="24"/>
        </w:rPr>
        <w:t>附图5  项目与河南省三线一单综合信息应用平台研判结果图</w:t>
      </w:r>
    </w:p>
    <w:p>
      <w:pPr>
        <w:tabs>
          <w:tab w:val="left" w:pos="5670"/>
        </w:tabs>
        <w:jc w:val="center"/>
        <w:rPr>
          <w:sz w:val="24"/>
        </w:rPr>
        <w:sectPr>
          <w:pgSz w:w="16838" w:h="11906" w:orient="landscape"/>
          <w:pgMar w:top="1418" w:right="1701" w:bottom="1418" w:left="1701" w:header="851" w:footer="992" w:gutter="0"/>
          <w:cols w:space="720" w:num="1"/>
          <w:docGrid w:type="lines" w:linePitch="312" w:charSpace="0"/>
        </w:sectPr>
      </w:pPr>
    </w:p>
    <w:tbl>
      <w:tblPr>
        <w:tblStyle w:val="26"/>
        <w:tblW w:w="94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11"/>
        <w:gridCol w:w="4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65" w:hRule="atLeast"/>
        </w:trPr>
        <w:tc>
          <w:tcPr>
            <w:tcW w:w="4711" w:type="dxa"/>
          </w:tcPr>
          <w:p>
            <w:pPr>
              <w:tabs>
                <w:tab w:val="left" w:pos="5670"/>
              </w:tabs>
              <w:jc w:val="center"/>
              <w:rPr>
                <w:rFonts w:hint="eastAsia"/>
                <w:sz w:val="24"/>
              </w:rPr>
            </w:pPr>
            <w:r>
              <w:rPr>
                <w:sz w:val="24"/>
              </w:rPr>
              <w:drawing>
                <wp:inline distT="0" distB="0" distL="0" distR="0">
                  <wp:extent cx="2795270" cy="2545080"/>
                  <wp:effectExtent l="19050" t="0" r="5080" b="0"/>
                  <wp:docPr id="39" name="图片 39" descr="8fd12ccc2b907c0cd3643a9af21bce9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8fd12ccc2b907c0cd3643a9af21bce91_"/>
                          <pic:cNvPicPr>
                            <a:picLocks noChangeAspect="1" noChangeArrowheads="1"/>
                          </pic:cNvPicPr>
                        </pic:nvPicPr>
                        <pic:blipFill>
                          <a:blip r:embed="rId36" cstate="print"/>
                          <a:srcRect/>
                          <a:stretch>
                            <a:fillRect/>
                          </a:stretch>
                        </pic:blipFill>
                        <pic:spPr>
                          <a:xfrm>
                            <a:off x="0" y="0"/>
                            <a:ext cx="2795270" cy="2545080"/>
                          </a:xfrm>
                          <a:prstGeom prst="rect">
                            <a:avLst/>
                          </a:prstGeom>
                          <a:noFill/>
                          <a:ln w="9525">
                            <a:noFill/>
                            <a:miter lim="800000"/>
                            <a:headEnd/>
                            <a:tailEnd/>
                          </a:ln>
                        </pic:spPr>
                      </pic:pic>
                    </a:graphicData>
                  </a:graphic>
                </wp:inline>
              </w:drawing>
            </w:r>
          </w:p>
          <w:p>
            <w:pPr>
              <w:tabs>
                <w:tab w:val="left" w:pos="5670"/>
              </w:tabs>
              <w:jc w:val="center"/>
              <w:rPr>
                <w:rFonts w:hint="eastAsia"/>
                <w:sz w:val="24"/>
              </w:rPr>
            </w:pPr>
            <w:r>
              <w:rPr>
                <w:rFonts w:hint="eastAsia"/>
                <w:sz w:val="24"/>
              </w:rPr>
              <w:t>北侧居民区</w:t>
            </w:r>
          </w:p>
        </w:tc>
        <w:tc>
          <w:tcPr>
            <w:tcW w:w="4711" w:type="dxa"/>
          </w:tcPr>
          <w:p>
            <w:pPr>
              <w:tabs>
                <w:tab w:val="left" w:pos="5670"/>
              </w:tabs>
              <w:jc w:val="center"/>
              <w:rPr>
                <w:rFonts w:hint="eastAsia"/>
                <w:sz w:val="24"/>
              </w:rPr>
            </w:pPr>
            <w:r>
              <w:rPr>
                <w:sz w:val="24"/>
              </w:rPr>
              <w:drawing>
                <wp:inline distT="0" distB="0" distL="0" distR="0">
                  <wp:extent cx="2760345" cy="2501900"/>
                  <wp:effectExtent l="19050" t="0" r="1905" b="0"/>
                  <wp:docPr id="40" name="图片 40" descr="ece7ddac1f082b927e51e669b9644ed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ece7ddac1f082b927e51e669b9644ed1_"/>
                          <pic:cNvPicPr>
                            <a:picLocks noChangeAspect="1" noChangeArrowheads="1"/>
                          </pic:cNvPicPr>
                        </pic:nvPicPr>
                        <pic:blipFill>
                          <a:blip r:embed="rId37" cstate="print"/>
                          <a:srcRect/>
                          <a:stretch>
                            <a:fillRect/>
                          </a:stretch>
                        </pic:blipFill>
                        <pic:spPr>
                          <a:xfrm>
                            <a:off x="0" y="0"/>
                            <a:ext cx="2760345" cy="2501900"/>
                          </a:xfrm>
                          <a:prstGeom prst="rect">
                            <a:avLst/>
                          </a:prstGeom>
                          <a:noFill/>
                          <a:ln w="9525">
                            <a:noFill/>
                            <a:miter lim="800000"/>
                            <a:headEnd/>
                            <a:tailEnd/>
                          </a:ln>
                        </pic:spPr>
                      </pic:pic>
                    </a:graphicData>
                  </a:graphic>
                </wp:inline>
              </w:drawing>
            </w:r>
          </w:p>
          <w:p>
            <w:pPr>
              <w:tabs>
                <w:tab w:val="left" w:pos="5670"/>
              </w:tabs>
              <w:jc w:val="center"/>
              <w:rPr>
                <w:rFonts w:hint="eastAsia"/>
                <w:sz w:val="24"/>
              </w:rPr>
            </w:pPr>
            <w:r>
              <w:rPr>
                <w:rFonts w:hint="eastAsia"/>
                <w:sz w:val="24"/>
              </w:rPr>
              <w:t>东侧居民区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88" w:hRule="atLeast"/>
        </w:trPr>
        <w:tc>
          <w:tcPr>
            <w:tcW w:w="4711" w:type="dxa"/>
          </w:tcPr>
          <w:p>
            <w:pPr>
              <w:tabs>
                <w:tab w:val="left" w:pos="5670"/>
              </w:tabs>
              <w:jc w:val="center"/>
              <w:rPr>
                <w:rFonts w:hint="eastAsia"/>
                <w:sz w:val="24"/>
              </w:rPr>
            </w:pPr>
            <w:r>
              <w:rPr>
                <w:sz w:val="24"/>
              </w:rPr>
              <w:drawing>
                <wp:inline distT="0" distB="0" distL="0" distR="0">
                  <wp:extent cx="2777490" cy="2363470"/>
                  <wp:effectExtent l="19050" t="0" r="3810" b="0"/>
                  <wp:docPr id="41" name="图片 41" descr="ad82af6c4ac766f65ff7cf5ccaf6417d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ad82af6c4ac766f65ff7cf5ccaf6417d_"/>
                          <pic:cNvPicPr>
                            <a:picLocks noChangeAspect="1" noChangeArrowheads="1"/>
                          </pic:cNvPicPr>
                        </pic:nvPicPr>
                        <pic:blipFill>
                          <a:blip r:embed="rId38" cstate="print"/>
                          <a:srcRect/>
                          <a:stretch>
                            <a:fillRect/>
                          </a:stretch>
                        </pic:blipFill>
                        <pic:spPr>
                          <a:xfrm>
                            <a:off x="0" y="0"/>
                            <a:ext cx="2777490" cy="2363470"/>
                          </a:xfrm>
                          <a:prstGeom prst="rect">
                            <a:avLst/>
                          </a:prstGeom>
                          <a:noFill/>
                          <a:ln w="9525">
                            <a:noFill/>
                            <a:miter lim="800000"/>
                            <a:headEnd/>
                            <a:tailEnd/>
                          </a:ln>
                        </pic:spPr>
                      </pic:pic>
                    </a:graphicData>
                  </a:graphic>
                </wp:inline>
              </w:drawing>
            </w:r>
          </w:p>
          <w:p>
            <w:pPr>
              <w:tabs>
                <w:tab w:val="left" w:pos="5670"/>
              </w:tabs>
              <w:jc w:val="center"/>
              <w:rPr>
                <w:rFonts w:hint="eastAsia"/>
                <w:sz w:val="24"/>
              </w:rPr>
            </w:pPr>
            <w:r>
              <w:rPr>
                <w:rFonts w:hint="eastAsia"/>
                <w:sz w:val="24"/>
              </w:rPr>
              <w:t>西侧石材厂</w:t>
            </w:r>
          </w:p>
        </w:tc>
        <w:tc>
          <w:tcPr>
            <w:tcW w:w="4711" w:type="dxa"/>
          </w:tcPr>
          <w:p>
            <w:pPr>
              <w:tabs>
                <w:tab w:val="left" w:pos="5670"/>
              </w:tabs>
              <w:jc w:val="center"/>
              <w:rPr>
                <w:rFonts w:hint="eastAsia"/>
                <w:sz w:val="24"/>
              </w:rPr>
            </w:pPr>
            <w:r>
              <w:rPr>
                <w:sz w:val="24"/>
              </w:rPr>
              <w:drawing>
                <wp:inline distT="0" distB="0" distL="0" distR="0">
                  <wp:extent cx="2777490" cy="2303145"/>
                  <wp:effectExtent l="19050" t="0" r="3810" b="0"/>
                  <wp:docPr id="42" name="图片 42" descr="ef6c4514f94d423f4bc8ee749a0e304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ef6c4514f94d423f4bc8ee749a0e3049_"/>
                          <pic:cNvPicPr>
                            <a:picLocks noChangeAspect="1" noChangeArrowheads="1"/>
                          </pic:cNvPicPr>
                        </pic:nvPicPr>
                        <pic:blipFill>
                          <a:blip r:embed="rId39" cstate="print"/>
                          <a:srcRect/>
                          <a:stretch>
                            <a:fillRect/>
                          </a:stretch>
                        </pic:blipFill>
                        <pic:spPr>
                          <a:xfrm>
                            <a:off x="0" y="0"/>
                            <a:ext cx="2777490" cy="2303145"/>
                          </a:xfrm>
                          <a:prstGeom prst="rect">
                            <a:avLst/>
                          </a:prstGeom>
                          <a:noFill/>
                          <a:ln w="9525">
                            <a:noFill/>
                            <a:miter lim="800000"/>
                            <a:headEnd/>
                            <a:tailEnd/>
                          </a:ln>
                        </pic:spPr>
                      </pic:pic>
                    </a:graphicData>
                  </a:graphic>
                </wp:inline>
              </w:drawing>
            </w:r>
          </w:p>
          <w:p>
            <w:pPr>
              <w:tabs>
                <w:tab w:val="left" w:pos="5670"/>
              </w:tabs>
              <w:jc w:val="center"/>
              <w:rPr>
                <w:rFonts w:hint="eastAsia"/>
                <w:sz w:val="24"/>
              </w:rPr>
            </w:pPr>
            <w:r>
              <w:rPr>
                <w:rFonts w:hint="eastAsia"/>
                <w:sz w:val="24"/>
              </w:rPr>
              <w:t>南侧水泥制品厂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58" w:hRule="atLeast"/>
        </w:trPr>
        <w:tc>
          <w:tcPr>
            <w:tcW w:w="4711" w:type="dxa"/>
          </w:tcPr>
          <w:p>
            <w:pPr>
              <w:tabs>
                <w:tab w:val="left" w:pos="5670"/>
              </w:tabs>
              <w:jc w:val="center"/>
              <w:rPr>
                <w:rFonts w:hint="eastAsia"/>
                <w:sz w:val="24"/>
              </w:rPr>
            </w:pPr>
            <w:r>
              <w:rPr>
                <w:rFonts w:hint="eastAsia"/>
                <w:sz w:val="24"/>
              </w:rPr>
              <w:drawing>
                <wp:inline distT="0" distB="0" distL="0" distR="0">
                  <wp:extent cx="2777490" cy="2545080"/>
                  <wp:effectExtent l="19050" t="0" r="381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40" cstate="print"/>
                          <a:srcRect/>
                          <a:stretch>
                            <a:fillRect/>
                          </a:stretch>
                        </pic:blipFill>
                        <pic:spPr>
                          <a:xfrm>
                            <a:off x="0" y="0"/>
                            <a:ext cx="2777490" cy="2545080"/>
                          </a:xfrm>
                          <a:prstGeom prst="rect">
                            <a:avLst/>
                          </a:prstGeom>
                          <a:noFill/>
                          <a:ln w="9525">
                            <a:noFill/>
                            <a:miter lim="800000"/>
                            <a:headEnd/>
                            <a:tailEnd/>
                          </a:ln>
                        </pic:spPr>
                      </pic:pic>
                    </a:graphicData>
                  </a:graphic>
                </wp:inline>
              </w:drawing>
            </w:r>
          </w:p>
          <w:p>
            <w:pPr>
              <w:tabs>
                <w:tab w:val="left" w:pos="5670"/>
              </w:tabs>
              <w:jc w:val="center"/>
              <w:rPr>
                <w:rFonts w:hint="eastAsia"/>
                <w:sz w:val="24"/>
              </w:rPr>
            </w:pPr>
            <w:r>
              <w:rPr>
                <w:rFonts w:hint="eastAsia"/>
                <w:sz w:val="24"/>
              </w:rPr>
              <w:t>车间内现状</w:t>
            </w:r>
          </w:p>
        </w:tc>
        <w:tc>
          <w:tcPr>
            <w:tcW w:w="4711" w:type="dxa"/>
          </w:tcPr>
          <w:p>
            <w:pPr>
              <w:tabs>
                <w:tab w:val="left" w:pos="5670"/>
              </w:tabs>
              <w:jc w:val="center"/>
              <w:rPr>
                <w:rFonts w:hint="eastAsia"/>
                <w:sz w:val="24"/>
              </w:rPr>
            </w:pPr>
          </w:p>
        </w:tc>
      </w:tr>
    </w:tbl>
    <w:p>
      <w:pPr>
        <w:tabs>
          <w:tab w:val="left" w:pos="5670"/>
        </w:tabs>
        <w:jc w:val="center"/>
        <w:rPr>
          <w:rFonts w:hint="eastAsia"/>
          <w:sz w:val="32"/>
        </w:rPr>
      </w:pPr>
      <w:r>
        <w:rPr>
          <w:rFonts w:hint="eastAsia"/>
          <w:sz w:val="24"/>
        </w:rPr>
        <w:t>附图6   现场照片</w:t>
      </w:r>
    </w:p>
    <w:p>
      <w:pPr>
        <w:pStyle w:val="24"/>
        <w:spacing w:before="0" w:beforeAutospacing="0" w:after="0" w:afterAutospacing="0"/>
        <w:jc w:val="center"/>
        <w:rPr>
          <w:rFonts w:cs="宋体"/>
          <w:sz w:val="28"/>
          <w:szCs w:val="28"/>
        </w:rPr>
      </w:pPr>
      <w:r>
        <w:drawing>
          <wp:inline distT="0" distB="0" distL="0" distR="0">
            <wp:extent cx="5759450" cy="8032115"/>
            <wp:effectExtent l="19050" t="0" r="0" b="0"/>
            <wp:docPr id="224" name="图片 224" descr="E:\360Downloads\Software\QQGameTempest\log\微信\WeChat Files\wxid_tj4eqwcjd7gt21\FileStorage\Temp\e43696643ccb2b93edba3c22e4ef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E:\360Downloads\Software\QQGameTempest\log\微信\WeChat Files\wxid_tj4eqwcjd7gt21\FileStorage\Temp\e43696643ccb2b93edba3c22e4ef756.jpg"/>
                    <pic:cNvPicPr>
                      <a:picLocks noChangeAspect="1" noChangeArrowheads="1"/>
                    </pic:cNvPicPr>
                  </pic:nvPicPr>
                  <pic:blipFill>
                    <a:blip r:embed="rId41" cstate="print"/>
                    <a:srcRect/>
                    <a:stretch>
                      <a:fillRect/>
                    </a:stretch>
                  </pic:blipFill>
                  <pic:spPr>
                    <a:xfrm>
                      <a:off x="0" y="0"/>
                      <a:ext cx="5759450" cy="8032716"/>
                    </a:xfrm>
                    <a:prstGeom prst="rect">
                      <a:avLst/>
                    </a:prstGeom>
                    <a:noFill/>
                    <a:ln w="9525">
                      <a:noFill/>
                      <a:miter lim="800000"/>
                      <a:headEnd/>
                      <a:tailEnd/>
                    </a:ln>
                  </pic:spPr>
                </pic:pic>
              </a:graphicData>
            </a:graphic>
          </wp:inline>
        </w:drawing>
      </w:r>
      <w:r>
        <w:rPr>
          <w:b/>
          <w:bCs/>
          <w:sz w:val="44"/>
          <w:szCs w:val="44"/>
        </w:rPr>
        <w:pict>
          <v:rect id="_x0000_s4226" o:spid="_x0000_s4226" o:spt="1" style="position:absolute;left:0pt;margin-left:-5.3pt;margin-top:-9.1pt;height:30.1pt;width:107.3pt;z-index:251715584;mso-width-relative:page;mso-height-relative:page;" filled="f" coordsize="21600,21600">
            <v:path/>
            <v:fill on="f" focussize="0,0"/>
            <v:stroke/>
            <v:imagedata o:title=""/>
            <o:lock v:ext="edit"/>
            <v:textbox>
              <w:txbxContent>
                <w:p>
                  <w:pPr>
                    <w:rPr>
                      <w:b/>
                      <w:sz w:val="24"/>
                    </w:rPr>
                  </w:pPr>
                  <w:r>
                    <w:rPr>
                      <w:b/>
                      <w:sz w:val="24"/>
                    </w:rPr>
                    <w:t>附件1：</w:t>
                  </w:r>
                  <w:r>
                    <w:rPr>
                      <w:rFonts w:hint="eastAsia"/>
                      <w:b/>
                      <w:sz w:val="24"/>
                    </w:rPr>
                    <w:t>委托书</w:t>
                  </w:r>
                </w:p>
              </w:txbxContent>
            </v:textbox>
          </v:rect>
        </w:pict>
      </w:r>
    </w:p>
    <w:p>
      <w:pPr>
        <w:pStyle w:val="24"/>
        <w:spacing w:before="0" w:beforeAutospacing="0" w:after="0" w:afterAutospacing="0" w:line="360" w:lineRule="auto"/>
        <w:ind w:firstLine="2800" w:firstLineChars="1000"/>
        <w:rPr>
          <w:rFonts w:cs="宋体"/>
          <w:sz w:val="28"/>
          <w:szCs w:val="28"/>
        </w:rPr>
        <w:sectPr>
          <w:pgSz w:w="11906" w:h="16838"/>
          <w:pgMar w:top="1440" w:right="1800" w:bottom="1440" w:left="1800" w:header="708" w:footer="708" w:gutter="0"/>
          <w:cols w:space="708" w:num="1"/>
          <w:docGrid w:linePitch="360" w:charSpace="0"/>
        </w:sectPr>
      </w:pPr>
    </w:p>
    <w:p>
      <w:pPr>
        <w:pStyle w:val="24"/>
        <w:spacing w:before="0" w:beforeAutospacing="0" w:after="0" w:afterAutospacing="0" w:line="360" w:lineRule="auto"/>
        <w:rPr>
          <w:rFonts w:cs="宋体"/>
          <w:sz w:val="28"/>
          <w:szCs w:val="28"/>
        </w:rPr>
        <w:sectPr>
          <w:pgSz w:w="11906" w:h="16838"/>
          <w:pgMar w:top="1440" w:right="1800" w:bottom="1440" w:left="1800" w:header="708" w:footer="708" w:gutter="0"/>
          <w:cols w:space="708" w:num="1"/>
          <w:docGrid w:linePitch="360" w:charSpace="0"/>
        </w:sectPr>
      </w:pPr>
      <w:r>
        <w:rPr>
          <w:rFonts w:cs="宋体"/>
          <w:sz w:val="28"/>
          <w:szCs w:val="28"/>
        </w:rPr>
        <w:pict>
          <v:rect id="_x0000_s4227" o:spid="_x0000_s4227" o:spt="1" style="position:absolute;left:0pt;margin-left:-45.8pt;margin-top:-34.5pt;height:30.1pt;width:117.8pt;z-index:251716608;mso-width-relative:page;mso-height-relative:page;" filled="f" coordsize="21600,21600">
            <v:path/>
            <v:fill on="f" focussize="0,0"/>
            <v:stroke/>
            <v:imagedata o:title=""/>
            <o:lock v:ext="edit"/>
            <v:textbox>
              <w:txbxContent>
                <w:p>
                  <w:pPr>
                    <w:rPr>
                      <w:b/>
                      <w:sz w:val="24"/>
                    </w:rPr>
                  </w:pPr>
                  <w:r>
                    <w:rPr>
                      <w:b/>
                      <w:sz w:val="24"/>
                    </w:rPr>
                    <w:t>附件</w:t>
                  </w:r>
                  <w:r>
                    <w:rPr>
                      <w:rFonts w:hint="eastAsia"/>
                      <w:b/>
                      <w:sz w:val="24"/>
                    </w:rPr>
                    <w:t>2</w:t>
                  </w:r>
                  <w:r>
                    <w:rPr>
                      <w:b/>
                      <w:sz w:val="24"/>
                    </w:rPr>
                    <w:t>：</w:t>
                  </w:r>
                  <w:r>
                    <w:rPr>
                      <w:rFonts w:hint="eastAsia"/>
                      <w:b/>
                      <w:sz w:val="24"/>
                    </w:rPr>
                    <w:t>立项文件</w:t>
                  </w:r>
                </w:p>
              </w:txbxContent>
            </v:textbox>
          </v:rect>
        </w:pict>
      </w:r>
      <w:r>
        <w:rPr>
          <w:rFonts w:cs="宋体"/>
          <w:sz w:val="28"/>
          <w:szCs w:val="28"/>
        </w:rPr>
        <w:drawing>
          <wp:inline distT="0" distB="0" distL="0" distR="0">
            <wp:extent cx="5274310" cy="7616825"/>
            <wp:effectExtent l="19050" t="0" r="2540" b="0"/>
            <wp:docPr id="4" name="图片 1" descr="E:\360Downloads\Software\QQGameTempest\log\微信\WeChat Files\wxid_tj4eqwcjd7gt21\FileStorage\Temp\1735209442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E:\360Downloads\Software\QQGameTempest\log\微信\WeChat Files\wxid_tj4eqwcjd7gt21\FileStorage\Temp\1735209442202.png"/>
                    <pic:cNvPicPr>
                      <a:picLocks noChangeAspect="1" noChangeArrowheads="1"/>
                    </pic:cNvPicPr>
                  </pic:nvPicPr>
                  <pic:blipFill>
                    <a:blip r:embed="rId42" cstate="print"/>
                    <a:srcRect/>
                    <a:stretch>
                      <a:fillRect/>
                    </a:stretch>
                  </pic:blipFill>
                  <pic:spPr>
                    <a:xfrm>
                      <a:off x="0" y="0"/>
                      <a:ext cx="5274310" cy="7616859"/>
                    </a:xfrm>
                    <a:prstGeom prst="rect">
                      <a:avLst/>
                    </a:prstGeom>
                    <a:noFill/>
                    <a:ln w="9525">
                      <a:noFill/>
                      <a:miter lim="800000"/>
                      <a:headEnd/>
                      <a:tailEnd/>
                    </a:ln>
                  </pic:spPr>
                </pic:pic>
              </a:graphicData>
            </a:graphic>
          </wp:inline>
        </w:drawing>
      </w:r>
    </w:p>
    <w:p>
      <w:pPr>
        <w:pStyle w:val="24"/>
        <w:spacing w:before="0" w:beforeAutospacing="0" w:after="0" w:afterAutospacing="0" w:line="360" w:lineRule="auto"/>
        <w:rPr>
          <w:rFonts w:cs="宋体"/>
          <w:sz w:val="28"/>
          <w:szCs w:val="28"/>
        </w:rPr>
        <w:sectPr>
          <w:pgSz w:w="11906" w:h="16838"/>
          <w:pgMar w:top="1440" w:right="1800" w:bottom="1440" w:left="1800" w:header="708" w:footer="708" w:gutter="0"/>
          <w:cols w:space="708" w:num="1"/>
          <w:docGrid w:linePitch="360" w:charSpace="0"/>
        </w:sectPr>
      </w:pPr>
      <w:r>
        <w:rPr>
          <w:rFonts w:cs="宋体"/>
          <w:sz w:val="28"/>
          <w:szCs w:val="28"/>
        </w:rPr>
        <w:pict>
          <v:rect id="_x0000_s4228" o:spid="_x0000_s4228" o:spt="1" style="position:absolute;left:0pt;margin-left:-39.05pt;margin-top:-24.75pt;height:30.1pt;width:117.8pt;z-index:251717632;mso-width-relative:page;mso-height-relative:page;" filled="f" coordsize="21600,21600">
            <v:path/>
            <v:fill on="f" focussize="0,0"/>
            <v:stroke/>
            <v:imagedata o:title=""/>
            <o:lock v:ext="edit"/>
            <v:textbox>
              <w:txbxContent>
                <w:p>
                  <w:pPr>
                    <w:rPr>
                      <w:b/>
                      <w:sz w:val="24"/>
                    </w:rPr>
                  </w:pPr>
                  <w:r>
                    <w:rPr>
                      <w:b/>
                      <w:sz w:val="24"/>
                    </w:rPr>
                    <w:t>附件</w:t>
                  </w:r>
                  <w:r>
                    <w:rPr>
                      <w:rFonts w:hint="eastAsia"/>
                      <w:b/>
                      <w:sz w:val="24"/>
                    </w:rPr>
                    <w:t>3</w:t>
                  </w:r>
                  <w:r>
                    <w:rPr>
                      <w:b/>
                      <w:sz w:val="24"/>
                    </w:rPr>
                    <w:t>：</w:t>
                  </w:r>
                  <w:r>
                    <w:rPr>
                      <w:rFonts w:hint="eastAsia"/>
                      <w:b/>
                      <w:sz w:val="24"/>
                    </w:rPr>
                    <w:t>规划证明</w:t>
                  </w:r>
                </w:p>
              </w:txbxContent>
            </v:textbox>
          </v:rect>
        </w:pict>
      </w:r>
      <w:r>
        <w:rPr>
          <w:rFonts w:cs="宋体"/>
          <w:sz w:val="28"/>
          <w:szCs w:val="28"/>
        </w:rPr>
        <w:drawing>
          <wp:inline distT="0" distB="0" distL="0" distR="0">
            <wp:extent cx="5415280" cy="7623810"/>
            <wp:effectExtent l="19050" t="0" r="0" b="0"/>
            <wp:docPr id="5" name="图片 2" descr="E:\360Downloads\Software\QQGameTempest\log\微信\WeChat Files\wxid_tj4eqwcjd7gt21\FileStorage\Temp\1735209505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E:\360Downloads\Software\QQGameTempest\log\微信\WeChat Files\wxid_tj4eqwcjd7gt21\FileStorage\Temp\1735209505054.png"/>
                    <pic:cNvPicPr>
                      <a:picLocks noChangeAspect="1" noChangeArrowheads="1"/>
                    </pic:cNvPicPr>
                  </pic:nvPicPr>
                  <pic:blipFill>
                    <a:blip r:embed="rId43" cstate="print"/>
                    <a:srcRect/>
                    <a:stretch>
                      <a:fillRect/>
                    </a:stretch>
                  </pic:blipFill>
                  <pic:spPr>
                    <a:xfrm>
                      <a:off x="0" y="0"/>
                      <a:ext cx="5417771" cy="7626844"/>
                    </a:xfrm>
                    <a:prstGeom prst="rect">
                      <a:avLst/>
                    </a:prstGeom>
                    <a:noFill/>
                    <a:ln w="9525">
                      <a:noFill/>
                      <a:miter lim="800000"/>
                      <a:headEnd/>
                      <a:tailEnd/>
                    </a:ln>
                  </pic:spPr>
                </pic:pic>
              </a:graphicData>
            </a:graphic>
          </wp:inline>
        </w:drawing>
      </w:r>
    </w:p>
    <w:p>
      <w:pPr>
        <w:pStyle w:val="24"/>
        <w:spacing w:before="0" w:beforeAutospacing="0" w:after="0" w:afterAutospacing="0" w:line="360" w:lineRule="auto"/>
        <w:jc w:val="center"/>
        <w:rPr>
          <w:rFonts w:cs="宋体"/>
          <w:sz w:val="28"/>
          <w:szCs w:val="28"/>
        </w:rPr>
        <w:sectPr>
          <w:pgSz w:w="11906" w:h="16838"/>
          <w:pgMar w:top="1440" w:right="1800" w:bottom="1440" w:left="1800" w:header="708" w:footer="708" w:gutter="0"/>
          <w:cols w:space="708" w:num="1"/>
          <w:docGrid w:linePitch="360" w:charSpace="0"/>
        </w:sectPr>
      </w:pPr>
      <w:r>
        <w:rPr>
          <w:rFonts w:cs="宋体"/>
          <w:sz w:val="28"/>
          <w:szCs w:val="28"/>
        </w:rPr>
        <w:pict>
          <v:rect id="_x0000_s4233" o:spid="_x0000_s4233" o:spt="1" style="position:absolute;left:0pt;margin-left:-32.1pt;margin-top:-4.7pt;height:30.1pt;width:117.8pt;z-index:251722752;mso-width-relative:page;mso-height-relative:page;" filled="f" coordsize="21600,21600">
            <v:path/>
            <v:fill on="f" focussize="0,0"/>
            <v:stroke/>
            <v:imagedata o:title=""/>
            <o:lock v:ext="edit"/>
            <v:textbox>
              <w:txbxContent>
                <w:p>
                  <w:pPr>
                    <w:rPr>
                      <w:b/>
                      <w:sz w:val="24"/>
                    </w:rPr>
                  </w:pPr>
                  <w:r>
                    <w:rPr>
                      <w:b/>
                      <w:sz w:val="24"/>
                    </w:rPr>
                    <w:t>附件</w:t>
                  </w:r>
                  <w:r>
                    <w:rPr>
                      <w:rFonts w:hint="eastAsia"/>
                      <w:b/>
                      <w:sz w:val="24"/>
                    </w:rPr>
                    <w:t>4</w:t>
                  </w:r>
                  <w:r>
                    <w:rPr>
                      <w:b/>
                      <w:sz w:val="24"/>
                    </w:rPr>
                    <w:t>：</w:t>
                  </w:r>
                  <w:r>
                    <w:rPr>
                      <w:rFonts w:hint="eastAsia"/>
                      <w:b/>
                      <w:sz w:val="24"/>
                    </w:rPr>
                    <w:t>土地手续</w:t>
                  </w:r>
                </w:p>
              </w:txbxContent>
            </v:textbox>
          </v:rect>
        </w:pict>
      </w:r>
      <w:r>
        <w:rPr>
          <w:rFonts w:cs="宋体"/>
          <w:sz w:val="28"/>
          <w:szCs w:val="28"/>
        </w:rPr>
        <w:drawing>
          <wp:inline distT="0" distB="0" distL="0" distR="0">
            <wp:extent cx="6210300" cy="8762365"/>
            <wp:effectExtent l="19050" t="0" r="0" b="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noChangeArrowheads="1"/>
                    </pic:cNvPicPr>
                  </pic:nvPicPr>
                  <pic:blipFill>
                    <a:blip r:embed="rId44" cstate="print"/>
                    <a:srcRect/>
                    <a:stretch>
                      <a:fillRect/>
                    </a:stretch>
                  </pic:blipFill>
                  <pic:spPr>
                    <a:xfrm>
                      <a:off x="0" y="0"/>
                      <a:ext cx="6214887" cy="8768477"/>
                    </a:xfrm>
                    <a:prstGeom prst="rect">
                      <a:avLst/>
                    </a:prstGeom>
                    <a:noFill/>
                    <a:ln w="9525">
                      <a:noFill/>
                      <a:miter lim="800000"/>
                      <a:headEnd/>
                      <a:tailEnd/>
                    </a:ln>
                  </pic:spPr>
                </pic:pic>
              </a:graphicData>
            </a:graphic>
          </wp:inline>
        </w:drawing>
      </w:r>
      <w:bookmarkStart w:id="57" w:name="_GoBack"/>
      <w:bookmarkEnd w:id="57"/>
      <w:r>
        <w:rPr>
          <w:rFonts w:cs="宋体"/>
          <w:sz w:val="28"/>
          <w:szCs w:val="28"/>
        </w:rPr>
        <w:drawing>
          <wp:inline distT="0" distB="0" distL="0" distR="0">
            <wp:extent cx="5738495" cy="8205470"/>
            <wp:effectExtent l="19050" t="0" r="0" b="0"/>
            <wp:docPr id="7" name="图片 6" descr="E:\360Downloads\Software\QQGameTempest\log\微信\WeChat Files\wxid_tj4eqwcjd7gt21\FileStorage\Temp\1735209653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E:\360Downloads\Software\QQGameTempest\log\微信\WeChat Files\wxid_tj4eqwcjd7gt21\FileStorage\Temp\1735209653734.png"/>
                    <pic:cNvPicPr>
                      <a:picLocks noChangeAspect="1" noChangeArrowheads="1"/>
                    </pic:cNvPicPr>
                  </pic:nvPicPr>
                  <pic:blipFill>
                    <a:blip r:embed="rId45" cstate="print"/>
                    <a:srcRect/>
                    <a:stretch>
                      <a:fillRect/>
                    </a:stretch>
                  </pic:blipFill>
                  <pic:spPr>
                    <a:xfrm>
                      <a:off x="0" y="0"/>
                      <a:ext cx="5739445" cy="8206955"/>
                    </a:xfrm>
                    <a:prstGeom prst="rect">
                      <a:avLst/>
                    </a:prstGeom>
                    <a:noFill/>
                    <a:ln w="9525">
                      <a:noFill/>
                      <a:miter lim="800000"/>
                      <a:headEnd/>
                      <a:tailEnd/>
                    </a:ln>
                  </pic:spPr>
                </pic:pic>
              </a:graphicData>
            </a:graphic>
          </wp:inline>
        </w:drawing>
      </w:r>
    </w:p>
    <w:p>
      <w:pPr>
        <w:pStyle w:val="24"/>
        <w:spacing w:before="0" w:beforeAutospacing="0" w:after="0" w:afterAutospacing="0" w:line="360" w:lineRule="auto"/>
        <w:sectPr>
          <w:pgSz w:w="11906" w:h="16838"/>
          <w:pgMar w:top="1440" w:right="1800" w:bottom="1440" w:left="1800" w:header="708" w:footer="708" w:gutter="0"/>
          <w:cols w:space="708" w:num="1"/>
          <w:docGrid w:linePitch="360" w:charSpace="0"/>
        </w:sectPr>
      </w:pPr>
      <w:r>
        <w:rPr>
          <w:rFonts w:cs="宋体"/>
          <w:sz w:val="28"/>
          <w:szCs w:val="28"/>
        </w:rPr>
        <w:pict>
          <v:rect id="_x0000_s4230" o:spid="_x0000_s4230" o:spt="1" style="position:absolute;left:0pt;margin-left:-2.9pt;margin-top:-10.95pt;height:30.1pt;width:117.8pt;z-index:251719680;mso-width-relative:page;mso-height-relative:page;" filled="f" coordsize="21600,21600">
            <v:path/>
            <v:fill on="f" focussize="0,0"/>
            <v:stroke/>
            <v:imagedata o:title=""/>
            <o:lock v:ext="edit"/>
            <v:textbox>
              <w:txbxContent>
                <w:p>
                  <w:pPr>
                    <w:rPr>
                      <w:b/>
                      <w:sz w:val="24"/>
                    </w:rPr>
                  </w:pPr>
                  <w:r>
                    <w:rPr>
                      <w:b/>
                      <w:sz w:val="24"/>
                    </w:rPr>
                    <w:t>附件</w:t>
                  </w:r>
                  <w:r>
                    <w:rPr>
                      <w:rFonts w:hint="eastAsia"/>
                      <w:b/>
                      <w:sz w:val="24"/>
                    </w:rPr>
                    <w:t>5</w:t>
                  </w:r>
                  <w:r>
                    <w:rPr>
                      <w:b/>
                      <w:sz w:val="24"/>
                    </w:rPr>
                    <w:t>：</w:t>
                  </w:r>
                  <w:r>
                    <w:rPr>
                      <w:rFonts w:hint="eastAsia"/>
                      <w:b/>
                      <w:sz w:val="24"/>
                    </w:rPr>
                    <w:t>租赁协议</w:t>
                  </w:r>
                </w:p>
              </w:txbxContent>
            </v:textbox>
          </v:rect>
        </w:pict>
      </w:r>
      <w:r>
        <w:drawing>
          <wp:inline distT="0" distB="0" distL="0" distR="0">
            <wp:extent cx="5875655" cy="8324215"/>
            <wp:effectExtent l="19050" t="0" r="0" b="0"/>
            <wp:docPr id="8" name="图片 7" descr="E:\360Downloads\Software\QQGameTempest\log\微信\WeChat Files\wxid_tj4eqwcjd7gt21\FileStorage\Temp\1735209717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E:\360Downloads\Software\QQGameTempest\log\微信\WeChat Files\wxid_tj4eqwcjd7gt21\FileStorage\Temp\1735209717014.png"/>
                    <pic:cNvPicPr>
                      <a:picLocks noChangeAspect="1" noChangeArrowheads="1"/>
                    </pic:cNvPicPr>
                  </pic:nvPicPr>
                  <pic:blipFill>
                    <a:blip r:embed="rId46" cstate="print"/>
                    <a:srcRect/>
                    <a:stretch>
                      <a:fillRect/>
                    </a:stretch>
                  </pic:blipFill>
                  <pic:spPr>
                    <a:xfrm>
                      <a:off x="0" y="0"/>
                      <a:ext cx="5878047" cy="8327457"/>
                    </a:xfrm>
                    <a:prstGeom prst="rect">
                      <a:avLst/>
                    </a:prstGeom>
                    <a:noFill/>
                    <a:ln w="9525">
                      <a:noFill/>
                      <a:miter lim="800000"/>
                      <a:headEnd/>
                      <a:tailEnd/>
                    </a:ln>
                  </pic:spPr>
                </pic:pic>
              </a:graphicData>
            </a:graphic>
          </wp:inline>
        </w:drawing>
      </w:r>
    </w:p>
    <w:p>
      <w:pPr>
        <w:pStyle w:val="24"/>
        <w:spacing w:before="0" w:beforeAutospacing="0" w:after="0" w:afterAutospacing="0" w:line="360" w:lineRule="auto"/>
        <w:sectPr>
          <w:pgSz w:w="11906" w:h="16838"/>
          <w:pgMar w:top="1440" w:right="1800" w:bottom="1440" w:left="1800" w:header="708" w:footer="708" w:gutter="0"/>
          <w:cols w:space="708" w:num="1"/>
          <w:docGrid w:linePitch="360" w:charSpace="0"/>
        </w:sectPr>
      </w:pPr>
      <w:r>
        <w:drawing>
          <wp:inline distT="0" distB="0" distL="0" distR="0">
            <wp:extent cx="5824855" cy="8181975"/>
            <wp:effectExtent l="19050" t="0" r="4205" b="0"/>
            <wp:docPr id="9" name="图片 8" descr="E:\360Downloads\Software\QQGameTempest\log\微信\WeChat Files\wxid_tj4eqwcjd7gt21\FileStorage\Temp\1735209780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E:\360Downloads\Software\QQGameTempest\log\微信\WeChat Files\wxid_tj4eqwcjd7gt21\FileStorage\Temp\1735209780313.png"/>
                    <pic:cNvPicPr>
                      <a:picLocks noChangeAspect="1" noChangeArrowheads="1"/>
                    </pic:cNvPicPr>
                  </pic:nvPicPr>
                  <pic:blipFill>
                    <a:blip r:embed="rId47" cstate="print"/>
                    <a:srcRect/>
                    <a:stretch>
                      <a:fillRect/>
                    </a:stretch>
                  </pic:blipFill>
                  <pic:spPr>
                    <a:xfrm>
                      <a:off x="0" y="0"/>
                      <a:ext cx="5824548" cy="8181331"/>
                    </a:xfrm>
                    <a:prstGeom prst="rect">
                      <a:avLst/>
                    </a:prstGeom>
                    <a:noFill/>
                    <a:ln w="9525">
                      <a:noFill/>
                      <a:miter lim="800000"/>
                      <a:headEnd/>
                      <a:tailEnd/>
                    </a:ln>
                  </pic:spPr>
                </pic:pic>
              </a:graphicData>
            </a:graphic>
          </wp:inline>
        </w:drawing>
      </w:r>
      <w:r>
        <w:pict>
          <v:rect id="_x0000_s4232" o:spid="_x0000_s4232" o:spt="1" style="position:absolute;left:0pt;margin-left:-12.65pt;margin-top:-11.2pt;height:30.1pt;width:118.1pt;z-index:251721728;mso-width-relative:page;mso-height-relative:page;" filled="f" coordsize="21600,21600">
            <v:path/>
            <v:fill on="f" focussize="0,0"/>
            <v:stroke/>
            <v:imagedata o:title=""/>
            <o:lock v:ext="edit"/>
            <v:textbox>
              <w:txbxContent>
                <w:p>
                  <w:pPr>
                    <w:rPr>
                      <w:b/>
                      <w:sz w:val="24"/>
                    </w:rPr>
                  </w:pPr>
                  <w:r>
                    <w:rPr>
                      <w:b/>
                      <w:sz w:val="24"/>
                    </w:rPr>
                    <w:t>附件</w:t>
                  </w:r>
                  <w:r>
                    <w:rPr>
                      <w:rFonts w:hint="eastAsia"/>
                      <w:b/>
                      <w:sz w:val="24"/>
                    </w:rPr>
                    <w:t>6</w:t>
                  </w:r>
                  <w:r>
                    <w:rPr>
                      <w:b/>
                      <w:sz w:val="24"/>
                    </w:rPr>
                    <w:t>：</w:t>
                  </w:r>
                  <w:r>
                    <w:rPr>
                      <w:rFonts w:hint="eastAsia"/>
                      <w:b/>
                      <w:sz w:val="24"/>
                    </w:rPr>
                    <w:t>营业执照</w:t>
                  </w:r>
                </w:p>
              </w:txbxContent>
            </v:textbox>
          </v:rect>
        </w:pict>
      </w:r>
    </w:p>
    <w:p>
      <w:pPr>
        <w:spacing w:line="220" w:lineRule="atLeast"/>
      </w:pPr>
    </w:p>
    <w:p>
      <w:pPr>
        <w:spacing w:line="220" w:lineRule="atLeast"/>
      </w:pPr>
    </w:p>
    <w:p>
      <w:pPr>
        <w:pStyle w:val="3"/>
        <w:spacing w:before="120" w:after="120"/>
        <w:sectPr>
          <w:pgSz w:w="11906" w:h="16838"/>
          <w:pgMar w:top="1440" w:right="1800" w:bottom="1440" w:left="1800" w:header="708" w:footer="708" w:gutter="0"/>
          <w:cols w:space="708" w:num="1"/>
          <w:docGrid w:linePitch="360" w:charSpace="0"/>
        </w:sectPr>
      </w:pPr>
      <w:r>
        <w:pict>
          <v:rect id="_x0000_s4234" o:spid="_x0000_s4234" o:spt="1" style="position:absolute;left:0pt;margin-left:-31.2pt;margin-top:-17.75pt;height:31.5pt;width:163.75pt;z-index:251723776;mso-width-relative:page;mso-height-relative:page;" filled="f" coordsize="21600,21600">
            <v:path/>
            <v:fill on="f" focussize="0,0"/>
            <v:stroke/>
            <v:imagedata o:title=""/>
            <o:lock v:ext="edit"/>
            <v:textbox>
              <w:txbxContent>
                <w:p>
                  <w:pPr>
                    <w:rPr>
                      <w:b/>
                      <w:sz w:val="24"/>
                    </w:rPr>
                  </w:pPr>
                  <w:r>
                    <w:rPr>
                      <w:b/>
                      <w:sz w:val="24"/>
                    </w:rPr>
                    <w:t>附件</w:t>
                  </w:r>
                  <w:r>
                    <w:rPr>
                      <w:rFonts w:hint="eastAsia"/>
                      <w:b/>
                      <w:sz w:val="24"/>
                    </w:rPr>
                    <w:t>8</w:t>
                  </w:r>
                  <w:r>
                    <w:rPr>
                      <w:b/>
                      <w:sz w:val="24"/>
                    </w:rPr>
                    <w:t>：</w:t>
                  </w:r>
                  <w:r>
                    <w:rPr>
                      <w:rFonts w:hint="eastAsia"/>
                      <w:b/>
                      <w:sz w:val="24"/>
                    </w:rPr>
                    <w:t>噪声现状检测报告</w:t>
                  </w:r>
                </w:p>
              </w:txbxContent>
            </v:textbox>
          </v:rect>
        </w:pict>
      </w:r>
      <w:r>
        <w:drawing>
          <wp:inline distT="0" distB="0" distL="0" distR="0">
            <wp:extent cx="5704840" cy="8038465"/>
            <wp:effectExtent l="19050" t="0" r="0" b="0"/>
            <wp:docPr id="16" name="图片 1" descr="E:\360Downloads\Software\QQGameTempest\log\微信\WeChat Files\wxid_tj4eqwcjd7gt21\FileStorage\Temp\1735210062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descr="E:\360Downloads\Software\QQGameTempest\log\微信\WeChat Files\wxid_tj4eqwcjd7gt21\FileStorage\Temp\1735210062583.png"/>
                    <pic:cNvPicPr>
                      <a:picLocks noChangeAspect="1" noChangeArrowheads="1"/>
                    </pic:cNvPicPr>
                  </pic:nvPicPr>
                  <pic:blipFill>
                    <a:blip r:embed="rId48" cstate="print"/>
                    <a:srcRect/>
                    <a:stretch>
                      <a:fillRect/>
                    </a:stretch>
                  </pic:blipFill>
                  <pic:spPr>
                    <a:xfrm>
                      <a:off x="0" y="0"/>
                      <a:ext cx="5704322" cy="8037771"/>
                    </a:xfrm>
                    <a:prstGeom prst="rect">
                      <a:avLst/>
                    </a:prstGeom>
                    <a:noFill/>
                    <a:ln w="9525">
                      <a:noFill/>
                      <a:miter lim="800000"/>
                      <a:headEnd/>
                      <a:tailEnd/>
                    </a:ln>
                  </pic:spPr>
                </pic:pic>
              </a:graphicData>
            </a:graphic>
          </wp:inline>
        </w:drawing>
      </w:r>
      <w:r>
        <w:drawing>
          <wp:inline distT="0" distB="0" distL="0" distR="0">
            <wp:extent cx="6051550" cy="8336280"/>
            <wp:effectExtent l="19050" t="0" r="5880" b="0"/>
            <wp:docPr id="18" name="图片 2" descr="E:\360Downloads\Software\QQGameTempest\log\微信\WeChat Files\wxid_tj4eqwcjd7gt21\FileStorage\Temp\1735210081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descr="E:\360Downloads\Software\QQGameTempest\log\微信\WeChat Files\wxid_tj4eqwcjd7gt21\FileStorage\Temp\1735210081423.png"/>
                    <pic:cNvPicPr>
                      <a:picLocks noChangeAspect="1" noChangeArrowheads="1"/>
                    </pic:cNvPicPr>
                  </pic:nvPicPr>
                  <pic:blipFill>
                    <a:blip r:embed="rId49" cstate="print"/>
                    <a:srcRect/>
                    <a:stretch>
                      <a:fillRect/>
                    </a:stretch>
                  </pic:blipFill>
                  <pic:spPr>
                    <a:xfrm>
                      <a:off x="0" y="0"/>
                      <a:ext cx="6051452" cy="8335696"/>
                    </a:xfrm>
                    <a:prstGeom prst="rect">
                      <a:avLst/>
                    </a:prstGeom>
                    <a:noFill/>
                    <a:ln w="9525">
                      <a:noFill/>
                      <a:miter lim="800000"/>
                      <a:headEnd/>
                      <a:tailEnd/>
                    </a:ln>
                  </pic:spPr>
                </pic:pic>
              </a:graphicData>
            </a:graphic>
          </wp:inline>
        </w:drawing>
      </w:r>
      <w:r>
        <w:drawing>
          <wp:inline distT="0" distB="0" distL="0" distR="0">
            <wp:extent cx="5885180" cy="8276590"/>
            <wp:effectExtent l="19050" t="0" r="1013" b="0"/>
            <wp:docPr id="19" name="图片 3" descr="E:\360Downloads\Software\QQGameTempest\log\微信\WeChat Files\wxid_tj4eqwcjd7gt21\FileStorage\Temp\1735210101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descr="E:\360Downloads\Software\QQGameTempest\log\微信\WeChat Files\wxid_tj4eqwcjd7gt21\FileStorage\Temp\1735210101020.png"/>
                    <pic:cNvPicPr>
                      <a:picLocks noChangeAspect="1" noChangeArrowheads="1"/>
                    </pic:cNvPicPr>
                  </pic:nvPicPr>
                  <pic:blipFill>
                    <a:blip r:embed="rId50" cstate="print"/>
                    <a:srcRect/>
                    <a:stretch>
                      <a:fillRect/>
                    </a:stretch>
                  </pic:blipFill>
                  <pic:spPr>
                    <a:xfrm>
                      <a:off x="0" y="0"/>
                      <a:ext cx="5884885" cy="8276324"/>
                    </a:xfrm>
                    <a:prstGeom prst="rect">
                      <a:avLst/>
                    </a:prstGeom>
                    <a:noFill/>
                    <a:ln w="9525">
                      <a:noFill/>
                      <a:miter lim="800000"/>
                      <a:headEnd/>
                      <a:tailEnd/>
                    </a:ln>
                  </pic:spPr>
                </pic:pic>
              </a:graphicData>
            </a:graphic>
          </wp:inline>
        </w:drawing>
      </w:r>
      <w:r>
        <w:drawing>
          <wp:inline distT="0" distB="0" distL="0" distR="0">
            <wp:extent cx="6023610" cy="8502650"/>
            <wp:effectExtent l="19050" t="0" r="0" b="0"/>
            <wp:docPr id="21" name="图片 4" descr="E:\360Downloads\Software\QQGameTempest\log\微信\WeChat Files\wxid_tj4eqwcjd7gt21\FileStorage\Temp\1735210115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descr="E:\360Downloads\Software\QQGameTempest\log\微信\WeChat Files\wxid_tj4eqwcjd7gt21\FileStorage\Temp\1735210115106.png"/>
                    <pic:cNvPicPr>
                      <a:picLocks noChangeAspect="1" noChangeArrowheads="1"/>
                    </pic:cNvPicPr>
                  </pic:nvPicPr>
                  <pic:blipFill>
                    <a:blip r:embed="rId51" cstate="print"/>
                    <a:srcRect/>
                    <a:stretch>
                      <a:fillRect/>
                    </a:stretch>
                  </pic:blipFill>
                  <pic:spPr>
                    <a:xfrm>
                      <a:off x="0" y="0"/>
                      <a:ext cx="6023324" cy="8501934"/>
                    </a:xfrm>
                    <a:prstGeom prst="rect">
                      <a:avLst/>
                    </a:prstGeom>
                    <a:noFill/>
                    <a:ln w="9525">
                      <a:noFill/>
                      <a:miter lim="800000"/>
                      <a:headEnd/>
                      <a:tailEnd/>
                    </a:ln>
                  </pic:spPr>
                </pic:pic>
              </a:graphicData>
            </a:graphic>
          </wp:inline>
        </w:drawing>
      </w:r>
      <w:r>
        <w:drawing>
          <wp:inline distT="0" distB="0" distL="0" distR="0">
            <wp:extent cx="5706110" cy="7861300"/>
            <wp:effectExtent l="19050" t="0" r="8765" b="0"/>
            <wp:docPr id="22" name="图片 5" descr="E:\360Downloads\Software\QQGameTempest\log\微信\WeChat Files\wxid_tj4eqwcjd7gt21\FileStorage\Temp\1735210129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descr="E:\360Downloads\Software\QQGameTempest\log\微信\WeChat Files\wxid_tj4eqwcjd7gt21\FileStorage\Temp\1735210129678.png"/>
                    <pic:cNvPicPr>
                      <a:picLocks noChangeAspect="1" noChangeArrowheads="1"/>
                    </pic:cNvPicPr>
                  </pic:nvPicPr>
                  <pic:blipFill>
                    <a:blip r:embed="rId52" cstate="print"/>
                    <a:srcRect/>
                    <a:stretch>
                      <a:fillRect/>
                    </a:stretch>
                  </pic:blipFill>
                  <pic:spPr>
                    <a:xfrm>
                      <a:off x="0" y="0"/>
                      <a:ext cx="5705700" cy="7860727"/>
                    </a:xfrm>
                    <a:prstGeom prst="rect">
                      <a:avLst/>
                    </a:prstGeom>
                    <a:noFill/>
                    <a:ln w="9525">
                      <a:noFill/>
                      <a:miter lim="800000"/>
                      <a:headEnd/>
                      <a:tailEnd/>
                    </a:ln>
                  </pic:spPr>
                </pic:pic>
              </a:graphicData>
            </a:graphic>
          </wp:inline>
        </w:drawing>
      </w:r>
      <w:r>
        <w:drawing>
          <wp:inline distT="0" distB="0" distL="0" distR="0">
            <wp:extent cx="5803265" cy="8193405"/>
            <wp:effectExtent l="19050" t="0" r="6748" b="0"/>
            <wp:docPr id="24" name="图片 6" descr="E:\360Downloads\Software\QQGameTempest\log\微信\WeChat Files\wxid_tj4eqwcjd7gt21\FileStorage\Temp\17352101448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descr="E:\360Downloads\Software\QQGameTempest\log\微信\WeChat Files\wxid_tj4eqwcjd7gt21\FileStorage\Temp\1735210144879.png"/>
                    <pic:cNvPicPr>
                      <a:picLocks noChangeAspect="1" noChangeArrowheads="1"/>
                    </pic:cNvPicPr>
                  </pic:nvPicPr>
                  <pic:blipFill>
                    <a:blip r:embed="rId53" cstate="print"/>
                    <a:srcRect/>
                    <a:stretch>
                      <a:fillRect/>
                    </a:stretch>
                  </pic:blipFill>
                  <pic:spPr>
                    <a:xfrm>
                      <a:off x="0" y="0"/>
                      <a:ext cx="5804264" cy="8195050"/>
                    </a:xfrm>
                    <a:prstGeom prst="rect">
                      <a:avLst/>
                    </a:prstGeom>
                    <a:noFill/>
                    <a:ln w="9525">
                      <a:noFill/>
                      <a:miter lim="800000"/>
                      <a:headEnd/>
                      <a:tailEnd/>
                    </a:ln>
                  </pic:spPr>
                </pic:pic>
              </a:graphicData>
            </a:graphic>
          </wp:inline>
        </w:drawing>
      </w:r>
    </w:p>
    <w:p>
      <w:pPr>
        <w:pStyle w:val="37"/>
        <w:spacing w:beforeLines="80" w:after="31"/>
        <w:jc w:val="left"/>
        <w:rPr>
          <w:rFonts w:hAnsi="宋体"/>
          <w:sz w:val="24"/>
        </w:rPr>
      </w:pPr>
      <w:r>
        <w:rPr>
          <w:rFonts w:ascii="Times New Roman"/>
          <w:b/>
          <w:kern w:val="44"/>
          <w:sz w:val="32"/>
        </w:rPr>
        <w:drawing>
          <wp:inline distT="0" distB="0" distL="0" distR="0">
            <wp:extent cx="5759450" cy="8338820"/>
            <wp:effectExtent l="19050" t="0" r="0" b="0"/>
            <wp:docPr id="225" name="图片 225" descr="E:\360Downloads\Software\QQGameTempest\log\微信\WeChat Files\wxid_tj4eqwcjd7gt21\FileStorage\Temp\0a4ad276212718136114cfa305a50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E:\360Downloads\Software\QQGameTempest\log\微信\WeChat Files\wxid_tj4eqwcjd7gt21\FileStorage\Temp\0a4ad276212718136114cfa305a508a.jpg"/>
                    <pic:cNvPicPr>
                      <a:picLocks noChangeAspect="1" noChangeArrowheads="1"/>
                    </pic:cNvPicPr>
                  </pic:nvPicPr>
                  <pic:blipFill>
                    <a:blip r:embed="rId54" cstate="print"/>
                    <a:srcRect/>
                    <a:stretch>
                      <a:fillRect/>
                    </a:stretch>
                  </pic:blipFill>
                  <pic:spPr>
                    <a:xfrm>
                      <a:off x="0" y="0"/>
                      <a:ext cx="5759450" cy="8338841"/>
                    </a:xfrm>
                    <a:prstGeom prst="rect">
                      <a:avLst/>
                    </a:prstGeom>
                    <a:noFill/>
                    <a:ln w="9525">
                      <a:noFill/>
                      <a:miter lim="800000"/>
                      <a:headEnd/>
                      <a:tailEnd/>
                    </a:ln>
                  </pic:spPr>
                </pic:pic>
              </a:graphicData>
            </a:graphic>
          </wp:inline>
        </w:drawing>
      </w:r>
    </w:p>
    <w:sectPr>
      <w:pgSz w:w="11906" w:h="16838"/>
      <w:pgMar w:top="1701" w:right="1418" w:bottom="1701" w:left="1418" w:header="851" w:footer="992" w:gutter="0"/>
      <w:cols w:space="720"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Arial Unicode MS">
    <w:altName w:val="Arial"/>
    <w:panose1 w:val="020B0604020202020204"/>
    <w:charset w:val="00"/>
    <w:family w:val="roman"/>
    <w:pitch w:val="default"/>
    <w:sig w:usb0="00000000" w:usb1="00000000" w:usb2="00000000" w:usb3="00000000" w:csb0="00000001" w:csb1="00000000"/>
  </w:font>
  <w:font w:name="Courier New">
    <w:panose1 w:val="02070309020205020404"/>
    <w:charset w:val="00"/>
    <w:family w:val="modern"/>
    <w:pitch w:val="default"/>
    <w:sig w:usb0="E0002EFF" w:usb1="C0007843" w:usb2="00000009" w:usb3="00000000" w:csb0="400001FF" w:csb1="FFFF0000"/>
  </w:font>
  <w:font w:name="Noto Sans Mono CJK JP Regular">
    <w:altName w:val="微软雅黑"/>
    <w:panose1 w:val="00000000000000000000"/>
    <w:charset w:val="00"/>
    <w:family w:val="swiss"/>
    <w:pitch w:val="default"/>
    <w:sig w:usb0="00000000" w:usb1="00000000" w:usb2="00000000" w:usb3="00000000" w:csb0="00040001" w:csb1="00000000"/>
  </w:font>
  <w:font w:name="楷体_GB2312">
    <w:altName w:val="楷体"/>
    <w:panose1 w:val="00000000000000000000"/>
    <w:charset w:val="86"/>
    <w:family w:val="modern"/>
    <w:pitch w:val="default"/>
    <w:sig w:usb0="00000000" w:usb1="00000000" w:usb2="00000000" w:usb3="00000000" w:csb0="00040000" w:csb1="00000000"/>
  </w:font>
  <w:font w:name="Tahoma">
    <w:panose1 w:val="020B0604030504040204"/>
    <w:charset w:val="00"/>
    <w:family w:val="swiss"/>
    <w:pitch w:val="default"/>
    <w:sig w:usb0="E1002EFF" w:usb1="C000605B" w:usb2="00000029" w:usb3="00000000" w:csb0="200101FF" w:csb1="20280000"/>
  </w:font>
  <w:font w:name="Arial">
    <w:panose1 w:val="020B0604020202020204"/>
    <w:charset w:val="00"/>
    <w:family w:val="swiss"/>
    <w:pitch w:val="default"/>
    <w:sig w:usb0="E0002EFF" w:usb1="C000785B" w:usb2="00000009" w:usb3="00000000" w:csb0="400001FF" w:csb1="FFFF0000"/>
  </w:font>
  <w:font w:name="Calibri Light">
    <w:panose1 w:val="020F0302020204030204"/>
    <w:charset w:val="00"/>
    <w:family w:val="swiss"/>
    <w:pitch w:val="default"/>
    <w:sig w:usb0="E4002EFF" w:usb1="C200247B" w:usb2="00000009" w:usb3="00000000" w:csb0="200001FF" w:csb1="00000000"/>
  </w:font>
  <w:font w:name="方正小标宋_GBK">
    <w:altName w:val="微软雅黑"/>
    <w:panose1 w:val="00000000000000000000"/>
    <w:charset w:val="86"/>
    <w:family w:val="script"/>
    <w:pitch w:val="default"/>
    <w:sig w:usb0="00000000" w:usb1="00000000" w:usb2="00000000" w:usb3="00000000" w:csb0="00040000" w:csb1="00000000"/>
  </w:font>
  <w:font w:name="Impact">
    <w:panose1 w:val="020B0806030902050204"/>
    <w:charset w:val="00"/>
    <w:family w:val="swiss"/>
    <w:pitch w:val="default"/>
    <w:sig w:usb0="00000287" w:usb1="00000000" w:usb2="00000000" w:usb3="00000000" w:csb0="2000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rPr>
        <w:sz w:val="24"/>
        <w:szCs w:val="24"/>
      </w:rPr>
    </w:pPr>
    <w:r>
      <w:rPr>
        <w:sz w:val="24"/>
        <w:szCs w:val="24"/>
      </w:rPr>
      <w:pict>
        <v:shape id="文本框 3" o:spid="_x0000_s2050" o:spt="202" type="#_x0000_t202" style="position:absolute;left:0pt;margin-top:0pt;height:10.35pt;width:17.1pt;mso-position-horizontal:center;mso-position-horizontal-relative:margin;z-index:25165824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">
          <v:path arrowok="t"/>
          <v:fill on="f" focussize="0,0"/>
          <v:stroke on="f" weight="0.5pt" joinstyle="miter"/>
          <v:imagedata o:title=""/>
          <o:lock v:ext="edit"/>
          <v:textbox inset="0mm,0mm,0mm,0mm" style="mso-fit-shape-to-text:t;">
            <w:txbxContent>
              <w:p>
                <w:pPr>
                  <w:pStyle w:val="19"/>
                </w:pPr>
                <w:r>
                  <w:fldChar w:fldCharType="begin"/>
                </w:r>
                <w:r>
                  <w:instrText xml:space="preserve"> PAGE  \* MERGEFORMAT </w:instrText>
                </w:r>
                <w:r>
                  <w:fldChar w:fldCharType="separate"/>
                </w:r>
                <w:r>
                  <w:t>1</w:t>
                </w:r>
                <w:r>
                  <w:fldChar w:fldCharType="end"/>
                </w: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firstLine="360"/>
      <w:jc w:val="center"/>
    </w:pPr>
    <w:r>
      <w:pict>
        <v:shape id="文本框 4" o:spid="_x0000_s2049" o:spt="202" type="#_x0000_t202" style="position:absolute;left:0pt;margin-top:0pt;height:10.35pt;width:9.05pt;mso-position-horizontal:center;mso-position-horizontal-relative:margin;mso-wrap-style:none;z-index:251659264;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">
          <v:path arrowok="t"/>
          <v:fill on="f" focussize="0,0"/>
          <v:stroke on="f" weight="0.5pt" joinstyle="miter"/>
          <v:imagedata o:title=""/>
          <o:lock v:ext="edit"/>
          <v:textbox inset="0mm,0mm,0mm,0mm" style="mso-fit-shape-to-text:t;">
            <w:txbxContent>
              <w:p>
                <w:pPr>
                  <w:pStyle w:val="19"/>
                </w:pPr>
                <w:r>
                  <w:fldChar w:fldCharType="begin"/>
                </w:r>
                <w:r>
                  <w:instrText xml:space="preserve"> PAGE  \* MERGEFORMAT </w:instrText>
                </w:r>
                <w:r>
                  <w:fldChar w:fldCharType="separate"/>
                </w:r>
                <w:r>
                  <w:t>58</w:t>
                </w:r>
                <w:r>
                  <w:fldChar w:fldCharType="end"/>
                </w:r>
              </w:p>
            </w:txbxContent>
          </v:textbox>
        </v:shape>
      </w:pic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0486940"/>
    <w:multiLevelType w:val="multilevel"/>
    <w:tmpl w:val="30486940"/>
    <w:lvl w:ilvl="0" w:tentative="0">
      <w:start w:val="1"/>
      <w:numFmt w:val="decimal"/>
      <w:lvlText w:val="表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6BE1A29F"/>
    <w:multiLevelType w:val="singleLevel"/>
    <w:tmpl w:val="6BE1A29F"/>
    <w:lvl w:ilvl="0" w:tentative="0">
      <w:start w:val="1"/>
      <w:numFmt w:val="chineseCounting"/>
      <w:suff w:val="nothing"/>
      <w:lvlText w:val="%1、"/>
      <w:lvlJc w:val="left"/>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bordersDoNotSurroundHeader w:val="1"/>
  <w:bordersDoNotSurroundFooter w:val="1"/>
  <w:documentProtection w:enforcement="0"/>
  <w:defaultTabStop w:val="420"/>
  <w:drawingGridVerticalSpacing w:val="156"/>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2"/>
  </w:compat>
  <w:rsids>
    <w:rsidRoot w:val="01EC7213"/>
    <w:rsid w:val="000000AE"/>
    <w:rsid w:val="000007B4"/>
    <w:rsid w:val="00006703"/>
    <w:rsid w:val="0000673E"/>
    <w:rsid w:val="00006CAD"/>
    <w:rsid w:val="00007E44"/>
    <w:rsid w:val="00010CC0"/>
    <w:rsid w:val="000114A4"/>
    <w:rsid w:val="0001231B"/>
    <w:rsid w:val="0001290A"/>
    <w:rsid w:val="00012D60"/>
    <w:rsid w:val="000137C8"/>
    <w:rsid w:val="00014039"/>
    <w:rsid w:val="00014536"/>
    <w:rsid w:val="000149AF"/>
    <w:rsid w:val="00014DCE"/>
    <w:rsid w:val="00017281"/>
    <w:rsid w:val="000205A6"/>
    <w:rsid w:val="000205C4"/>
    <w:rsid w:val="00020E39"/>
    <w:rsid w:val="00020FC0"/>
    <w:rsid w:val="0002121C"/>
    <w:rsid w:val="00021511"/>
    <w:rsid w:val="00022623"/>
    <w:rsid w:val="00022B51"/>
    <w:rsid w:val="0002339A"/>
    <w:rsid w:val="0002438E"/>
    <w:rsid w:val="00024646"/>
    <w:rsid w:val="000263BC"/>
    <w:rsid w:val="00027073"/>
    <w:rsid w:val="000271AC"/>
    <w:rsid w:val="000277ED"/>
    <w:rsid w:val="00027E58"/>
    <w:rsid w:val="00032878"/>
    <w:rsid w:val="00032A6C"/>
    <w:rsid w:val="00032BD8"/>
    <w:rsid w:val="00032E15"/>
    <w:rsid w:val="000330AE"/>
    <w:rsid w:val="00033B9A"/>
    <w:rsid w:val="00035012"/>
    <w:rsid w:val="00035711"/>
    <w:rsid w:val="00035C91"/>
    <w:rsid w:val="00036FFA"/>
    <w:rsid w:val="000377D0"/>
    <w:rsid w:val="00037AA2"/>
    <w:rsid w:val="00037F0C"/>
    <w:rsid w:val="000408E8"/>
    <w:rsid w:val="00040B44"/>
    <w:rsid w:val="00041238"/>
    <w:rsid w:val="00042058"/>
    <w:rsid w:val="000421AB"/>
    <w:rsid w:val="0004370B"/>
    <w:rsid w:val="00047433"/>
    <w:rsid w:val="000505FB"/>
    <w:rsid w:val="00050C35"/>
    <w:rsid w:val="00051A6C"/>
    <w:rsid w:val="000526DB"/>
    <w:rsid w:val="00053738"/>
    <w:rsid w:val="000540CC"/>
    <w:rsid w:val="0005523D"/>
    <w:rsid w:val="00055696"/>
    <w:rsid w:val="00056B84"/>
    <w:rsid w:val="0006051B"/>
    <w:rsid w:val="00060646"/>
    <w:rsid w:val="000621CD"/>
    <w:rsid w:val="00062D46"/>
    <w:rsid w:val="00063356"/>
    <w:rsid w:val="00064AFA"/>
    <w:rsid w:val="000652B8"/>
    <w:rsid w:val="000659F5"/>
    <w:rsid w:val="000671BC"/>
    <w:rsid w:val="00070088"/>
    <w:rsid w:val="00071ED4"/>
    <w:rsid w:val="00072213"/>
    <w:rsid w:val="000734F2"/>
    <w:rsid w:val="00074B60"/>
    <w:rsid w:val="00075A57"/>
    <w:rsid w:val="00077119"/>
    <w:rsid w:val="0008244D"/>
    <w:rsid w:val="0008276C"/>
    <w:rsid w:val="00085367"/>
    <w:rsid w:val="00087626"/>
    <w:rsid w:val="0009013F"/>
    <w:rsid w:val="000903DD"/>
    <w:rsid w:val="00090A73"/>
    <w:rsid w:val="00090B26"/>
    <w:rsid w:val="000910B2"/>
    <w:rsid w:val="000924EF"/>
    <w:rsid w:val="000979AE"/>
    <w:rsid w:val="000A0B69"/>
    <w:rsid w:val="000A1C83"/>
    <w:rsid w:val="000A1FCA"/>
    <w:rsid w:val="000A22DE"/>
    <w:rsid w:val="000A27FA"/>
    <w:rsid w:val="000A3CAB"/>
    <w:rsid w:val="000A4C38"/>
    <w:rsid w:val="000A51B1"/>
    <w:rsid w:val="000A57B8"/>
    <w:rsid w:val="000A65EC"/>
    <w:rsid w:val="000A671C"/>
    <w:rsid w:val="000A7956"/>
    <w:rsid w:val="000A7C23"/>
    <w:rsid w:val="000A7FF0"/>
    <w:rsid w:val="000B01A3"/>
    <w:rsid w:val="000B0839"/>
    <w:rsid w:val="000B0B7D"/>
    <w:rsid w:val="000B0F80"/>
    <w:rsid w:val="000B19C9"/>
    <w:rsid w:val="000B2B4C"/>
    <w:rsid w:val="000B2DE4"/>
    <w:rsid w:val="000B2EBE"/>
    <w:rsid w:val="000B3305"/>
    <w:rsid w:val="000B38BD"/>
    <w:rsid w:val="000B3F16"/>
    <w:rsid w:val="000B403F"/>
    <w:rsid w:val="000B4843"/>
    <w:rsid w:val="000B4D22"/>
    <w:rsid w:val="000B4FE7"/>
    <w:rsid w:val="000B5855"/>
    <w:rsid w:val="000B59A6"/>
    <w:rsid w:val="000B79E5"/>
    <w:rsid w:val="000B7C67"/>
    <w:rsid w:val="000B7D0C"/>
    <w:rsid w:val="000C0258"/>
    <w:rsid w:val="000C0C71"/>
    <w:rsid w:val="000C1A55"/>
    <w:rsid w:val="000C2880"/>
    <w:rsid w:val="000C2BB8"/>
    <w:rsid w:val="000C2E3F"/>
    <w:rsid w:val="000C3B4C"/>
    <w:rsid w:val="000C410A"/>
    <w:rsid w:val="000C6106"/>
    <w:rsid w:val="000C6756"/>
    <w:rsid w:val="000C6BCD"/>
    <w:rsid w:val="000C6C5F"/>
    <w:rsid w:val="000C6DC1"/>
    <w:rsid w:val="000C6F51"/>
    <w:rsid w:val="000C6FDA"/>
    <w:rsid w:val="000C73A6"/>
    <w:rsid w:val="000C7447"/>
    <w:rsid w:val="000C745B"/>
    <w:rsid w:val="000D0856"/>
    <w:rsid w:val="000D2178"/>
    <w:rsid w:val="000D2939"/>
    <w:rsid w:val="000D40DD"/>
    <w:rsid w:val="000D45C7"/>
    <w:rsid w:val="000D5862"/>
    <w:rsid w:val="000D7462"/>
    <w:rsid w:val="000D75BB"/>
    <w:rsid w:val="000D7AFB"/>
    <w:rsid w:val="000E0C63"/>
    <w:rsid w:val="000E1217"/>
    <w:rsid w:val="000E1900"/>
    <w:rsid w:val="000E1941"/>
    <w:rsid w:val="000E1C67"/>
    <w:rsid w:val="000E4DFD"/>
    <w:rsid w:val="000E522C"/>
    <w:rsid w:val="000E58B7"/>
    <w:rsid w:val="000E655B"/>
    <w:rsid w:val="000E7146"/>
    <w:rsid w:val="000E74F2"/>
    <w:rsid w:val="000F00DB"/>
    <w:rsid w:val="000F10DC"/>
    <w:rsid w:val="000F1AB4"/>
    <w:rsid w:val="000F2001"/>
    <w:rsid w:val="000F6743"/>
    <w:rsid w:val="000F7684"/>
    <w:rsid w:val="00100205"/>
    <w:rsid w:val="0010157D"/>
    <w:rsid w:val="00102DA8"/>
    <w:rsid w:val="0010392E"/>
    <w:rsid w:val="00103B2C"/>
    <w:rsid w:val="00103CE7"/>
    <w:rsid w:val="00103D23"/>
    <w:rsid w:val="0010598C"/>
    <w:rsid w:val="001071A4"/>
    <w:rsid w:val="001071F3"/>
    <w:rsid w:val="00110F65"/>
    <w:rsid w:val="001110B8"/>
    <w:rsid w:val="00111A91"/>
    <w:rsid w:val="00111D84"/>
    <w:rsid w:val="00112786"/>
    <w:rsid w:val="00113180"/>
    <w:rsid w:val="001135EE"/>
    <w:rsid w:val="00113B7C"/>
    <w:rsid w:val="00113E0F"/>
    <w:rsid w:val="0011473E"/>
    <w:rsid w:val="00114905"/>
    <w:rsid w:val="001153CA"/>
    <w:rsid w:val="00115E28"/>
    <w:rsid w:val="00116ADA"/>
    <w:rsid w:val="00116E32"/>
    <w:rsid w:val="001202A1"/>
    <w:rsid w:val="001239A5"/>
    <w:rsid w:val="001240D2"/>
    <w:rsid w:val="001247B9"/>
    <w:rsid w:val="00124958"/>
    <w:rsid w:val="00124D53"/>
    <w:rsid w:val="0012616B"/>
    <w:rsid w:val="00126CD4"/>
    <w:rsid w:val="00126F03"/>
    <w:rsid w:val="00127672"/>
    <w:rsid w:val="00127F7B"/>
    <w:rsid w:val="00130D91"/>
    <w:rsid w:val="0013120C"/>
    <w:rsid w:val="0013266B"/>
    <w:rsid w:val="001328BA"/>
    <w:rsid w:val="00133991"/>
    <w:rsid w:val="00135128"/>
    <w:rsid w:val="00135167"/>
    <w:rsid w:val="00136F35"/>
    <w:rsid w:val="0013747B"/>
    <w:rsid w:val="0014070D"/>
    <w:rsid w:val="001408BD"/>
    <w:rsid w:val="00140A3C"/>
    <w:rsid w:val="00142817"/>
    <w:rsid w:val="00142A5A"/>
    <w:rsid w:val="001431D1"/>
    <w:rsid w:val="001433C2"/>
    <w:rsid w:val="00143BEE"/>
    <w:rsid w:val="0014545D"/>
    <w:rsid w:val="00146037"/>
    <w:rsid w:val="00146059"/>
    <w:rsid w:val="001464AB"/>
    <w:rsid w:val="00146E9D"/>
    <w:rsid w:val="001501DF"/>
    <w:rsid w:val="00150C59"/>
    <w:rsid w:val="00151384"/>
    <w:rsid w:val="00151B1C"/>
    <w:rsid w:val="00151F7B"/>
    <w:rsid w:val="001530B2"/>
    <w:rsid w:val="001547E7"/>
    <w:rsid w:val="00154845"/>
    <w:rsid w:val="001558BA"/>
    <w:rsid w:val="00155C9A"/>
    <w:rsid w:val="00157430"/>
    <w:rsid w:val="00157AC1"/>
    <w:rsid w:val="00160019"/>
    <w:rsid w:val="00161D35"/>
    <w:rsid w:val="001640EC"/>
    <w:rsid w:val="00164390"/>
    <w:rsid w:val="00164A92"/>
    <w:rsid w:val="0016530C"/>
    <w:rsid w:val="001655D3"/>
    <w:rsid w:val="0016591E"/>
    <w:rsid w:val="00165947"/>
    <w:rsid w:val="001665C6"/>
    <w:rsid w:val="00166896"/>
    <w:rsid w:val="00171F71"/>
    <w:rsid w:val="00172B99"/>
    <w:rsid w:val="00172BE9"/>
    <w:rsid w:val="00172E0A"/>
    <w:rsid w:val="00173463"/>
    <w:rsid w:val="001749C2"/>
    <w:rsid w:val="00174EA8"/>
    <w:rsid w:val="0017519F"/>
    <w:rsid w:val="00175C15"/>
    <w:rsid w:val="00175C97"/>
    <w:rsid w:val="00176212"/>
    <w:rsid w:val="001765BC"/>
    <w:rsid w:val="00176E65"/>
    <w:rsid w:val="00177050"/>
    <w:rsid w:val="00181180"/>
    <w:rsid w:val="001816B7"/>
    <w:rsid w:val="001826E2"/>
    <w:rsid w:val="00182AD6"/>
    <w:rsid w:val="00182B95"/>
    <w:rsid w:val="001834C3"/>
    <w:rsid w:val="00184D58"/>
    <w:rsid w:val="00185299"/>
    <w:rsid w:val="001866E5"/>
    <w:rsid w:val="00186F5F"/>
    <w:rsid w:val="00187B67"/>
    <w:rsid w:val="00187CF2"/>
    <w:rsid w:val="00187F4D"/>
    <w:rsid w:val="001901CA"/>
    <w:rsid w:val="001927D8"/>
    <w:rsid w:val="00193C2E"/>
    <w:rsid w:val="001A0993"/>
    <w:rsid w:val="001A0D51"/>
    <w:rsid w:val="001A1ED9"/>
    <w:rsid w:val="001A2059"/>
    <w:rsid w:val="001A2748"/>
    <w:rsid w:val="001A4837"/>
    <w:rsid w:val="001A5A9B"/>
    <w:rsid w:val="001A79D0"/>
    <w:rsid w:val="001B0BFB"/>
    <w:rsid w:val="001B130B"/>
    <w:rsid w:val="001B2CBD"/>
    <w:rsid w:val="001B31BC"/>
    <w:rsid w:val="001B3680"/>
    <w:rsid w:val="001B4C67"/>
    <w:rsid w:val="001B64F9"/>
    <w:rsid w:val="001B7B11"/>
    <w:rsid w:val="001B7C27"/>
    <w:rsid w:val="001C0972"/>
    <w:rsid w:val="001C158D"/>
    <w:rsid w:val="001C1687"/>
    <w:rsid w:val="001C1756"/>
    <w:rsid w:val="001C28D6"/>
    <w:rsid w:val="001C2F2B"/>
    <w:rsid w:val="001C3198"/>
    <w:rsid w:val="001C39B8"/>
    <w:rsid w:val="001C4176"/>
    <w:rsid w:val="001C4201"/>
    <w:rsid w:val="001C60B1"/>
    <w:rsid w:val="001C61BA"/>
    <w:rsid w:val="001C7B47"/>
    <w:rsid w:val="001C7E33"/>
    <w:rsid w:val="001D00D8"/>
    <w:rsid w:val="001D05E4"/>
    <w:rsid w:val="001D076C"/>
    <w:rsid w:val="001D20E5"/>
    <w:rsid w:val="001D2428"/>
    <w:rsid w:val="001D310B"/>
    <w:rsid w:val="001D3590"/>
    <w:rsid w:val="001D54F4"/>
    <w:rsid w:val="001D7DBA"/>
    <w:rsid w:val="001E09FF"/>
    <w:rsid w:val="001E2E00"/>
    <w:rsid w:val="001E31E4"/>
    <w:rsid w:val="001E372F"/>
    <w:rsid w:val="001E407C"/>
    <w:rsid w:val="001E4D5B"/>
    <w:rsid w:val="001E5757"/>
    <w:rsid w:val="001E758F"/>
    <w:rsid w:val="001E7C72"/>
    <w:rsid w:val="001F0B2C"/>
    <w:rsid w:val="001F0E61"/>
    <w:rsid w:val="001F1952"/>
    <w:rsid w:val="001F19CE"/>
    <w:rsid w:val="001F1AB8"/>
    <w:rsid w:val="001F21DF"/>
    <w:rsid w:val="001F2FB4"/>
    <w:rsid w:val="001F4C3C"/>
    <w:rsid w:val="001F4C48"/>
    <w:rsid w:val="001F5DA5"/>
    <w:rsid w:val="001F6DA8"/>
    <w:rsid w:val="001F7272"/>
    <w:rsid w:val="001F7CE9"/>
    <w:rsid w:val="002001EB"/>
    <w:rsid w:val="00201006"/>
    <w:rsid w:val="00201B24"/>
    <w:rsid w:val="00202E0E"/>
    <w:rsid w:val="00203141"/>
    <w:rsid w:val="00203C43"/>
    <w:rsid w:val="00204730"/>
    <w:rsid w:val="00204772"/>
    <w:rsid w:val="002059A5"/>
    <w:rsid w:val="00206894"/>
    <w:rsid w:val="00206BC5"/>
    <w:rsid w:val="002073DC"/>
    <w:rsid w:val="00207AA4"/>
    <w:rsid w:val="00211F76"/>
    <w:rsid w:val="00214825"/>
    <w:rsid w:val="00214E59"/>
    <w:rsid w:val="002163FA"/>
    <w:rsid w:val="00217468"/>
    <w:rsid w:val="002217CE"/>
    <w:rsid w:val="00222758"/>
    <w:rsid w:val="00224C94"/>
    <w:rsid w:val="00224EFA"/>
    <w:rsid w:val="0022537B"/>
    <w:rsid w:val="0022653C"/>
    <w:rsid w:val="00226A30"/>
    <w:rsid w:val="00227EEE"/>
    <w:rsid w:val="00227F82"/>
    <w:rsid w:val="00227FC2"/>
    <w:rsid w:val="00230CB6"/>
    <w:rsid w:val="00232340"/>
    <w:rsid w:val="002323C9"/>
    <w:rsid w:val="00232639"/>
    <w:rsid w:val="002338DA"/>
    <w:rsid w:val="00233CA0"/>
    <w:rsid w:val="00235CDF"/>
    <w:rsid w:val="0023610A"/>
    <w:rsid w:val="0023783C"/>
    <w:rsid w:val="00237D08"/>
    <w:rsid w:val="00241265"/>
    <w:rsid w:val="002412A0"/>
    <w:rsid w:val="002416EB"/>
    <w:rsid w:val="00241E6A"/>
    <w:rsid w:val="00243A0A"/>
    <w:rsid w:val="00243DEE"/>
    <w:rsid w:val="002463EF"/>
    <w:rsid w:val="0025044F"/>
    <w:rsid w:val="00251146"/>
    <w:rsid w:val="00252053"/>
    <w:rsid w:val="00252131"/>
    <w:rsid w:val="00253857"/>
    <w:rsid w:val="002550EF"/>
    <w:rsid w:val="00255588"/>
    <w:rsid w:val="00255B75"/>
    <w:rsid w:val="0025789B"/>
    <w:rsid w:val="00260ABC"/>
    <w:rsid w:val="00262147"/>
    <w:rsid w:val="002637A3"/>
    <w:rsid w:val="00264320"/>
    <w:rsid w:val="00265664"/>
    <w:rsid w:val="00266D6F"/>
    <w:rsid w:val="002670F4"/>
    <w:rsid w:val="00270D9A"/>
    <w:rsid w:val="00270FE6"/>
    <w:rsid w:val="00271744"/>
    <w:rsid w:val="0027239F"/>
    <w:rsid w:val="00272514"/>
    <w:rsid w:val="00274A3B"/>
    <w:rsid w:val="00275E11"/>
    <w:rsid w:val="00275ECA"/>
    <w:rsid w:val="00276A11"/>
    <w:rsid w:val="00277804"/>
    <w:rsid w:val="00281AC8"/>
    <w:rsid w:val="00282345"/>
    <w:rsid w:val="00283E30"/>
    <w:rsid w:val="00286091"/>
    <w:rsid w:val="00286CC9"/>
    <w:rsid w:val="00286E2F"/>
    <w:rsid w:val="00287C31"/>
    <w:rsid w:val="002914B6"/>
    <w:rsid w:val="0029197C"/>
    <w:rsid w:val="00292D1F"/>
    <w:rsid w:val="0029513C"/>
    <w:rsid w:val="00295EBC"/>
    <w:rsid w:val="00296430"/>
    <w:rsid w:val="002A1113"/>
    <w:rsid w:val="002A2207"/>
    <w:rsid w:val="002A32C9"/>
    <w:rsid w:val="002A33AE"/>
    <w:rsid w:val="002A3C74"/>
    <w:rsid w:val="002A4DB6"/>
    <w:rsid w:val="002A5055"/>
    <w:rsid w:val="002A7BDA"/>
    <w:rsid w:val="002A7F3F"/>
    <w:rsid w:val="002B064C"/>
    <w:rsid w:val="002B11A7"/>
    <w:rsid w:val="002B39CE"/>
    <w:rsid w:val="002B4C3E"/>
    <w:rsid w:val="002B4D10"/>
    <w:rsid w:val="002B62E3"/>
    <w:rsid w:val="002B7D09"/>
    <w:rsid w:val="002B7DF5"/>
    <w:rsid w:val="002C108B"/>
    <w:rsid w:val="002C2184"/>
    <w:rsid w:val="002C4807"/>
    <w:rsid w:val="002C4A41"/>
    <w:rsid w:val="002C565C"/>
    <w:rsid w:val="002C5A2B"/>
    <w:rsid w:val="002C6429"/>
    <w:rsid w:val="002C6689"/>
    <w:rsid w:val="002C7153"/>
    <w:rsid w:val="002C79F6"/>
    <w:rsid w:val="002D1511"/>
    <w:rsid w:val="002D1919"/>
    <w:rsid w:val="002D198E"/>
    <w:rsid w:val="002D2C0F"/>
    <w:rsid w:val="002D5161"/>
    <w:rsid w:val="002D7473"/>
    <w:rsid w:val="002E071F"/>
    <w:rsid w:val="002E0974"/>
    <w:rsid w:val="002E142C"/>
    <w:rsid w:val="002E1828"/>
    <w:rsid w:val="002E1D80"/>
    <w:rsid w:val="002E3E3F"/>
    <w:rsid w:val="002E4E90"/>
    <w:rsid w:val="002E53F2"/>
    <w:rsid w:val="002E56D1"/>
    <w:rsid w:val="002E5710"/>
    <w:rsid w:val="002E5FCE"/>
    <w:rsid w:val="002E61DE"/>
    <w:rsid w:val="002E7BC9"/>
    <w:rsid w:val="002E7E09"/>
    <w:rsid w:val="002F051C"/>
    <w:rsid w:val="002F0629"/>
    <w:rsid w:val="002F0B8F"/>
    <w:rsid w:val="002F0FA8"/>
    <w:rsid w:val="002F1210"/>
    <w:rsid w:val="002F148C"/>
    <w:rsid w:val="002F31DC"/>
    <w:rsid w:val="002F3A4A"/>
    <w:rsid w:val="002F3E95"/>
    <w:rsid w:val="002F4A9D"/>
    <w:rsid w:val="002F4D9F"/>
    <w:rsid w:val="002F521C"/>
    <w:rsid w:val="002F547D"/>
    <w:rsid w:val="002F5A3E"/>
    <w:rsid w:val="002F5C0D"/>
    <w:rsid w:val="002F72BD"/>
    <w:rsid w:val="002F769A"/>
    <w:rsid w:val="003003E4"/>
    <w:rsid w:val="0030067D"/>
    <w:rsid w:val="003018FB"/>
    <w:rsid w:val="00301E22"/>
    <w:rsid w:val="00302105"/>
    <w:rsid w:val="003022C1"/>
    <w:rsid w:val="0030297F"/>
    <w:rsid w:val="00303B18"/>
    <w:rsid w:val="00304439"/>
    <w:rsid w:val="00305800"/>
    <w:rsid w:val="0030649E"/>
    <w:rsid w:val="00306C63"/>
    <w:rsid w:val="003076E3"/>
    <w:rsid w:val="00307C11"/>
    <w:rsid w:val="003101E7"/>
    <w:rsid w:val="00310B65"/>
    <w:rsid w:val="00310FE4"/>
    <w:rsid w:val="00311E44"/>
    <w:rsid w:val="003137DE"/>
    <w:rsid w:val="00314D0F"/>
    <w:rsid w:val="00315FA9"/>
    <w:rsid w:val="003160C1"/>
    <w:rsid w:val="00316EEC"/>
    <w:rsid w:val="00317199"/>
    <w:rsid w:val="00317ADD"/>
    <w:rsid w:val="00321ABA"/>
    <w:rsid w:val="00321F61"/>
    <w:rsid w:val="0032521E"/>
    <w:rsid w:val="003252B1"/>
    <w:rsid w:val="003253AA"/>
    <w:rsid w:val="00325C3E"/>
    <w:rsid w:val="00326642"/>
    <w:rsid w:val="00326D29"/>
    <w:rsid w:val="00326FB3"/>
    <w:rsid w:val="0033049F"/>
    <w:rsid w:val="00331854"/>
    <w:rsid w:val="003321E7"/>
    <w:rsid w:val="003339E5"/>
    <w:rsid w:val="00333A37"/>
    <w:rsid w:val="0033456E"/>
    <w:rsid w:val="00334EEA"/>
    <w:rsid w:val="00335133"/>
    <w:rsid w:val="00335B1C"/>
    <w:rsid w:val="003363C9"/>
    <w:rsid w:val="00337159"/>
    <w:rsid w:val="00337337"/>
    <w:rsid w:val="00337A93"/>
    <w:rsid w:val="003403FF"/>
    <w:rsid w:val="00340419"/>
    <w:rsid w:val="00340B9E"/>
    <w:rsid w:val="003415D9"/>
    <w:rsid w:val="00342119"/>
    <w:rsid w:val="00342663"/>
    <w:rsid w:val="00342D4A"/>
    <w:rsid w:val="0034445C"/>
    <w:rsid w:val="00344984"/>
    <w:rsid w:val="00344D5A"/>
    <w:rsid w:val="003455E0"/>
    <w:rsid w:val="00345B91"/>
    <w:rsid w:val="003464DB"/>
    <w:rsid w:val="00346777"/>
    <w:rsid w:val="00346B2F"/>
    <w:rsid w:val="003475E2"/>
    <w:rsid w:val="00347F21"/>
    <w:rsid w:val="00350592"/>
    <w:rsid w:val="00350DE0"/>
    <w:rsid w:val="0035129E"/>
    <w:rsid w:val="00351448"/>
    <w:rsid w:val="00352749"/>
    <w:rsid w:val="003541A9"/>
    <w:rsid w:val="0035564A"/>
    <w:rsid w:val="003569DC"/>
    <w:rsid w:val="00356F32"/>
    <w:rsid w:val="0036000A"/>
    <w:rsid w:val="00360369"/>
    <w:rsid w:val="00360474"/>
    <w:rsid w:val="00361729"/>
    <w:rsid w:val="0036249A"/>
    <w:rsid w:val="0036267A"/>
    <w:rsid w:val="00362E90"/>
    <w:rsid w:val="00363CDD"/>
    <w:rsid w:val="00363E85"/>
    <w:rsid w:val="00364826"/>
    <w:rsid w:val="00364832"/>
    <w:rsid w:val="0036543A"/>
    <w:rsid w:val="0036639C"/>
    <w:rsid w:val="00370006"/>
    <w:rsid w:val="003726A3"/>
    <w:rsid w:val="003728E0"/>
    <w:rsid w:val="00374E27"/>
    <w:rsid w:val="00376DB9"/>
    <w:rsid w:val="0037734C"/>
    <w:rsid w:val="00377597"/>
    <w:rsid w:val="003777E0"/>
    <w:rsid w:val="00377B02"/>
    <w:rsid w:val="00377D0C"/>
    <w:rsid w:val="00377D92"/>
    <w:rsid w:val="00380C34"/>
    <w:rsid w:val="00381C41"/>
    <w:rsid w:val="00381F01"/>
    <w:rsid w:val="003826EC"/>
    <w:rsid w:val="00384425"/>
    <w:rsid w:val="003846EB"/>
    <w:rsid w:val="0038538C"/>
    <w:rsid w:val="00385CE2"/>
    <w:rsid w:val="0038687B"/>
    <w:rsid w:val="003869DE"/>
    <w:rsid w:val="00387D6A"/>
    <w:rsid w:val="00391643"/>
    <w:rsid w:val="00392260"/>
    <w:rsid w:val="00392DC5"/>
    <w:rsid w:val="003946C3"/>
    <w:rsid w:val="003964B2"/>
    <w:rsid w:val="00397B4C"/>
    <w:rsid w:val="00397E4F"/>
    <w:rsid w:val="003A02B6"/>
    <w:rsid w:val="003A136C"/>
    <w:rsid w:val="003A17A5"/>
    <w:rsid w:val="003A20DA"/>
    <w:rsid w:val="003A2D73"/>
    <w:rsid w:val="003A33B7"/>
    <w:rsid w:val="003A33C8"/>
    <w:rsid w:val="003A50EB"/>
    <w:rsid w:val="003A633A"/>
    <w:rsid w:val="003A6429"/>
    <w:rsid w:val="003A7BCD"/>
    <w:rsid w:val="003B1DE2"/>
    <w:rsid w:val="003B249E"/>
    <w:rsid w:val="003B2F75"/>
    <w:rsid w:val="003B3C0D"/>
    <w:rsid w:val="003B4145"/>
    <w:rsid w:val="003B4851"/>
    <w:rsid w:val="003B4856"/>
    <w:rsid w:val="003B4CA6"/>
    <w:rsid w:val="003B4F1B"/>
    <w:rsid w:val="003B534E"/>
    <w:rsid w:val="003B5B01"/>
    <w:rsid w:val="003C237C"/>
    <w:rsid w:val="003C2BCD"/>
    <w:rsid w:val="003C3568"/>
    <w:rsid w:val="003C3C4A"/>
    <w:rsid w:val="003C3D72"/>
    <w:rsid w:val="003C4377"/>
    <w:rsid w:val="003C514F"/>
    <w:rsid w:val="003C598A"/>
    <w:rsid w:val="003C636C"/>
    <w:rsid w:val="003C66BB"/>
    <w:rsid w:val="003C78E6"/>
    <w:rsid w:val="003C7A38"/>
    <w:rsid w:val="003D008F"/>
    <w:rsid w:val="003D2B75"/>
    <w:rsid w:val="003D301A"/>
    <w:rsid w:val="003D347A"/>
    <w:rsid w:val="003D36C5"/>
    <w:rsid w:val="003D4049"/>
    <w:rsid w:val="003D456C"/>
    <w:rsid w:val="003D45A9"/>
    <w:rsid w:val="003D54A4"/>
    <w:rsid w:val="003D5F01"/>
    <w:rsid w:val="003D72AE"/>
    <w:rsid w:val="003D73B1"/>
    <w:rsid w:val="003D7B5E"/>
    <w:rsid w:val="003E0007"/>
    <w:rsid w:val="003E08A7"/>
    <w:rsid w:val="003E1447"/>
    <w:rsid w:val="003E22AC"/>
    <w:rsid w:val="003E2AEF"/>
    <w:rsid w:val="003E48C7"/>
    <w:rsid w:val="003E49FB"/>
    <w:rsid w:val="003E52A3"/>
    <w:rsid w:val="003E74EA"/>
    <w:rsid w:val="003F1910"/>
    <w:rsid w:val="003F2DB1"/>
    <w:rsid w:val="003F33D9"/>
    <w:rsid w:val="003F5A64"/>
    <w:rsid w:val="003F721A"/>
    <w:rsid w:val="0040096B"/>
    <w:rsid w:val="00400FAF"/>
    <w:rsid w:val="00401721"/>
    <w:rsid w:val="004017EE"/>
    <w:rsid w:val="0040188C"/>
    <w:rsid w:val="00402A02"/>
    <w:rsid w:val="00402D88"/>
    <w:rsid w:val="004031F9"/>
    <w:rsid w:val="0040324F"/>
    <w:rsid w:val="004035FC"/>
    <w:rsid w:val="00403DDD"/>
    <w:rsid w:val="00404B95"/>
    <w:rsid w:val="00405055"/>
    <w:rsid w:val="004055EE"/>
    <w:rsid w:val="004056FA"/>
    <w:rsid w:val="00406725"/>
    <w:rsid w:val="00407677"/>
    <w:rsid w:val="00411128"/>
    <w:rsid w:val="00411CA5"/>
    <w:rsid w:val="0041240E"/>
    <w:rsid w:val="00412C4E"/>
    <w:rsid w:val="00413069"/>
    <w:rsid w:val="004133F1"/>
    <w:rsid w:val="00413A5B"/>
    <w:rsid w:val="00415BD2"/>
    <w:rsid w:val="00415C1E"/>
    <w:rsid w:val="00415FCF"/>
    <w:rsid w:val="004167C3"/>
    <w:rsid w:val="00417113"/>
    <w:rsid w:val="00417865"/>
    <w:rsid w:val="0042014C"/>
    <w:rsid w:val="0042087A"/>
    <w:rsid w:val="0042131E"/>
    <w:rsid w:val="00421DAC"/>
    <w:rsid w:val="0042270E"/>
    <w:rsid w:val="00422A6C"/>
    <w:rsid w:val="00422BEB"/>
    <w:rsid w:val="0042304F"/>
    <w:rsid w:val="004237C1"/>
    <w:rsid w:val="00423C4F"/>
    <w:rsid w:val="0042443D"/>
    <w:rsid w:val="004245A2"/>
    <w:rsid w:val="00425207"/>
    <w:rsid w:val="0042584B"/>
    <w:rsid w:val="00426938"/>
    <w:rsid w:val="00427AD5"/>
    <w:rsid w:val="00431F1E"/>
    <w:rsid w:val="00432584"/>
    <w:rsid w:val="004329F1"/>
    <w:rsid w:val="00433410"/>
    <w:rsid w:val="00433721"/>
    <w:rsid w:val="00434D0D"/>
    <w:rsid w:val="004351B9"/>
    <w:rsid w:val="0043615D"/>
    <w:rsid w:val="00436608"/>
    <w:rsid w:val="004367AC"/>
    <w:rsid w:val="0043729E"/>
    <w:rsid w:val="00437C35"/>
    <w:rsid w:val="00437F16"/>
    <w:rsid w:val="004400EE"/>
    <w:rsid w:val="004414EE"/>
    <w:rsid w:val="00441854"/>
    <w:rsid w:val="00442A6C"/>
    <w:rsid w:val="0044331E"/>
    <w:rsid w:val="00443CA2"/>
    <w:rsid w:val="00444849"/>
    <w:rsid w:val="00444D18"/>
    <w:rsid w:val="004455F7"/>
    <w:rsid w:val="0044562F"/>
    <w:rsid w:val="004456DC"/>
    <w:rsid w:val="00445BDF"/>
    <w:rsid w:val="00447307"/>
    <w:rsid w:val="00447A60"/>
    <w:rsid w:val="00450B40"/>
    <w:rsid w:val="00450BE8"/>
    <w:rsid w:val="00451AB9"/>
    <w:rsid w:val="00452C85"/>
    <w:rsid w:val="00453263"/>
    <w:rsid w:val="00453E94"/>
    <w:rsid w:val="00454B3A"/>
    <w:rsid w:val="0045505C"/>
    <w:rsid w:val="00457C33"/>
    <w:rsid w:val="00462D02"/>
    <w:rsid w:val="004631A8"/>
    <w:rsid w:val="00463239"/>
    <w:rsid w:val="0046408A"/>
    <w:rsid w:val="004654E5"/>
    <w:rsid w:val="004654FA"/>
    <w:rsid w:val="00465949"/>
    <w:rsid w:val="004664D4"/>
    <w:rsid w:val="004667F8"/>
    <w:rsid w:val="00466B33"/>
    <w:rsid w:val="00466FDD"/>
    <w:rsid w:val="00467979"/>
    <w:rsid w:val="00470901"/>
    <w:rsid w:val="004714AC"/>
    <w:rsid w:val="00473471"/>
    <w:rsid w:val="00473AD7"/>
    <w:rsid w:val="0047548E"/>
    <w:rsid w:val="00475ADD"/>
    <w:rsid w:val="0047715D"/>
    <w:rsid w:val="00477E63"/>
    <w:rsid w:val="00480699"/>
    <w:rsid w:val="00480A9F"/>
    <w:rsid w:val="00481214"/>
    <w:rsid w:val="0048195E"/>
    <w:rsid w:val="00483220"/>
    <w:rsid w:val="00483AB6"/>
    <w:rsid w:val="004841E9"/>
    <w:rsid w:val="00484A9D"/>
    <w:rsid w:val="00484EB5"/>
    <w:rsid w:val="00486F96"/>
    <w:rsid w:val="00487B18"/>
    <w:rsid w:val="004916F0"/>
    <w:rsid w:val="004929DA"/>
    <w:rsid w:val="00492D92"/>
    <w:rsid w:val="0049323F"/>
    <w:rsid w:val="0049385E"/>
    <w:rsid w:val="004939D0"/>
    <w:rsid w:val="00494690"/>
    <w:rsid w:val="00495C55"/>
    <w:rsid w:val="00495CBC"/>
    <w:rsid w:val="00496643"/>
    <w:rsid w:val="00496970"/>
    <w:rsid w:val="00496A20"/>
    <w:rsid w:val="00496F89"/>
    <w:rsid w:val="004975BC"/>
    <w:rsid w:val="004A16FE"/>
    <w:rsid w:val="004A19B3"/>
    <w:rsid w:val="004A1C50"/>
    <w:rsid w:val="004A37D4"/>
    <w:rsid w:val="004A48C8"/>
    <w:rsid w:val="004A63C8"/>
    <w:rsid w:val="004A6F17"/>
    <w:rsid w:val="004B05D1"/>
    <w:rsid w:val="004B0873"/>
    <w:rsid w:val="004B0908"/>
    <w:rsid w:val="004B0CFF"/>
    <w:rsid w:val="004B1D29"/>
    <w:rsid w:val="004B2054"/>
    <w:rsid w:val="004B2AC4"/>
    <w:rsid w:val="004B303B"/>
    <w:rsid w:val="004B629F"/>
    <w:rsid w:val="004B7B5E"/>
    <w:rsid w:val="004C1049"/>
    <w:rsid w:val="004C1232"/>
    <w:rsid w:val="004C1A00"/>
    <w:rsid w:val="004C1AC4"/>
    <w:rsid w:val="004C336E"/>
    <w:rsid w:val="004C4BD1"/>
    <w:rsid w:val="004C4E0D"/>
    <w:rsid w:val="004C65A6"/>
    <w:rsid w:val="004C65ED"/>
    <w:rsid w:val="004D08DA"/>
    <w:rsid w:val="004D0DA7"/>
    <w:rsid w:val="004D134B"/>
    <w:rsid w:val="004D159D"/>
    <w:rsid w:val="004D3088"/>
    <w:rsid w:val="004D3A4E"/>
    <w:rsid w:val="004D40DD"/>
    <w:rsid w:val="004D4496"/>
    <w:rsid w:val="004D55BA"/>
    <w:rsid w:val="004D6023"/>
    <w:rsid w:val="004D70A5"/>
    <w:rsid w:val="004D773A"/>
    <w:rsid w:val="004D7DF9"/>
    <w:rsid w:val="004E05A8"/>
    <w:rsid w:val="004E0787"/>
    <w:rsid w:val="004E1965"/>
    <w:rsid w:val="004E204E"/>
    <w:rsid w:val="004E23DB"/>
    <w:rsid w:val="004E2575"/>
    <w:rsid w:val="004E262D"/>
    <w:rsid w:val="004E2B2D"/>
    <w:rsid w:val="004E3AEC"/>
    <w:rsid w:val="004E4730"/>
    <w:rsid w:val="004E5D6F"/>
    <w:rsid w:val="004E60B1"/>
    <w:rsid w:val="004F0B1F"/>
    <w:rsid w:val="004F0F39"/>
    <w:rsid w:val="004F211D"/>
    <w:rsid w:val="004F27F7"/>
    <w:rsid w:val="004F2D98"/>
    <w:rsid w:val="004F655B"/>
    <w:rsid w:val="004F7945"/>
    <w:rsid w:val="0050051F"/>
    <w:rsid w:val="00500D16"/>
    <w:rsid w:val="00502C0A"/>
    <w:rsid w:val="00502F2C"/>
    <w:rsid w:val="005036FC"/>
    <w:rsid w:val="00505FAF"/>
    <w:rsid w:val="00507169"/>
    <w:rsid w:val="00507FD8"/>
    <w:rsid w:val="00510A93"/>
    <w:rsid w:val="00511235"/>
    <w:rsid w:val="005115BE"/>
    <w:rsid w:val="0051202C"/>
    <w:rsid w:val="00513BCB"/>
    <w:rsid w:val="00513DCA"/>
    <w:rsid w:val="00514125"/>
    <w:rsid w:val="00515A71"/>
    <w:rsid w:val="00515AEA"/>
    <w:rsid w:val="00515CE9"/>
    <w:rsid w:val="0051602E"/>
    <w:rsid w:val="0051673B"/>
    <w:rsid w:val="00516D38"/>
    <w:rsid w:val="00522DF8"/>
    <w:rsid w:val="0052430A"/>
    <w:rsid w:val="00525B64"/>
    <w:rsid w:val="005261EB"/>
    <w:rsid w:val="0053020F"/>
    <w:rsid w:val="00530500"/>
    <w:rsid w:val="005306CD"/>
    <w:rsid w:val="0053139E"/>
    <w:rsid w:val="00531FF0"/>
    <w:rsid w:val="00532A66"/>
    <w:rsid w:val="005336C6"/>
    <w:rsid w:val="005343E2"/>
    <w:rsid w:val="00534727"/>
    <w:rsid w:val="0053500A"/>
    <w:rsid w:val="00535E47"/>
    <w:rsid w:val="005402CA"/>
    <w:rsid w:val="005414B7"/>
    <w:rsid w:val="00542607"/>
    <w:rsid w:val="00542636"/>
    <w:rsid w:val="005427D2"/>
    <w:rsid w:val="005437D4"/>
    <w:rsid w:val="0054385C"/>
    <w:rsid w:val="005438B7"/>
    <w:rsid w:val="00544ECD"/>
    <w:rsid w:val="00545738"/>
    <w:rsid w:val="00546841"/>
    <w:rsid w:val="005472F4"/>
    <w:rsid w:val="00547688"/>
    <w:rsid w:val="00550BCA"/>
    <w:rsid w:val="00551635"/>
    <w:rsid w:val="00552932"/>
    <w:rsid w:val="00557354"/>
    <w:rsid w:val="00557614"/>
    <w:rsid w:val="00560296"/>
    <w:rsid w:val="005614D0"/>
    <w:rsid w:val="00561DEE"/>
    <w:rsid w:val="00562406"/>
    <w:rsid w:val="00562646"/>
    <w:rsid w:val="00562E5D"/>
    <w:rsid w:val="0056366E"/>
    <w:rsid w:val="005636A3"/>
    <w:rsid w:val="00564265"/>
    <w:rsid w:val="0056646C"/>
    <w:rsid w:val="00567096"/>
    <w:rsid w:val="005679EF"/>
    <w:rsid w:val="00567C6B"/>
    <w:rsid w:val="0057078A"/>
    <w:rsid w:val="0057114C"/>
    <w:rsid w:val="00571F14"/>
    <w:rsid w:val="00572584"/>
    <w:rsid w:val="00573C5C"/>
    <w:rsid w:val="005746D0"/>
    <w:rsid w:val="00575E1C"/>
    <w:rsid w:val="00576D42"/>
    <w:rsid w:val="00577D4D"/>
    <w:rsid w:val="00580B34"/>
    <w:rsid w:val="00580CD4"/>
    <w:rsid w:val="00580D29"/>
    <w:rsid w:val="00581BC2"/>
    <w:rsid w:val="0058247C"/>
    <w:rsid w:val="00582FB7"/>
    <w:rsid w:val="005848D2"/>
    <w:rsid w:val="00586195"/>
    <w:rsid w:val="00586B05"/>
    <w:rsid w:val="00586E4D"/>
    <w:rsid w:val="0058755A"/>
    <w:rsid w:val="00587607"/>
    <w:rsid w:val="00587F79"/>
    <w:rsid w:val="0059069B"/>
    <w:rsid w:val="005909BB"/>
    <w:rsid w:val="00591880"/>
    <w:rsid w:val="00592DA7"/>
    <w:rsid w:val="00593438"/>
    <w:rsid w:val="00593698"/>
    <w:rsid w:val="005936BE"/>
    <w:rsid w:val="005936E8"/>
    <w:rsid w:val="00594156"/>
    <w:rsid w:val="005944D2"/>
    <w:rsid w:val="0059480B"/>
    <w:rsid w:val="00595074"/>
    <w:rsid w:val="00595739"/>
    <w:rsid w:val="0059671D"/>
    <w:rsid w:val="00596CE8"/>
    <w:rsid w:val="00597C6F"/>
    <w:rsid w:val="005A0358"/>
    <w:rsid w:val="005A09C9"/>
    <w:rsid w:val="005A0C48"/>
    <w:rsid w:val="005A1D80"/>
    <w:rsid w:val="005A394D"/>
    <w:rsid w:val="005A7782"/>
    <w:rsid w:val="005A77DD"/>
    <w:rsid w:val="005B0656"/>
    <w:rsid w:val="005B11A3"/>
    <w:rsid w:val="005B1255"/>
    <w:rsid w:val="005B1B6F"/>
    <w:rsid w:val="005B23C5"/>
    <w:rsid w:val="005B387E"/>
    <w:rsid w:val="005B3C03"/>
    <w:rsid w:val="005B45F9"/>
    <w:rsid w:val="005B602A"/>
    <w:rsid w:val="005B61A1"/>
    <w:rsid w:val="005B6536"/>
    <w:rsid w:val="005B6657"/>
    <w:rsid w:val="005B7426"/>
    <w:rsid w:val="005B76AB"/>
    <w:rsid w:val="005B7BFF"/>
    <w:rsid w:val="005B7EB7"/>
    <w:rsid w:val="005C1A95"/>
    <w:rsid w:val="005C1F08"/>
    <w:rsid w:val="005C2B61"/>
    <w:rsid w:val="005C34FC"/>
    <w:rsid w:val="005C421D"/>
    <w:rsid w:val="005C4D31"/>
    <w:rsid w:val="005C545F"/>
    <w:rsid w:val="005C5D9D"/>
    <w:rsid w:val="005C61E8"/>
    <w:rsid w:val="005D06E5"/>
    <w:rsid w:val="005D0FB1"/>
    <w:rsid w:val="005D16C0"/>
    <w:rsid w:val="005D1720"/>
    <w:rsid w:val="005D1741"/>
    <w:rsid w:val="005D1A13"/>
    <w:rsid w:val="005D2DD4"/>
    <w:rsid w:val="005D3C72"/>
    <w:rsid w:val="005D4296"/>
    <w:rsid w:val="005D43F7"/>
    <w:rsid w:val="005D46E2"/>
    <w:rsid w:val="005D631C"/>
    <w:rsid w:val="005D7683"/>
    <w:rsid w:val="005E29DF"/>
    <w:rsid w:val="005E48FE"/>
    <w:rsid w:val="005E53CC"/>
    <w:rsid w:val="005E5710"/>
    <w:rsid w:val="005E5D13"/>
    <w:rsid w:val="005E795B"/>
    <w:rsid w:val="005F031F"/>
    <w:rsid w:val="005F0BAA"/>
    <w:rsid w:val="005F2573"/>
    <w:rsid w:val="005F3C3A"/>
    <w:rsid w:val="005F402F"/>
    <w:rsid w:val="005F4674"/>
    <w:rsid w:val="005F4A87"/>
    <w:rsid w:val="005F4D62"/>
    <w:rsid w:val="006005F2"/>
    <w:rsid w:val="00600744"/>
    <w:rsid w:val="00601BC6"/>
    <w:rsid w:val="00601D7B"/>
    <w:rsid w:val="00605219"/>
    <w:rsid w:val="006075BD"/>
    <w:rsid w:val="00607CBC"/>
    <w:rsid w:val="006101A8"/>
    <w:rsid w:val="0061195B"/>
    <w:rsid w:val="00611AFD"/>
    <w:rsid w:val="00612063"/>
    <w:rsid w:val="00612AB0"/>
    <w:rsid w:val="00612F59"/>
    <w:rsid w:val="00613082"/>
    <w:rsid w:val="00613193"/>
    <w:rsid w:val="00613AA6"/>
    <w:rsid w:val="006142A3"/>
    <w:rsid w:val="0061477B"/>
    <w:rsid w:val="006161BF"/>
    <w:rsid w:val="006163AD"/>
    <w:rsid w:val="00616E76"/>
    <w:rsid w:val="00620BD8"/>
    <w:rsid w:val="006215E0"/>
    <w:rsid w:val="006215F0"/>
    <w:rsid w:val="00621644"/>
    <w:rsid w:val="00621883"/>
    <w:rsid w:val="006231F3"/>
    <w:rsid w:val="006242E6"/>
    <w:rsid w:val="006262DF"/>
    <w:rsid w:val="006266B6"/>
    <w:rsid w:val="00626D3E"/>
    <w:rsid w:val="0062793D"/>
    <w:rsid w:val="00627A9B"/>
    <w:rsid w:val="00631B1A"/>
    <w:rsid w:val="00631CEB"/>
    <w:rsid w:val="00632B12"/>
    <w:rsid w:val="00632F5C"/>
    <w:rsid w:val="0063427D"/>
    <w:rsid w:val="00634286"/>
    <w:rsid w:val="00634E72"/>
    <w:rsid w:val="00635FC5"/>
    <w:rsid w:val="00636142"/>
    <w:rsid w:val="0063661B"/>
    <w:rsid w:val="006370D7"/>
    <w:rsid w:val="0064096B"/>
    <w:rsid w:val="00640D72"/>
    <w:rsid w:val="006411B0"/>
    <w:rsid w:val="00641508"/>
    <w:rsid w:val="006416E4"/>
    <w:rsid w:val="006419E9"/>
    <w:rsid w:val="00641DD5"/>
    <w:rsid w:val="00642479"/>
    <w:rsid w:val="006454DC"/>
    <w:rsid w:val="00646061"/>
    <w:rsid w:val="006460CA"/>
    <w:rsid w:val="006464AD"/>
    <w:rsid w:val="006469B3"/>
    <w:rsid w:val="00646AAB"/>
    <w:rsid w:val="00646E08"/>
    <w:rsid w:val="006505EB"/>
    <w:rsid w:val="00652F34"/>
    <w:rsid w:val="006554FA"/>
    <w:rsid w:val="0065584A"/>
    <w:rsid w:val="0066013D"/>
    <w:rsid w:val="0066065E"/>
    <w:rsid w:val="006608F2"/>
    <w:rsid w:val="00660F57"/>
    <w:rsid w:val="0066197A"/>
    <w:rsid w:val="00662058"/>
    <w:rsid w:val="006637F5"/>
    <w:rsid w:val="00663A25"/>
    <w:rsid w:val="00664FA1"/>
    <w:rsid w:val="00665069"/>
    <w:rsid w:val="00666864"/>
    <w:rsid w:val="00666B27"/>
    <w:rsid w:val="006706A8"/>
    <w:rsid w:val="006708E2"/>
    <w:rsid w:val="00672246"/>
    <w:rsid w:val="00673AEB"/>
    <w:rsid w:val="006752D4"/>
    <w:rsid w:val="00675B62"/>
    <w:rsid w:val="00677F52"/>
    <w:rsid w:val="0068068E"/>
    <w:rsid w:val="006809AC"/>
    <w:rsid w:val="0068277F"/>
    <w:rsid w:val="00682DB1"/>
    <w:rsid w:val="00682ED7"/>
    <w:rsid w:val="006836F9"/>
    <w:rsid w:val="00683DF3"/>
    <w:rsid w:val="006852D2"/>
    <w:rsid w:val="00685323"/>
    <w:rsid w:val="00686E4F"/>
    <w:rsid w:val="00687BDD"/>
    <w:rsid w:val="00692233"/>
    <w:rsid w:val="00695778"/>
    <w:rsid w:val="00695C13"/>
    <w:rsid w:val="00695E7B"/>
    <w:rsid w:val="0069617F"/>
    <w:rsid w:val="0069652E"/>
    <w:rsid w:val="00697349"/>
    <w:rsid w:val="00697D4D"/>
    <w:rsid w:val="006A01FC"/>
    <w:rsid w:val="006A035C"/>
    <w:rsid w:val="006A1254"/>
    <w:rsid w:val="006A2127"/>
    <w:rsid w:val="006A2F32"/>
    <w:rsid w:val="006A4A77"/>
    <w:rsid w:val="006A5390"/>
    <w:rsid w:val="006B0796"/>
    <w:rsid w:val="006B45E2"/>
    <w:rsid w:val="006B4716"/>
    <w:rsid w:val="006B4A52"/>
    <w:rsid w:val="006B5CB0"/>
    <w:rsid w:val="006B5EF7"/>
    <w:rsid w:val="006B612E"/>
    <w:rsid w:val="006B6CF3"/>
    <w:rsid w:val="006B75D5"/>
    <w:rsid w:val="006B7FFC"/>
    <w:rsid w:val="006C0B01"/>
    <w:rsid w:val="006C1576"/>
    <w:rsid w:val="006C17FC"/>
    <w:rsid w:val="006C1FB3"/>
    <w:rsid w:val="006C2FEA"/>
    <w:rsid w:val="006C30D8"/>
    <w:rsid w:val="006C4760"/>
    <w:rsid w:val="006C5CF0"/>
    <w:rsid w:val="006C60EA"/>
    <w:rsid w:val="006C639D"/>
    <w:rsid w:val="006C6957"/>
    <w:rsid w:val="006C77C2"/>
    <w:rsid w:val="006C7BBA"/>
    <w:rsid w:val="006D0A99"/>
    <w:rsid w:val="006D0D39"/>
    <w:rsid w:val="006D1ADB"/>
    <w:rsid w:val="006D1D23"/>
    <w:rsid w:val="006D4D24"/>
    <w:rsid w:val="006D5222"/>
    <w:rsid w:val="006D58FF"/>
    <w:rsid w:val="006D5A6A"/>
    <w:rsid w:val="006D5B9F"/>
    <w:rsid w:val="006D6295"/>
    <w:rsid w:val="006D637D"/>
    <w:rsid w:val="006D7F52"/>
    <w:rsid w:val="006E1670"/>
    <w:rsid w:val="006E36DA"/>
    <w:rsid w:val="006E486F"/>
    <w:rsid w:val="006E4E7A"/>
    <w:rsid w:val="006E6D4F"/>
    <w:rsid w:val="006E789D"/>
    <w:rsid w:val="006E7B6A"/>
    <w:rsid w:val="006F26FD"/>
    <w:rsid w:val="006F461A"/>
    <w:rsid w:val="006F6455"/>
    <w:rsid w:val="006F67EA"/>
    <w:rsid w:val="006F6ACB"/>
    <w:rsid w:val="006F6C11"/>
    <w:rsid w:val="00700709"/>
    <w:rsid w:val="00700B5F"/>
    <w:rsid w:val="007030EF"/>
    <w:rsid w:val="0070492B"/>
    <w:rsid w:val="0070496E"/>
    <w:rsid w:val="007062E2"/>
    <w:rsid w:val="00706CF2"/>
    <w:rsid w:val="007074D9"/>
    <w:rsid w:val="007077A2"/>
    <w:rsid w:val="00707D49"/>
    <w:rsid w:val="00707DE8"/>
    <w:rsid w:val="00710368"/>
    <w:rsid w:val="0071099F"/>
    <w:rsid w:val="00710ED5"/>
    <w:rsid w:val="007114CF"/>
    <w:rsid w:val="00712DBB"/>
    <w:rsid w:val="00713D81"/>
    <w:rsid w:val="00714A76"/>
    <w:rsid w:val="007169C7"/>
    <w:rsid w:val="00717219"/>
    <w:rsid w:val="0071762E"/>
    <w:rsid w:val="00720863"/>
    <w:rsid w:val="007229DD"/>
    <w:rsid w:val="00723836"/>
    <w:rsid w:val="00724FF1"/>
    <w:rsid w:val="0072660E"/>
    <w:rsid w:val="00730125"/>
    <w:rsid w:val="007303F7"/>
    <w:rsid w:val="0073079A"/>
    <w:rsid w:val="00730BB0"/>
    <w:rsid w:val="00731074"/>
    <w:rsid w:val="007336C0"/>
    <w:rsid w:val="00733C4B"/>
    <w:rsid w:val="007340AA"/>
    <w:rsid w:val="00735FCA"/>
    <w:rsid w:val="0074133D"/>
    <w:rsid w:val="00742123"/>
    <w:rsid w:val="007425DC"/>
    <w:rsid w:val="007432BC"/>
    <w:rsid w:val="00744084"/>
    <w:rsid w:val="00744147"/>
    <w:rsid w:val="007446CD"/>
    <w:rsid w:val="0074537F"/>
    <w:rsid w:val="007465D2"/>
    <w:rsid w:val="00746789"/>
    <w:rsid w:val="00751A54"/>
    <w:rsid w:val="00751CDE"/>
    <w:rsid w:val="00752536"/>
    <w:rsid w:val="00753410"/>
    <w:rsid w:val="0075363C"/>
    <w:rsid w:val="0075479D"/>
    <w:rsid w:val="00754CBB"/>
    <w:rsid w:val="00754F7B"/>
    <w:rsid w:val="00755B7D"/>
    <w:rsid w:val="00755D41"/>
    <w:rsid w:val="0075620A"/>
    <w:rsid w:val="00756D8E"/>
    <w:rsid w:val="00756E83"/>
    <w:rsid w:val="0076075B"/>
    <w:rsid w:val="007607AD"/>
    <w:rsid w:val="00760B09"/>
    <w:rsid w:val="00760DE4"/>
    <w:rsid w:val="00760F8C"/>
    <w:rsid w:val="00765693"/>
    <w:rsid w:val="00765D5A"/>
    <w:rsid w:val="007660B2"/>
    <w:rsid w:val="007662E3"/>
    <w:rsid w:val="00767188"/>
    <w:rsid w:val="00770C49"/>
    <w:rsid w:val="00771745"/>
    <w:rsid w:val="00771BBF"/>
    <w:rsid w:val="00771F3B"/>
    <w:rsid w:val="00774BA0"/>
    <w:rsid w:val="00775916"/>
    <w:rsid w:val="00775EFE"/>
    <w:rsid w:val="007773AB"/>
    <w:rsid w:val="00780582"/>
    <w:rsid w:val="007808DF"/>
    <w:rsid w:val="00781134"/>
    <w:rsid w:val="0078251C"/>
    <w:rsid w:val="00782A5C"/>
    <w:rsid w:val="0078362B"/>
    <w:rsid w:val="00786B50"/>
    <w:rsid w:val="00787778"/>
    <w:rsid w:val="00792519"/>
    <w:rsid w:val="00792F87"/>
    <w:rsid w:val="00793217"/>
    <w:rsid w:val="00794CDC"/>
    <w:rsid w:val="00794D8F"/>
    <w:rsid w:val="0079599B"/>
    <w:rsid w:val="00796AF1"/>
    <w:rsid w:val="00796F54"/>
    <w:rsid w:val="00797997"/>
    <w:rsid w:val="00797CE3"/>
    <w:rsid w:val="007A0167"/>
    <w:rsid w:val="007A0995"/>
    <w:rsid w:val="007A32BE"/>
    <w:rsid w:val="007A338A"/>
    <w:rsid w:val="007A44D1"/>
    <w:rsid w:val="007A4CC0"/>
    <w:rsid w:val="007A4FF5"/>
    <w:rsid w:val="007A57E8"/>
    <w:rsid w:val="007A5C8E"/>
    <w:rsid w:val="007A6B8C"/>
    <w:rsid w:val="007A6ED1"/>
    <w:rsid w:val="007A72C2"/>
    <w:rsid w:val="007A7D0B"/>
    <w:rsid w:val="007B1083"/>
    <w:rsid w:val="007B1184"/>
    <w:rsid w:val="007B12A2"/>
    <w:rsid w:val="007B1F8A"/>
    <w:rsid w:val="007B261C"/>
    <w:rsid w:val="007B4EA6"/>
    <w:rsid w:val="007B54CC"/>
    <w:rsid w:val="007B6798"/>
    <w:rsid w:val="007B6940"/>
    <w:rsid w:val="007B6C69"/>
    <w:rsid w:val="007B722B"/>
    <w:rsid w:val="007B7442"/>
    <w:rsid w:val="007B7591"/>
    <w:rsid w:val="007B78DE"/>
    <w:rsid w:val="007C002C"/>
    <w:rsid w:val="007C019A"/>
    <w:rsid w:val="007C04C4"/>
    <w:rsid w:val="007C0673"/>
    <w:rsid w:val="007C0735"/>
    <w:rsid w:val="007C0E36"/>
    <w:rsid w:val="007C23F3"/>
    <w:rsid w:val="007C2677"/>
    <w:rsid w:val="007C2CBF"/>
    <w:rsid w:val="007C309C"/>
    <w:rsid w:val="007C329E"/>
    <w:rsid w:val="007C4433"/>
    <w:rsid w:val="007C4BFB"/>
    <w:rsid w:val="007C58D8"/>
    <w:rsid w:val="007D0247"/>
    <w:rsid w:val="007D3084"/>
    <w:rsid w:val="007D33D2"/>
    <w:rsid w:val="007D3660"/>
    <w:rsid w:val="007D3E8E"/>
    <w:rsid w:val="007D408C"/>
    <w:rsid w:val="007D449A"/>
    <w:rsid w:val="007D64D9"/>
    <w:rsid w:val="007D65E4"/>
    <w:rsid w:val="007D66A9"/>
    <w:rsid w:val="007D797B"/>
    <w:rsid w:val="007E02C5"/>
    <w:rsid w:val="007E1FE5"/>
    <w:rsid w:val="007E2E71"/>
    <w:rsid w:val="007E35D0"/>
    <w:rsid w:val="007E5434"/>
    <w:rsid w:val="007E5970"/>
    <w:rsid w:val="007E5EF9"/>
    <w:rsid w:val="007F3785"/>
    <w:rsid w:val="007F4FFD"/>
    <w:rsid w:val="007F5933"/>
    <w:rsid w:val="007F66DD"/>
    <w:rsid w:val="007F7158"/>
    <w:rsid w:val="008002F4"/>
    <w:rsid w:val="00801161"/>
    <w:rsid w:val="00802875"/>
    <w:rsid w:val="00802D33"/>
    <w:rsid w:val="00802E41"/>
    <w:rsid w:val="00804806"/>
    <w:rsid w:val="00805832"/>
    <w:rsid w:val="008058B2"/>
    <w:rsid w:val="00805F30"/>
    <w:rsid w:val="008069C9"/>
    <w:rsid w:val="0080731A"/>
    <w:rsid w:val="0081041B"/>
    <w:rsid w:val="00810A81"/>
    <w:rsid w:val="00812208"/>
    <w:rsid w:val="008160A0"/>
    <w:rsid w:val="00816866"/>
    <w:rsid w:val="00817520"/>
    <w:rsid w:val="00817D67"/>
    <w:rsid w:val="00820ACE"/>
    <w:rsid w:val="00821922"/>
    <w:rsid w:val="008232AF"/>
    <w:rsid w:val="0082405D"/>
    <w:rsid w:val="0082671A"/>
    <w:rsid w:val="008271AD"/>
    <w:rsid w:val="00827F67"/>
    <w:rsid w:val="00830767"/>
    <w:rsid w:val="0083142B"/>
    <w:rsid w:val="00831983"/>
    <w:rsid w:val="0083231C"/>
    <w:rsid w:val="00832A39"/>
    <w:rsid w:val="00833389"/>
    <w:rsid w:val="00833596"/>
    <w:rsid w:val="0083395E"/>
    <w:rsid w:val="00833C35"/>
    <w:rsid w:val="008348EF"/>
    <w:rsid w:val="00834A28"/>
    <w:rsid w:val="00837924"/>
    <w:rsid w:val="00837A89"/>
    <w:rsid w:val="0084130D"/>
    <w:rsid w:val="00841514"/>
    <w:rsid w:val="00841C48"/>
    <w:rsid w:val="00841F2A"/>
    <w:rsid w:val="00842328"/>
    <w:rsid w:val="00842C96"/>
    <w:rsid w:val="008433D2"/>
    <w:rsid w:val="00843E18"/>
    <w:rsid w:val="008447B7"/>
    <w:rsid w:val="008449EB"/>
    <w:rsid w:val="00845E81"/>
    <w:rsid w:val="00846C26"/>
    <w:rsid w:val="008475D0"/>
    <w:rsid w:val="00847AE3"/>
    <w:rsid w:val="00850565"/>
    <w:rsid w:val="008507A7"/>
    <w:rsid w:val="00851412"/>
    <w:rsid w:val="00851E65"/>
    <w:rsid w:val="00851E66"/>
    <w:rsid w:val="00851EBA"/>
    <w:rsid w:val="008526FA"/>
    <w:rsid w:val="0085339C"/>
    <w:rsid w:val="008539C7"/>
    <w:rsid w:val="00854234"/>
    <w:rsid w:val="008567D0"/>
    <w:rsid w:val="008570F3"/>
    <w:rsid w:val="008572DF"/>
    <w:rsid w:val="00857D53"/>
    <w:rsid w:val="008600E3"/>
    <w:rsid w:val="0086019C"/>
    <w:rsid w:val="00861753"/>
    <w:rsid w:val="00861D6E"/>
    <w:rsid w:val="00862733"/>
    <w:rsid w:val="00862806"/>
    <w:rsid w:val="008631D6"/>
    <w:rsid w:val="008636AD"/>
    <w:rsid w:val="008646B5"/>
    <w:rsid w:val="008653E6"/>
    <w:rsid w:val="0086551F"/>
    <w:rsid w:val="00867619"/>
    <w:rsid w:val="0086767C"/>
    <w:rsid w:val="008700E4"/>
    <w:rsid w:val="00870356"/>
    <w:rsid w:val="00870DED"/>
    <w:rsid w:val="0087162D"/>
    <w:rsid w:val="0087205F"/>
    <w:rsid w:val="00872C17"/>
    <w:rsid w:val="00873623"/>
    <w:rsid w:val="00873F38"/>
    <w:rsid w:val="0087522E"/>
    <w:rsid w:val="00875848"/>
    <w:rsid w:val="00875A3B"/>
    <w:rsid w:val="00875BC2"/>
    <w:rsid w:val="00875CF8"/>
    <w:rsid w:val="008767EF"/>
    <w:rsid w:val="0087692C"/>
    <w:rsid w:val="00877721"/>
    <w:rsid w:val="008813A2"/>
    <w:rsid w:val="008819A8"/>
    <w:rsid w:val="00881C2A"/>
    <w:rsid w:val="00884041"/>
    <w:rsid w:val="0088443F"/>
    <w:rsid w:val="00886E37"/>
    <w:rsid w:val="00886FE2"/>
    <w:rsid w:val="00887779"/>
    <w:rsid w:val="00887E38"/>
    <w:rsid w:val="00890150"/>
    <w:rsid w:val="00890234"/>
    <w:rsid w:val="00891CB4"/>
    <w:rsid w:val="00892495"/>
    <w:rsid w:val="0089325E"/>
    <w:rsid w:val="008938AC"/>
    <w:rsid w:val="00893DC9"/>
    <w:rsid w:val="00894FB9"/>
    <w:rsid w:val="00895EE3"/>
    <w:rsid w:val="00897463"/>
    <w:rsid w:val="00897C0B"/>
    <w:rsid w:val="00897EF4"/>
    <w:rsid w:val="00897F51"/>
    <w:rsid w:val="008A1E61"/>
    <w:rsid w:val="008A28FD"/>
    <w:rsid w:val="008A2B22"/>
    <w:rsid w:val="008A2CDB"/>
    <w:rsid w:val="008A3608"/>
    <w:rsid w:val="008A46BB"/>
    <w:rsid w:val="008A7D35"/>
    <w:rsid w:val="008B0170"/>
    <w:rsid w:val="008B0555"/>
    <w:rsid w:val="008B0FAC"/>
    <w:rsid w:val="008B1BCD"/>
    <w:rsid w:val="008B1EC5"/>
    <w:rsid w:val="008B2A54"/>
    <w:rsid w:val="008B357A"/>
    <w:rsid w:val="008B3DED"/>
    <w:rsid w:val="008B4171"/>
    <w:rsid w:val="008B504D"/>
    <w:rsid w:val="008B5111"/>
    <w:rsid w:val="008B5680"/>
    <w:rsid w:val="008B65B8"/>
    <w:rsid w:val="008B78E8"/>
    <w:rsid w:val="008C10DF"/>
    <w:rsid w:val="008C20DB"/>
    <w:rsid w:val="008C2525"/>
    <w:rsid w:val="008C33B1"/>
    <w:rsid w:val="008C39B7"/>
    <w:rsid w:val="008C3F65"/>
    <w:rsid w:val="008C5C8F"/>
    <w:rsid w:val="008D15B0"/>
    <w:rsid w:val="008D1ADB"/>
    <w:rsid w:val="008D2A4F"/>
    <w:rsid w:val="008D2E0F"/>
    <w:rsid w:val="008D2F0A"/>
    <w:rsid w:val="008D39B2"/>
    <w:rsid w:val="008D61B2"/>
    <w:rsid w:val="008D6453"/>
    <w:rsid w:val="008D6CC7"/>
    <w:rsid w:val="008E01DA"/>
    <w:rsid w:val="008E04AA"/>
    <w:rsid w:val="008E04AF"/>
    <w:rsid w:val="008E14B2"/>
    <w:rsid w:val="008E15A7"/>
    <w:rsid w:val="008E18D0"/>
    <w:rsid w:val="008E31CC"/>
    <w:rsid w:val="008E47A9"/>
    <w:rsid w:val="008E584E"/>
    <w:rsid w:val="008E5B01"/>
    <w:rsid w:val="008E7398"/>
    <w:rsid w:val="008E7F30"/>
    <w:rsid w:val="008F0477"/>
    <w:rsid w:val="008F087E"/>
    <w:rsid w:val="008F099B"/>
    <w:rsid w:val="008F1FD9"/>
    <w:rsid w:val="008F42FC"/>
    <w:rsid w:val="008F47BF"/>
    <w:rsid w:val="008F54BD"/>
    <w:rsid w:val="008F579B"/>
    <w:rsid w:val="008F59D5"/>
    <w:rsid w:val="008F695A"/>
    <w:rsid w:val="008F6BD0"/>
    <w:rsid w:val="008F6FF0"/>
    <w:rsid w:val="008F73A7"/>
    <w:rsid w:val="008F79C2"/>
    <w:rsid w:val="00901491"/>
    <w:rsid w:val="00901595"/>
    <w:rsid w:val="00901AEE"/>
    <w:rsid w:val="00901E25"/>
    <w:rsid w:val="00903432"/>
    <w:rsid w:val="00903C14"/>
    <w:rsid w:val="00904AA0"/>
    <w:rsid w:val="00905437"/>
    <w:rsid w:val="009056C2"/>
    <w:rsid w:val="009058A3"/>
    <w:rsid w:val="009061FF"/>
    <w:rsid w:val="00906815"/>
    <w:rsid w:val="0090691A"/>
    <w:rsid w:val="009100D7"/>
    <w:rsid w:val="00911212"/>
    <w:rsid w:val="009112E0"/>
    <w:rsid w:val="00911838"/>
    <w:rsid w:val="0091194F"/>
    <w:rsid w:val="00911BEB"/>
    <w:rsid w:val="009127BA"/>
    <w:rsid w:val="00912AC2"/>
    <w:rsid w:val="0091348F"/>
    <w:rsid w:val="00914E54"/>
    <w:rsid w:val="00915803"/>
    <w:rsid w:val="00915CC4"/>
    <w:rsid w:val="0091647F"/>
    <w:rsid w:val="00916C9F"/>
    <w:rsid w:val="00916D5B"/>
    <w:rsid w:val="00917E9D"/>
    <w:rsid w:val="00920094"/>
    <w:rsid w:val="00921EF8"/>
    <w:rsid w:val="0092246D"/>
    <w:rsid w:val="009225A1"/>
    <w:rsid w:val="0092307C"/>
    <w:rsid w:val="00923882"/>
    <w:rsid w:val="00923F1C"/>
    <w:rsid w:val="009243CA"/>
    <w:rsid w:val="00926194"/>
    <w:rsid w:val="00926207"/>
    <w:rsid w:val="0092716B"/>
    <w:rsid w:val="009276AA"/>
    <w:rsid w:val="009276EF"/>
    <w:rsid w:val="009308A1"/>
    <w:rsid w:val="00931C44"/>
    <w:rsid w:val="009350FA"/>
    <w:rsid w:val="00935FC0"/>
    <w:rsid w:val="009360A2"/>
    <w:rsid w:val="00936F96"/>
    <w:rsid w:val="009378F9"/>
    <w:rsid w:val="0094040A"/>
    <w:rsid w:val="009408D8"/>
    <w:rsid w:val="00941654"/>
    <w:rsid w:val="00942285"/>
    <w:rsid w:val="00942D95"/>
    <w:rsid w:val="00942F81"/>
    <w:rsid w:val="00943824"/>
    <w:rsid w:val="009466FD"/>
    <w:rsid w:val="0095023D"/>
    <w:rsid w:val="00950327"/>
    <w:rsid w:val="009520C5"/>
    <w:rsid w:val="0095414D"/>
    <w:rsid w:val="0095556E"/>
    <w:rsid w:val="0095775C"/>
    <w:rsid w:val="00957B6B"/>
    <w:rsid w:val="00957D14"/>
    <w:rsid w:val="00957FCD"/>
    <w:rsid w:val="0096086B"/>
    <w:rsid w:val="009609A5"/>
    <w:rsid w:val="0096299C"/>
    <w:rsid w:val="00963376"/>
    <w:rsid w:val="00963F67"/>
    <w:rsid w:val="00964650"/>
    <w:rsid w:val="00964DA0"/>
    <w:rsid w:val="009651F6"/>
    <w:rsid w:val="00965389"/>
    <w:rsid w:val="00965BDC"/>
    <w:rsid w:val="00965C20"/>
    <w:rsid w:val="00965FA0"/>
    <w:rsid w:val="00966ED9"/>
    <w:rsid w:val="00967028"/>
    <w:rsid w:val="009675F5"/>
    <w:rsid w:val="00967B97"/>
    <w:rsid w:val="00967C47"/>
    <w:rsid w:val="009701B7"/>
    <w:rsid w:val="00970CD1"/>
    <w:rsid w:val="00971A96"/>
    <w:rsid w:val="00971E42"/>
    <w:rsid w:val="00971F98"/>
    <w:rsid w:val="00973614"/>
    <w:rsid w:val="00973A75"/>
    <w:rsid w:val="009747ED"/>
    <w:rsid w:val="00974AFE"/>
    <w:rsid w:val="00974E84"/>
    <w:rsid w:val="00981138"/>
    <w:rsid w:val="00981329"/>
    <w:rsid w:val="00982DB5"/>
    <w:rsid w:val="009844B3"/>
    <w:rsid w:val="009855E8"/>
    <w:rsid w:val="00985B85"/>
    <w:rsid w:val="0098654C"/>
    <w:rsid w:val="00986805"/>
    <w:rsid w:val="00986BFA"/>
    <w:rsid w:val="00986F1D"/>
    <w:rsid w:val="009879C9"/>
    <w:rsid w:val="00987A66"/>
    <w:rsid w:val="009908CB"/>
    <w:rsid w:val="00991041"/>
    <w:rsid w:val="009910F5"/>
    <w:rsid w:val="00992208"/>
    <w:rsid w:val="00992F33"/>
    <w:rsid w:val="009933FD"/>
    <w:rsid w:val="009936E3"/>
    <w:rsid w:val="00994C79"/>
    <w:rsid w:val="00996717"/>
    <w:rsid w:val="00996AB2"/>
    <w:rsid w:val="00997926"/>
    <w:rsid w:val="009A049C"/>
    <w:rsid w:val="009A18E3"/>
    <w:rsid w:val="009A25AA"/>
    <w:rsid w:val="009A2634"/>
    <w:rsid w:val="009A3294"/>
    <w:rsid w:val="009A3A7F"/>
    <w:rsid w:val="009A3ACC"/>
    <w:rsid w:val="009A3DB6"/>
    <w:rsid w:val="009A40F2"/>
    <w:rsid w:val="009A41E7"/>
    <w:rsid w:val="009A4D6C"/>
    <w:rsid w:val="009A55D3"/>
    <w:rsid w:val="009A5FCB"/>
    <w:rsid w:val="009B05F7"/>
    <w:rsid w:val="009B0975"/>
    <w:rsid w:val="009B4200"/>
    <w:rsid w:val="009B5047"/>
    <w:rsid w:val="009B57FD"/>
    <w:rsid w:val="009B5B59"/>
    <w:rsid w:val="009B5DD7"/>
    <w:rsid w:val="009B6095"/>
    <w:rsid w:val="009C0075"/>
    <w:rsid w:val="009C05BF"/>
    <w:rsid w:val="009C0A02"/>
    <w:rsid w:val="009C22D3"/>
    <w:rsid w:val="009C486F"/>
    <w:rsid w:val="009C53BC"/>
    <w:rsid w:val="009C585C"/>
    <w:rsid w:val="009C603C"/>
    <w:rsid w:val="009C7C07"/>
    <w:rsid w:val="009D2876"/>
    <w:rsid w:val="009D2887"/>
    <w:rsid w:val="009D3A46"/>
    <w:rsid w:val="009D4FF0"/>
    <w:rsid w:val="009D5163"/>
    <w:rsid w:val="009D546C"/>
    <w:rsid w:val="009D5A3C"/>
    <w:rsid w:val="009D6100"/>
    <w:rsid w:val="009D6D0E"/>
    <w:rsid w:val="009D6EC7"/>
    <w:rsid w:val="009E123E"/>
    <w:rsid w:val="009E2D4A"/>
    <w:rsid w:val="009E376F"/>
    <w:rsid w:val="009E3A0F"/>
    <w:rsid w:val="009E3D21"/>
    <w:rsid w:val="009E4B6C"/>
    <w:rsid w:val="009E7568"/>
    <w:rsid w:val="009F026E"/>
    <w:rsid w:val="009F0792"/>
    <w:rsid w:val="009F07E6"/>
    <w:rsid w:val="009F134F"/>
    <w:rsid w:val="009F2727"/>
    <w:rsid w:val="009F2DCC"/>
    <w:rsid w:val="009F3763"/>
    <w:rsid w:val="009F3916"/>
    <w:rsid w:val="009F3B89"/>
    <w:rsid w:val="009F406F"/>
    <w:rsid w:val="009F41A4"/>
    <w:rsid w:val="009F7F0B"/>
    <w:rsid w:val="00A0007F"/>
    <w:rsid w:val="00A00E20"/>
    <w:rsid w:val="00A01074"/>
    <w:rsid w:val="00A02A42"/>
    <w:rsid w:val="00A0621C"/>
    <w:rsid w:val="00A06B23"/>
    <w:rsid w:val="00A07F8F"/>
    <w:rsid w:val="00A107D8"/>
    <w:rsid w:val="00A10895"/>
    <w:rsid w:val="00A10DE4"/>
    <w:rsid w:val="00A11047"/>
    <w:rsid w:val="00A12CB3"/>
    <w:rsid w:val="00A131BF"/>
    <w:rsid w:val="00A132DE"/>
    <w:rsid w:val="00A138A4"/>
    <w:rsid w:val="00A146CE"/>
    <w:rsid w:val="00A17004"/>
    <w:rsid w:val="00A20824"/>
    <w:rsid w:val="00A209B3"/>
    <w:rsid w:val="00A213A4"/>
    <w:rsid w:val="00A219E4"/>
    <w:rsid w:val="00A22993"/>
    <w:rsid w:val="00A22C8A"/>
    <w:rsid w:val="00A2303F"/>
    <w:rsid w:val="00A23221"/>
    <w:rsid w:val="00A2378D"/>
    <w:rsid w:val="00A25FC2"/>
    <w:rsid w:val="00A266CF"/>
    <w:rsid w:val="00A300C7"/>
    <w:rsid w:val="00A30D60"/>
    <w:rsid w:val="00A313A1"/>
    <w:rsid w:val="00A35602"/>
    <w:rsid w:val="00A36B26"/>
    <w:rsid w:val="00A36FB3"/>
    <w:rsid w:val="00A37EB3"/>
    <w:rsid w:val="00A41DBB"/>
    <w:rsid w:val="00A41FAE"/>
    <w:rsid w:val="00A4212C"/>
    <w:rsid w:val="00A437F7"/>
    <w:rsid w:val="00A462B0"/>
    <w:rsid w:val="00A46591"/>
    <w:rsid w:val="00A476C6"/>
    <w:rsid w:val="00A50318"/>
    <w:rsid w:val="00A506DF"/>
    <w:rsid w:val="00A540FD"/>
    <w:rsid w:val="00A54C00"/>
    <w:rsid w:val="00A54D3C"/>
    <w:rsid w:val="00A55813"/>
    <w:rsid w:val="00A55F17"/>
    <w:rsid w:val="00A57163"/>
    <w:rsid w:val="00A57690"/>
    <w:rsid w:val="00A60A84"/>
    <w:rsid w:val="00A60F39"/>
    <w:rsid w:val="00A6297A"/>
    <w:rsid w:val="00A63779"/>
    <w:rsid w:val="00A637FC"/>
    <w:rsid w:val="00A65BF2"/>
    <w:rsid w:val="00A664F0"/>
    <w:rsid w:val="00A66879"/>
    <w:rsid w:val="00A67169"/>
    <w:rsid w:val="00A67E0F"/>
    <w:rsid w:val="00A67F54"/>
    <w:rsid w:val="00A70F1D"/>
    <w:rsid w:val="00A72722"/>
    <w:rsid w:val="00A732CE"/>
    <w:rsid w:val="00A7371B"/>
    <w:rsid w:val="00A73820"/>
    <w:rsid w:val="00A7429B"/>
    <w:rsid w:val="00A7478B"/>
    <w:rsid w:val="00A74F3F"/>
    <w:rsid w:val="00A74F7E"/>
    <w:rsid w:val="00A75D0B"/>
    <w:rsid w:val="00A7663B"/>
    <w:rsid w:val="00A773F8"/>
    <w:rsid w:val="00A77614"/>
    <w:rsid w:val="00A800D9"/>
    <w:rsid w:val="00A81757"/>
    <w:rsid w:val="00A82E46"/>
    <w:rsid w:val="00A83801"/>
    <w:rsid w:val="00A838F6"/>
    <w:rsid w:val="00A84620"/>
    <w:rsid w:val="00A84871"/>
    <w:rsid w:val="00A8489B"/>
    <w:rsid w:val="00A86953"/>
    <w:rsid w:val="00A86AAF"/>
    <w:rsid w:val="00A87B88"/>
    <w:rsid w:val="00A90213"/>
    <w:rsid w:val="00A90E27"/>
    <w:rsid w:val="00A91BE5"/>
    <w:rsid w:val="00A92624"/>
    <w:rsid w:val="00A930F8"/>
    <w:rsid w:val="00A93C30"/>
    <w:rsid w:val="00A95325"/>
    <w:rsid w:val="00A962CD"/>
    <w:rsid w:val="00A96A29"/>
    <w:rsid w:val="00A97069"/>
    <w:rsid w:val="00A97349"/>
    <w:rsid w:val="00A97505"/>
    <w:rsid w:val="00A97FF4"/>
    <w:rsid w:val="00AA2342"/>
    <w:rsid w:val="00AA2DEC"/>
    <w:rsid w:val="00AA30A2"/>
    <w:rsid w:val="00AA4DCC"/>
    <w:rsid w:val="00AA537F"/>
    <w:rsid w:val="00AA5654"/>
    <w:rsid w:val="00AA6E18"/>
    <w:rsid w:val="00AA7943"/>
    <w:rsid w:val="00AB03E4"/>
    <w:rsid w:val="00AB0DAC"/>
    <w:rsid w:val="00AB1518"/>
    <w:rsid w:val="00AB240E"/>
    <w:rsid w:val="00AB26ED"/>
    <w:rsid w:val="00AB2A82"/>
    <w:rsid w:val="00AB2B4D"/>
    <w:rsid w:val="00AB341C"/>
    <w:rsid w:val="00AB4841"/>
    <w:rsid w:val="00AB49CB"/>
    <w:rsid w:val="00AB4FCC"/>
    <w:rsid w:val="00AB6432"/>
    <w:rsid w:val="00AB7157"/>
    <w:rsid w:val="00AB75C8"/>
    <w:rsid w:val="00AB77F3"/>
    <w:rsid w:val="00AB7F27"/>
    <w:rsid w:val="00AC03AF"/>
    <w:rsid w:val="00AC0946"/>
    <w:rsid w:val="00AC09C1"/>
    <w:rsid w:val="00AC19E1"/>
    <w:rsid w:val="00AC2896"/>
    <w:rsid w:val="00AC2EA5"/>
    <w:rsid w:val="00AC334F"/>
    <w:rsid w:val="00AC33D5"/>
    <w:rsid w:val="00AC431E"/>
    <w:rsid w:val="00AC4328"/>
    <w:rsid w:val="00AC476D"/>
    <w:rsid w:val="00AC4BF4"/>
    <w:rsid w:val="00AC5373"/>
    <w:rsid w:val="00AC58CD"/>
    <w:rsid w:val="00AC6B08"/>
    <w:rsid w:val="00AC7365"/>
    <w:rsid w:val="00AC7476"/>
    <w:rsid w:val="00AC7B60"/>
    <w:rsid w:val="00AD0477"/>
    <w:rsid w:val="00AD09F5"/>
    <w:rsid w:val="00AD18B0"/>
    <w:rsid w:val="00AD3E66"/>
    <w:rsid w:val="00AD48DA"/>
    <w:rsid w:val="00AD4C76"/>
    <w:rsid w:val="00AD5B76"/>
    <w:rsid w:val="00AD672D"/>
    <w:rsid w:val="00AD7665"/>
    <w:rsid w:val="00AD797D"/>
    <w:rsid w:val="00AE135D"/>
    <w:rsid w:val="00AE1BC5"/>
    <w:rsid w:val="00AE2AB0"/>
    <w:rsid w:val="00AE362E"/>
    <w:rsid w:val="00AE3DAC"/>
    <w:rsid w:val="00AE451C"/>
    <w:rsid w:val="00AE4A86"/>
    <w:rsid w:val="00AE5533"/>
    <w:rsid w:val="00AE6C5E"/>
    <w:rsid w:val="00AE7203"/>
    <w:rsid w:val="00AE73AA"/>
    <w:rsid w:val="00AE789C"/>
    <w:rsid w:val="00AE7D97"/>
    <w:rsid w:val="00AF062A"/>
    <w:rsid w:val="00AF09F9"/>
    <w:rsid w:val="00AF262D"/>
    <w:rsid w:val="00AF27FA"/>
    <w:rsid w:val="00AF2F32"/>
    <w:rsid w:val="00AF3C42"/>
    <w:rsid w:val="00AF3CFD"/>
    <w:rsid w:val="00AF52C1"/>
    <w:rsid w:val="00AF783E"/>
    <w:rsid w:val="00B00DD2"/>
    <w:rsid w:val="00B01BFF"/>
    <w:rsid w:val="00B021DE"/>
    <w:rsid w:val="00B03A5C"/>
    <w:rsid w:val="00B03CBE"/>
    <w:rsid w:val="00B0461E"/>
    <w:rsid w:val="00B04EAB"/>
    <w:rsid w:val="00B055E2"/>
    <w:rsid w:val="00B060F2"/>
    <w:rsid w:val="00B06DAF"/>
    <w:rsid w:val="00B06F64"/>
    <w:rsid w:val="00B109F3"/>
    <w:rsid w:val="00B11261"/>
    <w:rsid w:val="00B1211E"/>
    <w:rsid w:val="00B12917"/>
    <w:rsid w:val="00B14FBF"/>
    <w:rsid w:val="00B15B5E"/>
    <w:rsid w:val="00B20529"/>
    <w:rsid w:val="00B20BEF"/>
    <w:rsid w:val="00B214D8"/>
    <w:rsid w:val="00B2182B"/>
    <w:rsid w:val="00B22203"/>
    <w:rsid w:val="00B22B29"/>
    <w:rsid w:val="00B22D2B"/>
    <w:rsid w:val="00B233B0"/>
    <w:rsid w:val="00B236C7"/>
    <w:rsid w:val="00B244D3"/>
    <w:rsid w:val="00B247C8"/>
    <w:rsid w:val="00B24BE2"/>
    <w:rsid w:val="00B2513C"/>
    <w:rsid w:val="00B2545B"/>
    <w:rsid w:val="00B25B4B"/>
    <w:rsid w:val="00B26B5B"/>
    <w:rsid w:val="00B26E68"/>
    <w:rsid w:val="00B27C48"/>
    <w:rsid w:val="00B30F12"/>
    <w:rsid w:val="00B31529"/>
    <w:rsid w:val="00B32476"/>
    <w:rsid w:val="00B329D1"/>
    <w:rsid w:val="00B32B39"/>
    <w:rsid w:val="00B33054"/>
    <w:rsid w:val="00B34E44"/>
    <w:rsid w:val="00B3524F"/>
    <w:rsid w:val="00B368D9"/>
    <w:rsid w:val="00B40F7C"/>
    <w:rsid w:val="00B41218"/>
    <w:rsid w:val="00B41F8C"/>
    <w:rsid w:val="00B4241F"/>
    <w:rsid w:val="00B43094"/>
    <w:rsid w:val="00B438DA"/>
    <w:rsid w:val="00B43E68"/>
    <w:rsid w:val="00B44806"/>
    <w:rsid w:val="00B45064"/>
    <w:rsid w:val="00B45EE6"/>
    <w:rsid w:val="00B50281"/>
    <w:rsid w:val="00B5153A"/>
    <w:rsid w:val="00B51E92"/>
    <w:rsid w:val="00B52DF8"/>
    <w:rsid w:val="00B5305D"/>
    <w:rsid w:val="00B544D1"/>
    <w:rsid w:val="00B547AA"/>
    <w:rsid w:val="00B54A24"/>
    <w:rsid w:val="00B54B9A"/>
    <w:rsid w:val="00B56418"/>
    <w:rsid w:val="00B60428"/>
    <w:rsid w:val="00B605B1"/>
    <w:rsid w:val="00B60C1C"/>
    <w:rsid w:val="00B6199E"/>
    <w:rsid w:val="00B64175"/>
    <w:rsid w:val="00B657AE"/>
    <w:rsid w:val="00B6642A"/>
    <w:rsid w:val="00B675BC"/>
    <w:rsid w:val="00B70C50"/>
    <w:rsid w:val="00B71814"/>
    <w:rsid w:val="00B736FE"/>
    <w:rsid w:val="00B73914"/>
    <w:rsid w:val="00B73DC9"/>
    <w:rsid w:val="00B740B1"/>
    <w:rsid w:val="00B753B9"/>
    <w:rsid w:val="00B755C0"/>
    <w:rsid w:val="00B75E85"/>
    <w:rsid w:val="00B77463"/>
    <w:rsid w:val="00B77537"/>
    <w:rsid w:val="00B81760"/>
    <w:rsid w:val="00B820CE"/>
    <w:rsid w:val="00B83002"/>
    <w:rsid w:val="00B84439"/>
    <w:rsid w:val="00B86449"/>
    <w:rsid w:val="00B869D3"/>
    <w:rsid w:val="00B873C6"/>
    <w:rsid w:val="00B87855"/>
    <w:rsid w:val="00B87AB0"/>
    <w:rsid w:val="00B9158F"/>
    <w:rsid w:val="00B91660"/>
    <w:rsid w:val="00B934D2"/>
    <w:rsid w:val="00B9363E"/>
    <w:rsid w:val="00B93FA6"/>
    <w:rsid w:val="00B94093"/>
    <w:rsid w:val="00B94A06"/>
    <w:rsid w:val="00B950E5"/>
    <w:rsid w:val="00B97E45"/>
    <w:rsid w:val="00B97FD3"/>
    <w:rsid w:val="00BA2597"/>
    <w:rsid w:val="00BA3775"/>
    <w:rsid w:val="00BA4922"/>
    <w:rsid w:val="00BA4BE7"/>
    <w:rsid w:val="00BA7E97"/>
    <w:rsid w:val="00BB2590"/>
    <w:rsid w:val="00BB5562"/>
    <w:rsid w:val="00BB7CED"/>
    <w:rsid w:val="00BB7CFA"/>
    <w:rsid w:val="00BC0857"/>
    <w:rsid w:val="00BC0D6B"/>
    <w:rsid w:val="00BC1032"/>
    <w:rsid w:val="00BC12B9"/>
    <w:rsid w:val="00BC34F1"/>
    <w:rsid w:val="00BC3C32"/>
    <w:rsid w:val="00BC480B"/>
    <w:rsid w:val="00BC5304"/>
    <w:rsid w:val="00BC633B"/>
    <w:rsid w:val="00BD06D1"/>
    <w:rsid w:val="00BD2750"/>
    <w:rsid w:val="00BD2D46"/>
    <w:rsid w:val="00BD3CF4"/>
    <w:rsid w:val="00BD4B36"/>
    <w:rsid w:val="00BD5583"/>
    <w:rsid w:val="00BD7AAA"/>
    <w:rsid w:val="00BE046C"/>
    <w:rsid w:val="00BE0B65"/>
    <w:rsid w:val="00BE1F74"/>
    <w:rsid w:val="00BE24B8"/>
    <w:rsid w:val="00BE3226"/>
    <w:rsid w:val="00BE3AC2"/>
    <w:rsid w:val="00BE4077"/>
    <w:rsid w:val="00BE41A4"/>
    <w:rsid w:val="00BE5B5C"/>
    <w:rsid w:val="00BE62DA"/>
    <w:rsid w:val="00BE6E1D"/>
    <w:rsid w:val="00BE7DAF"/>
    <w:rsid w:val="00BF06BD"/>
    <w:rsid w:val="00BF0C42"/>
    <w:rsid w:val="00BF142E"/>
    <w:rsid w:val="00BF2689"/>
    <w:rsid w:val="00BF2A76"/>
    <w:rsid w:val="00BF44D1"/>
    <w:rsid w:val="00BF53CF"/>
    <w:rsid w:val="00BF57D1"/>
    <w:rsid w:val="00BF6F8A"/>
    <w:rsid w:val="00BF7875"/>
    <w:rsid w:val="00C00BE6"/>
    <w:rsid w:val="00C018B7"/>
    <w:rsid w:val="00C01E05"/>
    <w:rsid w:val="00C0346D"/>
    <w:rsid w:val="00C03619"/>
    <w:rsid w:val="00C03709"/>
    <w:rsid w:val="00C04078"/>
    <w:rsid w:val="00C046D5"/>
    <w:rsid w:val="00C0488C"/>
    <w:rsid w:val="00C056D8"/>
    <w:rsid w:val="00C056F7"/>
    <w:rsid w:val="00C11334"/>
    <w:rsid w:val="00C140BE"/>
    <w:rsid w:val="00C150C3"/>
    <w:rsid w:val="00C160F6"/>
    <w:rsid w:val="00C16AA7"/>
    <w:rsid w:val="00C16B5A"/>
    <w:rsid w:val="00C20C91"/>
    <w:rsid w:val="00C21E99"/>
    <w:rsid w:val="00C226FA"/>
    <w:rsid w:val="00C24431"/>
    <w:rsid w:val="00C264E8"/>
    <w:rsid w:val="00C3031F"/>
    <w:rsid w:val="00C31A02"/>
    <w:rsid w:val="00C32941"/>
    <w:rsid w:val="00C3299A"/>
    <w:rsid w:val="00C33034"/>
    <w:rsid w:val="00C331FD"/>
    <w:rsid w:val="00C333D5"/>
    <w:rsid w:val="00C34624"/>
    <w:rsid w:val="00C347AA"/>
    <w:rsid w:val="00C35A16"/>
    <w:rsid w:val="00C36B0A"/>
    <w:rsid w:val="00C36EEB"/>
    <w:rsid w:val="00C37448"/>
    <w:rsid w:val="00C3762C"/>
    <w:rsid w:val="00C37853"/>
    <w:rsid w:val="00C40538"/>
    <w:rsid w:val="00C4064B"/>
    <w:rsid w:val="00C4137E"/>
    <w:rsid w:val="00C41540"/>
    <w:rsid w:val="00C41793"/>
    <w:rsid w:val="00C41C1D"/>
    <w:rsid w:val="00C42260"/>
    <w:rsid w:val="00C445B9"/>
    <w:rsid w:val="00C4472D"/>
    <w:rsid w:val="00C4480E"/>
    <w:rsid w:val="00C45481"/>
    <w:rsid w:val="00C45704"/>
    <w:rsid w:val="00C45FF4"/>
    <w:rsid w:val="00C46BF3"/>
    <w:rsid w:val="00C50FD7"/>
    <w:rsid w:val="00C51477"/>
    <w:rsid w:val="00C51C87"/>
    <w:rsid w:val="00C53FA7"/>
    <w:rsid w:val="00C554E8"/>
    <w:rsid w:val="00C56AD4"/>
    <w:rsid w:val="00C57918"/>
    <w:rsid w:val="00C57BD2"/>
    <w:rsid w:val="00C60F3C"/>
    <w:rsid w:val="00C61DF7"/>
    <w:rsid w:val="00C62442"/>
    <w:rsid w:val="00C629A9"/>
    <w:rsid w:val="00C63D07"/>
    <w:rsid w:val="00C64023"/>
    <w:rsid w:val="00C642D8"/>
    <w:rsid w:val="00C649EE"/>
    <w:rsid w:val="00C6640E"/>
    <w:rsid w:val="00C66FB5"/>
    <w:rsid w:val="00C67043"/>
    <w:rsid w:val="00C702B6"/>
    <w:rsid w:val="00C7206C"/>
    <w:rsid w:val="00C72208"/>
    <w:rsid w:val="00C73454"/>
    <w:rsid w:val="00C737FE"/>
    <w:rsid w:val="00C73C72"/>
    <w:rsid w:val="00C73FA2"/>
    <w:rsid w:val="00C74027"/>
    <w:rsid w:val="00C7485C"/>
    <w:rsid w:val="00C74D94"/>
    <w:rsid w:val="00C7522E"/>
    <w:rsid w:val="00C754AE"/>
    <w:rsid w:val="00C75BB5"/>
    <w:rsid w:val="00C75F7B"/>
    <w:rsid w:val="00C7610C"/>
    <w:rsid w:val="00C76ACB"/>
    <w:rsid w:val="00C80202"/>
    <w:rsid w:val="00C8032F"/>
    <w:rsid w:val="00C80528"/>
    <w:rsid w:val="00C80959"/>
    <w:rsid w:val="00C82109"/>
    <w:rsid w:val="00C828A4"/>
    <w:rsid w:val="00C8297E"/>
    <w:rsid w:val="00C83C40"/>
    <w:rsid w:val="00C83C7C"/>
    <w:rsid w:val="00C83D91"/>
    <w:rsid w:val="00C83FC8"/>
    <w:rsid w:val="00C84668"/>
    <w:rsid w:val="00C8535B"/>
    <w:rsid w:val="00C85E1E"/>
    <w:rsid w:val="00C86407"/>
    <w:rsid w:val="00C864AF"/>
    <w:rsid w:val="00C871AF"/>
    <w:rsid w:val="00C87386"/>
    <w:rsid w:val="00C87440"/>
    <w:rsid w:val="00C910C5"/>
    <w:rsid w:val="00C91306"/>
    <w:rsid w:val="00C91312"/>
    <w:rsid w:val="00C923C3"/>
    <w:rsid w:val="00C9243B"/>
    <w:rsid w:val="00C9298A"/>
    <w:rsid w:val="00C94A51"/>
    <w:rsid w:val="00C94B8E"/>
    <w:rsid w:val="00C94C48"/>
    <w:rsid w:val="00C95E0E"/>
    <w:rsid w:val="00CA0084"/>
    <w:rsid w:val="00CA0399"/>
    <w:rsid w:val="00CA18C5"/>
    <w:rsid w:val="00CA55C8"/>
    <w:rsid w:val="00CA62EF"/>
    <w:rsid w:val="00CA766F"/>
    <w:rsid w:val="00CA77B4"/>
    <w:rsid w:val="00CB04F6"/>
    <w:rsid w:val="00CB0AD6"/>
    <w:rsid w:val="00CB2114"/>
    <w:rsid w:val="00CB3A4B"/>
    <w:rsid w:val="00CB4012"/>
    <w:rsid w:val="00CB4167"/>
    <w:rsid w:val="00CB4F18"/>
    <w:rsid w:val="00CB5183"/>
    <w:rsid w:val="00CB519A"/>
    <w:rsid w:val="00CB5467"/>
    <w:rsid w:val="00CB5C21"/>
    <w:rsid w:val="00CB6D74"/>
    <w:rsid w:val="00CB70D5"/>
    <w:rsid w:val="00CB76F8"/>
    <w:rsid w:val="00CB78BB"/>
    <w:rsid w:val="00CC10D2"/>
    <w:rsid w:val="00CC1763"/>
    <w:rsid w:val="00CC1D0C"/>
    <w:rsid w:val="00CC1F95"/>
    <w:rsid w:val="00CC32AF"/>
    <w:rsid w:val="00CC5A13"/>
    <w:rsid w:val="00CC728A"/>
    <w:rsid w:val="00CC749A"/>
    <w:rsid w:val="00CC7E23"/>
    <w:rsid w:val="00CD00F7"/>
    <w:rsid w:val="00CD028A"/>
    <w:rsid w:val="00CD035B"/>
    <w:rsid w:val="00CD2318"/>
    <w:rsid w:val="00CD2717"/>
    <w:rsid w:val="00CD2805"/>
    <w:rsid w:val="00CD2BD4"/>
    <w:rsid w:val="00CD2BDA"/>
    <w:rsid w:val="00CD2E7D"/>
    <w:rsid w:val="00CD4840"/>
    <w:rsid w:val="00CD6A1C"/>
    <w:rsid w:val="00CD71A4"/>
    <w:rsid w:val="00CD7A1F"/>
    <w:rsid w:val="00CE09BC"/>
    <w:rsid w:val="00CE0DC6"/>
    <w:rsid w:val="00CE1C47"/>
    <w:rsid w:val="00CE1E05"/>
    <w:rsid w:val="00CE2067"/>
    <w:rsid w:val="00CE37DA"/>
    <w:rsid w:val="00CE3F53"/>
    <w:rsid w:val="00CE448A"/>
    <w:rsid w:val="00CE4D16"/>
    <w:rsid w:val="00CE516A"/>
    <w:rsid w:val="00CE6A98"/>
    <w:rsid w:val="00CE727B"/>
    <w:rsid w:val="00CE7E9F"/>
    <w:rsid w:val="00CF0E3F"/>
    <w:rsid w:val="00CF1A69"/>
    <w:rsid w:val="00CF2B0A"/>
    <w:rsid w:val="00CF2DAF"/>
    <w:rsid w:val="00CF3A3A"/>
    <w:rsid w:val="00CF5146"/>
    <w:rsid w:val="00CF6765"/>
    <w:rsid w:val="00CF69F6"/>
    <w:rsid w:val="00CF6C05"/>
    <w:rsid w:val="00D01484"/>
    <w:rsid w:val="00D03090"/>
    <w:rsid w:val="00D03231"/>
    <w:rsid w:val="00D03420"/>
    <w:rsid w:val="00D04343"/>
    <w:rsid w:val="00D04403"/>
    <w:rsid w:val="00D04759"/>
    <w:rsid w:val="00D047AB"/>
    <w:rsid w:val="00D05320"/>
    <w:rsid w:val="00D05C10"/>
    <w:rsid w:val="00D06C4E"/>
    <w:rsid w:val="00D07325"/>
    <w:rsid w:val="00D13B53"/>
    <w:rsid w:val="00D13F24"/>
    <w:rsid w:val="00D146C0"/>
    <w:rsid w:val="00D14748"/>
    <w:rsid w:val="00D1521C"/>
    <w:rsid w:val="00D1696A"/>
    <w:rsid w:val="00D1711C"/>
    <w:rsid w:val="00D1761E"/>
    <w:rsid w:val="00D20671"/>
    <w:rsid w:val="00D20965"/>
    <w:rsid w:val="00D215C8"/>
    <w:rsid w:val="00D21E6B"/>
    <w:rsid w:val="00D22006"/>
    <w:rsid w:val="00D222FC"/>
    <w:rsid w:val="00D235DD"/>
    <w:rsid w:val="00D239F7"/>
    <w:rsid w:val="00D23BF8"/>
    <w:rsid w:val="00D23E3A"/>
    <w:rsid w:val="00D23F68"/>
    <w:rsid w:val="00D25270"/>
    <w:rsid w:val="00D27277"/>
    <w:rsid w:val="00D27FC5"/>
    <w:rsid w:val="00D31D67"/>
    <w:rsid w:val="00D32A62"/>
    <w:rsid w:val="00D330F6"/>
    <w:rsid w:val="00D33698"/>
    <w:rsid w:val="00D3416F"/>
    <w:rsid w:val="00D34423"/>
    <w:rsid w:val="00D379D8"/>
    <w:rsid w:val="00D402DE"/>
    <w:rsid w:val="00D40AAF"/>
    <w:rsid w:val="00D431A5"/>
    <w:rsid w:val="00D43BCB"/>
    <w:rsid w:val="00D43FD7"/>
    <w:rsid w:val="00D442AA"/>
    <w:rsid w:val="00D44AD3"/>
    <w:rsid w:val="00D44B92"/>
    <w:rsid w:val="00D451EB"/>
    <w:rsid w:val="00D4536F"/>
    <w:rsid w:val="00D45B11"/>
    <w:rsid w:val="00D45C91"/>
    <w:rsid w:val="00D46010"/>
    <w:rsid w:val="00D4611A"/>
    <w:rsid w:val="00D465D9"/>
    <w:rsid w:val="00D46A7B"/>
    <w:rsid w:val="00D47859"/>
    <w:rsid w:val="00D52671"/>
    <w:rsid w:val="00D52909"/>
    <w:rsid w:val="00D534A2"/>
    <w:rsid w:val="00D540B4"/>
    <w:rsid w:val="00D54276"/>
    <w:rsid w:val="00D55E40"/>
    <w:rsid w:val="00D55F20"/>
    <w:rsid w:val="00D5650C"/>
    <w:rsid w:val="00D579E7"/>
    <w:rsid w:val="00D602C9"/>
    <w:rsid w:val="00D61662"/>
    <w:rsid w:val="00D61721"/>
    <w:rsid w:val="00D620EE"/>
    <w:rsid w:val="00D62A10"/>
    <w:rsid w:val="00D62E2B"/>
    <w:rsid w:val="00D63F4A"/>
    <w:rsid w:val="00D641A2"/>
    <w:rsid w:val="00D64707"/>
    <w:rsid w:val="00D64B23"/>
    <w:rsid w:val="00D65880"/>
    <w:rsid w:val="00D65CBE"/>
    <w:rsid w:val="00D65D99"/>
    <w:rsid w:val="00D66A92"/>
    <w:rsid w:val="00D70EF7"/>
    <w:rsid w:val="00D710C4"/>
    <w:rsid w:val="00D72892"/>
    <w:rsid w:val="00D72EB3"/>
    <w:rsid w:val="00D7306F"/>
    <w:rsid w:val="00D73BEC"/>
    <w:rsid w:val="00D756B0"/>
    <w:rsid w:val="00D75D82"/>
    <w:rsid w:val="00D764C5"/>
    <w:rsid w:val="00D7726E"/>
    <w:rsid w:val="00D81B46"/>
    <w:rsid w:val="00D829A7"/>
    <w:rsid w:val="00D865F0"/>
    <w:rsid w:val="00D8718E"/>
    <w:rsid w:val="00D87A38"/>
    <w:rsid w:val="00D87A62"/>
    <w:rsid w:val="00D9075E"/>
    <w:rsid w:val="00D91983"/>
    <w:rsid w:val="00D92017"/>
    <w:rsid w:val="00D920A1"/>
    <w:rsid w:val="00D93CDA"/>
    <w:rsid w:val="00D93D41"/>
    <w:rsid w:val="00D9506B"/>
    <w:rsid w:val="00D956AA"/>
    <w:rsid w:val="00D968B8"/>
    <w:rsid w:val="00D97467"/>
    <w:rsid w:val="00D974B6"/>
    <w:rsid w:val="00D975A3"/>
    <w:rsid w:val="00DA0022"/>
    <w:rsid w:val="00DA08D0"/>
    <w:rsid w:val="00DA214D"/>
    <w:rsid w:val="00DA296A"/>
    <w:rsid w:val="00DA3477"/>
    <w:rsid w:val="00DB15E8"/>
    <w:rsid w:val="00DB15FA"/>
    <w:rsid w:val="00DB3754"/>
    <w:rsid w:val="00DB4557"/>
    <w:rsid w:val="00DB46F5"/>
    <w:rsid w:val="00DB631A"/>
    <w:rsid w:val="00DB69BA"/>
    <w:rsid w:val="00DB6D11"/>
    <w:rsid w:val="00DB7034"/>
    <w:rsid w:val="00DB72E3"/>
    <w:rsid w:val="00DB7374"/>
    <w:rsid w:val="00DB73E1"/>
    <w:rsid w:val="00DC054C"/>
    <w:rsid w:val="00DC0B05"/>
    <w:rsid w:val="00DC0B77"/>
    <w:rsid w:val="00DC19C2"/>
    <w:rsid w:val="00DC1E63"/>
    <w:rsid w:val="00DC2767"/>
    <w:rsid w:val="00DC38C3"/>
    <w:rsid w:val="00DC4B1C"/>
    <w:rsid w:val="00DC66CB"/>
    <w:rsid w:val="00DC6CCC"/>
    <w:rsid w:val="00DC7EF7"/>
    <w:rsid w:val="00DD1134"/>
    <w:rsid w:val="00DD1DE0"/>
    <w:rsid w:val="00DD2C4B"/>
    <w:rsid w:val="00DD2F2C"/>
    <w:rsid w:val="00DD3A72"/>
    <w:rsid w:val="00DD3D81"/>
    <w:rsid w:val="00DD437E"/>
    <w:rsid w:val="00DD4EA1"/>
    <w:rsid w:val="00DD5196"/>
    <w:rsid w:val="00DD620B"/>
    <w:rsid w:val="00DE0718"/>
    <w:rsid w:val="00DE2832"/>
    <w:rsid w:val="00DE2FE4"/>
    <w:rsid w:val="00DE4BFB"/>
    <w:rsid w:val="00DE524A"/>
    <w:rsid w:val="00DE6EDC"/>
    <w:rsid w:val="00DE7775"/>
    <w:rsid w:val="00DF0060"/>
    <w:rsid w:val="00DF0E37"/>
    <w:rsid w:val="00DF20E8"/>
    <w:rsid w:val="00DF2D9B"/>
    <w:rsid w:val="00DF2F2F"/>
    <w:rsid w:val="00DF48C5"/>
    <w:rsid w:val="00DF4C17"/>
    <w:rsid w:val="00DF4FA2"/>
    <w:rsid w:val="00DF502B"/>
    <w:rsid w:val="00DF6C99"/>
    <w:rsid w:val="00DF7B02"/>
    <w:rsid w:val="00E001B5"/>
    <w:rsid w:val="00E01F30"/>
    <w:rsid w:val="00E02119"/>
    <w:rsid w:val="00E02912"/>
    <w:rsid w:val="00E03909"/>
    <w:rsid w:val="00E03FFD"/>
    <w:rsid w:val="00E04226"/>
    <w:rsid w:val="00E051C2"/>
    <w:rsid w:val="00E05DDB"/>
    <w:rsid w:val="00E071C9"/>
    <w:rsid w:val="00E072E9"/>
    <w:rsid w:val="00E10B00"/>
    <w:rsid w:val="00E11576"/>
    <w:rsid w:val="00E11AFB"/>
    <w:rsid w:val="00E12256"/>
    <w:rsid w:val="00E12E90"/>
    <w:rsid w:val="00E13CE3"/>
    <w:rsid w:val="00E13FB7"/>
    <w:rsid w:val="00E14321"/>
    <w:rsid w:val="00E156CC"/>
    <w:rsid w:val="00E15D0F"/>
    <w:rsid w:val="00E1691C"/>
    <w:rsid w:val="00E16AE0"/>
    <w:rsid w:val="00E17349"/>
    <w:rsid w:val="00E17732"/>
    <w:rsid w:val="00E17B06"/>
    <w:rsid w:val="00E17BDA"/>
    <w:rsid w:val="00E200CA"/>
    <w:rsid w:val="00E2199C"/>
    <w:rsid w:val="00E21E15"/>
    <w:rsid w:val="00E22053"/>
    <w:rsid w:val="00E23E6F"/>
    <w:rsid w:val="00E25C34"/>
    <w:rsid w:val="00E274A8"/>
    <w:rsid w:val="00E300FA"/>
    <w:rsid w:val="00E31DE4"/>
    <w:rsid w:val="00E328C1"/>
    <w:rsid w:val="00E334D3"/>
    <w:rsid w:val="00E340A5"/>
    <w:rsid w:val="00E347C0"/>
    <w:rsid w:val="00E357EA"/>
    <w:rsid w:val="00E364E0"/>
    <w:rsid w:val="00E3679C"/>
    <w:rsid w:val="00E3684A"/>
    <w:rsid w:val="00E36ACB"/>
    <w:rsid w:val="00E36FF5"/>
    <w:rsid w:val="00E3743E"/>
    <w:rsid w:val="00E40E10"/>
    <w:rsid w:val="00E41CCE"/>
    <w:rsid w:val="00E42547"/>
    <w:rsid w:val="00E428F7"/>
    <w:rsid w:val="00E439FC"/>
    <w:rsid w:val="00E441A8"/>
    <w:rsid w:val="00E44330"/>
    <w:rsid w:val="00E445B6"/>
    <w:rsid w:val="00E4568F"/>
    <w:rsid w:val="00E459E7"/>
    <w:rsid w:val="00E46394"/>
    <w:rsid w:val="00E4686E"/>
    <w:rsid w:val="00E4761D"/>
    <w:rsid w:val="00E4787A"/>
    <w:rsid w:val="00E47AF7"/>
    <w:rsid w:val="00E47FD3"/>
    <w:rsid w:val="00E50E08"/>
    <w:rsid w:val="00E50ECA"/>
    <w:rsid w:val="00E5182C"/>
    <w:rsid w:val="00E52C10"/>
    <w:rsid w:val="00E54095"/>
    <w:rsid w:val="00E54B51"/>
    <w:rsid w:val="00E550E8"/>
    <w:rsid w:val="00E553A2"/>
    <w:rsid w:val="00E55F49"/>
    <w:rsid w:val="00E56A03"/>
    <w:rsid w:val="00E575E6"/>
    <w:rsid w:val="00E602BC"/>
    <w:rsid w:val="00E60A8D"/>
    <w:rsid w:val="00E60ECB"/>
    <w:rsid w:val="00E611EE"/>
    <w:rsid w:val="00E613A8"/>
    <w:rsid w:val="00E616E4"/>
    <w:rsid w:val="00E61B08"/>
    <w:rsid w:val="00E61D2A"/>
    <w:rsid w:val="00E6416F"/>
    <w:rsid w:val="00E64AA8"/>
    <w:rsid w:val="00E65B6C"/>
    <w:rsid w:val="00E6629E"/>
    <w:rsid w:val="00E67120"/>
    <w:rsid w:val="00E6771E"/>
    <w:rsid w:val="00E72C01"/>
    <w:rsid w:val="00E72EDF"/>
    <w:rsid w:val="00E743D4"/>
    <w:rsid w:val="00E74801"/>
    <w:rsid w:val="00E753B6"/>
    <w:rsid w:val="00E75F9E"/>
    <w:rsid w:val="00E76B03"/>
    <w:rsid w:val="00E77008"/>
    <w:rsid w:val="00E8248C"/>
    <w:rsid w:val="00E8278B"/>
    <w:rsid w:val="00E842F9"/>
    <w:rsid w:val="00E84AB7"/>
    <w:rsid w:val="00E84F2D"/>
    <w:rsid w:val="00E8744C"/>
    <w:rsid w:val="00E8757E"/>
    <w:rsid w:val="00E911DC"/>
    <w:rsid w:val="00E91D81"/>
    <w:rsid w:val="00E924C2"/>
    <w:rsid w:val="00E93988"/>
    <w:rsid w:val="00E939C1"/>
    <w:rsid w:val="00E952F6"/>
    <w:rsid w:val="00E95DE6"/>
    <w:rsid w:val="00E96879"/>
    <w:rsid w:val="00EA0E29"/>
    <w:rsid w:val="00EA264C"/>
    <w:rsid w:val="00EA2E6F"/>
    <w:rsid w:val="00EA30EB"/>
    <w:rsid w:val="00EA437F"/>
    <w:rsid w:val="00EA548A"/>
    <w:rsid w:val="00EB0132"/>
    <w:rsid w:val="00EB1169"/>
    <w:rsid w:val="00EB120D"/>
    <w:rsid w:val="00EB1BEE"/>
    <w:rsid w:val="00EB1D0E"/>
    <w:rsid w:val="00EB1E3C"/>
    <w:rsid w:val="00EB2692"/>
    <w:rsid w:val="00EB4AD9"/>
    <w:rsid w:val="00EB54C1"/>
    <w:rsid w:val="00EB56E2"/>
    <w:rsid w:val="00EB5907"/>
    <w:rsid w:val="00EC0289"/>
    <w:rsid w:val="00EC142B"/>
    <w:rsid w:val="00EC21E1"/>
    <w:rsid w:val="00EC239E"/>
    <w:rsid w:val="00EC291B"/>
    <w:rsid w:val="00EC2A39"/>
    <w:rsid w:val="00EC3B69"/>
    <w:rsid w:val="00EC5562"/>
    <w:rsid w:val="00EC5D8C"/>
    <w:rsid w:val="00EC65DB"/>
    <w:rsid w:val="00ED03D7"/>
    <w:rsid w:val="00ED0EC1"/>
    <w:rsid w:val="00ED1ADF"/>
    <w:rsid w:val="00ED2C6A"/>
    <w:rsid w:val="00ED522A"/>
    <w:rsid w:val="00ED6442"/>
    <w:rsid w:val="00ED677F"/>
    <w:rsid w:val="00ED6BA0"/>
    <w:rsid w:val="00ED7CAA"/>
    <w:rsid w:val="00EE2563"/>
    <w:rsid w:val="00EE2624"/>
    <w:rsid w:val="00EE2A74"/>
    <w:rsid w:val="00EE2FFC"/>
    <w:rsid w:val="00EE357F"/>
    <w:rsid w:val="00EE395C"/>
    <w:rsid w:val="00EE442D"/>
    <w:rsid w:val="00EE4D4A"/>
    <w:rsid w:val="00EE59DB"/>
    <w:rsid w:val="00EE6357"/>
    <w:rsid w:val="00EE639A"/>
    <w:rsid w:val="00EF2786"/>
    <w:rsid w:val="00EF2BAA"/>
    <w:rsid w:val="00EF3246"/>
    <w:rsid w:val="00EF3D96"/>
    <w:rsid w:val="00EF4CAC"/>
    <w:rsid w:val="00EF4E19"/>
    <w:rsid w:val="00EF6324"/>
    <w:rsid w:val="00EF65B0"/>
    <w:rsid w:val="00EF6836"/>
    <w:rsid w:val="00EF7313"/>
    <w:rsid w:val="00F0000F"/>
    <w:rsid w:val="00F023FA"/>
    <w:rsid w:val="00F02ABD"/>
    <w:rsid w:val="00F03124"/>
    <w:rsid w:val="00F033E4"/>
    <w:rsid w:val="00F03A61"/>
    <w:rsid w:val="00F04469"/>
    <w:rsid w:val="00F04F10"/>
    <w:rsid w:val="00F051DA"/>
    <w:rsid w:val="00F05BA8"/>
    <w:rsid w:val="00F0607B"/>
    <w:rsid w:val="00F069DD"/>
    <w:rsid w:val="00F07553"/>
    <w:rsid w:val="00F1011C"/>
    <w:rsid w:val="00F10D8E"/>
    <w:rsid w:val="00F114EE"/>
    <w:rsid w:val="00F11969"/>
    <w:rsid w:val="00F11C65"/>
    <w:rsid w:val="00F12B35"/>
    <w:rsid w:val="00F13CB3"/>
    <w:rsid w:val="00F13D92"/>
    <w:rsid w:val="00F1418E"/>
    <w:rsid w:val="00F147AE"/>
    <w:rsid w:val="00F150EA"/>
    <w:rsid w:val="00F15D37"/>
    <w:rsid w:val="00F1640A"/>
    <w:rsid w:val="00F16517"/>
    <w:rsid w:val="00F166FA"/>
    <w:rsid w:val="00F17366"/>
    <w:rsid w:val="00F173F1"/>
    <w:rsid w:val="00F173F3"/>
    <w:rsid w:val="00F17F14"/>
    <w:rsid w:val="00F20077"/>
    <w:rsid w:val="00F20145"/>
    <w:rsid w:val="00F20276"/>
    <w:rsid w:val="00F20499"/>
    <w:rsid w:val="00F204CF"/>
    <w:rsid w:val="00F22E33"/>
    <w:rsid w:val="00F23006"/>
    <w:rsid w:val="00F233AA"/>
    <w:rsid w:val="00F237B0"/>
    <w:rsid w:val="00F241B2"/>
    <w:rsid w:val="00F24514"/>
    <w:rsid w:val="00F264EF"/>
    <w:rsid w:val="00F2650E"/>
    <w:rsid w:val="00F2697C"/>
    <w:rsid w:val="00F3196E"/>
    <w:rsid w:val="00F31B3E"/>
    <w:rsid w:val="00F31F3C"/>
    <w:rsid w:val="00F327BB"/>
    <w:rsid w:val="00F32967"/>
    <w:rsid w:val="00F33B88"/>
    <w:rsid w:val="00F33FF4"/>
    <w:rsid w:val="00F348C3"/>
    <w:rsid w:val="00F34FD6"/>
    <w:rsid w:val="00F3663C"/>
    <w:rsid w:val="00F37776"/>
    <w:rsid w:val="00F40F1F"/>
    <w:rsid w:val="00F41AB7"/>
    <w:rsid w:val="00F41C10"/>
    <w:rsid w:val="00F41CEA"/>
    <w:rsid w:val="00F41F19"/>
    <w:rsid w:val="00F425C3"/>
    <w:rsid w:val="00F428F6"/>
    <w:rsid w:val="00F43673"/>
    <w:rsid w:val="00F450C3"/>
    <w:rsid w:val="00F4546E"/>
    <w:rsid w:val="00F46167"/>
    <w:rsid w:val="00F4632A"/>
    <w:rsid w:val="00F46DEC"/>
    <w:rsid w:val="00F46E3A"/>
    <w:rsid w:val="00F46FD7"/>
    <w:rsid w:val="00F50C39"/>
    <w:rsid w:val="00F51B7C"/>
    <w:rsid w:val="00F52108"/>
    <w:rsid w:val="00F53562"/>
    <w:rsid w:val="00F53A77"/>
    <w:rsid w:val="00F55845"/>
    <w:rsid w:val="00F56568"/>
    <w:rsid w:val="00F56A2E"/>
    <w:rsid w:val="00F56ADE"/>
    <w:rsid w:val="00F56E74"/>
    <w:rsid w:val="00F63109"/>
    <w:rsid w:val="00F631C3"/>
    <w:rsid w:val="00F63675"/>
    <w:rsid w:val="00F64874"/>
    <w:rsid w:val="00F657B1"/>
    <w:rsid w:val="00F65B9E"/>
    <w:rsid w:val="00F70924"/>
    <w:rsid w:val="00F72E05"/>
    <w:rsid w:val="00F74447"/>
    <w:rsid w:val="00F74609"/>
    <w:rsid w:val="00F763B2"/>
    <w:rsid w:val="00F7640B"/>
    <w:rsid w:val="00F76FF4"/>
    <w:rsid w:val="00F80032"/>
    <w:rsid w:val="00F80756"/>
    <w:rsid w:val="00F81331"/>
    <w:rsid w:val="00F82AEB"/>
    <w:rsid w:val="00F82B4B"/>
    <w:rsid w:val="00F82C9E"/>
    <w:rsid w:val="00F84D99"/>
    <w:rsid w:val="00F855B5"/>
    <w:rsid w:val="00F85ED7"/>
    <w:rsid w:val="00F86454"/>
    <w:rsid w:val="00F90005"/>
    <w:rsid w:val="00F906C4"/>
    <w:rsid w:val="00F9087E"/>
    <w:rsid w:val="00F90C02"/>
    <w:rsid w:val="00F91973"/>
    <w:rsid w:val="00F94A17"/>
    <w:rsid w:val="00F96BEF"/>
    <w:rsid w:val="00F96EEB"/>
    <w:rsid w:val="00F97B07"/>
    <w:rsid w:val="00FA10A6"/>
    <w:rsid w:val="00FA15C9"/>
    <w:rsid w:val="00FA185F"/>
    <w:rsid w:val="00FA18E4"/>
    <w:rsid w:val="00FA328E"/>
    <w:rsid w:val="00FA50C9"/>
    <w:rsid w:val="00FA736E"/>
    <w:rsid w:val="00FA75B7"/>
    <w:rsid w:val="00FB06F2"/>
    <w:rsid w:val="00FB2845"/>
    <w:rsid w:val="00FB4C99"/>
    <w:rsid w:val="00FB4EB7"/>
    <w:rsid w:val="00FB5B59"/>
    <w:rsid w:val="00FB63D8"/>
    <w:rsid w:val="00FC0053"/>
    <w:rsid w:val="00FC013C"/>
    <w:rsid w:val="00FC1EF7"/>
    <w:rsid w:val="00FC2488"/>
    <w:rsid w:val="00FC26AA"/>
    <w:rsid w:val="00FC29CB"/>
    <w:rsid w:val="00FC2DB0"/>
    <w:rsid w:val="00FC51D2"/>
    <w:rsid w:val="00FC5514"/>
    <w:rsid w:val="00FC5CBF"/>
    <w:rsid w:val="00FC5F2F"/>
    <w:rsid w:val="00FC64EC"/>
    <w:rsid w:val="00FC7F0A"/>
    <w:rsid w:val="00FC7FE1"/>
    <w:rsid w:val="00FD04A0"/>
    <w:rsid w:val="00FD061C"/>
    <w:rsid w:val="00FD1C30"/>
    <w:rsid w:val="00FD29FA"/>
    <w:rsid w:val="00FD2DDF"/>
    <w:rsid w:val="00FD30EE"/>
    <w:rsid w:val="00FD31E6"/>
    <w:rsid w:val="00FD43F9"/>
    <w:rsid w:val="00FD4A42"/>
    <w:rsid w:val="00FD4F91"/>
    <w:rsid w:val="00FD5854"/>
    <w:rsid w:val="00FD6261"/>
    <w:rsid w:val="00FD6770"/>
    <w:rsid w:val="00FE199F"/>
    <w:rsid w:val="00FE1AEF"/>
    <w:rsid w:val="00FE1C83"/>
    <w:rsid w:val="00FE24AE"/>
    <w:rsid w:val="00FE2508"/>
    <w:rsid w:val="00FE2DE9"/>
    <w:rsid w:val="00FE3CAC"/>
    <w:rsid w:val="00FE48CF"/>
    <w:rsid w:val="00FE4D5B"/>
    <w:rsid w:val="00FE4F9A"/>
    <w:rsid w:val="00FE51CD"/>
    <w:rsid w:val="00FE771A"/>
    <w:rsid w:val="00FF0292"/>
    <w:rsid w:val="00FF12BA"/>
    <w:rsid w:val="00FF1B2E"/>
    <w:rsid w:val="00FF1EDC"/>
    <w:rsid w:val="00FF2E1E"/>
    <w:rsid w:val="00FF3F24"/>
    <w:rsid w:val="00FF3F7C"/>
    <w:rsid w:val="00FF4173"/>
    <w:rsid w:val="00FF4F99"/>
    <w:rsid w:val="00FF5E01"/>
    <w:rsid w:val="00FF5EC4"/>
    <w:rsid w:val="00FF6E23"/>
    <w:rsid w:val="00FF71E6"/>
    <w:rsid w:val="00FF749B"/>
    <w:rsid w:val="01571D69"/>
    <w:rsid w:val="01852D7E"/>
    <w:rsid w:val="01D26210"/>
    <w:rsid w:val="01EC7213"/>
    <w:rsid w:val="023B16D4"/>
    <w:rsid w:val="02405454"/>
    <w:rsid w:val="026526A0"/>
    <w:rsid w:val="026E7BC3"/>
    <w:rsid w:val="027E2AD4"/>
    <w:rsid w:val="03002880"/>
    <w:rsid w:val="030D5CD8"/>
    <w:rsid w:val="035F3665"/>
    <w:rsid w:val="035F7005"/>
    <w:rsid w:val="03731922"/>
    <w:rsid w:val="04004F5B"/>
    <w:rsid w:val="044F733E"/>
    <w:rsid w:val="04FF5D72"/>
    <w:rsid w:val="050C782E"/>
    <w:rsid w:val="05DB07FE"/>
    <w:rsid w:val="05F11D86"/>
    <w:rsid w:val="06FC7B9D"/>
    <w:rsid w:val="070F3021"/>
    <w:rsid w:val="074F52E0"/>
    <w:rsid w:val="07886582"/>
    <w:rsid w:val="07AD5556"/>
    <w:rsid w:val="07C26806"/>
    <w:rsid w:val="07D725A8"/>
    <w:rsid w:val="08741C4D"/>
    <w:rsid w:val="08D47DC7"/>
    <w:rsid w:val="08ED3C06"/>
    <w:rsid w:val="090543D3"/>
    <w:rsid w:val="0923170E"/>
    <w:rsid w:val="09457387"/>
    <w:rsid w:val="0A4B43F9"/>
    <w:rsid w:val="0A6A39CB"/>
    <w:rsid w:val="0A922BAA"/>
    <w:rsid w:val="0AFB08EA"/>
    <w:rsid w:val="0B067886"/>
    <w:rsid w:val="0B2E5A51"/>
    <w:rsid w:val="0B965EC9"/>
    <w:rsid w:val="0BAE4516"/>
    <w:rsid w:val="0BF60633"/>
    <w:rsid w:val="0C17296E"/>
    <w:rsid w:val="0C265247"/>
    <w:rsid w:val="0C9004AE"/>
    <w:rsid w:val="0CB85BFD"/>
    <w:rsid w:val="0D464364"/>
    <w:rsid w:val="0D7E0608"/>
    <w:rsid w:val="0D89390E"/>
    <w:rsid w:val="0D973F39"/>
    <w:rsid w:val="0DAE4454"/>
    <w:rsid w:val="0E072D32"/>
    <w:rsid w:val="0E76005D"/>
    <w:rsid w:val="0E8A5825"/>
    <w:rsid w:val="0E9E168F"/>
    <w:rsid w:val="0F1C36FE"/>
    <w:rsid w:val="0F1D7E7E"/>
    <w:rsid w:val="0F2331E9"/>
    <w:rsid w:val="0F2C54BC"/>
    <w:rsid w:val="0F314892"/>
    <w:rsid w:val="0F395C5C"/>
    <w:rsid w:val="0F4E07E1"/>
    <w:rsid w:val="0F744AEE"/>
    <w:rsid w:val="0F933CFD"/>
    <w:rsid w:val="0FDC149E"/>
    <w:rsid w:val="0FF4036F"/>
    <w:rsid w:val="103C5A2C"/>
    <w:rsid w:val="103F4191"/>
    <w:rsid w:val="10460009"/>
    <w:rsid w:val="10FD3292"/>
    <w:rsid w:val="115F5256"/>
    <w:rsid w:val="12347B57"/>
    <w:rsid w:val="123F33CB"/>
    <w:rsid w:val="12BE039B"/>
    <w:rsid w:val="134E04CA"/>
    <w:rsid w:val="13510B85"/>
    <w:rsid w:val="13626D46"/>
    <w:rsid w:val="13715647"/>
    <w:rsid w:val="139A5A8E"/>
    <w:rsid w:val="13A77552"/>
    <w:rsid w:val="13AD79D3"/>
    <w:rsid w:val="13CC2653"/>
    <w:rsid w:val="13FA0FBC"/>
    <w:rsid w:val="140A4976"/>
    <w:rsid w:val="1491348F"/>
    <w:rsid w:val="154C0940"/>
    <w:rsid w:val="15581CD5"/>
    <w:rsid w:val="159628B6"/>
    <w:rsid w:val="15D95FAC"/>
    <w:rsid w:val="163C029A"/>
    <w:rsid w:val="164C057B"/>
    <w:rsid w:val="1665384B"/>
    <w:rsid w:val="16977483"/>
    <w:rsid w:val="16BE042D"/>
    <w:rsid w:val="16D81847"/>
    <w:rsid w:val="16F82EB3"/>
    <w:rsid w:val="171047CD"/>
    <w:rsid w:val="178E2367"/>
    <w:rsid w:val="17AB4437"/>
    <w:rsid w:val="17FB594A"/>
    <w:rsid w:val="18661574"/>
    <w:rsid w:val="1877613D"/>
    <w:rsid w:val="187B0281"/>
    <w:rsid w:val="18954E84"/>
    <w:rsid w:val="189A7F08"/>
    <w:rsid w:val="18B42D0D"/>
    <w:rsid w:val="18C37F5E"/>
    <w:rsid w:val="193A1600"/>
    <w:rsid w:val="19590E65"/>
    <w:rsid w:val="19AB4D0E"/>
    <w:rsid w:val="1A2152E6"/>
    <w:rsid w:val="1A351082"/>
    <w:rsid w:val="1A3F074E"/>
    <w:rsid w:val="1A57282E"/>
    <w:rsid w:val="1A765190"/>
    <w:rsid w:val="1ACB1E66"/>
    <w:rsid w:val="1ACD0120"/>
    <w:rsid w:val="1B131730"/>
    <w:rsid w:val="1B4E1C36"/>
    <w:rsid w:val="1B64477C"/>
    <w:rsid w:val="1B6F0C16"/>
    <w:rsid w:val="1C14436A"/>
    <w:rsid w:val="1C3E7004"/>
    <w:rsid w:val="1C4745C1"/>
    <w:rsid w:val="1C5A2B6C"/>
    <w:rsid w:val="1C79484C"/>
    <w:rsid w:val="1CA11B6E"/>
    <w:rsid w:val="1CBA26D1"/>
    <w:rsid w:val="1D211578"/>
    <w:rsid w:val="1D562446"/>
    <w:rsid w:val="1DEF7800"/>
    <w:rsid w:val="1E4B0BC8"/>
    <w:rsid w:val="1E6636EA"/>
    <w:rsid w:val="1E817334"/>
    <w:rsid w:val="1EA30E10"/>
    <w:rsid w:val="1EA45172"/>
    <w:rsid w:val="1EB07035"/>
    <w:rsid w:val="1ED279B7"/>
    <w:rsid w:val="1EE1306D"/>
    <w:rsid w:val="1F1501AE"/>
    <w:rsid w:val="1F164B6B"/>
    <w:rsid w:val="1F3A751B"/>
    <w:rsid w:val="1F740D20"/>
    <w:rsid w:val="1F8C41B6"/>
    <w:rsid w:val="1F99572A"/>
    <w:rsid w:val="1FD33B34"/>
    <w:rsid w:val="1FFB4C30"/>
    <w:rsid w:val="20CA4077"/>
    <w:rsid w:val="20FF0B36"/>
    <w:rsid w:val="210F2077"/>
    <w:rsid w:val="216C653E"/>
    <w:rsid w:val="218E7EF2"/>
    <w:rsid w:val="21970803"/>
    <w:rsid w:val="219C643A"/>
    <w:rsid w:val="21FE6EBB"/>
    <w:rsid w:val="225D31E5"/>
    <w:rsid w:val="227814D9"/>
    <w:rsid w:val="22EB74F2"/>
    <w:rsid w:val="22FB2576"/>
    <w:rsid w:val="232C115B"/>
    <w:rsid w:val="237B3AA4"/>
    <w:rsid w:val="241D28C7"/>
    <w:rsid w:val="24241883"/>
    <w:rsid w:val="243466F4"/>
    <w:rsid w:val="24D768E1"/>
    <w:rsid w:val="24F4183E"/>
    <w:rsid w:val="24F727E1"/>
    <w:rsid w:val="253D2AD7"/>
    <w:rsid w:val="25905313"/>
    <w:rsid w:val="25A114BE"/>
    <w:rsid w:val="25C65DCF"/>
    <w:rsid w:val="25FD4C3D"/>
    <w:rsid w:val="26235304"/>
    <w:rsid w:val="272B1E2D"/>
    <w:rsid w:val="275A0DBC"/>
    <w:rsid w:val="275B60C5"/>
    <w:rsid w:val="2789615A"/>
    <w:rsid w:val="28137615"/>
    <w:rsid w:val="28EA4467"/>
    <w:rsid w:val="298074F8"/>
    <w:rsid w:val="29B0140A"/>
    <w:rsid w:val="2A02058E"/>
    <w:rsid w:val="2A592844"/>
    <w:rsid w:val="2A847282"/>
    <w:rsid w:val="2AAA6F3A"/>
    <w:rsid w:val="2AAF599D"/>
    <w:rsid w:val="2AC118AA"/>
    <w:rsid w:val="2B3115A3"/>
    <w:rsid w:val="2B7D7832"/>
    <w:rsid w:val="2B8422CC"/>
    <w:rsid w:val="2B8661C9"/>
    <w:rsid w:val="2B9958C4"/>
    <w:rsid w:val="2BA31A18"/>
    <w:rsid w:val="2BBC03AC"/>
    <w:rsid w:val="2BD76F50"/>
    <w:rsid w:val="2BDA485C"/>
    <w:rsid w:val="2C0A11FC"/>
    <w:rsid w:val="2C2C0CD4"/>
    <w:rsid w:val="2C6D0947"/>
    <w:rsid w:val="2C824AF6"/>
    <w:rsid w:val="2CB54B9C"/>
    <w:rsid w:val="2D5003A9"/>
    <w:rsid w:val="2DC97EBB"/>
    <w:rsid w:val="2DED2F9F"/>
    <w:rsid w:val="2E69208C"/>
    <w:rsid w:val="2EED02AB"/>
    <w:rsid w:val="300D2340"/>
    <w:rsid w:val="304B1867"/>
    <w:rsid w:val="30A62832"/>
    <w:rsid w:val="30B71DB8"/>
    <w:rsid w:val="31542B55"/>
    <w:rsid w:val="317A10BA"/>
    <w:rsid w:val="31CA514D"/>
    <w:rsid w:val="31E52EED"/>
    <w:rsid w:val="31EC179E"/>
    <w:rsid w:val="32397DF2"/>
    <w:rsid w:val="32BF3089"/>
    <w:rsid w:val="33766C91"/>
    <w:rsid w:val="33A651AA"/>
    <w:rsid w:val="33C2619F"/>
    <w:rsid w:val="33F00157"/>
    <w:rsid w:val="348F5ABF"/>
    <w:rsid w:val="34961B4F"/>
    <w:rsid w:val="34D35A66"/>
    <w:rsid w:val="350D54D1"/>
    <w:rsid w:val="3512359B"/>
    <w:rsid w:val="354A7C0C"/>
    <w:rsid w:val="357E5C5F"/>
    <w:rsid w:val="35F422C0"/>
    <w:rsid w:val="361F4BB4"/>
    <w:rsid w:val="364A1447"/>
    <w:rsid w:val="368A47DA"/>
    <w:rsid w:val="37302C46"/>
    <w:rsid w:val="37666F39"/>
    <w:rsid w:val="37AE6297"/>
    <w:rsid w:val="37DC4266"/>
    <w:rsid w:val="37FF22D7"/>
    <w:rsid w:val="380C0988"/>
    <w:rsid w:val="381D5081"/>
    <w:rsid w:val="385076D3"/>
    <w:rsid w:val="38647D6C"/>
    <w:rsid w:val="38AD1057"/>
    <w:rsid w:val="394D5268"/>
    <w:rsid w:val="39546167"/>
    <w:rsid w:val="398A6FB9"/>
    <w:rsid w:val="3A003D2D"/>
    <w:rsid w:val="3A045D5A"/>
    <w:rsid w:val="3A4840E3"/>
    <w:rsid w:val="3A716011"/>
    <w:rsid w:val="3AE17140"/>
    <w:rsid w:val="3AE71EEE"/>
    <w:rsid w:val="3AE76249"/>
    <w:rsid w:val="3AEB007F"/>
    <w:rsid w:val="3B763C63"/>
    <w:rsid w:val="3B8C1EBD"/>
    <w:rsid w:val="3B964075"/>
    <w:rsid w:val="3C71745E"/>
    <w:rsid w:val="3CAE7C7B"/>
    <w:rsid w:val="3CD03966"/>
    <w:rsid w:val="3D0365F9"/>
    <w:rsid w:val="3D926308"/>
    <w:rsid w:val="3DB74607"/>
    <w:rsid w:val="3DC546C4"/>
    <w:rsid w:val="3DCB0007"/>
    <w:rsid w:val="3DDE1A28"/>
    <w:rsid w:val="3DEE322C"/>
    <w:rsid w:val="3DFE3E33"/>
    <w:rsid w:val="3E2D2647"/>
    <w:rsid w:val="3E6514C5"/>
    <w:rsid w:val="3E9C0DBF"/>
    <w:rsid w:val="3ED71979"/>
    <w:rsid w:val="3F1F33D1"/>
    <w:rsid w:val="3F765400"/>
    <w:rsid w:val="3F76619A"/>
    <w:rsid w:val="3FE6785C"/>
    <w:rsid w:val="40273277"/>
    <w:rsid w:val="409F56D9"/>
    <w:rsid w:val="40E832EB"/>
    <w:rsid w:val="411D598B"/>
    <w:rsid w:val="416068C2"/>
    <w:rsid w:val="41767472"/>
    <w:rsid w:val="42077E65"/>
    <w:rsid w:val="42187D46"/>
    <w:rsid w:val="427F277F"/>
    <w:rsid w:val="428D5EB0"/>
    <w:rsid w:val="429E6F79"/>
    <w:rsid w:val="42C27303"/>
    <w:rsid w:val="438F678E"/>
    <w:rsid w:val="44055AFA"/>
    <w:rsid w:val="44293347"/>
    <w:rsid w:val="445B2EEA"/>
    <w:rsid w:val="44802E04"/>
    <w:rsid w:val="44914329"/>
    <w:rsid w:val="44FB29B3"/>
    <w:rsid w:val="45504237"/>
    <w:rsid w:val="45E71F5E"/>
    <w:rsid w:val="45F70286"/>
    <w:rsid w:val="461C7DBC"/>
    <w:rsid w:val="463E4501"/>
    <w:rsid w:val="46B14226"/>
    <w:rsid w:val="4708308E"/>
    <w:rsid w:val="47FC100E"/>
    <w:rsid w:val="483A5B4A"/>
    <w:rsid w:val="485F5EEF"/>
    <w:rsid w:val="488661F9"/>
    <w:rsid w:val="48AF73AB"/>
    <w:rsid w:val="48F473BA"/>
    <w:rsid w:val="490B636F"/>
    <w:rsid w:val="49325554"/>
    <w:rsid w:val="4964658D"/>
    <w:rsid w:val="49675707"/>
    <w:rsid w:val="497D0A27"/>
    <w:rsid w:val="49E334FA"/>
    <w:rsid w:val="49E72212"/>
    <w:rsid w:val="4A067613"/>
    <w:rsid w:val="4A390A1F"/>
    <w:rsid w:val="4A470483"/>
    <w:rsid w:val="4A826F91"/>
    <w:rsid w:val="4B4950CF"/>
    <w:rsid w:val="4B5770DE"/>
    <w:rsid w:val="4BC61C04"/>
    <w:rsid w:val="4C17181B"/>
    <w:rsid w:val="4C3B797E"/>
    <w:rsid w:val="4C521D29"/>
    <w:rsid w:val="4C607AFD"/>
    <w:rsid w:val="4C8C0F45"/>
    <w:rsid w:val="4D5B219C"/>
    <w:rsid w:val="4D88571B"/>
    <w:rsid w:val="4DE87353"/>
    <w:rsid w:val="4E082C4A"/>
    <w:rsid w:val="4F227799"/>
    <w:rsid w:val="4F35056F"/>
    <w:rsid w:val="4F6E39FF"/>
    <w:rsid w:val="4F946925"/>
    <w:rsid w:val="4F9B1DB3"/>
    <w:rsid w:val="50430C01"/>
    <w:rsid w:val="50AB7363"/>
    <w:rsid w:val="50DE2186"/>
    <w:rsid w:val="516C237D"/>
    <w:rsid w:val="51F41C1B"/>
    <w:rsid w:val="528434F9"/>
    <w:rsid w:val="52E0186F"/>
    <w:rsid w:val="534F2E36"/>
    <w:rsid w:val="5360403D"/>
    <w:rsid w:val="536A55FC"/>
    <w:rsid w:val="53CD3766"/>
    <w:rsid w:val="53F40FAD"/>
    <w:rsid w:val="53F56441"/>
    <w:rsid w:val="54A7404D"/>
    <w:rsid w:val="55CC2626"/>
    <w:rsid w:val="55CF114B"/>
    <w:rsid w:val="55E778BF"/>
    <w:rsid w:val="56605D11"/>
    <w:rsid w:val="56902B32"/>
    <w:rsid w:val="56A047C5"/>
    <w:rsid w:val="56CE145B"/>
    <w:rsid w:val="57341FC4"/>
    <w:rsid w:val="583D2588"/>
    <w:rsid w:val="58B1644D"/>
    <w:rsid w:val="590042BE"/>
    <w:rsid w:val="59396D79"/>
    <w:rsid w:val="594C7232"/>
    <w:rsid w:val="5A1629C9"/>
    <w:rsid w:val="5A314D67"/>
    <w:rsid w:val="5A3B0E6E"/>
    <w:rsid w:val="5A423F35"/>
    <w:rsid w:val="5A5443D2"/>
    <w:rsid w:val="5A7055BB"/>
    <w:rsid w:val="5A71140C"/>
    <w:rsid w:val="5A9B1590"/>
    <w:rsid w:val="5BBC4ABB"/>
    <w:rsid w:val="5C196CAC"/>
    <w:rsid w:val="5C28775A"/>
    <w:rsid w:val="5CF84BE5"/>
    <w:rsid w:val="5D271513"/>
    <w:rsid w:val="5D6C63D6"/>
    <w:rsid w:val="5DA01008"/>
    <w:rsid w:val="5DD108C9"/>
    <w:rsid w:val="5E452010"/>
    <w:rsid w:val="5E4A780F"/>
    <w:rsid w:val="5E9C692A"/>
    <w:rsid w:val="5EAF31D0"/>
    <w:rsid w:val="5EEE7717"/>
    <w:rsid w:val="5F353BA4"/>
    <w:rsid w:val="5F7A6628"/>
    <w:rsid w:val="609070B6"/>
    <w:rsid w:val="609F0622"/>
    <w:rsid w:val="60FD0AFC"/>
    <w:rsid w:val="61595782"/>
    <w:rsid w:val="61932EE2"/>
    <w:rsid w:val="61A174E4"/>
    <w:rsid w:val="61EF0C20"/>
    <w:rsid w:val="61F047A2"/>
    <w:rsid w:val="61F36C0F"/>
    <w:rsid w:val="61FD4AAB"/>
    <w:rsid w:val="622264F5"/>
    <w:rsid w:val="6319498A"/>
    <w:rsid w:val="631C140D"/>
    <w:rsid w:val="63675066"/>
    <w:rsid w:val="63A26430"/>
    <w:rsid w:val="63D33369"/>
    <w:rsid w:val="644B61AB"/>
    <w:rsid w:val="64574E5C"/>
    <w:rsid w:val="647118DD"/>
    <w:rsid w:val="647A1272"/>
    <w:rsid w:val="64851DA0"/>
    <w:rsid w:val="64932560"/>
    <w:rsid w:val="64A43562"/>
    <w:rsid w:val="64D755FC"/>
    <w:rsid w:val="64E1328D"/>
    <w:rsid w:val="65470991"/>
    <w:rsid w:val="656C033B"/>
    <w:rsid w:val="65A41E57"/>
    <w:rsid w:val="65C542FE"/>
    <w:rsid w:val="661A48C7"/>
    <w:rsid w:val="665E543B"/>
    <w:rsid w:val="668D6F23"/>
    <w:rsid w:val="66AF350D"/>
    <w:rsid w:val="66B15C12"/>
    <w:rsid w:val="672B6048"/>
    <w:rsid w:val="672F6D98"/>
    <w:rsid w:val="677A5106"/>
    <w:rsid w:val="67D5177B"/>
    <w:rsid w:val="67DF166D"/>
    <w:rsid w:val="684F31C5"/>
    <w:rsid w:val="68A01EAA"/>
    <w:rsid w:val="68CB4CBF"/>
    <w:rsid w:val="69524212"/>
    <w:rsid w:val="69CB3401"/>
    <w:rsid w:val="69EC6239"/>
    <w:rsid w:val="6A0548FA"/>
    <w:rsid w:val="6A4B31C2"/>
    <w:rsid w:val="6A5252A3"/>
    <w:rsid w:val="6A672579"/>
    <w:rsid w:val="6A772AAA"/>
    <w:rsid w:val="6A92335E"/>
    <w:rsid w:val="6B1D53CC"/>
    <w:rsid w:val="6BA24B25"/>
    <w:rsid w:val="6BBD05A9"/>
    <w:rsid w:val="6C11337F"/>
    <w:rsid w:val="6C2D07A0"/>
    <w:rsid w:val="6C8963D4"/>
    <w:rsid w:val="6D272F07"/>
    <w:rsid w:val="6D855654"/>
    <w:rsid w:val="6DB003B1"/>
    <w:rsid w:val="6EC1581C"/>
    <w:rsid w:val="6EFB3C4B"/>
    <w:rsid w:val="6F82406A"/>
    <w:rsid w:val="6FA92DDF"/>
    <w:rsid w:val="6FD4652A"/>
    <w:rsid w:val="70621CD7"/>
    <w:rsid w:val="706859B4"/>
    <w:rsid w:val="70A25481"/>
    <w:rsid w:val="70BC7402"/>
    <w:rsid w:val="716020F5"/>
    <w:rsid w:val="720C5563"/>
    <w:rsid w:val="723D4D8F"/>
    <w:rsid w:val="724D2287"/>
    <w:rsid w:val="72C92BCC"/>
    <w:rsid w:val="730419DF"/>
    <w:rsid w:val="73534AFE"/>
    <w:rsid w:val="735C0CF2"/>
    <w:rsid w:val="73633A4E"/>
    <w:rsid w:val="739834F4"/>
    <w:rsid w:val="73CC20C2"/>
    <w:rsid w:val="73E440EA"/>
    <w:rsid w:val="74A16C94"/>
    <w:rsid w:val="754F6AD2"/>
    <w:rsid w:val="756C00F0"/>
    <w:rsid w:val="758B7C5D"/>
    <w:rsid w:val="75C07CE0"/>
    <w:rsid w:val="75C416A3"/>
    <w:rsid w:val="760C69D0"/>
    <w:rsid w:val="761271C8"/>
    <w:rsid w:val="762A7B7C"/>
    <w:rsid w:val="765272A2"/>
    <w:rsid w:val="76861DBA"/>
    <w:rsid w:val="769D78D7"/>
    <w:rsid w:val="76B86C14"/>
    <w:rsid w:val="775E365A"/>
    <w:rsid w:val="77BA5893"/>
    <w:rsid w:val="77C7134B"/>
    <w:rsid w:val="77F602B5"/>
    <w:rsid w:val="78011548"/>
    <w:rsid w:val="781F2FF7"/>
    <w:rsid w:val="788A6573"/>
    <w:rsid w:val="78A46B2E"/>
    <w:rsid w:val="7970566C"/>
    <w:rsid w:val="79793A98"/>
    <w:rsid w:val="79920AAC"/>
    <w:rsid w:val="7A3C7F3F"/>
    <w:rsid w:val="7ABF12AC"/>
    <w:rsid w:val="7ACC1725"/>
    <w:rsid w:val="7B0826B2"/>
    <w:rsid w:val="7B0E5F3D"/>
    <w:rsid w:val="7B2C02F4"/>
    <w:rsid w:val="7B47397C"/>
    <w:rsid w:val="7B4D29A9"/>
    <w:rsid w:val="7B7A7B79"/>
    <w:rsid w:val="7BAC01BC"/>
    <w:rsid w:val="7BF04264"/>
    <w:rsid w:val="7C185834"/>
    <w:rsid w:val="7C223E28"/>
    <w:rsid w:val="7C233F48"/>
    <w:rsid w:val="7C44363E"/>
    <w:rsid w:val="7C694E0F"/>
    <w:rsid w:val="7C6A61B0"/>
    <w:rsid w:val="7C867E8E"/>
    <w:rsid w:val="7C9159CD"/>
    <w:rsid w:val="7CDF3BFD"/>
    <w:rsid w:val="7D671760"/>
    <w:rsid w:val="7DD16FF1"/>
    <w:rsid w:val="7DFF5205"/>
    <w:rsid w:val="7E6F7060"/>
    <w:rsid w:val="7EC375C0"/>
    <w:rsid w:val="7EC8768C"/>
    <w:rsid w:val="7EF41082"/>
    <w:rsid w:val="7F2A286F"/>
    <w:rsid w:val="7F866531"/>
    <w:rsid w:val="7FC34B42"/>
    <w:rsid w:val="7FE5084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3,4"/>
      <o:rules v:ext="edit">
        <o:r id="V:Rule1" type="connector" idref="#AutoShape 46"/>
        <o:r id="V:Rule2" type="connector" idref="#AutoShape 27"/>
        <o:r id="V:Rule3" type="connector" idref="#AutoShape 11"/>
        <o:r id="V:Rule4" type="connector" idref="#AutoShape 11"/>
        <o:r id="V:Rule5" type="connector" idref="#自选图形 3945"/>
        <o:r id="V:Rule6" type="connector" idref="#自选图形 3948"/>
        <o:r id="V:Rule7" type="connector" idref="#自选图形 3933"/>
        <o:r id="V:Rule8" type="connector" idref="#自选图形 4100"/>
        <o:r id="V:Rule9" type="connector" idref="#自选图形 4121"/>
        <o:r id="V:Rule10" type="connector" idref="#自选图形 4119"/>
        <o:r id="V:Rule11" type="connector" idref="#_x0000_s4090"/>
        <o:r id="V:Rule12" type="connector" idref="#_x0000_s4091"/>
        <o:r id="V:Rule13" type="connector" idref="#_x0000_s4097"/>
        <o:r id="V:Rule14" type="connector" idref="#自选图形 3945"/>
        <o:r id="V:Rule15" type="connector" idref="#自选图形 4117"/>
        <o:r id="V:Rule16" type="connector" idref="#_x0000_s4107"/>
        <o:r id="V:Rule17" type="connector" idref="#_x0000_s4108"/>
        <o:r id="V:Rule18" type="connector" idref="#_x0000_s4109"/>
        <o:r id="V:Rule19" type="connector" idref="#_x0000_s4110"/>
        <o:r id="V:Rule20" type="connector" idref="#_x0000_s4111"/>
        <o:r id="V:Rule21" type="connector" idref="#_x0000_s4112"/>
        <o:r id="V:Rule22" type="connector" idref="#_x0000_s4113"/>
        <o:r id="V:Rule23" type="connector" idref="#_x0000_s4114"/>
        <o:r id="V:Rule24" type="connector" idref="#自选图形 4119"/>
        <o:r id="V:Rule25" type="connector" idref="#_x0000_s4118"/>
        <o:r id="V:Rule26" type="connector" idref="#_x0000_s4120"/>
        <o:r id="V:Rule27" type="connector" idref="#自选图形 3945"/>
        <o:r id="V:Rule28" type="connector" idref="#_x0000_s4136"/>
        <o:r id="V:Rule29" type="connector" idref="#_x0000_s4137"/>
        <o:r id="V:Rule30" type="connector" idref="#_x0000_s4138"/>
        <o:r id="V:Rule31" type="connector" idref="#_x0000_s4140"/>
        <o:r id="V:Rule32" type="connector" idref="#_x0000_s4141"/>
        <o:r id="V:Rule33" type="connector" idref="#_x0000_s4146"/>
        <o:r id="V:Rule34" type="connector" idref="#_x0000_s4150"/>
        <o:r id="V:Rule35" type="connector" idref="#_x0000_s4152"/>
        <o:r id="V:Rule36" type="connector" idref="#_x0000_s4153"/>
        <o:r id="V:Rule37" type="connector" idref="#_x0000_s4154"/>
        <o:r id="V:Rule38" type="connector" idref="#_x0000_s4155"/>
        <o:r id="V:Rule39" type="connector" idref="#_x0000_s4156"/>
        <o:r id="V:Rule40" type="connector" idref="#_x0000_s4157"/>
        <o:r id="V:Rule41" type="connector" idref="#_x0000_s4158"/>
        <o:r id="V:Rule42" type="connector" idref="#_x0000_s4160"/>
        <o:r id="V:Rule43" type="connector" idref="#_x0000_s4161"/>
        <o:r id="V:Rule44" type="connector" idref="#_x0000_s4162"/>
        <o:r id="V:Rule45" type="connector" idref="#_x0000_s4163"/>
        <o:r id="V:Rule46" type="connector" idref="#_x0000_s4185"/>
        <o:r id="V:Rule47" type="connector" idref="#_x0000_s4187"/>
        <o:r id="V:Rule48" type="connector" idref="#_x0000_s4204"/>
        <o:r id="V:Rule49" type="connector" idref="#_x0000_s4205"/>
        <o:r id="V:Rule50" type="connector" idref="#_x0000_s4206"/>
        <o:r id="V:Rule51" type="connector" idref="#_x0000_s4207"/>
        <o:r id="V:Rule52" type="connector" idref="#_x0000_s4215"/>
        <o:r id="V:Rule53" type="connector" idref="#_x0000_s4216"/>
        <o:r id="V:Rule54" type="connector" idref="#_x0000_s4217"/>
        <o:r id="V:Rule55" type="connector" idref="#_x0000_s4221"/>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qFormat="1" w:unhideWhenUsed="0" w:uiPriority="0" w:semiHidden="0" w:name="index 8"/>
    <w:lsdException w:uiPriority="0" w:name="index 9"/>
    <w:lsdException w:qFormat="1" w:uiPriority="39" w:semiHidden="0" w:name="toc 1"/>
    <w:lsdException w:qFormat="1" w:uiPriority="39" w:semiHidden="0" w:name="toc 2"/>
    <w:lsdException w:qFormat="1" w:unhideWhenUsed="0" w:uiPriority="39"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99" w:semiHidden="0" w:name="Normal Indent"/>
    <w:lsdException w:uiPriority="0" w:name="footnote text"/>
    <w:lsdException w:uiPriority="0" w:name="annotation text"/>
    <w:lsdException w:qFormat="1" w:unhideWhenUsed="0" w:uiPriority="0" w:semiHidden="0" w:name="header"/>
    <w:lsdException w:qFormat="1" w:unhideWhenUsed="0" w:uiPriority="0"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0" w:semiHidden="0" w:name="Body Text First Indent 2"/>
    <w:lsdException w:uiPriority="0" w:name="Note Heading"/>
    <w:lsdException w:uiPriority="0" w:name="Body Text 2"/>
    <w:lsdException w:uiPriority="0" w:name="Body Text 3"/>
    <w:lsdException w:uiPriority="0" w:name="Body Text Indent 2"/>
    <w:lsdException w:unhideWhenUsed="0" w:uiPriority="0" w:semiHidden="0" w:name="Body Text Indent 3"/>
    <w:lsdException w:qFormat="1" w:unhideWhenUsed="0" w:uiPriority="0" w:semiHidden="0" w:name="Block Text"/>
    <w:lsdException w:qFormat="1" w:unhideWhenUsed="0" w:uiPriority="99" w:semiHidden="0" w:name="Hyperlink"/>
    <w:lsdException w:uiPriority="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lang w:val="en-US" w:eastAsia="zh-CN" w:bidi="ar-SA"/>
    </w:rPr>
  </w:style>
  <w:style w:type="paragraph" w:styleId="3">
    <w:name w:val="heading 1"/>
    <w:basedOn w:val="1"/>
    <w:next w:val="1"/>
    <w:link w:val="34"/>
    <w:qFormat/>
    <w:uiPriority w:val="9"/>
    <w:pPr>
      <w:keepNext/>
      <w:keepLines/>
      <w:spacing w:before="340" w:after="330" w:line="576" w:lineRule="auto"/>
      <w:jc w:val="center"/>
      <w:outlineLvl w:val="0"/>
    </w:pPr>
    <w:rPr>
      <w:b/>
      <w:kern w:val="44"/>
      <w:sz w:val="32"/>
    </w:rPr>
  </w:style>
  <w:style w:type="paragraph" w:styleId="4">
    <w:name w:val="heading 2"/>
    <w:basedOn w:val="1"/>
    <w:next w:val="1"/>
    <w:link w:val="86"/>
    <w:unhideWhenUsed/>
    <w:qFormat/>
    <w:uiPriority w:val="0"/>
    <w:pPr>
      <w:topLinePunct/>
      <w:spacing w:beforeLines="50"/>
      <w:jc w:val="left"/>
      <w:outlineLvl w:val="1"/>
    </w:pPr>
    <w:rPr>
      <w:b/>
      <w:bCs/>
      <w:sz w:val="30"/>
      <w:szCs w:val="30"/>
    </w:rPr>
  </w:style>
  <w:style w:type="paragraph" w:styleId="5">
    <w:name w:val="heading 3"/>
    <w:basedOn w:val="1"/>
    <w:next w:val="1"/>
    <w:link w:val="36"/>
    <w:semiHidden/>
    <w:unhideWhenUsed/>
    <w:qFormat/>
    <w:uiPriority w:val="0"/>
    <w:pPr>
      <w:keepNext/>
      <w:keepLines/>
      <w:tabs>
        <w:tab w:val="right" w:leader="dot" w:pos="9060"/>
      </w:tabs>
      <w:spacing w:before="260" w:after="260" w:line="480" w:lineRule="auto"/>
      <w:jc w:val="left"/>
      <w:outlineLvl w:val="2"/>
    </w:pPr>
    <w:rPr>
      <w:b/>
      <w:bCs/>
      <w:sz w:val="28"/>
      <w:szCs w:val="32"/>
    </w:rPr>
  </w:style>
  <w:style w:type="paragraph" w:styleId="6">
    <w:name w:val="heading 4"/>
    <w:basedOn w:val="1"/>
    <w:next w:val="7"/>
    <w:semiHidden/>
    <w:unhideWhenUsed/>
    <w:qFormat/>
    <w:uiPriority w:val="0"/>
    <w:pPr>
      <w:keepNext/>
      <w:widowControl/>
      <w:overflowPunct w:val="0"/>
      <w:autoSpaceDE w:val="0"/>
      <w:autoSpaceDN w:val="0"/>
      <w:adjustRightInd w:val="0"/>
      <w:spacing w:beforeLines="100" w:afterLines="100" w:line="360" w:lineRule="auto"/>
      <w:jc w:val="left"/>
      <w:textAlignment w:val="baseline"/>
      <w:outlineLvl w:val="3"/>
    </w:pPr>
    <w:rPr>
      <w:b/>
      <w:i/>
      <w:kern w:val="28"/>
      <w:sz w:val="28"/>
    </w:rPr>
  </w:style>
  <w:style w:type="paragraph" w:styleId="9">
    <w:name w:val="heading 5"/>
    <w:basedOn w:val="1"/>
    <w:next w:val="1"/>
    <w:semiHidden/>
    <w:unhideWhenUsed/>
    <w:qFormat/>
    <w:uiPriority w:val="0"/>
    <w:pPr>
      <w:keepNext/>
      <w:keepLines/>
      <w:spacing w:beforeLines="100" w:afterLines="100" w:line="360" w:lineRule="auto"/>
      <w:jc w:val="left"/>
      <w:outlineLvl w:val="4"/>
    </w:pPr>
    <w:rPr>
      <w:b/>
      <w:sz w:val="24"/>
    </w:rPr>
  </w:style>
  <w:style w:type="character" w:default="1" w:styleId="28">
    <w:name w:val="Default Paragraph Font"/>
    <w:semiHidden/>
    <w:unhideWhenUsed/>
    <w:uiPriority w:val="1"/>
  </w:style>
  <w:style w:type="table" w:default="1" w:styleId="26">
    <w:name w:val="Normal Table"/>
    <w:semiHidden/>
    <w:unhideWhenUsed/>
    <w:qFormat/>
    <w:uiPriority w:val="99"/>
    <w:tblPr>
      <w:tblLayout w:type="fixed"/>
      <w:tblCellMar>
        <w:top w:w="0" w:type="dxa"/>
        <w:left w:w="108" w:type="dxa"/>
        <w:bottom w:w="0" w:type="dxa"/>
        <w:right w:w="108" w:type="dxa"/>
      </w:tblCellMar>
    </w:tblPr>
  </w:style>
  <w:style w:type="paragraph" w:styleId="2">
    <w:name w:val="Body Text First Indent 2"/>
    <w:basedOn w:val="1"/>
    <w:next w:val="1"/>
    <w:link w:val="71"/>
    <w:qFormat/>
    <w:uiPriority w:val="0"/>
    <w:pPr>
      <w:spacing w:after="120"/>
      <w:ind w:left="420" w:leftChars="200" w:firstLine="420"/>
    </w:pPr>
  </w:style>
  <w:style w:type="paragraph" w:styleId="7">
    <w:name w:val="Body Text"/>
    <w:basedOn w:val="1"/>
    <w:next w:val="8"/>
    <w:link w:val="75"/>
    <w:qFormat/>
    <w:uiPriority w:val="99"/>
    <w:pPr>
      <w:spacing w:line="520" w:lineRule="exact"/>
      <w:ind w:firstLine="961" w:firstLineChars="200"/>
      <w:jc w:val="left"/>
    </w:pPr>
    <w:rPr>
      <w:rFonts w:cs="宋体"/>
      <w:sz w:val="24"/>
      <w:szCs w:val="28"/>
      <w:lang w:val="zh-CN" w:bidi="zh-CN"/>
    </w:rPr>
  </w:style>
  <w:style w:type="paragraph" w:customStyle="1" w:styleId="8">
    <w:name w:val="xl27"/>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Cs w:val="21"/>
    </w:rPr>
  </w:style>
  <w:style w:type="paragraph" w:styleId="10">
    <w:name w:val="index 8"/>
    <w:basedOn w:val="1"/>
    <w:next w:val="1"/>
    <w:qFormat/>
    <w:uiPriority w:val="0"/>
    <w:pPr>
      <w:spacing w:line="360" w:lineRule="auto"/>
      <w:ind w:left="1400" w:leftChars="1400"/>
      <w:jc w:val="left"/>
    </w:pPr>
    <w:rPr>
      <w:rFonts w:cstheme="minorBidi"/>
      <w:sz w:val="24"/>
      <w:szCs w:val="24"/>
    </w:rPr>
  </w:style>
  <w:style w:type="paragraph" w:styleId="11">
    <w:name w:val="Normal Indent"/>
    <w:basedOn w:val="1"/>
    <w:next w:val="1"/>
    <w:link w:val="58"/>
    <w:qFormat/>
    <w:uiPriority w:val="99"/>
    <w:pPr>
      <w:ind w:firstLine="200" w:firstLineChars="200"/>
    </w:pPr>
    <w:rPr>
      <w:sz w:val="28"/>
      <w:szCs w:val="24"/>
    </w:rPr>
  </w:style>
  <w:style w:type="paragraph" w:styleId="12">
    <w:name w:val="Document Map"/>
    <w:basedOn w:val="1"/>
    <w:link w:val="64"/>
    <w:uiPriority w:val="0"/>
    <w:rPr>
      <w:rFonts w:ascii="宋体"/>
      <w:sz w:val="18"/>
      <w:szCs w:val="18"/>
    </w:rPr>
  </w:style>
  <w:style w:type="paragraph" w:styleId="13">
    <w:name w:val="annotation text"/>
    <w:basedOn w:val="1"/>
    <w:link w:val="88"/>
    <w:semiHidden/>
    <w:unhideWhenUsed/>
    <w:uiPriority w:val="0"/>
    <w:pPr>
      <w:jc w:val="left"/>
    </w:pPr>
  </w:style>
  <w:style w:type="paragraph" w:styleId="14">
    <w:name w:val="Body Text Indent"/>
    <w:basedOn w:val="1"/>
    <w:next w:val="1"/>
    <w:qFormat/>
    <w:uiPriority w:val="0"/>
    <w:pPr>
      <w:spacing w:line="360" w:lineRule="auto"/>
      <w:ind w:firstLine="480"/>
    </w:pPr>
    <w:rPr>
      <w:sz w:val="24"/>
    </w:rPr>
  </w:style>
  <w:style w:type="paragraph" w:styleId="15">
    <w:name w:val="Block Text"/>
    <w:basedOn w:val="1"/>
    <w:qFormat/>
    <w:uiPriority w:val="0"/>
    <w:pPr>
      <w:autoSpaceDE w:val="0"/>
      <w:autoSpaceDN w:val="0"/>
      <w:adjustRightInd w:val="0"/>
      <w:spacing w:before="1" w:line="537" w:lineRule="exact"/>
      <w:ind w:left="88" w:right="6"/>
    </w:pPr>
    <w:rPr>
      <w:kern w:val="0"/>
      <w:sz w:val="28"/>
    </w:rPr>
  </w:style>
  <w:style w:type="paragraph" w:styleId="16">
    <w:name w:val="toc 3"/>
    <w:basedOn w:val="1"/>
    <w:next w:val="1"/>
    <w:semiHidden/>
    <w:qFormat/>
    <w:uiPriority w:val="39"/>
    <w:pPr>
      <w:widowControl/>
      <w:tabs>
        <w:tab w:val="left" w:pos="1200"/>
        <w:tab w:val="right" w:leader="dot" w:pos="8493"/>
      </w:tabs>
      <w:overflowPunct w:val="0"/>
      <w:autoSpaceDE w:val="0"/>
      <w:autoSpaceDN w:val="0"/>
      <w:adjustRightInd w:val="0"/>
      <w:spacing w:line="360" w:lineRule="auto"/>
      <w:ind w:left="403"/>
      <w:jc w:val="left"/>
      <w:textAlignment w:val="baseline"/>
    </w:pPr>
    <w:rPr>
      <w:kern w:val="0"/>
      <w:sz w:val="24"/>
    </w:rPr>
  </w:style>
  <w:style w:type="paragraph" w:styleId="17">
    <w:name w:val="Plain Text"/>
    <w:basedOn w:val="1"/>
    <w:link w:val="72"/>
    <w:qFormat/>
    <w:uiPriority w:val="0"/>
    <w:rPr>
      <w:rFonts w:ascii="宋体" w:hAnsi="Courier New"/>
      <w:sz w:val="28"/>
    </w:rPr>
  </w:style>
  <w:style w:type="paragraph" w:styleId="18">
    <w:name w:val="Balloon Text"/>
    <w:basedOn w:val="1"/>
    <w:link w:val="55"/>
    <w:qFormat/>
    <w:uiPriority w:val="0"/>
    <w:rPr>
      <w:sz w:val="18"/>
      <w:szCs w:val="18"/>
    </w:rPr>
  </w:style>
  <w:style w:type="paragraph" w:styleId="19">
    <w:name w:val="footer"/>
    <w:basedOn w:val="1"/>
    <w:qFormat/>
    <w:uiPriority w:val="0"/>
    <w:pPr>
      <w:tabs>
        <w:tab w:val="center" w:pos="4153"/>
        <w:tab w:val="right" w:pos="8306"/>
      </w:tabs>
      <w:snapToGrid w:val="0"/>
      <w:jc w:val="left"/>
    </w:pPr>
    <w:rPr>
      <w:sz w:val="18"/>
    </w:rPr>
  </w:style>
  <w:style w:type="paragraph" w:styleId="2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1">
    <w:name w:val="toc 1"/>
    <w:basedOn w:val="1"/>
    <w:next w:val="1"/>
    <w:unhideWhenUsed/>
    <w:qFormat/>
    <w:uiPriority w:val="39"/>
    <w:pPr>
      <w:widowControl/>
      <w:tabs>
        <w:tab w:val="right" w:leader="dot" w:pos="8720"/>
      </w:tabs>
      <w:spacing w:after="100" w:line="276" w:lineRule="auto"/>
      <w:jc w:val="center"/>
    </w:pPr>
    <w:rPr>
      <w:rFonts w:eastAsia="方正小标宋_GBK" w:asciiTheme="minorHAnsi" w:hAnsiTheme="minorHAnsi" w:cstheme="minorBidi"/>
      <w:b/>
      <w:bCs/>
      <w:kern w:val="21"/>
      <w:sz w:val="24"/>
      <w:szCs w:val="22"/>
    </w:rPr>
  </w:style>
  <w:style w:type="paragraph" w:styleId="22">
    <w:name w:val="Body Text Indent 3"/>
    <w:basedOn w:val="1"/>
    <w:link w:val="65"/>
    <w:uiPriority w:val="0"/>
    <w:pPr>
      <w:spacing w:after="120"/>
      <w:ind w:left="420" w:leftChars="200"/>
    </w:pPr>
    <w:rPr>
      <w:sz w:val="16"/>
      <w:szCs w:val="16"/>
    </w:rPr>
  </w:style>
  <w:style w:type="paragraph" w:styleId="23">
    <w:name w:val="toc 2"/>
    <w:basedOn w:val="1"/>
    <w:next w:val="1"/>
    <w:unhideWhenUsed/>
    <w:qFormat/>
    <w:uiPriority w:val="39"/>
    <w:pPr>
      <w:widowControl/>
      <w:spacing w:after="100" w:line="276" w:lineRule="auto"/>
      <w:ind w:left="220"/>
      <w:jc w:val="left"/>
    </w:pPr>
    <w:rPr>
      <w:rFonts w:asciiTheme="minorHAnsi" w:hAnsiTheme="minorHAnsi" w:eastAsiaTheme="minorEastAsia" w:cstheme="minorBidi"/>
      <w:kern w:val="0"/>
      <w:sz w:val="22"/>
      <w:szCs w:val="22"/>
    </w:rPr>
  </w:style>
  <w:style w:type="paragraph" w:styleId="24">
    <w:name w:val="Normal (Web)"/>
    <w:basedOn w:val="1"/>
    <w:link w:val="77"/>
    <w:qFormat/>
    <w:uiPriority w:val="0"/>
    <w:pPr>
      <w:widowControl/>
      <w:spacing w:before="100" w:beforeAutospacing="1" w:after="100" w:afterAutospacing="1"/>
      <w:jc w:val="left"/>
    </w:pPr>
    <w:rPr>
      <w:rFonts w:ascii="宋体" w:hAnsi="宋体"/>
      <w:kern w:val="0"/>
      <w:sz w:val="24"/>
    </w:rPr>
  </w:style>
  <w:style w:type="paragraph" w:styleId="25">
    <w:name w:val="annotation subject"/>
    <w:basedOn w:val="13"/>
    <w:next w:val="13"/>
    <w:link w:val="89"/>
    <w:semiHidden/>
    <w:unhideWhenUsed/>
    <w:qFormat/>
    <w:uiPriority w:val="0"/>
    <w:rPr>
      <w:b/>
      <w:bCs/>
    </w:rPr>
  </w:style>
  <w:style w:type="table" w:styleId="27">
    <w:name w:val="Table Grid"/>
    <w:basedOn w:val="26"/>
    <w:qFormat/>
    <w:uiPriority w:val="3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style>
  <w:style w:type="character" w:styleId="29">
    <w:name w:val="page number"/>
    <w:basedOn w:val="28"/>
    <w:qFormat/>
    <w:uiPriority w:val="0"/>
  </w:style>
  <w:style w:type="character" w:styleId="30">
    <w:name w:val="Hyperlink"/>
    <w:qFormat/>
    <w:uiPriority w:val="99"/>
    <w:rPr>
      <w:color w:val="0000FF"/>
      <w:u w:val="single"/>
    </w:rPr>
  </w:style>
  <w:style w:type="character" w:styleId="31">
    <w:name w:val="annotation reference"/>
    <w:basedOn w:val="28"/>
    <w:qFormat/>
    <w:uiPriority w:val="0"/>
    <w:rPr>
      <w:rFonts w:ascii="Tahoma" w:hAnsi="Tahoma"/>
      <w:sz w:val="21"/>
    </w:rPr>
  </w:style>
  <w:style w:type="paragraph" w:customStyle="1" w:styleId="32">
    <w:name w:val="Char Char Char Char"/>
    <w:basedOn w:val="1"/>
    <w:qFormat/>
    <w:uiPriority w:val="0"/>
    <w:rPr>
      <w:szCs w:val="21"/>
    </w:rPr>
  </w:style>
  <w:style w:type="paragraph" w:customStyle="1" w:styleId="33">
    <w:name w:val="表头"/>
    <w:basedOn w:val="1"/>
    <w:qFormat/>
    <w:uiPriority w:val="99"/>
    <w:pPr>
      <w:jc w:val="center"/>
    </w:pPr>
    <w:rPr>
      <w:sz w:val="24"/>
    </w:rPr>
  </w:style>
  <w:style w:type="character" w:customStyle="1" w:styleId="34">
    <w:name w:val="标题 1 Char"/>
    <w:basedOn w:val="28"/>
    <w:link w:val="3"/>
    <w:qFormat/>
    <w:uiPriority w:val="9"/>
    <w:rPr>
      <w:rFonts w:hint="default" w:ascii="Times New Roman" w:hAnsi="Times New Roman" w:eastAsia="宋体" w:cs="Calibri"/>
      <w:b/>
      <w:kern w:val="44"/>
      <w:sz w:val="32"/>
      <w:szCs w:val="44"/>
      <w:lang w:val="en-US" w:eastAsia="zh-CN"/>
    </w:rPr>
  </w:style>
  <w:style w:type="paragraph" w:customStyle="1" w:styleId="35">
    <w:name w:val="Default"/>
    <w:basedOn w:val="1"/>
    <w:next w:val="1"/>
    <w:qFormat/>
    <w:uiPriority w:val="0"/>
    <w:pPr>
      <w:autoSpaceDE w:val="0"/>
      <w:autoSpaceDN w:val="0"/>
      <w:jc w:val="left"/>
    </w:pPr>
    <w:rPr>
      <w:rFonts w:hint="eastAsia" w:ascii="宋体"/>
      <w:color w:val="000000"/>
      <w:kern w:val="0"/>
      <w:sz w:val="24"/>
      <w:szCs w:val="24"/>
    </w:rPr>
  </w:style>
  <w:style w:type="character" w:customStyle="1" w:styleId="36">
    <w:name w:val="标题 3 Char"/>
    <w:basedOn w:val="28"/>
    <w:link w:val="5"/>
    <w:qFormat/>
    <w:uiPriority w:val="0"/>
    <w:rPr>
      <w:rFonts w:hint="default" w:ascii="Times New Roman" w:hAnsi="Times New Roman" w:eastAsia="宋体" w:cs="Calibri"/>
      <w:b/>
      <w:kern w:val="2"/>
      <w:sz w:val="28"/>
      <w:szCs w:val="32"/>
      <w:lang w:val="en-US" w:eastAsia="zh-CN"/>
    </w:rPr>
  </w:style>
  <w:style w:type="paragraph" w:customStyle="1" w:styleId="37">
    <w:name w:val="表格"/>
    <w:basedOn w:val="1"/>
    <w:next w:val="1"/>
    <w:link w:val="76"/>
    <w:qFormat/>
    <w:uiPriority w:val="0"/>
    <w:pPr>
      <w:adjustRightInd w:val="0"/>
      <w:snapToGrid w:val="0"/>
      <w:spacing w:beforeLines="10" w:afterLines="10" w:line="259" w:lineRule="auto"/>
      <w:jc w:val="center"/>
    </w:pPr>
    <w:rPr>
      <w:rFonts w:ascii="宋体"/>
      <w:kern w:val="0"/>
    </w:rPr>
  </w:style>
  <w:style w:type="paragraph" w:customStyle="1" w:styleId="38">
    <w:name w:val="我的表格文字"/>
    <w:basedOn w:val="1"/>
    <w:qFormat/>
    <w:uiPriority w:val="0"/>
    <w:pPr>
      <w:jc w:val="center"/>
    </w:pPr>
    <w:rPr>
      <w:rFonts w:hAnsi="宋体" w:eastAsia="Times New Roman" w:cs="宋体"/>
      <w:color w:val="000000"/>
      <w:szCs w:val="21"/>
    </w:rPr>
  </w:style>
  <w:style w:type="paragraph" w:customStyle="1" w:styleId="39">
    <w:name w:val="样式 小四 行距: 固定值 24 磅"/>
    <w:basedOn w:val="1"/>
    <w:qFormat/>
    <w:uiPriority w:val="0"/>
    <w:pPr>
      <w:adjustRightInd w:val="0"/>
      <w:snapToGrid w:val="0"/>
      <w:spacing w:line="360" w:lineRule="auto"/>
      <w:ind w:firstLine="200" w:firstLineChars="200"/>
    </w:pPr>
    <w:rPr>
      <w:rFonts w:cs="宋体"/>
      <w:sz w:val="24"/>
    </w:rPr>
  </w:style>
  <w:style w:type="paragraph" w:customStyle="1" w:styleId="40">
    <w:name w:val="报告正文"/>
    <w:basedOn w:val="1"/>
    <w:qFormat/>
    <w:uiPriority w:val="0"/>
    <w:pPr>
      <w:adjustRightInd w:val="0"/>
      <w:snapToGrid w:val="0"/>
      <w:spacing w:line="480" w:lineRule="exact"/>
      <w:ind w:firstLine="200" w:firstLineChars="200"/>
    </w:pPr>
    <w:rPr>
      <w:color w:val="000000"/>
      <w:kern w:val="0"/>
      <w:sz w:val="24"/>
    </w:rPr>
  </w:style>
  <w:style w:type="character" w:customStyle="1" w:styleId="41">
    <w:name w:val="font61"/>
    <w:basedOn w:val="28"/>
    <w:uiPriority w:val="0"/>
    <w:rPr>
      <w:rFonts w:hint="eastAsia" w:ascii="宋体" w:hAnsi="宋体" w:eastAsia="宋体" w:cs="宋体"/>
      <w:color w:val="000000"/>
      <w:sz w:val="24"/>
      <w:szCs w:val="24"/>
      <w:u w:val="none"/>
    </w:rPr>
  </w:style>
  <w:style w:type="character" w:customStyle="1" w:styleId="42">
    <w:name w:val="font11"/>
    <w:basedOn w:val="28"/>
    <w:qFormat/>
    <w:uiPriority w:val="0"/>
    <w:rPr>
      <w:rFonts w:hint="eastAsia" w:ascii="宋体" w:hAnsi="宋体" w:eastAsia="宋体" w:cs="宋体"/>
      <w:color w:val="000000"/>
      <w:sz w:val="18"/>
      <w:szCs w:val="18"/>
      <w:u w:val="none"/>
    </w:rPr>
  </w:style>
  <w:style w:type="character" w:customStyle="1" w:styleId="43">
    <w:name w:val="font41"/>
    <w:basedOn w:val="28"/>
    <w:uiPriority w:val="0"/>
    <w:rPr>
      <w:rFonts w:hint="default" w:ascii="Times New Roman" w:hAnsi="Times New Roman" w:cs="Times New Roman"/>
      <w:color w:val="000000"/>
      <w:sz w:val="24"/>
      <w:szCs w:val="24"/>
      <w:u w:val="none"/>
    </w:rPr>
  </w:style>
  <w:style w:type="character" w:customStyle="1" w:styleId="44">
    <w:name w:val="font01"/>
    <w:basedOn w:val="28"/>
    <w:uiPriority w:val="0"/>
    <w:rPr>
      <w:rFonts w:hint="eastAsia" w:ascii="宋体" w:hAnsi="宋体" w:eastAsia="宋体" w:cs="宋体"/>
      <w:color w:val="000000"/>
      <w:sz w:val="20"/>
      <w:szCs w:val="20"/>
      <w:u w:val="none"/>
    </w:rPr>
  </w:style>
  <w:style w:type="character" w:customStyle="1" w:styleId="45">
    <w:name w:val="font21"/>
    <w:basedOn w:val="28"/>
    <w:uiPriority w:val="0"/>
    <w:rPr>
      <w:rFonts w:hint="default" w:ascii="Times New Roman" w:hAnsi="Times New Roman" w:cs="Times New Roman"/>
      <w:color w:val="000000"/>
      <w:sz w:val="20"/>
      <w:szCs w:val="20"/>
      <w:u w:val="none"/>
    </w:rPr>
  </w:style>
  <w:style w:type="character" w:customStyle="1" w:styleId="46">
    <w:name w:val="font31"/>
    <w:basedOn w:val="28"/>
    <w:qFormat/>
    <w:uiPriority w:val="0"/>
    <w:rPr>
      <w:rFonts w:hint="default" w:ascii="Times New Roman" w:hAnsi="Times New Roman" w:cs="Times New Roman"/>
      <w:color w:val="000000"/>
      <w:sz w:val="18"/>
      <w:szCs w:val="18"/>
      <w:u w:val="none"/>
    </w:rPr>
  </w:style>
  <w:style w:type="paragraph" w:customStyle="1" w:styleId="47">
    <w:name w:val="正文 New"/>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48">
    <w:name w:val="中文报告书样式"/>
    <w:basedOn w:val="1"/>
    <w:qFormat/>
    <w:uiPriority w:val="0"/>
    <w:pPr>
      <w:adjustRightInd w:val="0"/>
      <w:spacing w:line="480" w:lineRule="atLeast"/>
      <w:ind w:firstLine="482"/>
      <w:textAlignment w:val="baseline"/>
    </w:pPr>
    <w:rPr>
      <w:kern w:val="24"/>
      <w:sz w:val="24"/>
    </w:rPr>
  </w:style>
  <w:style w:type="paragraph" w:customStyle="1" w:styleId="49">
    <w:name w:val="正文3"/>
    <w:qFormat/>
    <w:uiPriority w:val="0"/>
    <w:pPr>
      <w:spacing w:line="520" w:lineRule="exact"/>
      <w:ind w:firstLine="560" w:firstLineChars="200"/>
    </w:pPr>
    <w:rPr>
      <w:rFonts w:ascii="Times New Roman" w:hAnsi="Times New Roman" w:eastAsia="宋体" w:cs="宋体"/>
      <w:sz w:val="28"/>
      <w:lang w:val="en-US" w:eastAsia="zh-CN" w:bidi="ar-SA"/>
    </w:rPr>
  </w:style>
  <w:style w:type="paragraph" w:customStyle="1" w:styleId="50">
    <w:name w:val="Table Paragraph"/>
    <w:basedOn w:val="1"/>
    <w:qFormat/>
    <w:uiPriority w:val="0"/>
    <w:rPr>
      <w:rFonts w:ascii="Noto Sans Mono CJK JP Regular" w:hAnsi="Noto Sans Mono CJK JP Regular" w:eastAsia="Noto Sans Mono CJK JP Regular" w:cs="Noto Sans Mono CJK JP Regular"/>
    </w:rPr>
  </w:style>
  <w:style w:type="paragraph" w:customStyle="1" w:styleId="51">
    <w:name w:val="p0"/>
    <w:basedOn w:val="1"/>
    <w:qFormat/>
    <w:uiPriority w:val="0"/>
    <w:pPr>
      <w:widowControl/>
    </w:pPr>
    <w:rPr>
      <w:rFonts w:hint="eastAsia"/>
    </w:rPr>
  </w:style>
  <w:style w:type="paragraph" w:customStyle="1" w:styleId="52">
    <w:name w:val="表格正文"/>
    <w:basedOn w:val="1"/>
    <w:next w:val="1"/>
    <w:qFormat/>
    <w:uiPriority w:val="0"/>
    <w:pPr>
      <w:jc w:val="center"/>
    </w:pPr>
    <w:rPr>
      <w:kern w:val="0"/>
    </w:rPr>
  </w:style>
  <w:style w:type="paragraph" w:customStyle="1" w:styleId="53">
    <w:name w:val="表头样式1"/>
    <w:basedOn w:val="1"/>
    <w:qFormat/>
    <w:uiPriority w:val="0"/>
    <w:pPr>
      <w:adjustRightInd w:val="0"/>
      <w:snapToGrid w:val="0"/>
      <w:jc w:val="center"/>
    </w:pPr>
    <w:rPr>
      <w:rFonts w:eastAsia="楷体_GB2312"/>
      <w:bCs/>
      <w:sz w:val="18"/>
      <w:szCs w:val="18"/>
    </w:rPr>
  </w:style>
  <w:style w:type="paragraph" w:customStyle="1" w:styleId="54">
    <w:name w:val="组工"/>
    <w:basedOn w:val="17"/>
    <w:qFormat/>
    <w:uiPriority w:val="0"/>
    <w:pPr>
      <w:ind w:firstLine="630"/>
      <w:jc w:val="center"/>
    </w:pPr>
    <w:rPr>
      <w:b/>
      <w:sz w:val="36"/>
      <w:szCs w:val="24"/>
    </w:rPr>
  </w:style>
  <w:style w:type="character" w:customStyle="1" w:styleId="55">
    <w:name w:val="批注框文本 Char"/>
    <w:basedOn w:val="28"/>
    <w:link w:val="18"/>
    <w:qFormat/>
    <w:uiPriority w:val="0"/>
    <w:rPr>
      <w:kern w:val="2"/>
      <w:sz w:val="18"/>
      <w:szCs w:val="18"/>
    </w:rPr>
  </w:style>
  <w:style w:type="character" w:customStyle="1" w:styleId="56">
    <w:name w:val="报告表  段 Char"/>
    <w:link w:val="57"/>
    <w:qFormat/>
    <w:uiPriority w:val="0"/>
    <w:rPr>
      <w:rFonts w:ascii="宋体"/>
      <w:sz w:val="24"/>
    </w:rPr>
  </w:style>
  <w:style w:type="paragraph" w:customStyle="1" w:styleId="57">
    <w:name w:val="报告表  段"/>
    <w:basedOn w:val="1"/>
    <w:link w:val="56"/>
    <w:qFormat/>
    <w:uiPriority w:val="0"/>
    <w:pPr>
      <w:adjustRightInd w:val="0"/>
      <w:spacing w:line="360" w:lineRule="auto"/>
      <w:ind w:firstLine="505"/>
      <w:textAlignment w:val="baseline"/>
    </w:pPr>
    <w:rPr>
      <w:rFonts w:ascii="宋体"/>
      <w:kern w:val="0"/>
      <w:sz w:val="24"/>
    </w:rPr>
  </w:style>
  <w:style w:type="character" w:customStyle="1" w:styleId="58">
    <w:name w:val="正文缩进 Char"/>
    <w:link w:val="11"/>
    <w:qFormat/>
    <w:uiPriority w:val="99"/>
    <w:rPr>
      <w:kern w:val="2"/>
      <w:sz w:val="28"/>
      <w:szCs w:val="24"/>
    </w:rPr>
  </w:style>
  <w:style w:type="paragraph" w:customStyle="1" w:styleId="59">
    <w:name w:val="纯文本1"/>
    <w:basedOn w:val="1"/>
    <w:qFormat/>
    <w:uiPriority w:val="0"/>
    <w:pPr>
      <w:adjustRightInd w:val="0"/>
      <w:jc w:val="left"/>
    </w:pPr>
    <w:rPr>
      <w:rFonts w:ascii="宋体" w:hAnsi="Courier New"/>
      <w:sz w:val="24"/>
    </w:rPr>
  </w:style>
  <w:style w:type="character" w:customStyle="1" w:styleId="60">
    <w:name w:val="无间隔3 Char"/>
    <w:link w:val="61"/>
    <w:uiPriority w:val="1"/>
    <w:rPr>
      <w:kern w:val="2"/>
      <w:sz w:val="21"/>
      <w:szCs w:val="22"/>
    </w:rPr>
  </w:style>
  <w:style w:type="paragraph" w:customStyle="1" w:styleId="61">
    <w:name w:val="无间隔3"/>
    <w:next w:val="1"/>
    <w:link w:val="60"/>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62">
    <w:name w:val="_Style 2"/>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63">
    <w:name w:val="默认段落字体 Para Char Char Char Char Char Char Char Char Char Char Char Char Char1 Char"/>
    <w:basedOn w:val="12"/>
    <w:qFormat/>
    <w:uiPriority w:val="0"/>
    <w:pPr>
      <w:shd w:val="clear" w:color="auto" w:fill="000080"/>
    </w:pPr>
    <w:rPr>
      <w:rFonts w:ascii="Tahoma" w:hAnsi="Tahoma"/>
      <w:sz w:val="24"/>
      <w:szCs w:val="24"/>
    </w:rPr>
  </w:style>
  <w:style w:type="character" w:customStyle="1" w:styleId="64">
    <w:name w:val="文档结构图 Char"/>
    <w:basedOn w:val="28"/>
    <w:link w:val="12"/>
    <w:uiPriority w:val="0"/>
    <w:rPr>
      <w:rFonts w:ascii="宋体"/>
      <w:kern w:val="2"/>
      <w:sz w:val="18"/>
      <w:szCs w:val="18"/>
    </w:rPr>
  </w:style>
  <w:style w:type="character" w:customStyle="1" w:styleId="65">
    <w:name w:val="正文文本缩进 3 Char"/>
    <w:basedOn w:val="28"/>
    <w:link w:val="22"/>
    <w:uiPriority w:val="0"/>
    <w:rPr>
      <w:kern w:val="2"/>
      <w:sz w:val="16"/>
      <w:szCs w:val="16"/>
    </w:rPr>
  </w:style>
  <w:style w:type="character" w:customStyle="1" w:styleId="66">
    <w:name w:val="表格文字 Char"/>
    <w:link w:val="67"/>
    <w:qFormat/>
    <w:uiPriority w:val="0"/>
    <w:rPr>
      <w:position w:val="-10"/>
    </w:rPr>
  </w:style>
  <w:style w:type="paragraph" w:customStyle="1" w:styleId="67">
    <w:name w:val="表格文字"/>
    <w:basedOn w:val="1"/>
    <w:link w:val="66"/>
    <w:qFormat/>
    <w:uiPriority w:val="0"/>
    <w:pPr>
      <w:tabs>
        <w:tab w:val="left" w:pos="-2848"/>
      </w:tabs>
      <w:spacing w:before="40" w:after="40" w:line="240" w:lineRule="atLeast"/>
      <w:jc w:val="center"/>
    </w:pPr>
    <w:rPr>
      <w:kern w:val="0"/>
      <w:position w:val="-10"/>
      <w:sz w:val="20"/>
    </w:rPr>
  </w:style>
  <w:style w:type="paragraph" w:customStyle="1" w:styleId="68">
    <w:name w:val="纯文本2"/>
    <w:basedOn w:val="1"/>
    <w:qFormat/>
    <w:uiPriority w:val="0"/>
    <w:pPr>
      <w:adjustRightInd w:val="0"/>
      <w:jc w:val="left"/>
    </w:pPr>
    <w:rPr>
      <w:rFonts w:ascii="宋体" w:hAnsi="Courier New"/>
      <w:sz w:val="24"/>
    </w:rPr>
  </w:style>
  <w:style w:type="paragraph" w:customStyle="1" w:styleId="69">
    <w:name w:val="列出段落1"/>
    <w:basedOn w:val="1"/>
    <w:qFormat/>
    <w:uiPriority w:val="0"/>
    <w:pPr>
      <w:ind w:firstLine="420" w:firstLineChars="200"/>
    </w:pPr>
    <w:rPr>
      <w:szCs w:val="24"/>
    </w:rPr>
  </w:style>
  <w:style w:type="paragraph" w:customStyle="1" w:styleId="70">
    <w:name w:val="纯文本3"/>
    <w:basedOn w:val="1"/>
    <w:qFormat/>
    <w:uiPriority w:val="0"/>
    <w:pPr>
      <w:adjustRightInd w:val="0"/>
      <w:jc w:val="left"/>
    </w:pPr>
    <w:rPr>
      <w:rFonts w:ascii="宋体" w:hAnsi="Courier New"/>
      <w:sz w:val="24"/>
    </w:rPr>
  </w:style>
  <w:style w:type="character" w:customStyle="1" w:styleId="71">
    <w:name w:val="正文首行缩进 2 Char"/>
    <w:link w:val="2"/>
    <w:qFormat/>
    <w:uiPriority w:val="0"/>
    <w:rPr>
      <w:kern w:val="2"/>
      <w:sz w:val="21"/>
    </w:rPr>
  </w:style>
  <w:style w:type="character" w:customStyle="1" w:styleId="72">
    <w:name w:val="纯文本 Char"/>
    <w:link w:val="17"/>
    <w:qFormat/>
    <w:uiPriority w:val="0"/>
    <w:rPr>
      <w:rFonts w:ascii="宋体" w:hAnsi="Courier New"/>
      <w:kern w:val="2"/>
      <w:sz w:val="28"/>
    </w:rPr>
  </w:style>
  <w:style w:type="paragraph" w:customStyle="1" w:styleId="73">
    <w:name w:val="纯文本4"/>
    <w:basedOn w:val="1"/>
    <w:uiPriority w:val="0"/>
    <w:pPr>
      <w:adjustRightInd w:val="0"/>
      <w:jc w:val="left"/>
    </w:pPr>
    <w:rPr>
      <w:rFonts w:ascii="宋体" w:hAnsi="Courier New"/>
      <w:sz w:val="24"/>
    </w:rPr>
  </w:style>
  <w:style w:type="paragraph" w:customStyle="1" w:styleId="74">
    <w:name w:val="纯文本5"/>
    <w:basedOn w:val="1"/>
    <w:qFormat/>
    <w:uiPriority w:val="0"/>
    <w:pPr>
      <w:adjustRightInd w:val="0"/>
      <w:jc w:val="left"/>
    </w:pPr>
    <w:rPr>
      <w:rFonts w:ascii="宋体" w:hAnsi="Courier New"/>
      <w:sz w:val="24"/>
    </w:rPr>
  </w:style>
  <w:style w:type="character" w:customStyle="1" w:styleId="75">
    <w:name w:val="正文文本 Char"/>
    <w:basedOn w:val="28"/>
    <w:link w:val="7"/>
    <w:qFormat/>
    <w:uiPriority w:val="99"/>
    <w:rPr>
      <w:rFonts w:cs="宋体"/>
      <w:kern w:val="2"/>
      <w:sz w:val="24"/>
      <w:szCs w:val="28"/>
      <w:lang w:val="zh-CN" w:bidi="zh-CN"/>
    </w:rPr>
  </w:style>
  <w:style w:type="character" w:customStyle="1" w:styleId="76">
    <w:name w:val="表格 Char"/>
    <w:link w:val="37"/>
    <w:qFormat/>
    <w:locked/>
    <w:uiPriority w:val="0"/>
    <w:rPr>
      <w:rFonts w:ascii="宋体"/>
      <w:sz w:val="21"/>
    </w:rPr>
  </w:style>
  <w:style w:type="character" w:customStyle="1" w:styleId="77">
    <w:name w:val="普通(网站) Char"/>
    <w:link w:val="24"/>
    <w:locked/>
    <w:uiPriority w:val="0"/>
    <w:rPr>
      <w:rFonts w:ascii="宋体" w:hAnsi="宋体"/>
      <w:sz w:val="24"/>
    </w:rPr>
  </w:style>
  <w:style w:type="paragraph" w:styleId="78">
    <w:name w:val="List Paragraph"/>
    <w:basedOn w:val="1"/>
    <w:qFormat/>
    <w:uiPriority w:val="0"/>
    <w:pPr>
      <w:ind w:firstLine="420" w:firstLineChars="200"/>
    </w:pPr>
    <w:rPr>
      <w:szCs w:val="24"/>
      <w:lang w:val="en-GB" w:eastAsia="zh-TW"/>
    </w:rPr>
  </w:style>
  <w:style w:type="character" w:customStyle="1" w:styleId="79">
    <w:name w:val="环评表格 Char"/>
    <w:link w:val="80"/>
    <w:qFormat/>
    <w:uiPriority w:val="0"/>
    <w:rPr>
      <w:sz w:val="21"/>
    </w:rPr>
  </w:style>
  <w:style w:type="paragraph" w:customStyle="1" w:styleId="80">
    <w:name w:val="环评表格"/>
    <w:basedOn w:val="1"/>
    <w:link w:val="79"/>
    <w:qFormat/>
    <w:uiPriority w:val="0"/>
    <w:pPr>
      <w:jc w:val="center"/>
    </w:pPr>
    <w:rPr>
      <w:kern w:val="0"/>
    </w:rPr>
  </w:style>
  <w:style w:type="character" w:customStyle="1" w:styleId="81">
    <w:name w:val="样式4 Char"/>
    <w:basedOn w:val="28"/>
    <w:link w:val="82"/>
    <w:semiHidden/>
    <w:qFormat/>
    <w:uiPriority w:val="0"/>
    <w:rPr>
      <w:rFonts w:ascii="Arial" w:hAnsi="Arial"/>
      <w:szCs w:val="24"/>
    </w:rPr>
  </w:style>
  <w:style w:type="paragraph" w:customStyle="1" w:styleId="82">
    <w:name w:val="样式4"/>
    <w:basedOn w:val="11"/>
    <w:link w:val="81"/>
    <w:semiHidden/>
    <w:uiPriority w:val="0"/>
    <w:pPr>
      <w:snapToGrid w:val="0"/>
      <w:spacing w:line="460" w:lineRule="exact"/>
      <w:ind w:firstLine="420" w:firstLineChars="0"/>
    </w:pPr>
    <w:rPr>
      <w:rFonts w:ascii="Arial" w:hAnsi="Arial"/>
      <w:kern w:val="0"/>
      <w:sz w:val="20"/>
    </w:rPr>
  </w:style>
  <w:style w:type="paragraph" w:customStyle="1" w:styleId="83">
    <w:name w:val="正文 首行缩进:  2 字符"/>
    <w:basedOn w:val="1"/>
    <w:qFormat/>
    <w:uiPriority w:val="0"/>
    <w:pPr>
      <w:ind w:firstLine="579" w:firstLineChars="200"/>
      <w:jc w:val="left"/>
    </w:pPr>
    <w:rPr>
      <w:rFonts w:cs="宋体"/>
      <w:sz w:val="24"/>
      <w:szCs w:val="24"/>
    </w:rPr>
  </w:style>
  <w:style w:type="paragraph" w:customStyle="1" w:styleId="84">
    <w:name w:val="TOC Heading"/>
    <w:basedOn w:val="3"/>
    <w:next w:val="1"/>
    <w:semiHidden/>
    <w:unhideWhenUsed/>
    <w:qFormat/>
    <w:uiPriority w:val="39"/>
    <w:pPr>
      <w:widowControl/>
      <w:spacing w:before="480" w:after="0" w:line="276" w:lineRule="auto"/>
      <w:jc w:val="left"/>
      <w:outlineLvl w:val="9"/>
    </w:pPr>
    <w:rPr>
      <w:rFonts w:asciiTheme="majorHAnsi" w:hAnsiTheme="majorHAnsi" w:eastAsiaTheme="majorEastAsia" w:cstheme="majorBidi"/>
      <w:bCs/>
      <w:color w:val="2E75B5" w:themeColor="accent1" w:themeShade="BF"/>
      <w:kern w:val="0"/>
      <w:sz w:val="28"/>
      <w:szCs w:val="28"/>
    </w:rPr>
  </w:style>
  <w:style w:type="paragraph" w:customStyle="1" w:styleId="85">
    <w:name w:val="表格 32"/>
    <w:basedOn w:val="1"/>
    <w:qFormat/>
    <w:uiPriority w:val="0"/>
    <w:pPr>
      <w:autoSpaceDE w:val="0"/>
      <w:autoSpaceDN w:val="0"/>
      <w:adjustRightInd w:val="0"/>
      <w:jc w:val="center"/>
      <w:textAlignment w:val="baseline"/>
    </w:pPr>
    <w:rPr>
      <w:rFonts w:ascii="宋体" w:hAnsi="Impact"/>
      <w:kern w:val="24"/>
      <w:sz w:val="24"/>
    </w:rPr>
  </w:style>
  <w:style w:type="character" w:customStyle="1" w:styleId="86">
    <w:name w:val="标题 2 Char"/>
    <w:link w:val="4"/>
    <w:uiPriority w:val="0"/>
    <w:rPr>
      <w:b/>
      <w:bCs/>
      <w:kern w:val="2"/>
      <w:sz w:val="30"/>
      <w:szCs w:val="30"/>
    </w:rPr>
  </w:style>
  <w:style w:type="paragraph" w:customStyle="1" w:styleId="87">
    <w:name w:val="_Style 83"/>
    <w:basedOn w:val="1"/>
    <w:next w:val="78"/>
    <w:qFormat/>
    <w:uiPriority w:val="0"/>
    <w:pPr>
      <w:ind w:firstLine="420" w:firstLineChars="200"/>
    </w:pPr>
    <w:rPr>
      <w:szCs w:val="24"/>
      <w:lang w:val="en-GB" w:eastAsia="zh-TW"/>
    </w:rPr>
  </w:style>
  <w:style w:type="character" w:customStyle="1" w:styleId="88">
    <w:name w:val="批注文字 Char"/>
    <w:basedOn w:val="28"/>
    <w:link w:val="13"/>
    <w:semiHidden/>
    <w:qFormat/>
    <w:uiPriority w:val="0"/>
    <w:rPr>
      <w:kern w:val="2"/>
      <w:sz w:val="21"/>
    </w:rPr>
  </w:style>
  <w:style w:type="character" w:customStyle="1" w:styleId="89">
    <w:name w:val="批注主题 Char"/>
    <w:basedOn w:val="88"/>
    <w:link w:val="25"/>
    <w:semiHidden/>
    <w:qFormat/>
    <w:uiPriority w:val="0"/>
    <w:rPr>
      <w:b/>
      <w:bCs/>
      <w:kern w:val="2"/>
      <w:sz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8" Type="http://schemas.openxmlformats.org/officeDocument/2006/relationships/fontTable" Target="fontTable.xml"/><Relationship Id="rId57" Type="http://schemas.openxmlformats.org/officeDocument/2006/relationships/customXml" Target="../customXml/item2.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41.jpe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footer" Target="footer3.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jpeg"/><Relationship Id="rId40" Type="http://schemas.openxmlformats.org/officeDocument/2006/relationships/image" Target="media/image27.png"/><Relationship Id="rId4" Type="http://schemas.openxmlformats.org/officeDocument/2006/relationships/footer" Target="footer2.xml"/><Relationship Id="rId39" Type="http://schemas.openxmlformats.org/officeDocument/2006/relationships/image" Target="media/image26.jpeg"/><Relationship Id="rId38" Type="http://schemas.openxmlformats.org/officeDocument/2006/relationships/image" Target="media/image25.jpeg"/><Relationship Id="rId37" Type="http://schemas.openxmlformats.org/officeDocument/2006/relationships/image" Target="media/image24.jpeg"/><Relationship Id="rId36" Type="http://schemas.openxmlformats.org/officeDocument/2006/relationships/image" Target="media/image23.jpeg"/><Relationship Id="rId35" Type="http://schemas.openxmlformats.org/officeDocument/2006/relationships/image" Target="media/image22.png"/><Relationship Id="rId34" Type="http://schemas.openxmlformats.org/officeDocument/2006/relationships/image" Target="media/image21.jpe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jpeg"/><Relationship Id="rId30" Type="http://schemas.openxmlformats.org/officeDocument/2006/relationships/image" Target="media/image17.png"/><Relationship Id="rId3" Type="http://schemas.openxmlformats.org/officeDocument/2006/relationships/footer" Target="foot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wmf"/><Relationship Id="rId23" Type="http://schemas.openxmlformats.org/officeDocument/2006/relationships/oleObject" Target="embeddings/oleObject7.bin"/><Relationship Id="rId22" Type="http://schemas.openxmlformats.org/officeDocument/2006/relationships/oleObject" Target="embeddings/oleObject6.bin"/><Relationship Id="rId21" Type="http://schemas.openxmlformats.org/officeDocument/2006/relationships/image" Target="media/image10.wmf"/><Relationship Id="rId20" Type="http://schemas.openxmlformats.org/officeDocument/2006/relationships/oleObject" Target="embeddings/oleObject5.bin"/><Relationship Id="rId2" Type="http://schemas.openxmlformats.org/officeDocument/2006/relationships/settings" Target="settings.xml"/><Relationship Id="rId19" Type="http://schemas.openxmlformats.org/officeDocument/2006/relationships/image" Target="media/image9.wmf"/><Relationship Id="rId18" Type="http://schemas.openxmlformats.org/officeDocument/2006/relationships/oleObject" Target="embeddings/oleObject4.bin"/><Relationship Id="rId17" Type="http://schemas.openxmlformats.org/officeDocument/2006/relationships/image" Target="media/image8.wmf"/><Relationship Id="rId16" Type="http://schemas.openxmlformats.org/officeDocument/2006/relationships/oleObject" Target="embeddings/oleObject3.bin"/><Relationship Id="rId15" Type="http://schemas.openxmlformats.org/officeDocument/2006/relationships/oleObject" Target="embeddings/oleObject2.bin"/><Relationship Id="rId14" Type="http://schemas.openxmlformats.org/officeDocument/2006/relationships/image" Target="media/image7.wmf"/><Relationship Id="rId13" Type="http://schemas.openxmlformats.org/officeDocument/2006/relationships/oleObject" Target="embeddings/oleObject1.bin"/><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50"/>
    <customShpInfo spid="_x0000_s2049"/>
    <customShpInfo spid="_x0000_s4139"/>
    <customShpInfo spid="_x0000_s4131"/>
    <customShpInfo spid="_x0000_s4133"/>
    <customShpInfo spid="_x0000_s4135"/>
    <customShpInfo spid="_x0000_s4136"/>
    <customShpInfo spid="_x0000_s4137"/>
    <customShpInfo spid="_x0000_s4138"/>
    <customShpInfo spid="_x0000_s4140"/>
    <customShpInfo spid="_x0000_s4141"/>
    <customShpInfo spid="_x0000_s4142"/>
    <customShpInfo spid="_x0000_s4143"/>
    <customShpInfo spid="_x0000_s4145"/>
    <customShpInfo spid="_x0000_s4146"/>
    <customShpInfo spid="_x0000_s4147"/>
    <customShpInfo spid="_x0000_s4149"/>
    <customShpInfo spid="_x0000_s4150"/>
    <customShpInfo spid="_x0000_s4151"/>
    <customShpInfo spid="_x0000_s4152"/>
    <customShpInfo spid="_x0000_s4153"/>
    <customShpInfo spid="_x0000_s4154"/>
    <customShpInfo spid="_x0000_s4155"/>
    <customShpInfo spid="_x0000_s4156"/>
    <customShpInfo spid="_x0000_s4157"/>
    <customShpInfo spid="_x0000_s4158"/>
    <customShpInfo spid="_x0000_s4159"/>
    <customShpInfo spid="_x0000_s4160"/>
    <customShpInfo spid="_x0000_s4161"/>
    <customShpInfo spid="_x0000_s4162"/>
    <customShpInfo spid="_x0000_s4163"/>
    <customShpInfo spid="_x0000_s4164"/>
    <customShpInfo spid="_x0000_s4165"/>
    <customShpInfo spid="_x0000_s4166"/>
    <customShpInfo spid="_x0000_s4167"/>
    <customShpInfo spid="_x0000_s4132"/>
    <customShpInfo spid="_x0000_s4043"/>
    <customShpInfo spid="_x0000_s4047"/>
    <customShpInfo spid="_x0000_s4048"/>
    <customShpInfo spid="_x0000_s4049"/>
    <customShpInfo spid="_x0000_s4050"/>
    <customShpInfo spid="_x0000_s4051"/>
    <customShpInfo spid="_x0000_s4052"/>
    <customShpInfo spid="_x0000_s4053"/>
    <customShpInfo spid="_x0000_s4054"/>
    <customShpInfo spid="_x0000_s4055"/>
    <customShpInfo spid="_x0000_s4056"/>
    <customShpInfo spid="_x0000_s4057"/>
    <customShpInfo spid="_x0000_s4042"/>
    <customShpInfo spid="_x0000_s4116"/>
    <customShpInfo spid="_x0000_s4067"/>
    <customShpInfo spid="_x0000_s4068"/>
    <customShpInfo spid="_x0000_s4069"/>
    <customShpInfo spid="_x0000_s4070"/>
    <customShpInfo spid="_x0000_s4071"/>
    <customShpInfo spid="_x0000_s4072"/>
    <customShpInfo spid="_x0000_s4073"/>
    <customShpInfo spid="_x0000_s4074"/>
    <customShpInfo spid="_x0000_s4075"/>
    <customShpInfo spid="_x0000_s4076"/>
    <customShpInfo spid="_x0000_s4078"/>
    <customShpInfo spid="_x0000_s4079"/>
    <customShpInfo spid="_x0000_s4080"/>
    <customShpInfo spid="_x0000_s4081"/>
    <customShpInfo spid="_x0000_s4085"/>
    <customShpInfo spid="_x0000_s4087"/>
    <customShpInfo spid="_x0000_s4088"/>
    <customShpInfo spid="_x0000_s4089"/>
    <customShpInfo spid="_x0000_s4090"/>
    <customShpInfo spid="_x0000_s4091"/>
    <customShpInfo spid="_x0000_s4094"/>
    <customShpInfo spid="_x0000_s4096"/>
    <customShpInfo spid="_x0000_s4097"/>
    <customShpInfo spid="_x0000_s4098"/>
    <customShpInfo spid="_x0000_s4099"/>
    <customShpInfo spid="_x0000_s4100"/>
    <customShpInfo spid="_x0000_s4105"/>
    <customShpInfo spid="_x0000_s4106"/>
    <customShpInfo spid="_x0000_s4107"/>
    <customShpInfo spid="_x0000_s4108"/>
    <customShpInfo spid="_x0000_s4109"/>
    <customShpInfo spid="_x0000_s4110"/>
    <customShpInfo spid="_x0000_s4111"/>
    <customShpInfo spid="_x0000_s4112"/>
    <customShpInfo spid="_x0000_s4113"/>
    <customShpInfo spid="_x0000_s4114"/>
    <customShpInfo spid="_x0000_s4115"/>
    <customShpInfo spid="_x0000_s4117"/>
    <customShpInfo spid="_x0000_s4118"/>
    <customShpInfo spid="_x0000_s4119"/>
    <customShpInfo spid="_x0000_s4120"/>
    <customShpInfo spid="_x0000_s4121"/>
    <customShpInfo spid="_x0000_s4122"/>
    <customShpInfo spid="_x0000_s4066"/>
    <customShpInfo spid="_x0000_s4184"/>
    <customShpInfo spid="_x0000_s4183"/>
    <customShpInfo spid="_x0000_s4177"/>
    <customShpInfo spid="_x0000_s4176"/>
    <customShpInfo spid="_x0000_s4182"/>
    <customShpInfo spid="_x0000_s4181"/>
    <customShpInfo spid="_x0000_s4196"/>
    <customShpInfo spid="_x0000_s4192"/>
    <customShpInfo spid="_x0000_s4195"/>
    <customShpInfo spid="_x0000_s4191"/>
    <customShpInfo spid="_x0000_s4194"/>
    <customShpInfo spid="_x0000_s4193"/>
    <customShpInfo spid="_x0000_s4185"/>
    <customShpInfo spid="_x0000_s4180"/>
    <customShpInfo spid="_x0000_s4178"/>
    <customShpInfo spid="_x0000_s4188"/>
    <customShpInfo spid="_x0000_s4186"/>
    <customShpInfo spid="_x0000_s4187"/>
    <customShpInfo spid="_x0000_s4189"/>
    <customShpInfo spid="_x0000_s4225"/>
    <customShpInfo spid="_x0000_s4224"/>
    <customShpInfo spid="_x0000_s4219"/>
    <customShpInfo spid="_x0000_s4179"/>
    <customShpInfo spid="_x0000_s4198"/>
    <customShpInfo spid="_x0000_s4197"/>
    <customShpInfo spid="_x0000_s4190"/>
    <customShpInfo spid="_x0000_s4218"/>
    <customShpInfo spid="_x0000_s4217"/>
    <customShpInfo spid="_x0000_s4216"/>
    <customShpInfo spid="_x0000_s4215"/>
    <customShpInfo spid="_x0000_s4213"/>
    <customShpInfo spid="_x0000_s4212"/>
    <customShpInfo spid="_x0000_s4209"/>
    <customShpInfo spid="_x0000_s4211"/>
    <customShpInfo spid="_x0000_s4210"/>
    <customShpInfo spid="_x0000_s4208"/>
    <customShpInfo spid="_x0000_s4207"/>
    <customShpInfo spid="_x0000_s4206"/>
    <customShpInfo spid="_x0000_s4205"/>
    <customShpInfo spid="_x0000_s4204"/>
    <customShpInfo spid="_x0000_s4203"/>
    <customShpInfo spid="_x0000_s4202"/>
    <customShpInfo spid="_x0000_s4201"/>
    <customShpInfo spid="_x0000_s4200"/>
    <customShpInfo spid="_x0000_s4199"/>
    <customShpInfo spid="_x0000_s4222"/>
    <customShpInfo spid="_x0000_s4221"/>
    <customShpInfo spid="_x0000_s4220"/>
    <customShpInfo spid="_x0000_s4223"/>
    <customShpInfo spid="_x0000_s4226"/>
    <customShpInfo spid="_x0000_s4227"/>
    <customShpInfo spid="_x0000_s4228"/>
    <customShpInfo spid="_x0000_s4233"/>
    <customShpInfo spid="_x0000_s4230"/>
    <customShpInfo spid="_x0000_s4232"/>
    <customShpInfo spid="_x0000_s4234"/>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EDE9A96-4648-49C6-B4E8-4DFDBB7CDA1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85</Pages>
  <Words>6051</Words>
  <Characters>34494</Characters>
  <Lines>287</Lines>
  <Paragraphs>80</Paragraphs>
  <TotalTime>11139</TotalTime>
  <ScaleCrop>false</ScaleCrop>
  <LinksUpToDate>false</LinksUpToDate>
  <CharactersWithSpaces>40465</CharactersWithSpaces>
  <Application>WPS Office_11.8.2.8411_F1E327BC-269C-435d-A152-05C5408002CA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2021-04-19T15:18:00Z</dcterms:created>
  <dc:creator>CCL2F2（氟利昂）</dc:creator>
  <cp:lastModifiedBy>admin</cp:lastModifiedBy>
  <cp:lastPrinted>2025-01-08T03:13:00Z</cp:lastPrinted>
  <dcterms:modified xsi:type="dcterms:W3CDTF">2025-01-20T07:14:24Z</dcterms:modified>
  <cp:revision>3018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2052-11.8.2.8411</vt:lpwstr>
  </property>
</Properties>
</file>