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南阳市生态环境局卧龙分局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于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年度环境影响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评价文件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排污许可证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技术评估项目询价公告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 w:ascii="仿宋_GB2312" w:hAnsi="Times New Roman" w:eastAsia="仿宋_GB2312"/>
          <w:sz w:val="32"/>
          <w:szCs w:val="32"/>
        </w:rPr>
        <w:t>为了加强对建设项目环境影响评价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和排污许可证</w:t>
      </w:r>
      <w:r>
        <w:rPr>
          <w:rFonts w:hint="eastAsia" w:ascii="仿宋_GB2312" w:hAnsi="Times New Roman" w:eastAsia="仿宋_GB2312"/>
          <w:sz w:val="32"/>
          <w:szCs w:val="32"/>
        </w:rPr>
        <w:t>的管理,提高环境影响评价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和排污许可证审核</w:t>
      </w:r>
      <w:r>
        <w:rPr>
          <w:rFonts w:hint="eastAsia" w:ascii="仿宋_GB2312" w:hAnsi="Times New Roman" w:eastAsia="仿宋_GB2312"/>
          <w:sz w:val="32"/>
          <w:szCs w:val="32"/>
        </w:rPr>
        <w:t>工作质量</w:t>
      </w:r>
      <w:r>
        <w:rPr>
          <w:rFonts w:hint="eastAsia" w:ascii="仿宋_GB2312" w:hAnsi="Times New Roman"/>
          <w:sz w:val="32"/>
          <w:szCs w:val="32"/>
          <w:lang w:eastAsia="zh-CN"/>
        </w:rPr>
        <w:t>，根据《建设项目环境影响报告书（表）编制监督管理办法》、《排污许可管理条例》、《河南省生态环境厅办公室关于印发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&lt;河南省环境影响评价及排污许可审查审批规范（试行）&gt;的通知</w:t>
      </w:r>
      <w:r>
        <w:rPr>
          <w:rFonts w:hint="eastAsia" w:ascii="仿宋_GB2312" w:hAnsi="Times New Roman"/>
          <w:sz w:val="32"/>
          <w:szCs w:val="32"/>
          <w:lang w:eastAsia="zh-CN"/>
        </w:rPr>
        <w:t>》要求，现面向社会公开询价建设项目环境影响评价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文件</w:t>
      </w:r>
      <w:r>
        <w:rPr>
          <w:rFonts w:hint="eastAsia" w:ascii="仿宋_GB2312" w:hAnsi="Times New Roman"/>
          <w:sz w:val="32"/>
          <w:szCs w:val="32"/>
          <w:lang w:eastAsia="zh-CN"/>
        </w:rPr>
        <w:t>和排污许可证技术评估服务项目，</w:t>
      </w:r>
      <w:r>
        <w:rPr>
          <w:rFonts w:hint="eastAsia" w:ascii="仿宋_GB2312" w:hAnsi="Times New Roman" w:eastAsia="仿宋_GB2312"/>
          <w:sz w:val="32"/>
          <w:szCs w:val="32"/>
        </w:rPr>
        <w:t>诚邀有</w:t>
      </w:r>
      <w:r>
        <w:rPr>
          <w:rFonts w:hint="eastAsia" w:ascii="仿宋_GB2312" w:hAnsi="Times New Roman"/>
          <w:sz w:val="32"/>
          <w:szCs w:val="32"/>
          <w:lang w:eastAsia="zh-CN"/>
        </w:rPr>
        <w:t>资质和</w:t>
      </w:r>
      <w:r>
        <w:rPr>
          <w:rFonts w:hint="eastAsia" w:ascii="仿宋_GB2312" w:hAnsi="Times New Roman" w:eastAsia="仿宋_GB2312"/>
          <w:sz w:val="32"/>
          <w:szCs w:val="32"/>
        </w:rPr>
        <w:t>能力的单位积极</w:t>
      </w:r>
      <w:r>
        <w:rPr>
          <w:rFonts w:hint="eastAsia" w:ascii="仿宋_GB2312" w:hAnsi="Times New Roman"/>
          <w:sz w:val="32"/>
          <w:szCs w:val="32"/>
          <w:lang w:eastAsia="zh-CN"/>
        </w:rPr>
        <w:t>参与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30" w:leftChars="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一、项目基本情况</w:t>
      </w:r>
    </w:p>
    <w:p>
      <w:pPr>
        <w:outlineLvl w:val="1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/>
          <w:sz w:val="32"/>
          <w:szCs w:val="32"/>
        </w:rPr>
        <w:t>项目名称</w:t>
      </w:r>
    </w:p>
    <w:p>
      <w:pPr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仿宋_GB2312" w:hAnsi="Times New Roman" w:eastAsia="仿宋_GB2312"/>
          <w:sz w:val="32"/>
          <w:szCs w:val="32"/>
          <w:lang w:val="en-US"/>
        </w:rPr>
        <w:t>1</w:t>
      </w:r>
      <w:r>
        <w:rPr>
          <w:rFonts w:hint="eastAsia"/>
          <w:color w:val="auto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南阳市生态环境局卧龙分局202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度环境影响</w:t>
      </w:r>
      <w:r>
        <w:rPr>
          <w:rFonts w:hint="eastAsia" w:ascii="仿宋_GB2312" w:hAnsi="Times New Roman"/>
          <w:color w:val="auto"/>
          <w:sz w:val="32"/>
          <w:szCs w:val="32"/>
          <w:lang w:val="en-US" w:eastAsia="zh-CN"/>
        </w:rPr>
        <w:t>评价文件和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排污许可证</w:t>
      </w:r>
      <w:r>
        <w:rPr>
          <w:rFonts w:hint="eastAsia" w:ascii="仿宋_GB2312" w:hAnsi="Times New Roman"/>
          <w:color w:val="auto"/>
          <w:sz w:val="32"/>
          <w:szCs w:val="32"/>
          <w:lang w:val="en-US" w:eastAsia="zh-CN"/>
        </w:rPr>
        <w:t>技术评估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项目。</w:t>
      </w:r>
    </w:p>
    <w:p>
      <w:pPr>
        <w:outlineLvl w:val="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（二）项目内容</w:t>
      </w:r>
    </w:p>
    <w:p>
      <w:pPr>
        <w:rPr>
          <w:rFonts w:hint="eastAsia"/>
          <w:lang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/>
        </w:rPr>
        <w:t>1</w:t>
      </w:r>
      <w:r>
        <w:rPr>
          <w:rFonts w:hint="eastAsia"/>
          <w:color w:val="auto"/>
          <w:lang w:eastAsia="zh-CN"/>
        </w:rPr>
        <w:t>、技术评估单位遵循科学、客观、公正原则，对南阳市生态环境局卧龙分局负责审批的建设项目环境影响报告书（表）、相关规划环评篇章等文件，根据环</w:t>
      </w:r>
      <w:r>
        <w:rPr>
          <w:rFonts w:hint="eastAsia"/>
          <w:lang w:eastAsia="zh-CN"/>
        </w:rPr>
        <w:t>境保护法律、法规、规章、标准、技术规范等，综合分析项目建设可能造成的环境影响，对项目建设的环境可行性及环境影响评价文件进行技术评估，为生态环境保护行政主管部门科学决策提供依据，为项目建设和环境影响评价文件编制提供指导性意见和建议。根据建设项目特点和所在区域环境特征，重点评估建设项目可能产生的环境影响，核实环境影响评价文件采用的技术方法与评价标准的正确性，判断污染防治措施的可行性、环境影响评价结论的准确性，明确评估结论。对建设项目环境保护对策措施提出优化调整建议，对环境影响评价文件编制质量作出评价，并提出修改意见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default" w:ascii="仿宋_GB2312" w:hAnsi="Times New Roman" w:eastAsia="仿宋_GB2312"/>
          <w:color w:val="auto"/>
          <w:sz w:val="32"/>
          <w:szCs w:val="32"/>
          <w:lang w:val="en-US"/>
        </w:rPr>
        <w:t>2</w:t>
      </w:r>
      <w:r>
        <w:rPr>
          <w:rFonts w:hint="eastAsia"/>
          <w:color w:val="auto"/>
          <w:lang w:eastAsia="zh-CN"/>
        </w:rPr>
        <w:t>、技术评估单位遵循科学、客观、公正原则，对南阳市生态环境局卧龙分局负责审批的</w:t>
      </w:r>
      <w:r>
        <w:rPr>
          <w:rFonts w:hint="eastAsia"/>
          <w:color w:val="auto"/>
          <w:lang w:val="en-US" w:eastAsia="zh-CN"/>
        </w:rPr>
        <w:t>排污许可证</w:t>
      </w:r>
      <w:r>
        <w:rPr>
          <w:rFonts w:hint="eastAsia"/>
          <w:color w:val="auto"/>
          <w:lang w:eastAsia="zh-CN"/>
        </w:rPr>
        <w:t>，根据环</w:t>
      </w:r>
      <w:r>
        <w:rPr>
          <w:rFonts w:hint="eastAsia"/>
          <w:lang w:eastAsia="zh-CN"/>
        </w:rPr>
        <w:t>境保护法律、法规、规章、标准、技术规范等，</w:t>
      </w:r>
      <w:r>
        <w:rPr>
          <w:rFonts w:hint="eastAsia"/>
          <w:lang w:val="en-US" w:eastAsia="zh-CN"/>
        </w:rPr>
        <w:t>核对排污单位申报的排污许可信息，对排污单位基本信息，主要生产设施、主要产品及产能、主要原辅材料，产排污环节和污染防治设施，申请的排放口位置和数量、排放方式、排放去向，排放污染物种类、排放浓度和排放量，执行的排放标准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自行监测方案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等内容进行技术评估</w:t>
      </w:r>
      <w:r>
        <w:rPr>
          <w:rFonts w:hint="eastAsia"/>
          <w:lang w:eastAsia="zh-CN"/>
        </w:rPr>
        <w:t>，并提出修改意见。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30" w:leftChars="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二、资格要求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/>
          <w:sz w:val="32"/>
          <w:szCs w:val="32"/>
        </w:rPr>
        <w:t>在中华人民共和国境内注册的独立法人，具有独立承担民事责任的能力，合格有效的营业执照或事业单位法人证书。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  <w:lang w:eastAsia="zh-CN"/>
        </w:rPr>
        <w:t>（二）</w:t>
      </w:r>
      <w:r>
        <w:rPr>
          <w:rFonts w:hint="eastAsia" w:ascii="仿宋_GB2312" w:hAnsi="Times New Roman" w:eastAsia="仿宋_GB2312"/>
          <w:sz w:val="32"/>
          <w:szCs w:val="32"/>
        </w:rPr>
        <w:t>拟派项目负责人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至少</w:t>
      </w:r>
      <w:r>
        <w:rPr>
          <w:rFonts w:hint="eastAsia" w:ascii="仿宋_GB2312" w:hAnsi="Times New Roman" w:eastAsia="仿宋_GB2312"/>
          <w:sz w:val="32"/>
          <w:szCs w:val="32"/>
        </w:rPr>
        <w:t>要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满足以下条件中的一种：持有</w:t>
      </w:r>
      <w:r>
        <w:rPr>
          <w:rFonts w:hint="eastAsia" w:ascii="仿宋_GB2312" w:hAnsi="Times New Roman" w:eastAsia="仿宋_GB2312"/>
          <w:sz w:val="32"/>
          <w:szCs w:val="32"/>
        </w:rPr>
        <w:t>环保类高级工程师职称</w:t>
      </w:r>
      <w:r>
        <w:rPr>
          <w:rFonts w:hint="eastAsia" w:ascii="仿宋_GB2312" w:hAnsi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持有“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注册</w:t>
      </w:r>
      <w:r>
        <w:rPr>
          <w:rFonts w:hint="eastAsia" w:ascii="仿宋_GB2312" w:hAnsi="Times New Roman" w:eastAsia="仿宋_GB2312"/>
          <w:sz w:val="32"/>
          <w:szCs w:val="32"/>
        </w:rPr>
        <w:t>环境影响评价工程师资格证书”或持有“注册环保工程师资格证书”。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/>
          <w:sz w:val="32"/>
          <w:szCs w:val="32"/>
          <w:lang w:val="en-US" w:eastAsia="zh-CN"/>
        </w:rPr>
        <w:t>（三）承诺不在本辖区承揽建设项目环境影响评价文件编制业务。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30" w:leftChars="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三、报名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程序</w:t>
      </w:r>
    </w:p>
    <w:p>
      <w:pPr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自公告发布之日起至 202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 xml:space="preserve"> 年 0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 xml:space="preserve"> 月 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/>
          <w:sz w:val="32"/>
          <w:szCs w:val="32"/>
        </w:rPr>
        <w:t xml:space="preserve"> 日前请将加盖公章的报价单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单位资质材料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业绩证明材料及</w:t>
      </w:r>
      <w:r>
        <w:rPr>
          <w:rFonts w:hint="eastAsia" w:ascii="仿宋_GB2312" w:hAnsi="Times New Roman"/>
          <w:sz w:val="32"/>
          <w:szCs w:val="32"/>
          <w:lang w:eastAsia="zh-CN"/>
        </w:rPr>
        <w:t>服务方案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等文件密封，并在密封袋封口处加盖公章或密封章后送</w:t>
      </w:r>
      <w:r>
        <w:rPr>
          <w:rFonts w:hint="eastAsia" w:ascii="仿宋_GB2312" w:hAnsi="Times New Roman" w:eastAsia="仿宋_GB2312"/>
          <w:sz w:val="32"/>
          <w:szCs w:val="32"/>
        </w:rPr>
        <w:t>至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寄至南阳市中州路393巷50号南阳市生态环境局卧龙分局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行政审批股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附件:《评分标准》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一、业绩及实力(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分)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/>
          <w:sz w:val="32"/>
          <w:szCs w:val="32"/>
          <w:lang w:val="en-US" w:eastAsia="zh-CN"/>
        </w:rPr>
        <w:t>服务机构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承担过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建设项目</w:t>
      </w:r>
      <w:r>
        <w:rPr>
          <w:rFonts w:hint="eastAsia" w:ascii="仿宋_GB2312" w:hAnsi="Times New Roman" w:eastAsia="仿宋_GB2312"/>
          <w:sz w:val="32"/>
          <w:szCs w:val="32"/>
        </w:rPr>
        <w:t>环境影响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评价文件</w:t>
      </w:r>
      <w:r>
        <w:rPr>
          <w:rFonts w:hint="eastAsia" w:ascii="仿宋_GB2312" w:hAnsi="Times New Roman"/>
          <w:color w:val="auto"/>
          <w:sz w:val="32"/>
          <w:szCs w:val="32"/>
          <w:lang w:val="en-US" w:eastAsia="zh-CN"/>
        </w:rPr>
        <w:t>或排污许可证</w:t>
      </w:r>
      <w:r>
        <w:rPr>
          <w:rFonts w:hint="eastAsia" w:ascii="仿宋_GB2312" w:hAnsi="Times New Roman"/>
          <w:color w:val="auto"/>
          <w:sz w:val="32"/>
          <w:szCs w:val="32"/>
          <w:lang w:eastAsia="zh-CN"/>
        </w:rPr>
        <w:t>质量复核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的，每有一项得1分，最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多得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分。(上述业绩需提供合同或任务书或中标通知书等复印件，同时以合同签订时间为准)。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二、服务方案（3分）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/>
          <w:sz w:val="32"/>
          <w:szCs w:val="32"/>
          <w:lang w:val="en-US" w:eastAsia="zh-CN"/>
        </w:rPr>
        <w:t>服务机构需提供技术咨询服务方案，可包括服务措施、计划安排、质量保证措施、风险防控措施等。要求服务方案完整、全面、详细，认识和熟悉程度高，实施计划合理、具体，能够满足项目采购需求，此项最多得3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30" w:leftChars="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、报价(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分)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价格采用低价优先法计算，即通过资格性和符合性审查且询价价格最低的报价为评标基准价，价格得分为满分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分;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服务机构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的价格分统一按照下列公式计算:询价报价得分=(评标基准价/询价报价)x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。(最终得分计算保留小数点两位)。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四、汇总</w:t>
      </w:r>
    </w:p>
    <w:p>
      <w:pPr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汇总打分，然后计算打分的平均值，该分值为投标单位最终得分。得分最高者为第一中标候选人，依次类推排出3名中标候选人。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TkzM2RjYmU4NTc1YjU2ZjZhY2YxOWJiZjM3YjcifQ=="/>
    <w:docVar w:name="KSO_WPS_MARK_KEY" w:val="4e114b75-a512-493a-8096-28add5ea0594"/>
  </w:docVars>
  <w:rsids>
    <w:rsidRoot w:val="00000000"/>
    <w:rsid w:val="06D90D93"/>
    <w:rsid w:val="2FFD7718"/>
    <w:rsid w:val="46F6426F"/>
    <w:rsid w:val="5D1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1332</Characters>
  <Paragraphs>28</Paragraphs>
  <TotalTime>75</TotalTime>
  <ScaleCrop>false</ScaleCrop>
  <LinksUpToDate>false</LinksUpToDate>
  <CharactersWithSpaces>1338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2023-08-31T10:52:00Z</dcterms:created>
  <dc:creator>Administrator</dc:creator>
  <cp:lastModifiedBy>admin</cp:lastModifiedBy>
  <dcterms:modified xsi:type="dcterms:W3CDTF">2025-01-07T03:17:06Z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d5b45cf3f9bb48d6bc8207b894b465d9</vt:lpwstr>
  </property>
</Properties>
</file>