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b w:val="0"/>
          <w:bCs w:val="0"/>
          <w:color w:val="auto"/>
          <w:sz w:val="44"/>
          <w:szCs w:val="44"/>
          <w:lang w:val="en-US" w:eastAsia="zh-Hans"/>
        </w:rPr>
        <w:t>卧龙区前三季度经济运行情况简析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初步核算，全区实现地区生产总值（GDP）397.8亿元，总量在十三县区（下同）排名第2位；同比增长3.0%，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排名第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位。分行业看，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农业总产值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增长4.2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排名第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位；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规模以上工业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企业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增加值增长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%，排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资质以上建筑业企业总产值下降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排名第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；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房地产企业商品房销售面积增速下降2.6%；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；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社会消费品零售总额增长5.7%，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；营利性服务业企业营业收入增长18.5%，排名第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位，其中，信息传输、软件和信息技术服务业增长6.3%；互联网及相关服务、软件和信息技术服务业下降69.6%。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固定资产投资增速</w:t>
      </w:r>
      <w:r>
        <w:rPr>
          <w:rStyle w:val="12"/>
          <w:rFonts w:hint="default" w:ascii="Times New Roman Regular" w:hAnsi="Times New Roman Regular" w:eastAsia="仿宋_GB2312" w:cs="Times New Roman Regular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增长</w:t>
      </w:r>
      <w:r>
        <w:rPr>
          <w:rStyle w:val="12"/>
          <w:rFonts w:hint="eastAsia" w:ascii="Times New Roman Regular" w:hAnsi="Times New Roman Regular" w:eastAsia="仿宋_GB2312" w:cs="Times New Roman Regular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6.3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其中，工业投资增长4.3%，排名第13位；房地产投资下降10.5%，排名第4位；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</w:rPr>
        <w:t>基础设施投资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增长26.8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排第1位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从整体上看，前三季度GDP增长3.0%，增速分别低于全国、全省、全市（4.8%、5.0%、6.2%）1.8、2.0、3.2个百分点，分较一季度（4.6%）和上半年（4.8%）分别低1.6、1.8个百分点。我们的二产仅增长3.0%，虽然要高于上半年（2.3%）0.7个百分点，但排名仍位居第12位。第三产业作为我区经济增长的“主引擎”“压舱石”，其增加值增速较上半年（5.8%）下降2.1个百分点，在三季度并没有发挥出应有的引领作用，这是多年来未曾遇到的局面。其中，批发零售业、住宿餐饮业增加值增速分别较上半年（5.7%、0.8%）下降0.3、0.5个百分点，支撑不足。特别是其他服务业增加值下降0.9%，尤其是信息传输、软件和信息技术服务业增加值增速下降18.4%，对经济增长的贡献率-28.9%，下拉GDP增速0.88个百分点，严重拖累第三产业和GDP增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下一步，卧龙区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精准发力强化经济运行监测，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锚定年度目标任务，做好重点领域、重点指标、重点板块的跟踪监测及分析预警，特别稳增长难度较大的行业领域，紧盯薄弱环节和短板指标，细化有效举措、狠抓推进落实，努力推动经济实现质的有效提升和量的合理增长，确保全年目标达成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二是抓项目保投资。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加快重点项目建设进度，强化要素保障，加速项目建设，确保食品产业园、豫资海元南区完工投产，金誉新材料、中牧牧原、瑞麒康巴特生物制剂建成投产。加快山东鲁抗兽药制剂、中能创光电科技等一批在谈重点工业项目签约落地，促进工业投资增速持续回升向好。加强项目筛选力度，提高备案项目的开工率，收集项目入库相关备案资料，充分利用这余下的两个月时间，力争更多的项目入库。三是提高对四上企业升规纳统工作的认识，把培育企业升规入库作为企业帮扶主基调，全力抓好工业、服务业企业申报入库工作，一对一进行分类指导，协调解决企业升规培育中的困难和问题，尽快改变在库企业结构不合理的现状，确保企业升规纳统、应入尽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TVlNzRkYmZlMDVhZmE4NTQzZmQzYmMwMDYxYTIifQ=="/>
    <w:docVar w:name="KSO_WPS_MARK_KEY" w:val="7a0a3f8f-52e8-4675-bc38-e79dea08a950"/>
  </w:docVars>
  <w:rsids>
    <w:rsidRoot w:val="DF7798C8"/>
    <w:rsid w:val="01822573"/>
    <w:rsid w:val="01F36FCC"/>
    <w:rsid w:val="02121A2E"/>
    <w:rsid w:val="035D3297"/>
    <w:rsid w:val="04105CF0"/>
    <w:rsid w:val="05DA5C2A"/>
    <w:rsid w:val="06D10AFE"/>
    <w:rsid w:val="07DD79A9"/>
    <w:rsid w:val="082D6FB0"/>
    <w:rsid w:val="085F360E"/>
    <w:rsid w:val="087A4A9E"/>
    <w:rsid w:val="0FC0276F"/>
    <w:rsid w:val="11C10E95"/>
    <w:rsid w:val="13E918FF"/>
    <w:rsid w:val="15DD103B"/>
    <w:rsid w:val="1A776632"/>
    <w:rsid w:val="1D9B1C2E"/>
    <w:rsid w:val="1F731DDA"/>
    <w:rsid w:val="1FFFE212"/>
    <w:rsid w:val="20770E55"/>
    <w:rsid w:val="218D7082"/>
    <w:rsid w:val="21D150A2"/>
    <w:rsid w:val="2334170B"/>
    <w:rsid w:val="23AE54B8"/>
    <w:rsid w:val="243F318C"/>
    <w:rsid w:val="27982240"/>
    <w:rsid w:val="2A4C2A59"/>
    <w:rsid w:val="30B63863"/>
    <w:rsid w:val="324E1E79"/>
    <w:rsid w:val="336E20A7"/>
    <w:rsid w:val="33785759"/>
    <w:rsid w:val="348658AA"/>
    <w:rsid w:val="356D0868"/>
    <w:rsid w:val="384717BC"/>
    <w:rsid w:val="384A2BF0"/>
    <w:rsid w:val="38C97F55"/>
    <w:rsid w:val="39150245"/>
    <w:rsid w:val="3A2D1439"/>
    <w:rsid w:val="3BA34882"/>
    <w:rsid w:val="3F971BE3"/>
    <w:rsid w:val="42DD7F1B"/>
    <w:rsid w:val="42F90D72"/>
    <w:rsid w:val="457C34DF"/>
    <w:rsid w:val="471269AC"/>
    <w:rsid w:val="4A9D5ADF"/>
    <w:rsid w:val="4ABF6503"/>
    <w:rsid w:val="4D761E2D"/>
    <w:rsid w:val="4E125FF9"/>
    <w:rsid w:val="50FD1730"/>
    <w:rsid w:val="53590BEF"/>
    <w:rsid w:val="57DA7B88"/>
    <w:rsid w:val="58974D7E"/>
    <w:rsid w:val="5919648E"/>
    <w:rsid w:val="5B6F5940"/>
    <w:rsid w:val="5BBE6FAF"/>
    <w:rsid w:val="61AA7F89"/>
    <w:rsid w:val="622342BB"/>
    <w:rsid w:val="64327C54"/>
    <w:rsid w:val="68624CBF"/>
    <w:rsid w:val="68952A75"/>
    <w:rsid w:val="6A587E09"/>
    <w:rsid w:val="6A9E2C97"/>
    <w:rsid w:val="6AE3061D"/>
    <w:rsid w:val="6D3B1ED6"/>
    <w:rsid w:val="6D5A4776"/>
    <w:rsid w:val="6E2039C3"/>
    <w:rsid w:val="6E8421A4"/>
    <w:rsid w:val="700D3A13"/>
    <w:rsid w:val="71183AB0"/>
    <w:rsid w:val="72D476F4"/>
    <w:rsid w:val="72E01973"/>
    <w:rsid w:val="73B9469D"/>
    <w:rsid w:val="75F71E05"/>
    <w:rsid w:val="785D220A"/>
    <w:rsid w:val="78CF110A"/>
    <w:rsid w:val="7AFDD6CE"/>
    <w:rsid w:val="7FD38A62"/>
    <w:rsid w:val="DF7798C8"/>
    <w:rsid w:val="FCFFB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firstLine="425"/>
    </w:pPr>
    <w:rPr>
      <w:sz w:val="28"/>
    </w:rPr>
  </w:style>
  <w:style w:type="paragraph" w:styleId="5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99"/>
    <w:pPr>
      <w:widowControl w:val="0"/>
      <w:snapToGrid w:val="0"/>
      <w:spacing w:line="260" w:lineRule="auto"/>
      <w:jc w:val="left"/>
    </w:pPr>
    <w:rPr>
      <w:rFonts w:asciiTheme="minorHAnsi" w:hAnsiTheme="minorHAnsi" w:eastAsiaTheme="minorEastAsia" w:cstheme="minorBidi"/>
      <w:kern w:val="2"/>
      <w:sz w:val="31"/>
      <w:szCs w:val="22"/>
      <w:lang w:val="en-US" w:eastAsia="zh-CN" w:bidi="ar-SA"/>
    </w:rPr>
  </w:style>
  <w:style w:type="paragraph" w:styleId="8">
    <w:name w:val="Body Text First Indent"/>
    <w:basedOn w:val="2"/>
    <w:next w:val="9"/>
    <w:qFormat/>
    <w:uiPriority w:val="0"/>
    <w:pPr>
      <w:ind w:firstLine="420"/>
    </w:pPr>
    <w:rPr>
      <w:bCs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12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2217</Words>
  <Characters>2746</Characters>
  <Lines>0</Lines>
  <Paragraphs>0</Paragraphs>
  <TotalTime>3</TotalTime>
  <ScaleCrop>false</ScaleCrop>
  <LinksUpToDate>false</LinksUpToDate>
  <CharactersWithSpaces>2748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2023-10-25T09:32:00Z</dcterms:created>
  <dc:creator>刘东东</dc:creator>
  <cp:lastModifiedBy>刘东东</cp:lastModifiedBy>
  <cp:lastPrinted>2024-06-29T09:40:00Z</cp:lastPrinted>
  <dcterms:modified xsi:type="dcterms:W3CDTF">2024-10-24T11:16:49Z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55299C961DBFBAB197E31867572E6171_43</vt:lpwstr>
  </property>
</Properties>
</file>