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卧龙区关于深入开展“万人助万企”活动 推动工业高质量发展实施方案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  <w:lang w:eastAsia="zh-CN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  <w:lang w:val="en-US" w:eastAsia="zh-CN"/>
        </w:rPr>
        <w:t>政策解读</w:t>
      </w:r>
    </w:p>
    <w:p w14:paraId="65A1EA53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 w14:paraId="556786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一、出台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卧龙区关于深入开展“万人助万企”活动 推动工业高质量发展实施方案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目的是什么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48716214">
      <w:p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委、政府关于支持工业企业发展有关工作部署，打造良好的营商环境，积极培育扶持工业企业发展壮大，</w:t>
      </w:r>
      <w:r>
        <w:rPr>
          <w:rFonts w:ascii="Times New Roman" w:hAnsi="Times New Roman" w:eastAsia="仿宋_GB2312" w:cs="Times New Roman"/>
          <w:sz w:val="32"/>
          <w:szCs w:val="32"/>
        </w:rPr>
        <w:t>推动企业转型、产业升级，为加快建设现代化省域副中心城市提供有力支撑。</w:t>
      </w:r>
    </w:p>
    <w:p w14:paraId="5F4FB99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卧龙区关于深入开展“万人助万企”活动 推动工业高质量发展实施方案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中名称解释 </w:t>
      </w:r>
    </w:p>
    <w:p w14:paraId="12A0C113">
      <w:pPr>
        <w:ind w:firstLine="6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“规模以上工业企业”是指年主营业务收入在2000万元以上的工业企业。</w:t>
      </w:r>
    </w:p>
    <w:p w14:paraId="08DC0CE7">
      <w:pPr>
        <w:topLinePunct/>
        <w:adjustRightInd w:val="0"/>
        <w:snapToGrid w:val="0"/>
        <w:spacing w:line="60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、一转带三化：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企业加快数字化转型，引领、带动和赋能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制造业高端化、智能化、绿色化发展，提升核心竞争力。</w:t>
      </w:r>
    </w:p>
    <w:p w14:paraId="53DE4CC7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、六新突破：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企业大力发展新基建、新技术、新材料、新装备、新产品、新业态，拼抢新赛道，壮大新动能，带动产业群链迭代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升级。</w:t>
      </w:r>
    </w:p>
    <w:p w14:paraId="4D2C0BCE">
      <w:pPr>
        <w:pStyle w:val="5"/>
        <w:topLinePunct/>
        <w:spacing w:after="0" w:line="608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四个产业链群：智能装备制造、生物与医药技术、食品加工及现代农业、新能源和新材料产业群链，推动产业集聚向集群发展全面提升。</w:t>
      </w:r>
    </w:p>
    <w:p w14:paraId="2C06B1BF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、双招双引：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指导企业强化招商引资、招才引智的针对性、精准性和实效性，以更大力度集聚高端发展要素。</w:t>
      </w:r>
    </w:p>
    <w:p w14:paraId="0AA34D46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、头雁企业：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是指在河南省“556”制造业体系的重点领域中，省内排名前5的企业。这些企业具有独立法人资格，并且符合特定的产业和营业收入要求。</w:t>
      </w:r>
    </w:p>
    <w:p w14:paraId="1AF45C9B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、绿色工厂：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是指实现了用地集约化、生产洁净化、废物资源化、能源低碳化的工厂。</w:t>
      </w:r>
    </w:p>
    <w:p w14:paraId="6C06B36A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、智能工厂：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是一个集成了智能化技术和系统的制造环境，它通过物联网、大数据分析、人工智能等技术，实现生产过程的自动化、数字化和智能化。</w:t>
      </w:r>
    </w:p>
    <w:p w14:paraId="0DBEFA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智能工厂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申报流程：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企业登录河南省智能制造服务平台( http://www.hnznzz.com/)提交相关申报材料(从申报模块中选择对应模块)。</w:t>
      </w:r>
    </w:p>
    <w:p w14:paraId="0AA727DE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、专精特新企业：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是指具有专业化、精细化、特色化、 新颖化特征的中小企业。</w:t>
      </w:r>
    </w:p>
    <w:p w14:paraId="409419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申报流程：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登录优质中小企业梯度培育平台（zjtx.miit.gov.cn)，通过“数字化水平评测”模块进行自评，进入“专精特新中小企业申报”模块，如实、完整填报专精特新中小企业申请表，并上传佐证材料。</w:t>
      </w:r>
    </w:p>
    <w:p w14:paraId="528388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奖励政策：无</w:t>
      </w:r>
    </w:p>
    <w:p w14:paraId="065AF3FD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、“小巨人”企业：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是“专精特新”中小企业中的佼佼者，是专注于细分市场、创新能力强、市场占有率高、掌握关键核心技术、质量效益优的排头兵企业。</w:t>
      </w:r>
    </w:p>
    <w:p w14:paraId="00D4A5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申报流程：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专精特新“小巨人”企业申请和复核采取线上填报与线下报送相结合的方式。线上填报地址为优质中小企业梯度培育平台(https://zjtx.miit.gov.cn)，线下与线上数据应保持一致。</w:t>
      </w:r>
    </w:p>
    <w:p w14:paraId="29C5C2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奖励政策：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采取后补助的形式，补助额度为按照设备、软件实际投资给予不超过30%的补贴，最高不超过500万元。省工业和信息化厅会同省财政厅对申报项目进行评审，根据省财政资金情况，予以资金支持。</w:t>
      </w:r>
    </w:p>
    <w:p w14:paraId="212D50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涉及单位：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省工业和信息化厅、省财政厅</w:t>
      </w:r>
    </w:p>
    <w:p w14:paraId="190C85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政策依据：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《河南省工业和信息化厅河南省财政关于开展2024年省级制造业高质量发展专项资金项目(中小企业类)申报工作的通知》（豫工信联企业〔2023〕158号）</w:t>
      </w:r>
    </w:p>
    <w:p w14:paraId="448BD81A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、正面清单：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为本链本地“万人助万企”主要指标完成情况，着重突出新项目、新技术、新产品、新荣誉、新亮点和新发现的重点人才等。</w:t>
      </w:r>
    </w:p>
    <w:p w14:paraId="51332E20">
      <w:pPr>
        <w:topLinePunct/>
        <w:adjustRightInd w:val="0"/>
        <w:snapToGrid w:val="0"/>
        <w:spacing w:line="60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、负面清单：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为本链本地企业面临的共性问题和重点企业个性问题。</w:t>
      </w:r>
    </w:p>
    <w:p w14:paraId="2DFEFAC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卧龙区关于深入开展“万人助万企”活动 推动工业高质量发展实施方案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中的奖励对象是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哪</w:t>
      </w:r>
      <w:r>
        <w:rPr>
          <w:rFonts w:hint="eastAsia" w:ascii="仿宋_GB2312" w:hAnsi="仿宋_GB2312" w:eastAsia="仿宋_GB2312" w:cs="仿宋_GB2312"/>
          <w:sz w:val="32"/>
          <w:szCs w:val="32"/>
        </w:rPr>
        <w:t>些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</w:t>
      </w:r>
    </w:p>
    <w:p w14:paraId="2347C104">
      <w:pPr>
        <w:topLinePunct/>
        <w:spacing w:line="60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区市场监督管理部门登记注册，合法经营，管理规范，按规定进行纳税申报，按时准确向有关部门报送统计等相关报表，且当年未发生重大环境、安全生产事故和重大违法案件、严重失信行为的</w:t>
      </w:r>
      <w:r>
        <w:rPr>
          <w:rFonts w:ascii="Times New Roman" w:hAnsi="Times New Roman" w:eastAsia="仿宋_GB2312" w:cs="Times New Roman"/>
          <w:sz w:val="32"/>
          <w:szCs w:val="32"/>
        </w:rPr>
        <w:t>列入统计部门统计库的规模以上制造业企业，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一年一评一奖。</w:t>
      </w:r>
    </w:p>
    <w:p w14:paraId="0D97336B">
      <w:pPr>
        <w:pStyle w:val="3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各乡镇街道景区</w:t>
      </w:r>
    </w:p>
    <w:p w14:paraId="20E944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卧龙区关于深入开展“万人助万企”活动 推动工业高质量发展实施方案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卧龙区支持规模工业企业发展若干政策措施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的申报程序有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哪</w:t>
      </w:r>
      <w:r>
        <w:rPr>
          <w:rFonts w:hint="eastAsia" w:ascii="仿宋_GB2312" w:hAnsi="仿宋_GB2312" w:eastAsia="仿宋_GB2312" w:cs="仿宋_GB2312"/>
          <w:sz w:val="32"/>
          <w:szCs w:val="32"/>
        </w:rPr>
        <w:t>些？ </w:t>
      </w:r>
    </w:p>
    <w:p w14:paraId="7B042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符合条件的企业自主填报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相关申报材料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区工信局对申报主体提交的材料完整性进行审查，材料不齐全或不符合要求的，告知申报主体按时、按要求补正材料。</w:t>
      </w:r>
    </w:p>
    <w:p w14:paraId="43E0E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2、区工信局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局对企业申请材料进行实质联审，初步确定奖励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，报经区主要领导审阅后，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并以文件的形式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提交区委、区政府审核。</w:t>
      </w:r>
    </w:p>
    <w:p w14:paraId="39DF2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3、区委、区政府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对相关情况予以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审核，确定最终奖励名单及奖励金额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21EB6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待申报程序完成后由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工信局提供奖励名单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及奖励金额，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函告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财政局拨付资金。</w:t>
      </w:r>
    </w:p>
    <w:p w14:paraId="1F3D84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卧龙区关于深入开展“万人助万企”活动 推动工业高质量发展实施方案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哪</w:t>
      </w:r>
      <w:r>
        <w:rPr>
          <w:rFonts w:hint="eastAsia" w:ascii="仿宋_GB2312" w:hAnsi="仿宋_GB2312" w:eastAsia="仿宋_GB2312" w:cs="仿宋_GB2312"/>
          <w:sz w:val="32"/>
          <w:szCs w:val="32"/>
        </w:rPr>
        <w:t>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E2592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申报奖励的企业要严格执行财政法规和统计制度，确保数据真实，坚决杜绝虚报浮夸。如发现篡改或编造虚假数据的，追回所有相关奖金，并依法依规处理。   </w:t>
      </w:r>
    </w:p>
    <w:p w14:paraId="0FB4DF8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AB7DF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TViMjA1NjdhOTNiM2M4ZTE0Mzg3MDE5MmQ4OTYifQ=="/>
  </w:docVars>
  <w:rsids>
    <w:rsidRoot w:val="78801C79"/>
    <w:rsid w:val="0120191C"/>
    <w:rsid w:val="0A281E7C"/>
    <w:rsid w:val="0B9E3F83"/>
    <w:rsid w:val="0D7B00A4"/>
    <w:rsid w:val="10DA24C5"/>
    <w:rsid w:val="124277F7"/>
    <w:rsid w:val="1B0E3D27"/>
    <w:rsid w:val="1E6E167D"/>
    <w:rsid w:val="22A84D71"/>
    <w:rsid w:val="25226DB5"/>
    <w:rsid w:val="2C95266F"/>
    <w:rsid w:val="313F019A"/>
    <w:rsid w:val="34361D92"/>
    <w:rsid w:val="3A0A3E7C"/>
    <w:rsid w:val="3D97619E"/>
    <w:rsid w:val="437C611B"/>
    <w:rsid w:val="46BF2C2D"/>
    <w:rsid w:val="48187D8D"/>
    <w:rsid w:val="4A4E471A"/>
    <w:rsid w:val="4E235BA5"/>
    <w:rsid w:val="4F7F342D"/>
    <w:rsid w:val="52557993"/>
    <w:rsid w:val="5DA9339C"/>
    <w:rsid w:val="5EA85FC2"/>
    <w:rsid w:val="5EF64D8D"/>
    <w:rsid w:val="664B1C51"/>
    <w:rsid w:val="71F879F0"/>
    <w:rsid w:val="74EE4144"/>
    <w:rsid w:val="78801C79"/>
    <w:rsid w:val="7DB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styleId="3">
    <w:name w:val="Block Text"/>
    <w:basedOn w:val="1"/>
    <w:qFormat/>
    <w:uiPriority w:val="0"/>
    <w:pPr>
      <w:jc w:val="center"/>
    </w:pPr>
    <w:rPr>
      <w:rFonts w:cs="Times New Roman"/>
      <w:sz w:val="2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1735</Words>
  <Characters>1821</Characters>
  <Lines>0</Lines>
  <Paragraphs>0</Paragraphs>
  <TotalTime>2</TotalTime>
  <ScaleCrop>false</ScaleCrop>
  <LinksUpToDate>false</LinksUpToDate>
  <CharactersWithSpaces>1858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2022-05-18T02:35:00Z</dcterms:created>
  <dc:creator>DELL</dc:creator>
  <cp:lastModifiedBy>DELL</cp:lastModifiedBy>
  <cp:lastPrinted>2022-05-18T03:27:00Z</cp:lastPrinted>
  <dcterms:modified xsi:type="dcterms:W3CDTF">2024-08-27T08:48:30Z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A2E86B576E0A497D8D14F0CFD84307DB</vt:lpwstr>
  </property>
</Properties>
</file>