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F404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leftChars="0" w:right="0" w:firstLine="0" w:firstLineChars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卧龙区202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年转移支付情况说明</w:t>
      </w:r>
    </w:p>
    <w:p w14:paraId="703655A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1094"/>
        <w:jc w:val="center"/>
      </w:pPr>
      <w:r>
        <w:t> </w:t>
      </w:r>
    </w:p>
    <w:p w14:paraId="24B062C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一、一般公共预算上级补助收入情况</w:t>
      </w:r>
    </w:p>
    <w:p w14:paraId="3C50CD4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中央、省、市提前通知各项税收返还和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转移支付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共计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63897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万元，其中：返还性收入15703万元，一般性转移支付收入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146373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万元，专项转移支付收入1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821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万元。具体项目情况是：</w:t>
      </w:r>
    </w:p>
    <w:p w14:paraId="4E783D4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1、返还性收入15703万元，其中，增值税税收返还4690万元，消费税税收返还96万元，实增值税“五五分享”税收返还收入8946万元，所得税基数返还1204万元，成品油税费改革税收返还767万元。</w:t>
      </w:r>
    </w:p>
    <w:p w14:paraId="21FA461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2、一般性转移支付收入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val="en-US" w:eastAsia="zh-CN"/>
        </w:rPr>
        <w:t>146373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万元，其中，均衡性转移支付收入61404万元，县级基本财力保障机制奖补资金收入28923万元，结算补助收入1820万元，产粮（油）大县奖励资金2687万元，重点生态功能区转移支付2965万元，固定数额补助收入16574万元，巩固脱贫攻坚成果衔接乡村振兴转移支付收入2066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val="en-US" w:eastAsia="zh-CN"/>
        </w:rPr>
        <w:t>万元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公共安全共同财政事权转移支付121万元，教育共同财政事权转移支付12579万元，节能环保共同财政事权转移支付收入3万元，农林水共同财政事权转移支付12023万元，增值税留抵退税转移支付收入4480万元，交通运输共同财政事权转移支付收入92万元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eastAsia="zh-CN"/>
        </w:rPr>
        <w:t>，其他一般性转移支付收入636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val="en-US" w:eastAsia="zh-CN"/>
        </w:rPr>
        <w:t>万元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。</w:t>
      </w:r>
    </w:p>
    <w:p w14:paraId="12E9D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textAlignment w:val="auto"/>
        <w:rPr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3、专项转移支付收入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val="en-US" w:eastAsia="zh-CN"/>
        </w:rPr>
        <w:t>1821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万元，其中，农林水</w:t>
      </w:r>
      <w:r>
        <w:rPr>
          <w:rFonts w:hint="eastAsia" w:cs="Times New Roman"/>
          <w:color w:val="000000"/>
          <w:sz w:val="32"/>
          <w:szCs w:val="32"/>
          <w:shd w:val="clear" w:color="auto" w:fill="auto"/>
          <w:lang w:val="en-US" w:eastAsia="zh-CN"/>
        </w:rPr>
        <w:t>1821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万元。</w:t>
      </w:r>
    </w:p>
    <w:p w14:paraId="3870B29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二、政府性基金预算上级补助收入情况</w:t>
      </w:r>
    </w:p>
    <w:p w14:paraId="7F4CF7E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政府性基金上级补助收入0万元。</w:t>
      </w:r>
    </w:p>
    <w:p w14:paraId="1BB413A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auto"/>
        </w:rPr>
        <w:t>三、国有资本经营预算上级补助收入情况</w:t>
      </w:r>
      <w:bookmarkStart w:id="0" w:name="_GoBack"/>
      <w:bookmarkEnd w:id="0"/>
    </w:p>
    <w:p w14:paraId="2A17309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firstLine="640"/>
        <w:jc w:val="both"/>
        <w:textAlignment w:val="auto"/>
        <w:rPr>
          <w:shd w:val="clear" w:color="auto" w:fill="auto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auto"/>
        </w:rPr>
        <w:t>国有资本经营预算上级补助收入0万元。</w:t>
      </w:r>
    </w:p>
    <w:p w14:paraId="761AEAD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t> </w:t>
      </w:r>
    </w:p>
    <w:p w14:paraId="58FA7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ZjZkMzU1NzkwMDE3N2JmYTg4Y2U2YTFjYTk1ZGMifQ=="/>
  </w:docVars>
  <w:rsids>
    <w:rsidRoot w:val="5A296579"/>
    <w:rsid w:val="01F30A8D"/>
    <w:rsid w:val="10456F58"/>
    <w:rsid w:val="27F7200E"/>
    <w:rsid w:val="4A291683"/>
    <w:rsid w:val="4C440FBC"/>
    <w:rsid w:val="5A2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firstLine="880" w:firstLineChars="200"/>
    </w:pPr>
    <w:rPr>
      <w:rFonts w:ascii="Times New Roman" w:hAnsi="Times New Roman" w:eastAsia="仿宋_GB2312" w:cs="宋体"/>
      <w:snapToGrid w:val="0"/>
      <w:color w:val="000000"/>
      <w:kern w:val="0"/>
      <w:sz w:val="32"/>
      <w:szCs w:val="31"/>
      <w:lang w:eastAsia="en-US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606</Characters>
  <Lines>0</Lines>
  <Paragraphs>0</Paragraphs>
  <TotalTime>581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2024-08-09T07:56:00Z</dcterms:created>
  <dc:creator>张毅会</dc:creator>
  <cp:lastModifiedBy>张毅会</cp:lastModifiedBy>
  <dcterms:modified xsi:type="dcterms:W3CDTF">2024-08-12T09:41:20Z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D4727742E5234522B6B2E957C364E45A_11</vt:lpwstr>
  </property>
</Properties>
</file>