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卧龙区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2024年一季度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经济运行平稳开局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今年以来，卧龙区区深入贯彻落实中央、省、市经济工作部署，坚持稳中求进工作总基调，完整、准确、全面贯彻新发展理念，各行各业持续恢复，经济</w:t>
      </w: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回升向好态势持续巩固，一季度经济运行实现平稳开局。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一、主要指标运行情况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初步核算，一季度，全区实现地区生产总值（GDP）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127.2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 xml:space="preserve"> 亿元， 总量全市第一，同比增长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高于 2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 xml:space="preserve"> 年（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3.7%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 xml:space="preserve"> 个百分点，但分别低于全国、全省、全市（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5.3%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4.7%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5.8%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个百分点，在十三县区（下同）排名第1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分产业来看，第一产业实现增加值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4.4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%，排名第1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（并列）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；第二产业实现增加值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27.9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%，排名第1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位；第三产业实现增加值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94.8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5.0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%，排名第1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位。三次产业占GDP的比重为3.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22.0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:7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.6，对经济增长的贡献率分别为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.7%、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17.4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78.9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%，分别拉动经济增长0.1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0.80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3.64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（一）农业生产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基本稳定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林牧渔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8.9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亿元，增长3.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%，排名第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（并列）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林牧渔服务业实现产值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0.98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亿元，增长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8.2%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蔬菜瓜果等经济作物生产形势较好，蔬菜种植面积增长1%，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产量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Hans"/>
        </w:rPr>
        <w:t>17.7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万吨，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增长2.0%；草莓种植面积885.3亩，增长12.1%，产量1455吨，增长10.5%。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畜牧业生产形势总体稳定。生猪出栏31.8万头，增长18.2%；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牛、羊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出栏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0.31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万头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、2.65万头，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分别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2.1%、1.7%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。禽类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出栏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166.4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万只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，增长34.3%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）工业生产平稳回升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规模以上工业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增加值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同比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5.4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较2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年（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3.8%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）高 1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.6%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但比全国、全省、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全市平均水平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（6.1%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6.9%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7.2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%）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分别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低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，排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位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高新技术产业增加值增长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0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.3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%，低于全市平均水平（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20.8%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0.5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个百分点，排名第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位；战略性新兴产业增加值增长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9.0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，低于全市平均水平（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14.7%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5.7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 xml:space="preserve"> 个百分点，排名第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位。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分产业看，制造业增加值增长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7.1%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；采矿业增加值下降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55.7%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；电力、热力、燃气及水生产和供应业增加值增长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5.0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在规模以上工业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个行业大类中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，1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个行业大类实现了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增长，增长较快的行业是：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电气机械和器材制造业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110.3%；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专用设备制造业增长4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4.3%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印刷记录媒介复制业增长 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1.5%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燃气生产和供应业增长2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4.0%；仪器仪表制造业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20.0%。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建筑业生产下滑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资质以上建筑业企业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CN"/>
        </w:rPr>
        <w:t>累计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产值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15.7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亿元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，同比下降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5.9%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主要是由于大部分建筑业企业资质水平偏低、规模普遍较小，市场竞争力不强影响。低于全市平均水平（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8.0%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13.9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个百分点，排名第1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Hans"/>
        </w:rPr>
        <w:t>3</w:t>
      </w:r>
      <w:r>
        <w:rPr>
          <w:rFonts w:hint="eastAsia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位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Hans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（四）消费市场延续恢复增长态势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社会消费品零售总额完成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112.9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亿元，全市排名第一，同比增长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6.6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全国、全省、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全市平均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（4.7%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5.6%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.9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1.0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0.5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个百分点，排名第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Hans"/>
        </w:rPr>
        <w:t>（五）房地产业增势良好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受花漾美郡、中州学府、政和苑、同乐新城等城市更新项目建设的影响，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房地产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业商品房销售面积增速增长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eastAsia="zh-CN" w:bidi="ar-SA"/>
        </w:rPr>
        <w:t>42.7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于全国、全省、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全市平均水平（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-19.4%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-20.2%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1.3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62.1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62.9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41.4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（六）其他服务业稳定增长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规模以上服务业企业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上报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营业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收入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同比增长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2.9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%。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  <w:t>其中，营利性服务业增长12.1%，低于全市平均水平（16.6%）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4.5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  <w:t>个百分点，排名第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  <w:t>位。信息传输、软件和信息技术服务业增长7.4%，与全市平均水平持平。互联网和相关服务业、软件和信息技术服务业增长12.0%，低于全市平均水平（59.0%）47 个百分点。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电信业务量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CN"/>
        </w:rPr>
        <w:t>全市使用同一数据，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增长2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0.1%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投资平稳增长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500万元及以上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固定资产投资增速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同比</w:t>
      </w:r>
      <w:r>
        <w:rPr>
          <w:rStyle w:val="13"/>
          <w:rFonts w:hint="default" w:ascii="Times New Roman Regular" w:hAnsi="Times New Roman Regular" w:eastAsia="仿宋_GB2312" w:cs="Times New Roman Regular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增长</w:t>
      </w:r>
      <w:r>
        <w:rPr>
          <w:rStyle w:val="13"/>
          <w:rFonts w:hint="default" w:ascii="Times New Roman Regular" w:hAnsi="Times New Roman Regular" w:eastAsia="仿宋_GB2312" w:cs="Times New Roman Regular"/>
          <w:b w:val="0"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4.8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较全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国、全省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平均水平（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4.5%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2.9%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分别高 0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1.9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 xml:space="preserve"> 个百分点，但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较全市平均水平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9.2%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 xml:space="preserve"> 低 4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 xml:space="preserve"> 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排名第1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Hans"/>
        </w:rPr>
        <w:t>（1）工业投资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19.0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%，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分别低于全国、全省、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全市平均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水平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.9%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11.4%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12.5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 xml:space="preserve"> 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8.9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30.4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31.5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个百分点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vertAlign w:val="baseline"/>
          <w:lang w:eastAsia="zh-Hans" w:bidi="ar-SA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</w:rPr>
        <w:t>（2）基础设施投资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下降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  <w:t>11.0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</w:rPr>
        <w:t>%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分别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低于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全市平均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水平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6.5%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9.5%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14.5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 xml:space="preserve"> 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7.5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20.5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25.5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个百分点，排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Hans"/>
        </w:rPr>
        <w:t>（3）房地产投资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  <w:t>4.0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%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分别高于全国、全省、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全市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水平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-9.5%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-9.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8.0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13.5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13.0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12.0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个百分点，排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9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4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）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Hans"/>
        </w:rPr>
        <w:t>建安工程投资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增长1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0.8%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高于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全市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水平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8.3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%）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2.5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个百分点，排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  <w:t>（八）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财政收入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Hans"/>
        </w:rPr>
        <w:t>增势较好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CN"/>
        </w:rPr>
        <w:t>一般</w:t>
      </w:r>
      <w:r>
        <w:rPr>
          <w:rFonts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公共预算收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入完成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9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亿元，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排第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同比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增长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9.9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增速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，增速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比全市平均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水平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6.6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）高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3.3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个百分点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其中，</w:t>
      </w:r>
      <w:r>
        <w:rPr>
          <w:rFonts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税收收入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完成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1.4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亿元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，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同比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下降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16.3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比全市平均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水平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7.0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23.3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  <w:r>
        <w:rPr>
          <w:rFonts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税收占公共预算财政收入的比重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54.0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%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比全市平均占比（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68.0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）低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4.0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个百分点，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val="en-US" w:eastAsia="zh-Hans"/>
        </w:rPr>
        <w:t>排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第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ascii="Times New Roman Regular" w:hAnsi="Times New Roman Regular" w:eastAsia="仿宋_GB2312" w:cs="Times New Roman Regular"/>
          <w:color w:val="auto"/>
          <w:sz w:val="32"/>
          <w:szCs w:val="32"/>
          <w:lang w:eastAsia="zh-Hans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（九）城区物价涨幅较低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中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心城区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3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月当月消费者价格指数（CPI）涨幅0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.2%，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一季度消费者价格指数（CPI）涨幅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kern w:val="2"/>
          <w:sz w:val="32"/>
          <w:szCs w:val="32"/>
          <w:highlight w:val="none"/>
          <w:lang w:eastAsia="zh-Hans" w:bidi="ar-SA"/>
        </w:rPr>
        <w:t>0.4%。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（十）“四上”企业培育成效显著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新增“四上”企业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入库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，排名第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Hans"/>
        </w:rPr>
        <w:t>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其中，工业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家；商业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家；服务业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家；建筑业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Hans"/>
        </w:rPr>
        <w:t>二、经济运行存在的不足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从整体上看，一季度GDP增速处于平稳恢复态势， 虽然增速高于2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023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年，但受制于二产短板依旧突出、三产“压舱石”作用“失灵”的影响，一季度GDP增速排名第 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 xml:space="preserve"> 位，为历年最低。GDP增速不但低于国家、省、市平均水平，与其他县区比也存在较大的差距。分产业看：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（一）一产占比低，拉动力小。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一产占GDP比重3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.4%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排名第 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 xml:space="preserve"> 位，增速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增长3.1%，排名第10位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（并列）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一产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占比低，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对GDP 增长贡献也小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，仅拉动GDP增长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0.17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（二）二产短板更加突出。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第二产业增长 3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.7%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增速排名第1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位；占 GDP比重2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占比排名第1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位，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仅拉动 GDP增长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0.80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个百分点。主要是由于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工业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生产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不及预期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、建筑业持续生产低迷的影响。规模以上工业增加值增长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5.4%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低于全市平均水平（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8.3%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2.9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 xml:space="preserve"> 个百分点，排名第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12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 xml:space="preserve"> 位，落后增速最高的南召（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24.7%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19.3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个百分点，与宛城（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20.1%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 相比也相差1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4.7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个百分点，比排名第1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位的内乡（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9.6%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还要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低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4.2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个百分点。资质以上建筑业产值下降5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.9%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，低于全市平均水平（8.0%）13.9个百分点，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落后增速最高的西峡（1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6.1%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22.0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个百分点，与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排名第12位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宛城（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9.6%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）相比相差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Hans"/>
        </w:rPr>
        <w:t>15.5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Hans"/>
        </w:rPr>
        <w:t>个百分点，为十三县区中唯一的“负增长”。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（三）三产“压舱石”作用“失灵”。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作为三产大区，第三产业一直是全区拉动经济增长的“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压舱石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”。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从一季度数据来看，第三产业占 GDP 比重为7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4.6%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占比全市第一，为“历年之最”。但第三产业增速仅增长5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.0%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排名第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11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位，为历年一季度排名位次“最差”。从分行业增速看，三产六大行业中，仅有交通运输、仓储和邮政业、房地产业增加值增速高于三产平均水平（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5.0%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3.7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2.4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 xml:space="preserve"> 个百分点，其他服务业、批发零售业、住宿餐饮业、金融业增加值增速分别低于三产平均增速（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5.0%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0.3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0.2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3.9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3.7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 xml:space="preserve"> 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Hans"/>
        </w:rPr>
        <w:t>（四）有效投资不足。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Hans"/>
        </w:rPr>
        <w:t>一是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项目质量不高。在3月份上报投资中，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209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 xml:space="preserve"> 个可报投资额的项目中，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经多方努力仅解锁了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23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个具有有效凭证的项目，上报投资额共计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7.3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亿元。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部分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项目因有申请解锁项目，发票额度低，以小代大比例过高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  <w:t>，部分申请解锁项目发票及转账凭证质量不高，市局未解锁。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Hans"/>
        </w:rPr>
        <w:t>二是新入库项目少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Hans"/>
        </w:rPr>
        <w:t>通过率低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Hans"/>
        </w:rPr>
        <w:t>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3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上报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22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个新入库项目资料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实际入库项目仅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7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个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通过率仅为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30%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被批回的项目存在备案手续和项目内容不合规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不一致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很多项目以小变大，现场规模达不到要求，现场照片与合同和备案内容不匹配等问题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合同备案计划投资额一再修改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color w:val="auto"/>
          <w:sz w:val="32"/>
          <w:szCs w:val="32"/>
          <w:lang w:val="en-US" w:eastAsia="zh-Hans"/>
        </w:rPr>
        <w:t>不断增加</w:t>
      </w:r>
      <w:r>
        <w:rPr>
          <w:rFonts w:hint="default" w:ascii="Times New Roman Regular" w:hAnsi="Times New Roman Regular" w:eastAsia="仿宋_GB2312" w:cs="Times New Roman Regular"/>
          <w:b w:val="0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eastAsia="zh-Hans"/>
        </w:rPr>
        <w:t>入库后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也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eastAsia="zh-Hans"/>
        </w:rPr>
        <w:t>因没发票凭证支撑无法上报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Hans"/>
        </w:rPr>
        <w:t>大额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eastAsia="zh-Hans"/>
        </w:rPr>
        <w:t>投资额。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default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三、工作建议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default" w:ascii="Calibri" w:hAnsi="Calibri" w:eastAsia="宋体" w:cs="宋体"/>
          <w:color w:val="auto"/>
          <w:kern w:val="2"/>
          <w:sz w:val="21"/>
          <w:szCs w:val="24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（一）加强经济运行调度。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做好二季度经济工作，必须坚持和充分发挥区经济运行指挥部协调统揽作用，精准测算二季度各项经济指标任务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紧盯各项目标任务，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压实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行业主管部门责任，区发改、统计、农业、工信、商务、财政、税务、住建、交通、金融和先进制造业开发区等经济职能部门统筹安排，强化以天保周、以周保月、以月保季、以季保年，重点关注制造业发展情况，尤其是高技术产业发展，加强对批发零售业、交通运输、仓储和邮政业、住宿餐饮业、房地产业、其他服务业等行业的监测调度，对涉及GDP的优势指标持续跟进，对劣势指标分析原因，查找行业发展的短板和问题，提出有效应对策略，助推经济指标高质量增长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抓实指标保质量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目前，国家加大了数据核查力度，数据上报目前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，针对工业产值、固定资产投资额、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商品房销售面积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商贸业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销售额、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服务业营业收入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从业人员工资总额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等重点指标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kern w:val="0"/>
          <w:sz w:val="32"/>
          <w:szCs w:val="32"/>
          <w:u w:val="none"/>
          <w:shd w:val="clear" w:fill="FFFFFF"/>
          <w:lang w:val="en-US" w:eastAsia="zh-CN" w:bidi="ar"/>
        </w:rPr>
        <w:t>找准经济运行问题短板，有针对性到重点企业、重点项目开展现场指导和调研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kern w:val="0"/>
          <w:sz w:val="32"/>
          <w:szCs w:val="32"/>
          <w:u w:val="none"/>
          <w:shd w:val="clear" w:fill="FFFFFF"/>
          <w:lang w:val="en-US"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提升数据填报质量，如实提供相关凭证，确保应统尽统。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三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Hans"/>
        </w:rPr>
        <w:t>抓项目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保投资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Hans"/>
        </w:rPr>
        <w:t>一是抓招商。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落实“真招商，招真商”工作理念，大抓招引项目落地工作，确保签约项目抓开工、开工项目抓建设、投产项目抓达效；</w:t>
      </w:r>
      <w:r>
        <w:rPr>
          <w:rFonts w:hint="eastAsia" w:ascii="Times New Roman Regular" w:hAnsi="Times New Roman Regular" w:eastAsia="楷体_GB2312" w:cs="Times New Roman Regular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val="en-US" w:eastAsia="zh-Hans"/>
        </w:rPr>
        <w:t>是抓开工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lang w:val="en-US" w:eastAsia="zh-Hans"/>
        </w:rPr>
        <w:t>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采取得力措施，推动“三个一批”、省市重点、城市更新等一批项目开工建设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Hans" w:bidi="ar-SA"/>
        </w:rPr>
        <w:t>三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是抓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Hans" w:bidi="ar-SA"/>
        </w:rPr>
        <w:t>进度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提早准备高质量项目凭证，做到即报即审，凭证全覆盖，加快完善项目备案手续，多备案、快备案，</w:t>
      </w:r>
      <w:r>
        <w:rPr>
          <w:rFonts w:hint="eastAsia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突</w:t>
      </w:r>
      <w:r>
        <w:rPr>
          <w:rFonts w:hint="default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出工业类投资、工业技改投资，设备购置类项目要增加建设类内容，为项目入统计库打好基础</w:t>
      </w:r>
      <w:r>
        <w:rPr>
          <w:rFonts w:hint="eastAsia" w:ascii="Times New Roman Regular" w:hAnsi="Times New Roman Regular" w:eastAsia="仿宋_GB2312" w:cs="Times New Roman Regular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eastAsia="zh-Hans" w:bidi="ar-SA"/>
        </w:rPr>
        <w:t>；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vertAlign w:val="baseline"/>
          <w:lang w:val="en-US" w:eastAsia="zh-Hans" w:bidi="ar-SA"/>
        </w:rPr>
        <w:t>四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CN" w:bidi="ar-SA"/>
        </w:rPr>
        <w:t>是抓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kern w:val="2"/>
          <w:sz w:val="32"/>
          <w:szCs w:val="32"/>
          <w:lang w:val="en-US" w:eastAsia="zh-Hans" w:bidi="ar-SA"/>
        </w:rPr>
        <w:t>入库。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要求各乡镇街道严格按照入库审核标准上报真项目，切实提高项目质量，及早准备有效凭证，确保更多真项目入库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5"/>
          <w:left w:val="none" w:color="auto" w:sz="0" w:space="2"/>
          <w:bottom w:val="none" w:color="auto" w:sz="0" w:space="20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（四）聚人气促消费。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当前，第三产业占GDP的比重已达到7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eastAsia="zh-Hans" w:bidi="ar-SA"/>
        </w:rPr>
        <w:t>5%，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抓好第三产业生产变得异常重要。因此，商务部门要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vertAlign w:val="baseline"/>
          <w:lang w:val="en-US" w:eastAsia="zh-Hans" w:bidi="ar-SA"/>
        </w:rPr>
        <w:t>落实好“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vertAlign w:val="baseline"/>
          <w:lang w:eastAsia="zh-Hans" w:bidi="ar-SA"/>
        </w:rPr>
        <w:t>2024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vertAlign w:val="baseline"/>
          <w:lang w:val="en-US" w:eastAsia="zh-Hans" w:bidi="ar-SA"/>
        </w:rPr>
        <w:t>年消费促进年”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Hans"/>
        </w:rPr>
        <w:t>和国家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消费品“以旧换新”政策，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Hans"/>
        </w:rPr>
        <w:t>开展汽车家电下乡、电商快递进村等多种形式促销活动，持续扩大农村消费。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规范发展夜市经济，让城市“烟火气”更加浓郁，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建设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中佳汇、花花牛邻里中心项目，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盘活社区经济，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不断满足群众多样化的消费需求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加快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Hans"/>
        </w:rPr>
        <w:t>推动新华城市广场等传统商圈提档升级，全力打造特色商业步行街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pacing w:val="0"/>
          <w:sz w:val="32"/>
          <w:szCs w:val="32"/>
          <w:u w:val="none" w:color="auto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5"/>
          <w:left w:val="none" w:color="auto" w:sz="0" w:space="2"/>
          <w:bottom w:val="none" w:color="auto" w:sz="0" w:space="20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kern w:val="2"/>
          <w:sz w:val="32"/>
          <w:szCs w:val="32"/>
          <w:lang w:val="en-US" w:eastAsia="zh-Hans" w:bidi="ar-SA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U3NjcwMTdiYWJlMTI3Y2JkZmZkOWFlYjJiMjkifQ=="/>
  </w:docVars>
  <w:rsids>
    <w:rsidRoot w:val="00000000"/>
    <w:rsid w:val="06B8420F"/>
    <w:rsid w:val="5FF46BB0"/>
    <w:rsid w:val="637D5A55"/>
    <w:rsid w:val="7B7BF3E9"/>
    <w:rsid w:val="DE55C81F"/>
    <w:rsid w:val="E3AD9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ind w:firstLine="425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5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spacing w:line="260" w:lineRule="auto"/>
      <w:jc w:val="left"/>
    </w:pPr>
    <w:rPr>
      <w:rFonts w:asciiTheme="minorHAnsi" w:hAnsiTheme="minorHAnsi" w:eastAsiaTheme="minorEastAsia" w:cstheme="minorBidi"/>
      <w:kern w:val="2"/>
      <w:sz w:val="31"/>
      <w:szCs w:val="22"/>
      <w:lang w:val="en-US" w:eastAsia="zh-CN" w:bidi="ar-SA"/>
    </w:rPr>
  </w:style>
  <w:style w:type="paragraph" w:styleId="9">
    <w:name w:val="Body Text First Indent"/>
    <w:next w:val="10"/>
    <w:qFormat/>
    <w:uiPriority w:val="0"/>
    <w:pPr>
      <w:widowControl w:val="0"/>
      <w:spacing w:after="120"/>
      <w:ind w:firstLine="420"/>
      <w:jc w:val="both"/>
    </w:pPr>
    <w:rPr>
      <w:rFonts w:asciiTheme="minorHAnsi" w:hAnsiTheme="minorHAnsi" w:eastAsiaTheme="minorEastAsia" w:cstheme="minorBidi"/>
      <w:bCs/>
      <w:kern w:val="2"/>
      <w:sz w:val="30"/>
      <w:szCs w:val="20"/>
      <w:lang w:val="en-US" w:eastAsia="zh-CN" w:bidi="ar-SA"/>
    </w:rPr>
  </w:style>
  <w:style w:type="paragraph" w:styleId="10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customStyle="1" w:styleId="13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3619</Words>
  <Characters>4227</Characters>
  <Lines>0</Lines>
  <Paragraphs>0</Paragraphs>
  <TotalTime>7</TotalTime>
  <ScaleCrop>false</ScaleCrop>
  <LinksUpToDate>false</LinksUpToDate>
  <CharactersWithSpaces>4267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2024-04-28T18:32:00Z</dcterms:created>
  <dc:creator>iPhone</dc:creator>
  <cp:lastModifiedBy>Jeff</cp:lastModifiedBy>
  <cp:lastPrinted>2024-04-28T14:36:00Z</cp:lastPrinted>
  <dcterms:modified xsi:type="dcterms:W3CDTF">2024-08-08T02:48:47Z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1FDADAA17EFBB71C6EF16866B88E6936_43</vt:lpwstr>
  </property>
</Properties>
</file>