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3954_WPSOffice_Level1"/>
      <w:bookmarkStart w:id="1" w:name="_Toc4111_WPSOffice_Level1"/>
      <w:bookmarkStart w:id="2" w:name="_Toc45118090"/>
      <w:r>
        <w:rPr>
          <w:rFonts w:hint="eastAsia"/>
          <w:lang w:eastAsia="zh-CN"/>
        </w:rPr>
        <w:t>卧龙区</w:t>
      </w:r>
      <w:r>
        <w:rPr>
          <w:rFonts w:hint="eastAsia"/>
        </w:rPr>
        <w:t>公共文化服务领域基层政务公开标准目录</w:t>
      </w:r>
      <w:bookmarkEnd w:id="0"/>
      <w:bookmarkEnd w:id="1"/>
      <w:bookmarkEnd w:id="2"/>
    </w:p>
    <w:tbl>
      <w:tblPr>
        <w:tblStyle w:val="3"/>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446"/>
        <w:gridCol w:w="1980"/>
        <w:gridCol w:w="1814"/>
        <w:gridCol w:w="1426"/>
        <w:gridCol w:w="1440"/>
        <w:gridCol w:w="605"/>
        <w:gridCol w:w="639"/>
        <w:gridCol w:w="450"/>
        <w:gridCol w:w="722"/>
        <w:gridCol w:w="46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序号</w:t>
            </w:r>
          </w:p>
        </w:tc>
        <w:tc>
          <w:tcPr>
            <w:tcW w:w="235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公开事项</w:t>
            </w:r>
          </w:p>
        </w:tc>
        <w:tc>
          <w:tcPr>
            <w:tcW w:w="144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公开内容（要素）</w:t>
            </w:r>
          </w:p>
        </w:tc>
        <w:tc>
          <w:tcPr>
            <w:tcW w:w="198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公开依据</w:t>
            </w:r>
          </w:p>
        </w:tc>
        <w:tc>
          <w:tcPr>
            <w:tcW w:w="1814"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公开时限</w:t>
            </w:r>
          </w:p>
        </w:tc>
        <w:tc>
          <w:tcPr>
            <w:tcW w:w="142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公开主体</w:t>
            </w:r>
          </w:p>
        </w:tc>
        <w:tc>
          <w:tcPr>
            <w:tcW w:w="14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公开渠道和载体</w:t>
            </w:r>
          </w:p>
        </w:tc>
        <w:tc>
          <w:tcPr>
            <w:tcW w:w="124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公开对象</w:t>
            </w:r>
          </w:p>
        </w:tc>
        <w:tc>
          <w:tcPr>
            <w:tcW w:w="1172"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公开方式</w:t>
            </w:r>
          </w:p>
        </w:tc>
        <w:tc>
          <w:tcPr>
            <w:tcW w:w="1018"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blHeader/>
          <w:jc w:val="center"/>
        </w:trPr>
        <w:tc>
          <w:tcPr>
            <w:tcW w:w="5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734"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一级事项</w:t>
            </w:r>
          </w:p>
        </w:tc>
        <w:tc>
          <w:tcPr>
            <w:tcW w:w="162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二级事项</w:t>
            </w:r>
          </w:p>
        </w:tc>
        <w:tc>
          <w:tcPr>
            <w:tcW w:w="144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98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814"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2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60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全社会</w:t>
            </w:r>
          </w:p>
        </w:tc>
        <w:tc>
          <w:tcPr>
            <w:tcW w:w="639"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特定群体</w:t>
            </w:r>
          </w:p>
        </w:tc>
        <w:tc>
          <w:tcPr>
            <w:tcW w:w="45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主动</w:t>
            </w:r>
          </w:p>
        </w:tc>
        <w:tc>
          <w:tcPr>
            <w:tcW w:w="722"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依申请公开</w:t>
            </w:r>
          </w:p>
        </w:tc>
        <w:tc>
          <w:tcPr>
            <w:tcW w:w="463"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县级</w:t>
            </w:r>
          </w:p>
        </w:tc>
        <w:tc>
          <w:tcPr>
            <w:tcW w:w="55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734" w:type="dxa"/>
            <w:vMerge w:val="restart"/>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行政</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许可</w:t>
            </w: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互联网上网服务营业场所经营许可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1.办事指南：主要包括事项名称、设定依据、申请条件、办理材料、办理地点、办理时间、联系电话、办理流程、办理期限、申请行政许可需要提交的全部材料目录及办理情况;</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2.行政许可决定。</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《行政许可法》、《政府信息公开条例》、《互联网上网服务营业场所管理条例》</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仿宋_GB2312" w:hAnsi="宋体" w:eastAsia="仿宋_GB2312" w:cs="宋体"/>
                <w:color w:val="000000"/>
                <w:kern w:val="0"/>
                <w:szCs w:val="21"/>
              </w:rPr>
              <w:t>卧龙区文化广电和旅游局</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■政府网站       </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jc w:val="center"/>
        </w:trPr>
        <w:tc>
          <w:tcPr>
            <w:tcW w:w="5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734" w:type="dxa"/>
            <w:vMerge w:val="continue"/>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文艺表演团体设立审批</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1.办事指南：内容同上;</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2.行政许可决定。</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《行政许可法》、《政府信息公开条例》、《营业性演出管理条例》、《文化部关于落实“先照后证”改进文化市场行政审批工作的通知》 </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仿宋_GB2312" w:hAnsi="宋体" w:eastAsia="仿宋_GB2312" w:cs="宋体"/>
                <w:color w:val="000000"/>
                <w:kern w:val="0"/>
                <w:szCs w:val="21"/>
              </w:rPr>
              <w:t>卧龙区文化广电和旅游局</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■政府网站       </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5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73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行政</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许可</w:t>
            </w: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营业性演出审批</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1.办事指南：内容同上;</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2.行政许可决定。</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同上</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仿宋_GB2312" w:hAnsi="宋体" w:eastAsia="仿宋_GB2312" w:cs="宋体"/>
                <w:color w:val="000000"/>
                <w:kern w:val="0"/>
                <w:szCs w:val="21"/>
              </w:rPr>
              <w:t>卧龙区文化广电和旅游局</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■政府网站       </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73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行政</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许可</w:t>
            </w: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娱乐场所经营许可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1.办事指南：内容同上;</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2.行政许可决定。</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《行政许可法》；《政府信息公开条例》</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仿宋_GB2312" w:hAnsi="宋体" w:eastAsia="仿宋_GB2312" w:cs="宋体"/>
                <w:color w:val="000000"/>
                <w:kern w:val="0"/>
                <w:szCs w:val="21"/>
              </w:rPr>
              <w:t>卧龙区文化广电和旅游局</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■政府网站       </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3" w:hRule="atLeast"/>
          <w:jc w:val="center"/>
        </w:trPr>
        <w:tc>
          <w:tcPr>
            <w:tcW w:w="540" w:type="dxa"/>
            <w:vAlign w:val="center"/>
          </w:tcPr>
          <w:p>
            <w:pPr>
              <w:spacing w:line="240" w:lineRule="exact"/>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5</w:t>
            </w:r>
          </w:p>
        </w:tc>
        <w:tc>
          <w:tcPr>
            <w:tcW w:w="734" w:type="dxa"/>
            <w:vMerge w:val="restart"/>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行政</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处罚</w:t>
            </w: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对互联网上网服务营业场所违法行为的行政处罚</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1.主体信息；</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2.案由；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3.处罚依据；</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4.处罚结果。</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执法决定信息在决定作出之日起7个工作日内公开，其他相关信息形成或变更之日起20个工作日内公开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仿宋_GB2312" w:hAnsi="宋体" w:eastAsia="仿宋_GB2312" w:cs="宋体"/>
                <w:color w:val="000000"/>
                <w:kern w:val="0"/>
                <w:szCs w:val="21"/>
              </w:rPr>
              <w:t>卧龙区文化广电和旅游局</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■政府网站       </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7" w:hRule="atLeast"/>
          <w:jc w:val="center"/>
        </w:trPr>
        <w:tc>
          <w:tcPr>
            <w:tcW w:w="540" w:type="dxa"/>
            <w:vAlign w:val="center"/>
          </w:tcPr>
          <w:p>
            <w:pPr>
              <w:spacing w:line="240" w:lineRule="exact"/>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w:t>
            </w:r>
          </w:p>
        </w:tc>
        <w:tc>
          <w:tcPr>
            <w:tcW w:w="734" w:type="dxa"/>
            <w:vMerge w:val="continue"/>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对娱乐场所违法行为的行政处罚</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1.主体信息；</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2.案由；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3.处罚依据；</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4.处罚结果。</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执法决定信息在决定作出之日起7个工作日内公开，其他相关信息形成或变更之日起20个工作日内公开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仿宋_GB2312" w:hAnsi="宋体" w:eastAsia="仿宋_GB2312" w:cs="宋体"/>
                <w:color w:val="000000"/>
                <w:kern w:val="0"/>
                <w:szCs w:val="21"/>
              </w:rPr>
              <w:t>卧龙区文化广电和旅游局</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■政府网站       </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7</w:t>
            </w:r>
          </w:p>
        </w:tc>
        <w:tc>
          <w:tcPr>
            <w:tcW w:w="734" w:type="dxa"/>
            <w:vMerge w:val="restart"/>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行政</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处罚</w:t>
            </w: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对营业性演出违法行为的行政处罚</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1.主体信息；</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2.案由；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3.处罚依据；</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4.处罚结果。</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执法决定信息在决定作出之日</w:t>
            </w:r>
            <w:bookmarkStart w:id="3" w:name="_GoBack"/>
            <w:bookmarkEnd w:id="3"/>
            <w:r>
              <w:rPr>
                <w:rFonts w:hint="eastAsia" w:ascii="宋体" w:hAnsi="宋体" w:cs="宋体"/>
                <w:color w:val="000000" w:themeColor="text1"/>
                <w:sz w:val="18"/>
                <w:szCs w:val="18"/>
                <w14:textFill>
                  <w14:solidFill>
                    <w14:schemeClr w14:val="tx1"/>
                  </w14:solidFill>
                </w14:textFill>
              </w:rPr>
              <w:t>起7个工作日内公开，其他相关信息形成或变更之日起20个工作日内公开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仿宋_GB2312" w:hAnsi="宋体" w:eastAsia="仿宋_GB2312" w:cs="宋体"/>
                <w:color w:val="000000"/>
                <w:kern w:val="0"/>
                <w:szCs w:val="21"/>
              </w:rPr>
              <w:t>卧龙区文化广电和旅游局</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■政府网站       </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8</w:t>
            </w:r>
          </w:p>
        </w:tc>
        <w:tc>
          <w:tcPr>
            <w:tcW w:w="734" w:type="dxa"/>
            <w:vMerge w:val="continue"/>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对艺术品经营违法行为的行政处罚</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1.主体信息；</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2.案由；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3.处罚依据；</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4.处罚结果。</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执法决定信息在决定作出之日起7个工作日内公开，其他相关信息形成或变更之日起20个工作日内公开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仿宋_GB2312" w:hAnsi="宋体" w:eastAsia="仿宋_GB2312" w:cs="宋体"/>
                <w:color w:val="000000"/>
                <w:kern w:val="0"/>
                <w:szCs w:val="21"/>
              </w:rPr>
              <w:t>卧龙区文化广电和旅游局</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■政府网站          </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9</w:t>
            </w:r>
          </w:p>
        </w:tc>
        <w:tc>
          <w:tcPr>
            <w:tcW w:w="734" w:type="dxa"/>
            <w:vMerge w:val="continue"/>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对社会艺术水平考级活动违法行为的行政处罚</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1.主体信息；</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2.案由；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3.处罚依据；</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4.处罚结果。</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执法决定信息在决定作出之日起7个工作日内公开，其他相关信息形成或变更之日起20个工作日内公开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仿宋_GB2312" w:hAnsi="宋体" w:eastAsia="仿宋_GB2312" w:cs="宋体"/>
                <w:color w:val="000000"/>
                <w:kern w:val="0"/>
                <w:szCs w:val="21"/>
              </w:rPr>
              <w:t>卧龙区文化广电和旅游局</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■政府网站       </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3" w:hRule="atLeast"/>
          <w:jc w:val="center"/>
        </w:trPr>
        <w:tc>
          <w:tcPr>
            <w:tcW w:w="540" w:type="dxa"/>
            <w:vAlign w:val="center"/>
          </w:tcPr>
          <w:p>
            <w:pPr>
              <w:spacing w:line="240" w:lineRule="exact"/>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lang w:val="en-US" w:eastAsia="zh-CN"/>
                <w14:textFill>
                  <w14:solidFill>
                    <w14:schemeClr w14:val="tx1"/>
                  </w14:solidFill>
                </w14:textFill>
              </w:rPr>
              <w:t>0</w:t>
            </w:r>
          </w:p>
        </w:tc>
        <w:tc>
          <w:tcPr>
            <w:tcW w:w="73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行政</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处罚</w:t>
            </w: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对互联网文化单位违法行为的行政处罚</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1.主体信息；</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2.案由；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3.处罚依据；</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4.处罚结果。</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执法决定信息在决定作出之日起7个工作日内公开，其他相关信息形成或变更之日起20个工作日内公开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仿宋_GB2312" w:hAnsi="宋体" w:eastAsia="仿宋_GB2312" w:cs="宋体"/>
                <w:color w:val="000000"/>
                <w:kern w:val="0"/>
                <w:szCs w:val="21"/>
              </w:rPr>
              <w:t>卧龙区文化广电和旅游局</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■政府网站      </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540" w:type="dxa"/>
            <w:vAlign w:val="center"/>
          </w:tcPr>
          <w:p>
            <w:pPr>
              <w:spacing w:line="240" w:lineRule="exact"/>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12</w:t>
            </w:r>
          </w:p>
        </w:tc>
        <w:tc>
          <w:tcPr>
            <w:tcW w:w="73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公共文化机构免费开放信息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仿宋_GB2312" w:hAnsi="宋体" w:eastAsia="仿宋_GB2312" w:cs="宋体"/>
                <w:color w:val="000000"/>
                <w:kern w:val="0"/>
                <w:szCs w:val="21"/>
              </w:rPr>
              <w:t>卧龙区文化广电和旅游局</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WY2NmVlNDBiNTczNmRmNDgxYTBiOGY1YmM2ODcifQ=="/>
  </w:docVars>
  <w:rsids>
    <w:rsidRoot w:val="3C441792"/>
    <w:rsid w:val="09C958D7"/>
    <w:rsid w:val="3C441792"/>
    <w:rsid w:val="47C50805"/>
    <w:rsid w:val="6F5C0A2B"/>
    <w:rsid w:val="79757099"/>
    <w:rsid w:val="7E41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line="600" w:lineRule="exact"/>
      <w:contextualSpacing/>
      <w:jc w:val="center"/>
      <w:outlineLvl w:val="0"/>
    </w:pPr>
    <w:rPr>
      <w:rFonts w:ascii="Cambria" w:hAnsi="Cambria" w:eastAsia="文星标宋"/>
      <w:bCs/>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2024-01-15T07:41:00Z</dcterms:created>
  <dc:creator>Administrator</dc:creator>
  <cp:lastModifiedBy>Administrator</cp:lastModifiedBy>
  <dcterms:modified xsi:type="dcterms:W3CDTF">2024-01-16T01:53:20Z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C86CAA01A5E44632B5986B1C8A894B9B_13</vt:lpwstr>
  </property>
</Properties>
</file>