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4A" w:rsidRDefault="00A04E4A">
      <w:pPr>
        <w:jc w:val="center"/>
        <w:rPr>
          <w:rFonts w:ascii="方正小标宋简体" w:eastAsia="方正小标宋简体"/>
          <w:w w:val="58"/>
          <w:sz w:val="62"/>
          <w:szCs w:val="62"/>
        </w:rPr>
      </w:pPr>
    </w:p>
    <w:p w:rsidR="00A04E4A" w:rsidRDefault="002F7BAE">
      <w:pPr>
        <w:jc w:val="distribute"/>
        <w:rPr>
          <w:rFonts w:ascii="方正大标宋简体" w:eastAsia="方正大标宋简体"/>
          <w:color w:val="FFFFFF"/>
          <w:w w:val="43"/>
          <w:sz w:val="140"/>
          <w:szCs w:val="140"/>
        </w:rPr>
      </w:pPr>
      <w:r w:rsidRPr="002F7BAE">
        <w:rPr>
          <w:rFonts w:ascii="方正大标宋简体" w:eastAsia="方正大标宋简体"/>
          <w:color w:val="FFFFFF"/>
          <w:w w:val="43"/>
          <w:sz w:val="140"/>
          <w:szCs w:val="140"/>
        </w:rPr>
        <w:pict>
          <v:line id="_x0000_s1026" style="position:absolute;left:0;text-align:left;z-index:251660288" from="-14.75pt,185.55pt" to="438.8pt,185.55pt" o:gfxdata="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KueDNkAAAALAQAADwAAAAAAAAABACAAAAAiAAAAZHJzL2Rvd25yZXYueG1s&#10;UEsBAhQAFAAAAAgAh07iQGHft6b3AQAA5QMAAA4AAAAAAAAAAQAgAAAAKAEAAGRycy9lMm9Eb2Mu&#10;eG1sUEsFBgAAAAAGAAYAWQEAAJEFAAAAAA==&#10;" strokecolor="white" strokeweight="1.5pt"/>
        </w:pict>
      </w:r>
      <w:r w:rsidR="008366FF">
        <w:rPr>
          <w:rFonts w:ascii="方正大标宋简体" w:eastAsia="方正大标宋简体" w:hint="eastAsia"/>
          <w:color w:val="FFFFFF"/>
          <w:w w:val="43"/>
          <w:sz w:val="140"/>
          <w:szCs w:val="140"/>
        </w:rPr>
        <w:t>南阳市卧龙区人民政府办公室文件</w:t>
      </w:r>
    </w:p>
    <w:p w:rsidR="00A04E4A" w:rsidRDefault="00A04E4A">
      <w:pPr>
        <w:rPr>
          <w:rFonts w:eastAsia="仿宋_GB2312"/>
          <w:sz w:val="32"/>
          <w:szCs w:val="32"/>
        </w:rPr>
      </w:pPr>
    </w:p>
    <w:p w:rsidR="00A04E4A" w:rsidRDefault="008366FF" w:rsidP="001431CC">
      <w:pPr>
        <w:spacing w:beforeLines="130"/>
        <w:jc w:val="center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sz w:val="30"/>
          <w:szCs w:val="30"/>
        </w:rPr>
        <w:t>宛龙政办〔</w:t>
      </w:r>
      <w:r>
        <w:rPr>
          <w:rFonts w:ascii="Times New Roman" w:eastAsia="仿宋_GB2312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〕</w:t>
      </w:r>
      <w:r>
        <w:rPr>
          <w:rFonts w:ascii="Times New Roman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号</w:t>
      </w:r>
    </w:p>
    <w:p w:rsidR="00A04E4A" w:rsidRDefault="00A04E4A">
      <w:pPr>
        <w:tabs>
          <w:tab w:val="left" w:pos="3270"/>
        </w:tabs>
        <w:jc w:val="left"/>
      </w:pPr>
      <w:bookmarkStart w:id="0" w:name="_GoBack"/>
      <w:bookmarkEnd w:id="0"/>
    </w:p>
    <w:p w:rsidR="00A04E4A" w:rsidRDefault="00A04E4A">
      <w:pPr>
        <w:spacing w:line="400" w:lineRule="exact"/>
        <w:ind w:firstLineChars="200" w:firstLine="420"/>
        <w:jc w:val="center"/>
        <w:outlineLvl w:val="2"/>
        <w:rPr>
          <w:bCs/>
          <w:szCs w:val="32"/>
        </w:rPr>
      </w:pPr>
    </w:p>
    <w:p w:rsidR="00A04E4A" w:rsidRDefault="00A04E4A">
      <w:pPr>
        <w:spacing w:line="608" w:lineRule="exact"/>
        <w:ind w:firstLineChars="200" w:firstLine="420"/>
        <w:jc w:val="center"/>
        <w:outlineLvl w:val="2"/>
        <w:rPr>
          <w:bCs/>
          <w:szCs w:val="32"/>
        </w:rPr>
      </w:pPr>
    </w:p>
    <w:p w:rsidR="00A04E4A" w:rsidRDefault="008366FF">
      <w:pPr>
        <w:spacing w:line="60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南阳市卧龙区人民政府办公室</w:t>
      </w:r>
    </w:p>
    <w:p w:rsidR="00A04E4A" w:rsidRDefault="008366FF">
      <w:pPr>
        <w:spacing w:line="60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关于印发卧龙区国有土地使用权作价出资</w:t>
      </w:r>
    </w:p>
    <w:p w:rsidR="00A04E4A" w:rsidRDefault="008366FF">
      <w:pPr>
        <w:spacing w:line="60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（入股）办法（试行）的通知</w:t>
      </w:r>
    </w:p>
    <w:p w:rsidR="00A04E4A" w:rsidRDefault="00A04E4A">
      <w:pPr>
        <w:spacing w:line="608" w:lineRule="exact"/>
        <w:rPr>
          <w:rFonts w:ascii="Times New Roman" w:eastAsia="仿宋_GB2312" w:hAnsi="Times New Roman"/>
          <w:sz w:val="32"/>
          <w:szCs w:val="32"/>
        </w:rPr>
      </w:pPr>
    </w:p>
    <w:p w:rsidR="00A04E4A" w:rsidRDefault="008366FF">
      <w:pPr>
        <w:spacing w:line="608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各乡镇人民政府、街道办事处，区政府相关部门：</w:t>
      </w:r>
    </w:p>
    <w:p w:rsidR="00A04E4A" w:rsidRDefault="008366FF">
      <w:pPr>
        <w:spacing w:line="60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《卧龙区国有土地使用权作价出资（入股）办法（试行）》已经区政府研究同意，现印发给你们，请遵照执行。</w:t>
      </w:r>
    </w:p>
    <w:p w:rsidR="00A04E4A" w:rsidRDefault="00A04E4A">
      <w:pPr>
        <w:spacing w:line="60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04E4A" w:rsidRDefault="00A04E4A">
      <w:pPr>
        <w:spacing w:line="608" w:lineRule="exact"/>
        <w:rPr>
          <w:rFonts w:ascii="Times New Roman" w:eastAsia="仿宋_GB2312" w:hAnsi="Times New Roman"/>
          <w:sz w:val="32"/>
          <w:szCs w:val="32"/>
        </w:rPr>
      </w:pPr>
    </w:p>
    <w:p w:rsidR="00A04E4A" w:rsidRDefault="00A04E4A">
      <w:pPr>
        <w:spacing w:line="608" w:lineRule="exact"/>
        <w:rPr>
          <w:rFonts w:ascii="Times New Roman" w:eastAsia="仿宋_GB2312" w:hAnsi="Times New Roman"/>
          <w:sz w:val="32"/>
          <w:szCs w:val="32"/>
        </w:rPr>
      </w:pPr>
    </w:p>
    <w:p w:rsidR="00A04E4A" w:rsidRDefault="008366FF">
      <w:pPr>
        <w:spacing w:line="608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A04E4A" w:rsidRDefault="00A04E4A">
      <w:pPr>
        <w:adjustRightInd w:val="0"/>
        <w:snapToGrid w:val="0"/>
        <w:spacing w:line="608" w:lineRule="exact"/>
        <w:rPr>
          <w:rFonts w:ascii="Times New Roman" w:eastAsia="仿宋_GB2312" w:hAnsi="Times New Roman"/>
          <w:sz w:val="32"/>
          <w:szCs w:val="32"/>
        </w:rPr>
      </w:pPr>
    </w:p>
    <w:p w:rsidR="00A04E4A" w:rsidRDefault="008366FF">
      <w:pPr>
        <w:spacing w:line="60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方正小标宋_GBK" w:eastAsia="方正小标宋_GBK" w:hAnsi="方正小标宋_GBK" w:cs="方正小标宋_GBK"/>
          <w:sz w:val="40"/>
          <w:szCs w:val="40"/>
        </w:rPr>
        <w:lastRenderedPageBreak/>
        <w:t>卧龙区国有土地使用权作价出资（入股）</w:t>
      </w:r>
    </w:p>
    <w:p w:rsidR="00A04E4A" w:rsidRDefault="008366FF">
      <w:pPr>
        <w:spacing w:line="60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/>
          <w:sz w:val="40"/>
          <w:szCs w:val="40"/>
        </w:rPr>
        <w:t>办法（试行）</w:t>
      </w:r>
    </w:p>
    <w:p w:rsidR="00A04E4A" w:rsidRDefault="00A04E4A">
      <w:pPr>
        <w:spacing w:line="60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A04E4A" w:rsidRDefault="008366FF">
      <w:pPr>
        <w:adjustRightInd w:val="0"/>
        <w:snapToGrid w:val="0"/>
        <w:spacing w:line="60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进一步完善国有土地有偿使用制度，根据《中华人民共和国土地管理法》《中华人民共和国土地管理法实施条例》以及国家、省关于国有建设用地使用权作价出资和国有资产划转有关政策规定，决定在全区范围内开展国有建设用地使用权作价出资（入股）工作，特制定本办法。</w:t>
      </w:r>
    </w:p>
    <w:p w:rsidR="00A04E4A" w:rsidRDefault="008366FF">
      <w:pPr>
        <w:adjustRightInd w:val="0"/>
        <w:snapToGrid w:val="0"/>
        <w:spacing w:line="608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一、总体要求及目标</w:t>
      </w:r>
    </w:p>
    <w:p w:rsidR="00A04E4A" w:rsidRDefault="008366FF">
      <w:pPr>
        <w:adjustRightInd w:val="0"/>
        <w:snapToGrid w:val="0"/>
        <w:spacing w:line="60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坚持以习近平新时代中国特色社会主义思想为指导，进一步推进国有资产产权明晰、监管统一，促进国有资产盘活利用。通过作价出资（入股）提供国有建设用地，以及政府机构、事业单位和国有独资企业之间划转土地资产等方式，推动资产集中、资本聚集、资金集成、资源集约，提高国有资本运营效率。政府机构、事业单位和国有独资企业之间划转土地资产，国有建设用地原则上应采取作价出资（入股）方式，由划入方有偿使用，实现自然资源资产权益有效保障和国有资产保值增值、企业做大做强。</w:t>
      </w:r>
    </w:p>
    <w:p w:rsidR="00A04E4A" w:rsidRDefault="008366FF">
      <w:pPr>
        <w:adjustRightInd w:val="0"/>
        <w:snapToGrid w:val="0"/>
        <w:spacing w:line="608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二、概念及适用范围</w:t>
      </w:r>
    </w:p>
    <w:p w:rsidR="00A04E4A" w:rsidRDefault="008366FF">
      <w:pPr>
        <w:adjustRightInd w:val="0"/>
        <w:snapToGrid w:val="0"/>
        <w:spacing w:line="60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国有建设用地使用权作价出资（入股），是指政府以一定年期的国有建设用地使用权作价，作为出资（入股）投入到国有独资企业，国有建设用地使用权由企业持有，企业无需向政府缴纳国有建设用地使用权作价价款，国有建设用地使用权作价金额计作</w:t>
      </w:r>
      <w:r>
        <w:rPr>
          <w:rFonts w:ascii="Times New Roman" w:eastAsia="仿宋_GB2312" w:hAnsi="Times New Roman"/>
          <w:sz w:val="32"/>
          <w:szCs w:val="32"/>
        </w:rPr>
        <w:lastRenderedPageBreak/>
        <w:t>国家资本金（股本金），由国有资产监督管理部门代表政府履行出资人职责进行监管。高速环线外卧龙区行政区域内通过作价出资（入股）提供国有建设用地，以及政府机构、事业单位和国有独资企业之间资产划转需作价出资（入股）用地的，适用于本办法。</w:t>
      </w:r>
    </w:p>
    <w:p w:rsidR="00A04E4A" w:rsidRDefault="008366FF">
      <w:pPr>
        <w:adjustRightInd w:val="0"/>
        <w:snapToGrid w:val="0"/>
        <w:spacing w:line="608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三、作价出资（入股）方式</w:t>
      </w:r>
    </w:p>
    <w:p w:rsidR="00A04E4A" w:rsidRDefault="008366FF" w:rsidP="00967C44">
      <w:pPr>
        <w:adjustRightInd w:val="0"/>
        <w:snapToGrid w:val="0"/>
        <w:spacing w:line="60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（一）新供应国有建设用地作价出资（入股）。</w:t>
      </w:r>
      <w:r>
        <w:rPr>
          <w:rFonts w:ascii="Times New Roman" w:eastAsia="仿宋_GB2312" w:hAnsi="Times New Roman"/>
          <w:sz w:val="32"/>
          <w:szCs w:val="32"/>
        </w:rPr>
        <w:t>对可以使用划拨土地的能源、环境保护、保障性安居工程、养老、教育、文化、体育及供水、燃气供应、供热设施等公共服务项目及自然资源部《国土空间调查、规划、用途管制用地用海分类指南（试行）》二级类规划用途为城镇住宅用地、商业用地以外项目，其用地作价出资（入股）方案报经区政府批准后，由区自然资源局、区财政局和用地单位三方签订《国有建设用地使用权作价出资（入股）合同》。</w:t>
      </w:r>
    </w:p>
    <w:p w:rsidR="00A04E4A" w:rsidRDefault="008366FF" w:rsidP="00967C44">
      <w:pPr>
        <w:adjustRightInd w:val="0"/>
        <w:snapToGrid w:val="0"/>
        <w:spacing w:line="60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（二）国有划拨土地使用权作价出资（入股）。</w:t>
      </w:r>
      <w:r>
        <w:rPr>
          <w:rFonts w:ascii="Times New Roman" w:eastAsia="仿宋_GB2312" w:hAnsi="Times New Roman"/>
          <w:sz w:val="32"/>
          <w:szCs w:val="32"/>
        </w:rPr>
        <w:t>政府机构、事业单位和国有独资企业之间划转划拨土地使用权的，需划入方通过作价出资（入股）有偿使用国有建设用地，由区政府先行收回划拨土地使用权后，区自然资源局、区财政局和用地单位（划入方）三方签订《国有建设用地使用权作价出资（入股）合同》。</w:t>
      </w:r>
    </w:p>
    <w:p w:rsidR="00A04E4A" w:rsidRDefault="008366FF">
      <w:pPr>
        <w:adjustRightInd w:val="0"/>
        <w:snapToGrid w:val="0"/>
        <w:spacing w:line="608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四、作价出资（入股）工作流程</w:t>
      </w:r>
    </w:p>
    <w:p w:rsidR="00A04E4A" w:rsidRDefault="008366FF" w:rsidP="00967C44">
      <w:pPr>
        <w:adjustRightInd w:val="0"/>
        <w:snapToGrid w:val="0"/>
        <w:spacing w:line="608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（一）新供应国有建设用地使用权作价出资（入股）参照土地出让程序执行</w:t>
      </w:r>
    </w:p>
    <w:p w:rsidR="00A04E4A" w:rsidRDefault="008366FF">
      <w:pPr>
        <w:shd w:val="clear" w:color="auto" w:fill="FFFFFF"/>
        <w:adjustRightInd w:val="0"/>
        <w:snapToGrid w:val="0"/>
        <w:spacing w:line="608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sz w:val="32"/>
          <w:szCs w:val="32"/>
        </w:rPr>
        <w:t>用地公示。</w:t>
      </w:r>
      <w:r>
        <w:rPr>
          <w:rFonts w:ascii="Times New Roman" w:eastAsia="仿宋_GB2312" w:hAnsi="Times New Roman"/>
          <w:sz w:val="32"/>
          <w:szCs w:val="32"/>
        </w:rPr>
        <w:t>区自然资源局对拟供应项目出具用地规划条件，</w:t>
      </w:r>
      <w:r>
        <w:rPr>
          <w:rFonts w:ascii="Times New Roman" w:eastAsia="仿宋_GB2312" w:hAnsi="Times New Roman"/>
          <w:sz w:val="32"/>
          <w:szCs w:val="32"/>
        </w:rPr>
        <w:lastRenderedPageBreak/>
        <w:t>公布供地计划，接受用地申请。</w:t>
      </w:r>
    </w:p>
    <w:p w:rsidR="00A04E4A" w:rsidRDefault="008366FF">
      <w:pPr>
        <w:shd w:val="clear" w:color="auto" w:fill="FFFFFF"/>
        <w:adjustRightInd w:val="0"/>
        <w:snapToGrid w:val="0"/>
        <w:spacing w:line="608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方案审批。</w:t>
      </w:r>
      <w:r>
        <w:rPr>
          <w:rFonts w:ascii="Times New Roman" w:eastAsia="仿宋_GB2312" w:hAnsi="Times New Roman"/>
          <w:sz w:val="32"/>
          <w:szCs w:val="32"/>
        </w:rPr>
        <w:t>区自然资源局会同区财政局进行土地房屋资产评估，拟定作价出资（入股）方案，报区政府审定批准。</w:t>
      </w:r>
    </w:p>
    <w:p w:rsidR="00A04E4A" w:rsidRDefault="008366FF">
      <w:pPr>
        <w:adjustRightInd w:val="0"/>
        <w:snapToGrid w:val="0"/>
        <w:spacing w:line="608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sz w:val="32"/>
          <w:szCs w:val="32"/>
        </w:rPr>
        <w:t>合同签订。</w:t>
      </w:r>
      <w:r>
        <w:rPr>
          <w:rFonts w:ascii="Times New Roman" w:eastAsia="仿宋_GB2312" w:hAnsi="Times New Roman"/>
          <w:sz w:val="32"/>
          <w:szCs w:val="32"/>
        </w:rPr>
        <w:t>国有建设用地使用权作价出资方案经区政府批准后，区自然资源局、区财政局和业主单位签订《国有建设用地使用权作价出资（入股）合同》，明确各方的权利和义务。</w:t>
      </w:r>
    </w:p>
    <w:p w:rsidR="00A04E4A" w:rsidRDefault="008366FF">
      <w:pPr>
        <w:adjustRightInd w:val="0"/>
        <w:snapToGrid w:val="0"/>
        <w:spacing w:line="608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4.</w:t>
      </w:r>
      <w:r>
        <w:rPr>
          <w:rFonts w:ascii="Times New Roman" w:eastAsia="仿宋_GB2312" w:hAnsi="Times New Roman"/>
          <w:b/>
          <w:bCs/>
          <w:sz w:val="32"/>
          <w:szCs w:val="32"/>
        </w:rPr>
        <w:t>产权登记。</w:t>
      </w:r>
      <w:r>
        <w:rPr>
          <w:rFonts w:ascii="Times New Roman" w:eastAsia="仿宋_GB2312" w:hAnsi="Times New Roman"/>
          <w:sz w:val="32"/>
          <w:szCs w:val="32"/>
        </w:rPr>
        <w:t>业主单位持《国有建设用地使用权作价出资（入股）合同》和完税凭证申请办理不动产登记。</w:t>
      </w:r>
    </w:p>
    <w:p w:rsidR="00A04E4A" w:rsidRDefault="008366FF" w:rsidP="00967C44">
      <w:pPr>
        <w:adjustRightInd w:val="0"/>
        <w:snapToGrid w:val="0"/>
        <w:spacing w:line="608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（二）国有划拨土地使用权作价出资（入股）按以下程序执行</w:t>
      </w:r>
    </w:p>
    <w:p w:rsidR="00A04E4A" w:rsidRDefault="008366FF">
      <w:pPr>
        <w:adjustRightInd w:val="0"/>
        <w:snapToGrid w:val="0"/>
        <w:spacing w:line="608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sz w:val="32"/>
          <w:szCs w:val="32"/>
        </w:rPr>
        <w:t>资产清理核实。</w:t>
      </w:r>
      <w:r>
        <w:rPr>
          <w:rFonts w:ascii="Times New Roman" w:eastAsia="仿宋_GB2312" w:hAnsi="Times New Roman"/>
          <w:sz w:val="32"/>
          <w:szCs w:val="32"/>
        </w:rPr>
        <w:t>区财政局全面清理应确权登记给政府机构、事业单位，以及区政府同意划转给区属国有公司的土地、房屋等构（建）筑物的资产情况。</w:t>
      </w:r>
    </w:p>
    <w:p w:rsidR="00A04E4A" w:rsidRDefault="008366FF">
      <w:pPr>
        <w:adjustRightInd w:val="0"/>
        <w:snapToGrid w:val="0"/>
        <w:spacing w:line="608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产权确权登记。</w:t>
      </w:r>
      <w:r>
        <w:rPr>
          <w:rFonts w:ascii="Times New Roman" w:eastAsia="仿宋_GB2312" w:hAnsi="Times New Roman"/>
          <w:sz w:val="32"/>
          <w:szCs w:val="32"/>
        </w:rPr>
        <w:t>根据清理情况，区属国有公司会同相关政府机构、事业单位及时申请并提供相关权属资料，办理各类国有土地房屋的不动产确权登记。</w:t>
      </w:r>
    </w:p>
    <w:p w:rsidR="00A04E4A" w:rsidRDefault="008366FF">
      <w:pPr>
        <w:adjustRightInd w:val="0"/>
        <w:snapToGrid w:val="0"/>
        <w:spacing w:line="608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sz w:val="32"/>
          <w:szCs w:val="32"/>
        </w:rPr>
        <w:t>产权收回。</w:t>
      </w:r>
      <w:r>
        <w:rPr>
          <w:rFonts w:ascii="Times New Roman" w:eastAsia="仿宋_GB2312" w:hAnsi="Times New Roman"/>
          <w:sz w:val="32"/>
          <w:szCs w:val="32"/>
        </w:rPr>
        <w:t>区政府组织依法收回国有划拨土地使用权和房屋等构（建）筑物所有权。</w:t>
      </w:r>
    </w:p>
    <w:p w:rsidR="00A04E4A" w:rsidRDefault="008366FF">
      <w:pPr>
        <w:adjustRightInd w:val="0"/>
        <w:snapToGrid w:val="0"/>
        <w:spacing w:line="608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4.</w:t>
      </w:r>
      <w:r>
        <w:rPr>
          <w:rFonts w:ascii="Times New Roman" w:eastAsia="仿宋_GB2312" w:hAnsi="Times New Roman"/>
          <w:b/>
          <w:bCs/>
          <w:sz w:val="32"/>
          <w:szCs w:val="32"/>
        </w:rPr>
        <w:t>拟定方案。</w:t>
      </w:r>
      <w:r>
        <w:rPr>
          <w:rFonts w:ascii="Times New Roman" w:eastAsia="仿宋_GB2312" w:hAnsi="Times New Roman"/>
          <w:sz w:val="32"/>
          <w:szCs w:val="32"/>
        </w:rPr>
        <w:t>区属国有公司根据资产盘活利用和管理需要，按照成熟一批划转一批的原则，对拟划转的国有资产，按要求完成土地、房屋等价格评估后编制资产划转方案报区财政局审定后，报区政府批准。资产划转方案应包括资产所涉及的土地房屋权属、</w:t>
      </w:r>
      <w:r>
        <w:rPr>
          <w:rFonts w:ascii="Times New Roman" w:eastAsia="仿宋_GB2312" w:hAnsi="Times New Roman"/>
          <w:sz w:val="32"/>
          <w:szCs w:val="32"/>
        </w:rPr>
        <w:lastRenderedPageBreak/>
        <w:t>价格评估、划入方土地房屋等资产作价，以及出资（入股）人职责履行等内容。</w:t>
      </w:r>
    </w:p>
    <w:p w:rsidR="00A04E4A" w:rsidRDefault="008366FF">
      <w:pPr>
        <w:adjustRightInd w:val="0"/>
        <w:snapToGrid w:val="0"/>
        <w:spacing w:line="608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/>
          <w:b/>
          <w:bCs/>
          <w:sz w:val="32"/>
          <w:szCs w:val="32"/>
        </w:rPr>
        <w:t>．合同签订。</w:t>
      </w:r>
      <w:r>
        <w:rPr>
          <w:rFonts w:ascii="Times New Roman" w:eastAsia="仿宋_GB2312" w:hAnsi="Times New Roman"/>
          <w:sz w:val="32"/>
          <w:szCs w:val="32"/>
        </w:rPr>
        <w:t>区自然资源局凭土地资产划转批准文件，与区公有资产管理办公室、用地单位三方签订《国有建设用地使用权作价出资（入股）合同》。</w:t>
      </w:r>
    </w:p>
    <w:p w:rsidR="00A04E4A" w:rsidRDefault="008366FF">
      <w:pPr>
        <w:adjustRightInd w:val="0"/>
        <w:snapToGrid w:val="0"/>
        <w:spacing w:line="608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6</w:t>
      </w:r>
      <w:r>
        <w:rPr>
          <w:rFonts w:ascii="Times New Roman" w:eastAsia="仿宋_GB2312" w:hAnsi="Times New Roman"/>
          <w:b/>
          <w:bCs/>
          <w:sz w:val="32"/>
          <w:szCs w:val="32"/>
        </w:rPr>
        <w:t>．产权登记。</w:t>
      </w:r>
      <w:r>
        <w:rPr>
          <w:rFonts w:ascii="Times New Roman" w:eastAsia="仿宋_GB2312" w:hAnsi="Times New Roman"/>
          <w:sz w:val="32"/>
          <w:szCs w:val="32"/>
        </w:rPr>
        <w:t>用地单位持《国有建设用地使用权作价出资（入股）合同》和完税凭证申请办理不动产登记。</w:t>
      </w:r>
    </w:p>
    <w:p w:rsidR="00A04E4A" w:rsidRDefault="008366FF" w:rsidP="00967C44">
      <w:pPr>
        <w:adjustRightInd w:val="0"/>
        <w:snapToGrid w:val="0"/>
        <w:spacing w:line="608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（三）本办法实施期间，上级国家机关有新规定的，从其规定。</w:t>
      </w:r>
    </w:p>
    <w:p w:rsidR="00A04E4A" w:rsidRDefault="008366FF">
      <w:pPr>
        <w:adjustRightInd w:val="0"/>
        <w:snapToGrid w:val="0"/>
        <w:spacing w:line="608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五、工作保障</w:t>
      </w:r>
    </w:p>
    <w:p w:rsidR="00A04E4A" w:rsidRDefault="008366FF" w:rsidP="00967C44">
      <w:pPr>
        <w:adjustRightInd w:val="0"/>
        <w:snapToGrid w:val="0"/>
        <w:spacing w:line="60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（一）加强组织领导。</w:t>
      </w:r>
      <w:r>
        <w:rPr>
          <w:rFonts w:ascii="Times New Roman" w:eastAsia="仿宋_GB2312" w:hAnsi="Times New Roman"/>
          <w:sz w:val="32"/>
          <w:szCs w:val="32"/>
        </w:rPr>
        <w:t>建立国有建设用地使用权作价出资（入股）工作统筹协调机制，由区政府统一领导，分管副区长为协调总召集人，区政府分管副主任和区自然资源局局长为召集人，定期召集研究相关工作。区财政等有关部门积极配合，按照部门职责分工，增强联动效应，有序推进国有建设用地使用权作价出资（入股）工作。</w:t>
      </w:r>
    </w:p>
    <w:p w:rsidR="00A04E4A" w:rsidRDefault="008366FF" w:rsidP="00967C44">
      <w:pPr>
        <w:adjustRightInd w:val="0"/>
        <w:snapToGrid w:val="0"/>
        <w:spacing w:line="60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（二）明确工作责任。</w:t>
      </w:r>
      <w:r>
        <w:rPr>
          <w:rFonts w:ascii="Times New Roman" w:eastAsia="仿宋_GB2312" w:hAnsi="Times New Roman"/>
          <w:sz w:val="32"/>
          <w:szCs w:val="32"/>
        </w:rPr>
        <w:t>区自然资源局负责办理作价出资用地手续和不动产登记手续，会同区财政局和用地单位三方签订《国有建设用地使用权作价出资（入股）合同》。</w:t>
      </w:r>
      <w:r>
        <w:rPr>
          <w:rFonts w:ascii="Times New Roman" w:eastAsia="仿宋_GB2312" w:hAnsi="Times New Roman"/>
          <w:bCs/>
          <w:sz w:val="32"/>
          <w:szCs w:val="32"/>
        </w:rPr>
        <w:t>区财政局负</w:t>
      </w:r>
      <w:r>
        <w:rPr>
          <w:rFonts w:ascii="Times New Roman" w:eastAsia="仿宋_GB2312" w:hAnsi="Times New Roman"/>
          <w:sz w:val="32"/>
          <w:szCs w:val="32"/>
        </w:rPr>
        <w:t>责对中介机构评估的划转资产作价金额和划转方案进行审定，确保国有资产保值增值。同时，积极协助做好资产划转工作，严格履行出资（入股）人职责，加强国有资产监管，会同区自然资源局与用地</w:t>
      </w:r>
      <w:r>
        <w:rPr>
          <w:rFonts w:ascii="Times New Roman" w:eastAsia="仿宋_GB2312" w:hAnsi="Times New Roman"/>
          <w:sz w:val="32"/>
          <w:szCs w:val="32"/>
        </w:rPr>
        <w:lastRenderedPageBreak/>
        <w:t>单位三方签订《国有建设用地使用权作价出资（入股）合同》。其他各有关单位和部门按照工作要求，对投资或使用的国有土地、房屋资产进行调查核实并协调办理产权登记。国有资产权利人要严格按照有关规定对划入的国有资产进行经营、管理和使用，并承担维护责任。</w:t>
      </w:r>
    </w:p>
    <w:p w:rsidR="00A04E4A" w:rsidRDefault="008366FF" w:rsidP="00967C44">
      <w:pPr>
        <w:adjustRightInd w:val="0"/>
        <w:snapToGrid w:val="0"/>
        <w:spacing w:line="60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（三）强化监督管理。</w:t>
      </w:r>
      <w:r>
        <w:rPr>
          <w:rFonts w:ascii="Times New Roman" w:eastAsia="仿宋_GB2312" w:hAnsi="Times New Roman"/>
          <w:sz w:val="32"/>
          <w:szCs w:val="32"/>
        </w:rPr>
        <w:t>国有资产管理、审计等部门要按照事前规范制度、事中加强监控、事后强化问责的原则，增强对推进作价出资（入股）和国有资产集中统一监管工作的监督力度。各相关单位、企业不得隐瞒国有资产，不得擅自处置国有资产。对工作不力或故意推诿及其他违反规定的，严肃追究责任。</w:t>
      </w:r>
    </w:p>
    <w:p w:rsidR="00A04E4A" w:rsidRDefault="00A04E4A">
      <w:pPr>
        <w:spacing w:line="60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A04E4A" w:rsidRDefault="00A04E4A">
      <w:pPr>
        <w:pStyle w:val="a0"/>
      </w:pPr>
    </w:p>
    <w:p w:rsidR="00A04E4A" w:rsidRDefault="00A04E4A"/>
    <w:p w:rsidR="00A04E4A" w:rsidRDefault="00A04E4A">
      <w:pPr>
        <w:pStyle w:val="a0"/>
      </w:pPr>
    </w:p>
    <w:p w:rsidR="00A04E4A" w:rsidRDefault="00A04E4A"/>
    <w:p w:rsidR="00A04E4A" w:rsidRDefault="00A04E4A">
      <w:pPr>
        <w:pStyle w:val="a0"/>
      </w:pPr>
    </w:p>
    <w:p w:rsidR="00A04E4A" w:rsidRDefault="00A04E4A"/>
    <w:p w:rsidR="00A04E4A" w:rsidRDefault="00A04E4A">
      <w:pPr>
        <w:pStyle w:val="a0"/>
      </w:pPr>
    </w:p>
    <w:p w:rsidR="00A04E4A" w:rsidRDefault="00A04E4A"/>
    <w:p w:rsidR="00A04E4A" w:rsidRDefault="00A04E4A">
      <w:pPr>
        <w:pStyle w:val="a0"/>
      </w:pPr>
    </w:p>
    <w:p w:rsidR="00A04E4A" w:rsidRDefault="00A04E4A">
      <w:pPr>
        <w:pStyle w:val="a0"/>
      </w:pPr>
    </w:p>
    <w:p w:rsidR="00A04E4A" w:rsidRDefault="00A04E4A" w:rsidP="001431CC">
      <w:pPr>
        <w:pStyle w:val="2"/>
        <w:spacing w:beforeLines="200"/>
        <w:ind w:firstLine="360"/>
        <w:rPr>
          <w:rFonts w:eastAsia="仿宋"/>
          <w:sz w:val="18"/>
          <w:szCs w:val="18"/>
        </w:rPr>
      </w:pPr>
    </w:p>
    <w:sectPr w:rsidR="00A04E4A" w:rsidSect="00A04E4A">
      <w:footerReference w:type="default" r:id="rId7"/>
      <w:pgSz w:w="11906" w:h="16838"/>
      <w:pgMar w:top="1701" w:right="1417" w:bottom="1701" w:left="1417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83" w:rsidRDefault="00211A83" w:rsidP="00A04E4A">
      <w:r>
        <w:separator/>
      </w:r>
    </w:p>
  </w:endnote>
  <w:endnote w:type="continuationSeparator" w:id="0">
    <w:p w:rsidR="00211A83" w:rsidRDefault="00211A83" w:rsidP="00A04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4A" w:rsidRDefault="002F7BA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04E4A" w:rsidRDefault="008366FF">
                <w:pPr>
                  <w:pStyle w:val="a5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 w:hint="eastAsia"/>
                    <w:sz w:val="24"/>
                  </w:rPr>
                  <w:t>—</w:t>
                </w:r>
                <w:r w:rsidR="002F7BAE">
                  <w:rPr>
                    <w:rFonts w:ascii="Times New Roman" w:hAnsi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 \* MERGEFORMAT </w:instrText>
                </w:r>
                <w:r w:rsidR="002F7BAE">
                  <w:rPr>
                    <w:rFonts w:ascii="Times New Roman" w:hAnsi="Times New Roman"/>
                    <w:sz w:val="24"/>
                  </w:rPr>
                  <w:fldChar w:fldCharType="separate"/>
                </w:r>
                <w:r w:rsidR="001431CC">
                  <w:rPr>
                    <w:rFonts w:ascii="Times New Roman" w:hAnsi="Times New Roman"/>
                    <w:noProof/>
                    <w:sz w:val="24"/>
                  </w:rPr>
                  <w:t>7</w:t>
                </w:r>
                <w:r w:rsidR="002F7BAE">
                  <w:rPr>
                    <w:rFonts w:ascii="Times New Roman" w:hAnsi="Times New Roman"/>
                    <w:sz w:val="24"/>
                  </w:rPr>
                  <w:fldChar w:fldCharType="end"/>
                </w:r>
                <w:r>
                  <w:rPr>
                    <w:rFonts w:ascii="Times New Roman" w:hAnsi="Times New Roman" w:hint="eastAsia"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83" w:rsidRDefault="00211A83" w:rsidP="00A04E4A">
      <w:r>
        <w:separator/>
      </w:r>
    </w:p>
  </w:footnote>
  <w:footnote w:type="continuationSeparator" w:id="0">
    <w:p w:rsidR="00211A83" w:rsidRDefault="00211A83" w:rsidP="00A04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I4NTA5MzFmNTdiMjdjYjlkODdkZWQwMzA4Yzc4MDkifQ=="/>
  </w:docVars>
  <w:rsids>
    <w:rsidRoot w:val="16FF02CF"/>
    <w:rsid w:val="001431CC"/>
    <w:rsid w:val="00211A83"/>
    <w:rsid w:val="002F7BAE"/>
    <w:rsid w:val="008366FF"/>
    <w:rsid w:val="00967C44"/>
    <w:rsid w:val="00A04E4A"/>
    <w:rsid w:val="16FF02CF"/>
    <w:rsid w:val="1791619B"/>
    <w:rsid w:val="20176A8C"/>
    <w:rsid w:val="25264EFD"/>
    <w:rsid w:val="26363CE5"/>
    <w:rsid w:val="2F961436"/>
    <w:rsid w:val="322E49F9"/>
    <w:rsid w:val="330D3AE3"/>
    <w:rsid w:val="38C867E3"/>
    <w:rsid w:val="4C1D24F4"/>
    <w:rsid w:val="7A50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04E4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A04E4A"/>
    <w:pPr>
      <w:spacing w:line="576" w:lineRule="exact"/>
    </w:pPr>
  </w:style>
  <w:style w:type="paragraph" w:styleId="a4">
    <w:name w:val="Body Text Indent"/>
    <w:basedOn w:val="a"/>
    <w:qFormat/>
    <w:rsid w:val="00A04E4A"/>
    <w:pPr>
      <w:spacing w:after="120"/>
      <w:ind w:leftChars="200" w:left="420"/>
    </w:pPr>
    <w:rPr>
      <w:rFonts w:ascii="Times New Roman" w:eastAsia="Times New Roman" w:hAnsi="Times New Roman"/>
      <w:szCs w:val="20"/>
    </w:rPr>
  </w:style>
  <w:style w:type="paragraph" w:styleId="a5">
    <w:name w:val="footer"/>
    <w:basedOn w:val="a"/>
    <w:rsid w:val="00A04E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A04E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4"/>
    <w:qFormat/>
    <w:rsid w:val="00A04E4A"/>
    <w:pPr>
      <w:ind w:firstLineChars="200" w:firstLine="420"/>
    </w:pPr>
  </w:style>
  <w:style w:type="character" w:customStyle="1" w:styleId="font01">
    <w:name w:val="font01"/>
    <w:basedOn w:val="a1"/>
    <w:qFormat/>
    <w:rsid w:val="00A04E4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A04E4A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行政审批中心办公室-董俭锋</dc:creator>
  <cp:lastModifiedBy>Administrator</cp:lastModifiedBy>
  <cp:revision>3</cp:revision>
  <cp:lastPrinted>2023-04-11T03:16:00Z</cp:lastPrinted>
  <dcterms:created xsi:type="dcterms:W3CDTF">2023-10-25T09:22:00Z</dcterms:created>
  <dcterms:modified xsi:type="dcterms:W3CDTF">2023-10-25T09:23:00Z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708B2B45A21242F4A807F3C065855523</vt:lpwstr>
  </property>
</Properties>
</file>