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440" w:lineRule="exact"/>
        <w:jc w:val="center"/>
        <w:rPr>
          <w:rFonts w:hint="eastAsia" w:ascii="宋体" w:hAnsi="宋体" w:eastAsia="宋体" w:cs="宋体"/>
          <w:b/>
          <w:bCs/>
          <w:color w:val="000000"/>
          <w:sz w:val="32"/>
          <w:szCs w:val="32"/>
        </w:rPr>
      </w:pPr>
      <w:bookmarkStart w:id="2" w:name="_GoBack"/>
      <w:r>
        <w:rPr>
          <w:rFonts w:hint="eastAsia" w:ascii="宋体" w:hAnsi="宋体" w:eastAsia="宋体" w:cs="宋体"/>
          <w:b/>
          <w:bCs/>
          <w:color w:val="000000"/>
          <w:sz w:val="32"/>
          <w:szCs w:val="32"/>
          <w:lang w:val="en-US" w:eastAsia="zh-CN"/>
        </w:rPr>
        <w:t>2023年</w:t>
      </w:r>
      <w:r>
        <w:rPr>
          <w:rFonts w:hint="eastAsia" w:ascii="宋体" w:hAnsi="宋体" w:cs="宋体"/>
          <w:b/>
          <w:bCs/>
          <w:color w:val="000000"/>
          <w:sz w:val="32"/>
          <w:szCs w:val="32"/>
          <w:lang w:val="en-US" w:eastAsia="zh-CN"/>
        </w:rPr>
        <w:t>南阳市卧龙分局塑胶玩具</w:t>
      </w:r>
      <w:r>
        <w:rPr>
          <w:rFonts w:hint="eastAsia" w:ascii="宋体" w:hAnsi="宋体" w:eastAsia="宋体" w:cs="宋体"/>
          <w:b/>
          <w:bCs/>
          <w:color w:val="000000"/>
          <w:sz w:val="32"/>
          <w:szCs w:val="32"/>
        </w:rPr>
        <w:t>产品质量监督抽查实施细则</w:t>
      </w:r>
    </w:p>
    <w:p>
      <w:pPr>
        <w:keepNext w:val="0"/>
        <w:keepLines w:val="0"/>
        <w:pageBreakBefore w:val="0"/>
        <w:kinsoku/>
        <w:wordWrap/>
        <w:overflowPunct/>
        <w:topLinePunct w:val="0"/>
        <w:autoSpaceDE/>
        <w:autoSpaceDN/>
        <w:bidi w:val="0"/>
        <w:adjustRightInd w:val="0"/>
        <w:snapToGrid w:val="0"/>
        <w:spacing w:line="440" w:lineRule="exact"/>
        <w:jc w:val="center"/>
        <w:rPr>
          <w:rFonts w:hint="eastAsia" w:ascii="宋体" w:hAnsi="宋体" w:eastAsia="宋体" w:cs="宋体"/>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440" w:lineRule="exact"/>
        <w:ind w:left="0"/>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left="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left="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left="0"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eastAsia="zh-CN"/>
        </w:rPr>
        <w:t>每批次产品抽样数量为</w:t>
      </w:r>
      <w:r>
        <w:rPr>
          <w:rFonts w:hint="eastAsia" w:ascii="宋体" w:hAnsi="宋体" w:eastAsia="宋体" w:cs="宋体"/>
          <w:color w:val="000000"/>
          <w:sz w:val="21"/>
          <w:szCs w:val="21"/>
          <w:lang w:val="en-US" w:eastAsia="zh-CN"/>
        </w:rPr>
        <w:t>3个,其中2个为检验样品，1个为备用样品。</w:t>
      </w:r>
    </w:p>
    <w:p>
      <w:pPr>
        <w:keepNext w:val="0"/>
        <w:keepLines w:val="0"/>
        <w:pageBreakBefore w:val="0"/>
        <w:widowControl w:val="0"/>
        <w:kinsoku/>
        <w:wordWrap/>
        <w:overflowPunct/>
        <w:topLinePunct w:val="0"/>
        <w:autoSpaceDE/>
        <w:autoSpaceDN/>
        <w:bidi w:val="0"/>
        <w:adjustRightInd/>
        <w:snapToGrid w:val="0"/>
        <w:spacing w:line="440" w:lineRule="exact"/>
        <w:ind w:left="0"/>
        <w:textAlignment w:val="auto"/>
        <w:rPr>
          <w:rFonts w:hint="eastAsia" w:ascii="宋体" w:hAnsi="宋体" w:eastAsia="宋体" w:cs="宋体"/>
          <w:b/>
          <w:bCs/>
          <w:color w:val="auto"/>
          <w:sz w:val="21"/>
          <w:szCs w:val="21"/>
        </w:rPr>
      </w:pPr>
      <w:r>
        <w:rPr>
          <w:rFonts w:hint="eastAsia" w:ascii="宋体" w:hAnsi="宋体" w:eastAsia="宋体" w:cs="宋体"/>
          <w:b/>
          <w:bCs/>
          <w:color w:val="000000"/>
          <w:sz w:val="21"/>
          <w:szCs w:val="21"/>
        </w:rPr>
        <w:t>2 检验依据</w:t>
      </w:r>
    </w:p>
    <w:p>
      <w:pPr>
        <w:keepNext w:val="0"/>
        <w:keepLines w:val="0"/>
        <w:pageBreakBefore w:val="0"/>
        <w:shd w:val="clear"/>
        <w:kinsoku/>
        <w:wordWrap/>
        <w:overflowPunct/>
        <w:topLinePunct w:val="0"/>
        <w:autoSpaceDE/>
        <w:autoSpaceDN/>
        <w:bidi w:val="0"/>
        <w:adjustRightInd w:val="0"/>
        <w:snapToGrid w:val="0"/>
        <w:spacing w:line="440" w:lineRule="exact"/>
        <w:ind w:left="0"/>
        <w:jc w:val="center"/>
        <w:textAlignment w:val="auto"/>
        <w:rPr>
          <w:rFonts w:hint="eastAsia" w:ascii="宋体" w:hAnsi="宋体" w:eastAsia="宋体" w:cs="宋体"/>
          <w:color w:val="auto"/>
          <w:sz w:val="21"/>
          <w:szCs w:val="21"/>
          <w:highlight w:val="none"/>
        </w:rPr>
      </w:pPr>
      <w:bookmarkStart w:id="0" w:name="_Hlk40347690"/>
      <w:r>
        <w:rPr>
          <w:rFonts w:hint="eastAsia" w:ascii="宋体" w:hAnsi="宋体" w:eastAsia="宋体" w:cs="宋体"/>
          <w:color w:val="auto"/>
          <w:sz w:val="21"/>
          <w:szCs w:val="21"/>
          <w:highlight w:val="none"/>
          <w:lang w:val="en-US" w:eastAsia="zh-CN"/>
        </w:rPr>
        <w:t>表1</w:t>
      </w:r>
      <w:r>
        <w:rPr>
          <w:rFonts w:hint="eastAsia" w:ascii="宋体" w:hAnsi="宋体" w:eastAsia="宋体" w:cs="宋体"/>
          <w:color w:val="auto"/>
          <w:sz w:val="21"/>
          <w:szCs w:val="21"/>
          <w:highlight w:val="none"/>
        </w:rPr>
        <w:t>玩具</w:t>
      </w:r>
      <w:r>
        <w:rPr>
          <w:rFonts w:hint="eastAsia" w:ascii="宋体" w:hAnsi="宋体" w:eastAsia="宋体" w:cs="宋体"/>
          <w:color w:val="auto"/>
          <w:sz w:val="21"/>
          <w:szCs w:val="21"/>
          <w:highlight w:val="none"/>
          <w:lang w:val="en-US" w:eastAsia="zh-CN"/>
        </w:rPr>
        <w:t>检验项目</w:t>
      </w:r>
    </w:p>
    <w:tbl>
      <w:tblPr>
        <w:tblStyle w:val="11"/>
        <w:tblW w:w="8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2"/>
        <w:gridCol w:w="4259"/>
        <w:gridCol w:w="3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052" w:type="dxa"/>
            <w:noWrap w:val="0"/>
            <w:vAlign w:val="center"/>
          </w:tcPr>
          <w:p>
            <w:pPr>
              <w:keepNext w:val="0"/>
              <w:keepLines w:val="0"/>
              <w:pageBreakBefore w:val="0"/>
              <w:shd w:val="clear"/>
              <w:kinsoku/>
              <w:wordWrap/>
              <w:overflowPunct/>
              <w:topLinePunct w:val="0"/>
              <w:autoSpaceDE/>
              <w:autoSpaceDN/>
              <w:bidi w:val="0"/>
              <w:snapToGrid w:val="0"/>
              <w:spacing w:line="440" w:lineRule="exact"/>
              <w:ind w:lef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4259" w:type="dxa"/>
            <w:noWrap w:val="0"/>
            <w:vAlign w:val="center"/>
          </w:tcPr>
          <w:p>
            <w:pPr>
              <w:keepNext w:val="0"/>
              <w:keepLines w:val="0"/>
              <w:pageBreakBefore w:val="0"/>
              <w:shd w:val="clear"/>
              <w:kinsoku/>
              <w:wordWrap/>
              <w:overflowPunct/>
              <w:topLinePunct w:val="0"/>
              <w:autoSpaceDE/>
              <w:autoSpaceDN/>
              <w:bidi w:val="0"/>
              <w:snapToGrid w:val="0"/>
              <w:spacing w:line="440" w:lineRule="exact"/>
              <w:ind w:left="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检验项目</w:t>
            </w:r>
          </w:p>
        </w:tc>
        <w:tc>
          <w:tcPr>
            <w:tcW w:w="3345" w:type="dxa"/>
            <w:noWrap w:val="0"/>
            <w:vAlign w:val="center"/>
          </w:tcPr>
          <w:p>
            <w:pPr>
              <w:keepNext w:val="0"/>
              <w:keepLines w:val="0"/>
              <w:pageBreakBefore w:val="0"/>
              <w:shd w:val="clear"/>
              <w:kinsoku/>
              <w:wordWrap/>
              <w:overflowPunct/>
              <w:topLinePunct w:val="0"/>
              <w:autoSpaceDE/>
              <w:autoSpaceDN/>
              <w:bidi w:val="0"/>
              <w:snapToGrid w:val="0"/>
              <w:spacing w:line="440" w:lineRule="exact"/>
              <w:ind w:lef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noWrap w:val="0"/>
            <w:vAlign w:val="center"/>
          </w:tcPr>
          <w:p>
            <w:pPr>
              <w:keepNext w:val="0"/>
              <w:keepLines w:val="0"/>
              <w:pageBreakBefore w:val="0"/>
              <w:widowControl/>
              <w:shd w:val="clear"/>
              <w:kinsoku/>
              <w:wordWrap/>
              <w:overflowPunct/>
              <w:topLinePunct w:val="0"/>
              <w:autoSpaceDE/>
              <w:autoSpaceDN/>
              <w:bidi w:val="0"/>
              <w:spacing w:line="440" w:lineRule="exact"/>
              <w:ind w:left="0"/>
              <w:jc w:val="center"/>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p>
        </w:tc>
        <w:tc>
          <w:tcPr>
            <w:tcW w:w="4259" w:type="dxa"/>
            <w:noWrap w:val="0"/>
            <w:vAlign w:val="center"/>
          </w:tcPr>
          <w:p>
            <w:pPr>
              <w:keepNext w:val="0"/>
              <w:keepLines w:val="0"/>
              <w:pageBreakBefore w:val="0"/>
              <w:kinsoku/>
              <w:wordWrap/>
              <w:overflowPunct/>
              <w:topLinePunct w:val="0"/>
              <w:autoSpaceDE/>
              <w:autoSpaceDN/>
              <w:bidi w:val="0"/>
              <w:spacing w:line="440" w:lineRule="exact"/>
              <w:ind w:left="0" w:leftChars="0"/>
              <w:jc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val="en-US" w:eastAsia="en-US"/>
              </w:rPr>
              <w:t>可预见的合理滥用</w:t>
            </w:r>
          </w:p>
        </w:tc>
        <w:tc>
          <w:tcPr>
            <w:tcW w:w="3345"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jc w:val="center"/>
              <w:textAlignment w:val="bottom"/>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noWrap w:val="0"/>
            <w:vAlign w:val="center"/>
          </w:tcPr>
          <w:p>
            <w:pPr>
              <w:keepNext w:val="0"/>
              <w:keepLines w:val="0"/>
              <w:pageBreakBefore w:val="0"/>
              <w:widowControl/>
              <w:shd w:val="clear"/>
              <w:kinsoku/>
              <w:wordWrap/>
              <w:overflowPunct/>
              <w:topLinePunct w:val="0"/>
              <w:autoSpaceDE/>
              <w:autoSpaceDN/>
              <w:bidi w:val="0"/>
              <w:spacing w:line="440" w:lineRule="exact"/>
              <w:ind w:left="0"/>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2</w:t>
            </w:r>
          </w:p>
        </w:tc>
        <w:tc>
          <w:tcPr>
            <w:tcW w:w="4259" w:type="dxa"/>
            <w:noWrap w:val="0"/>
            <w:vAlign w:val="center"/>
          </w:tcPr>
          <w:p>
            <w:pPr>
              <w:keepNext w:val="0"/>
              <w:keepLines w:val="0"/>
              <w:pageBreakBefore w:val="0"/>
              <w:kinsoku/>
              <w:wordWrap/>
              <w:overflowPunct/>
              <w:topLinePunct w:val="0"/>
              <w:autoSpaceDE/>
              <w:autoSpaceDN/>
              <w:bidi w:val="0"/>
              <w:spacing w:line="440" w:lineRule="exact"/>
              <w:ind w:left="0" w:leftChars="0"/>
              <w:jc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val="en-US" w:eastAsia="en-US"/>
              </w:rPr>
              <w:t>材料</w:t>
            </w:r>
          </w:p>
        </w:tc>
        <w:tc>
          <w:tcPr>
            <w:tcW w:w="3345"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jc w:val="center"/>
              <w:textAlignment w:val="bottom"/>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noWrap w:val="0"/>
            <w:vAlign w:val="center"/>
          </w:tcPr>
          <w:p>
            <w:pPr>
              <w:keepNext w:val="0"/>
              <w:keepLines w:val="0"/>
              <w:pageBreakBefore w:val="0"/>
              <w:widowControl/>
              <w:shd w:val="clear"/>
              <w:kinsoku/>
              <w:wordWrap/>
              <w:overflowPunct/>
              <w:topLinePunct w:val="0"/>
              <w:autoSpaceDE/>
              <w:autoSpaceDN/>
              <w:bidi w:val="0"/>
              <w:spacing w:line="440" w:lineRule="exact"/>
              <w:ind w:left="0"/>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3</w:t>
            </w:r>
          </w:p>
        </w:tc>
        <w:tc>
          <w:tcPr>
            <w:tcW w:w="4259" w:type="dxa"/>
            <w:noWrap w:val="0"/>
            <w:vAlign w:val="center"/>
          </w:tcPr>
          <w:p>
            <w:pPr>
              <w:keepNext w:val="0"/>
              <w:keepLines w:val="0"/>
              <w:pageBreakBefore w:val="0"/>
              <w:kinsoku/>
              <w:wordWrap/>
              <w:overflowPunct/>
              <w:topLinePunct w:val="0"/>
              <w:autoSpaceDE/>
              <w:autoSpaceDN/>
              <w:bidi w:val="0"/>
              <w:spacing w:line="440" w:lineRule="exact"/>
              <w:ind w:left="0" w:leftChars="0"/>
              <w:jc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val="en-US" w:eastAsia="en-US"/>
              </w:rPr>
              <w:t>小零件</w:t>
            </w:r>
          </w:p>
        </w:tc>
        <w:tc>
          <w:tcPr>
            <w:tcW w:w="3345"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jc w:val="center"/>
              <w:textAlignment w:val="bottom"/>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noWrap w:val="0"/>
            <w:vAlign w:val="center"/>
          </w:tcPr>
          <w:p>
            <w:pPr>
              <w:keepNext w:val="0"/>
              <w:keepLines w:val="0"/>
              <w:pageBreakBefore w:val="0"/>
              <w:widowControl/>
              <w:shd w:val="clear"/>
              <w:kinsoku/>
              <w:wordWrap/>
              <w:overflowPunct/>
              <w:topLinePunct w:val="0"/>
              <w:autoSpaceDE/>
              <w:autoSpaceDN/>
              <w:bidi w:val="0"/>
              <w:spacing w:line="440" w:lineRule="exact"/>
              <w:ind w:left="0"/>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4</w:t>
            </w:r>
          </w:p>
        </w:tc>
        <w:tc>
          <w:tcPr>
            <w:tcW w:w="4259" w:type="dxa"/>
            <w:noWrap w:val="0"/>
            <w:vAlign w:val="center"/>
          </w:tcPr>
          <w:p>
            <w:pPr>
              <w:keepNext w:val="0"/>
              <w:keepLines w:val="0"/>
              <w:pageBreakBefore w:val="0"/>
              <w:kinsoku/>
              <w:wordWrap/>
              <w:overflowPunct/>
              <w:topLinePunct w:val="0"/>
              <w:autoSpaceDE/>
              <w:autoSpaceDN/>
              <w:bidi w:val="0"/>
              <w:spacing w:line="440" w:lineRule="exact"/>
              <w:ind w:left="0" w:leftChars="0"/>
              <w:jc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val="en-US" w:eastAsia="en-US"/>
              </w:rPr>
              <w:t>边缘</w:t>
            </w:r>
          </w:p>
        </w:tc>
        <w:tc>
          <w:tcPr>
            <w:tcW w:w="3345"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52" w:type="dxa"/>
            <w:noWrap w:val="0"/>
            <w:vAlign w:val="center"/>
          </w:tcPr>
          <w:p>
            <w:pPr>
              <w:keepNext w:val="0"/>
              <w:keepLines w:val="0"/>
              <w:pageBreakBefore w:val="0"/>
              <w:widowControl/>
              <w:shd w:val="clear"/>
              <w:kinsoku/>
              <w:wordWrap/>
              <w:overflowPunct/>
              <w:topLinePunct w:val="0"/>
              <w:autoSpaceDE/>
              <w:autoSpaceDN/>
              <w:bidi w:val="0"/>
              <w:spacing w:line="440" w:lineRule="exact"/>
              <w:ind w:left="0"/>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5</w:t>
            </w:r>
          </w:p>
        </w:tc>
        <w:tc>
          <w:tcPr>
            <w:tcW w:w="4259" w:type="dxa"/>
            <w:noWrap w:val="0"/>
            <w:vAlign w:val="center"/>
          </w:tcPr>
          <w:p>
            <w:pPr>
              <w:keepNext w:val="0"/>
              <w:keepLines w:val="0"/>
              <w:pageBreakBefore w:val="0"/>
              <w:kinsoku/>
              <w:wordWrap/>
              <w:overflowPunct/>
              <w:topLinePunct w:val="0"/>
              <w:autoSpaceDE/>
              <w:autoSpaceDN/>
              <w:bidi w:val="0"/>
              <w:spacing w:line="440" w:lineRule="exact"/>
              <w:ind w:left="0" w:leftChars="0"/>
              <w:jc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val="en-US" w:eastAsia="en-US"/>
              </w:rPr>
              <w:t>尖端</w:t>
            </w:r>
          </w:p>
        </w:tc>
        <w:tc>
          <w:tcPr>
            <w:tcW w:w="3345"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noWrap w:val="0"/>
            <w:vAlign w:val="center"/>
          </w:tcPr>
          <w:p>
            <w:pPr>
              <w:keepNext w:val="0"/>
              <w:keepLines w:val="0"/>
              <w:pageBreakBefore w:val="0"/>
              <w:widowControl/>
              <w:shd w:val="clear"/>
              <w:kinsoku/>
              <w:wordWrap/>
              <w:overflowPunct/>
              <w:topLinePunct w:val="0"/>
              <w:autoSpaceDE/>
              <w:autoSpaceDN/>
              <w:bidi w:val="0"/>
              <w:spacing w:line="440" w:lineRule="exact"/>
              <w:ind w:left="0"/>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6</w:t>
            </w:r>
          </w:p>
        </w:tc>
        <w:tc>
          <w:tcPr>
            <w:tcW w:w="4259" w:type="dxa"/>
            <w:noWrap w:val="0"/>
            <w:vAlign w:val="center"/>
          </w:tcPr>
          <w:p>
            <w:pPr>
              <w:keepNext w:val="0"/>
              <w:keepLines w:val="0"/>
              <w:pageBreakBefore w:val="0"/>
              <w:kinsoku/>
              <w:wordWrap/>
              <w:overflowPunct/>
              <w:topLinePunct w:val="0"/>
              <w:autoSpaceDE/>
              <w:autoSpaceDN/>
              <w:bidi w:val="0"/>
              <w:spacing w:line="440" w:lineRule="exact"/>
              <w:ind w:left="0" w:leftChars="0"/>
              <w:jc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val="en-US" w:eastAsia="en-US"/>
              </w:rPr>
              <w:t>突出部件</w:t>
            </w:r>
          </w:p>
        </w:tc>
        <w:tc>
          <w:tcPr>
            <w:tcW w:w="3345"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2" w:type="dxa"/>
            <w:noWrap w:val="0"/>
            <w:vAlign w:val="center"/>
          </w:tcPr>
          <w:p>
            <w:pPr>
              <w:keepNext w:val="0"/>
              <w:keepLines w:val="0"/>
              <w:pageBreakBefore w:val="0"/>
              <w:widowControl/>
              <w:shd w:val="clear"/>
              <w:kinsoku/>
              <w:wordWrap/>
              <w:overflowPunct/>
              <w:topLinePunct w:val="0"/>
              <w:autoSpaceDE/>
              <w:autoSpaceDN/>
              <w:bidi w:val="0"/>
              <w:spacing w:line="440" w:lineRule="exact"/>
              <w:ind w:left="0"/>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7</w:t>
            </w:r>
          </w:p>
        </w:tc>
        <w:tc>
          <w:tcPr>
            <w:tcW w:w="4259" w:type="dxa"/>
            <w:noWrap w:val="0"/>
            <w:vAlign w:val="center"/>
          </w:tcPr>
          <w:p>
            <w:pPr>
              <w:keepNext w:val="0"/>
              <w:keepLines w:val="0"/>
              <w:pageBreakBefore w:val="0"/>
              <w:kinsoku/>
              <w:wordWrap/>
              <w:overflowPunct/>
              <w:topLinePunct w:val="0"/>
              <w:autoSpaceDE/>
              <w:autoSpaceDN/>
              <w:bidi w:val="0"/>
              <w:spacing w:line="440" w:lineRule="exact"/>
              <w:ind w:left="0" w:leftChars="0"/>
              <w:jc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val="en-US" w:eastAsia="en-US"/>
              </w:rPr>
              <w:t>用于包装或玩具中的塑料袋或塑料薄膜</w:t>
            </w:r>
          </w:p>
        </w:tc>
        <w:tc>
          <w:tcPr>
            <w:tcW w:w="3345"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jc w:val="center"/>
              <w:textAlignment w:val="bottom"/>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052" w:type="dxa"/>
            <w:noWrap w:val="0"/>
            <w:vAlign w:val="center"/>
          </w:tcPr>
          <w:p>
            <w:pPr>
              <w:keepNext w:val="0"/>
              <w:keepLines w:val="0"/>
              <w:pageBreakBefore w:val="0"/>
              <w:widowControl/>
              <w:shd w:val="clear"/>
              <w:kinsoku/>
              <w:wordWrap/>
              <w:overflowPunct/>
              <w:topLinePunct w:val="0"/>
              <w:autoSpaceDE/>
              <w:autoSpaceDN/>
              <w:bidi w:val="0"/>
              <w:spacing w:line="440" w:lineRule="exact"/>
              <w:ind w:left="0"/>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rPr>
              <w:t>8</w:t>
            </w:r>
          </w:p>
        </w:tc>
        <w:tc>
          <w:tcPr>
            <w:tcW w:w="4259" w:type="dxa"/>
            <w:noWrap w:val="0"/>
            <w:vAlign w:val="center"/>
          </w:tcPr>
          <w:p>
            <w:pPr>
              <w:keepNext w:val="0"/>
              <w:keepLines w:val="0"/>
              <w:pageBreakBefore w:val="0"/>
              <w:kinsoku/>
              <w:wordWrap/>
              <w:overflowPunct/>
              <w:topLinePunct w:val="0"/>
              <w:autoSpaceDE/>
              <w:autoSpaceDN/>
              <w:bidi w:val="0"/>
              <w:spacing w:line="440" w:lineRule="exact"/>
              <w:ind w:left="0" w:leftChars="0"/>
              <w:jc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val="en-US" w:eastAsia="en-US"/>
              </w:rPr>
              <w:t>孔、间隙、机械装置的可触及性</w:t>
            </w:r>
          </w:p>
        </w:tc>
        <w:tc>
          <w:tcPr>
            <w:tcW w:w="3345" w:type="dxa"/>
            <w:noWrap w:val="0"/>
            <w:vAlign w:val="center"/>
          </w:tcPr>
          <w:p>
            <w:pPr>
              <w:keepNext w:val="0"/>
              <w:keepLines w:val="0"/>
              <w:pageBreakBefore w:val="0"/>
              <w:widowControl/>
              <w:suppressLineNumbers w:val="0"/>
              <w:kinsoku/>
              <w:wordWrap/>
              <w:overflowPunct/>
              <w:topLinePunct w:val="0"/>
              <w:autoSpaceDE/>
              <w:autoSpaceDN/>
              <w:bidi w:val="0"/>
              <w:spacing w:line="440" w:lineRule="exact"/>
              <w:ind w:left="0"/>
              <w:jc w:val="center"/>
              <w:textAlignment w:val="bottom"/>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GB 6675.2-2014</w:t>
            </w:r>
          </w:p>
        </w:tc>
      </w:tr>
    </w:tbl>
    <w:p>
      <w:pPr>
        <w:keepNext w:val="0"/>
        <w:keepLines w:val="0"/>
        <w:pageBreakBefore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auto"/>
          <w:sz w:val="21"/>
          <w:szCs w:val="21"/>
        </w:rPr>
      </w:pP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bookmarkEnd w:id="0"/>
    </w:p>
    <w:p>
      <w:pPr>
        <w:keepNext w:val="0"/>
        <w:keepLines w:val="0"/>
        <w:pageBreakBefore w:val="0"/>
        <w:widowControl w:val="0"/>
        <w:kinsoku/>
        <w:wordWrap/>
        <w:overflowPunct/>
        <w:topLinePunct w:val="0"/>
        <w:autoSpaceDE/>
        <w:autoSpaceDN/>
        <w:bidi w:val="0"/>
        <w:snapToGrid w:val="0"/>
        <w:spacing w:line="440" w:lineRule="exact"/>
        <w:ind w:left="0" w:firstLine="359" w:firstLineChars="171"/>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3 判定规则</w:t>
      </w:r>
    </w:p>
    <w:p>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3.1依据标准</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GB 6675.1-2014玩具安全 第1部分：基本规范</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GB 6675.2-2014玩具安全 第2部分：机械与物理性能</w:t>
      </w:r>
    </w:p>
    <w:p>
      <w:pPr>
        <w:keepNext w:val="0"/>
        <w:keepLines w:val="0"/>
        <w:pageBreakBefore w:val="0"/>
        <w:widowControl w:val="0"/>
        <w:kinsoku/>
        <w:wordWrap/>
        <w:overflowPunct/>
        <w:topLinePunct w:val="0"/>
        <w:autoSpaceDE/>
        <w:autoSpaceDN/>
        <w:bidi w:val="0"/>
        <w:adjustRightInd w:val="0"/>
        <w:snapToGrid w:val="0"/>
        <w:spacing w:line="440" w:lineRule="exact"/>
        <w:ind w:left="0"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auto"/>
          <w:sz w:val="21"/>
          <w:szCs w:val="21"/>
          <w:lang w:eastAsia="zh-CN"/>
        </w:rPr>
        <w:t>现行有效的企业标准、团体标准、地方标准及产品明示质量</w:t>
      </w:r>
      <w:r>
        <w:rPr>
          <w:rFonts w:hint="eastAsia" w:ascii="宋体" w:hAnsi="宋体" w:eastAsia="宋体" w:cs="宋体"/>
          <w:color w:val="000000"/>
          <w:sz w:val="21"/>
          <w:szCs w:val="21"/>
          <w:lang w:eastAsia="zh-CN"/>
        </w:rPr>
        <w:t>要求</w:t>
      </w:r>
    </w:p>
    <w:p>
      <w:pPr>
        <w:keepNext w:val="0"/>
        <w:keepLines w:val="0"/>
        <w:pageBreakBefore w:val="0"/>
        <w:widowControl w:val="0"/>
        <w:kinsoku/>
        <w:wordWrap/>
        <w:overflowPunct/>
        <w:topLinePunct w:val="0"/>
        <w:autoSpaceDE/>
        <w:autoSpaceDN/>
        <w:bidi w:val="0"/>
        <w:snapToGrid w:val="0"/>
        <w:spacing w:line="440" w:lineRule="exact"/>
        <w:ind w:left="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3.2判定原则</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bookmarkStart w:id="1" w:name="_Hlk33514746"/>
      <w:r>
        <w:rPr>
          <w:rFonts w:hint="eastAsia" w:ascii="宋体" w:hAnsi="宋体" w:eastAsia="宋体" w:cs="宋体"/>
          <w:color w:val="auto"/>
          <w:kern w:val="2"/>
          <w:sz w:val="21"/>
          <w:szCs w:val="21"/>
          <w:highlight w:val="none"/>
          <w:lang w:val="en-US" w:eastAsia="zh-CN" w:bidi="ar-SA"/>
        </w:rPr>
        <w:t>经检验，检验项目全部合格，判定为被抽查产品所检项目未发现不合格；检验项目中任一项或一项以上不合格，判定为被抽查产品不合格。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left="0" w:leftChars="0" w:firstLine="417" w:firstLineChars="199"/>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若被检产品明示的质量要求缺少本细则中检验项目依据的推荐性标准要求时，该项目不参与判定。</w:t>
      </w:r>
      <w:bookmarkEnd w:id="1"/>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rPr>
      </w:pP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rPr>
      </w:pP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rPr>
      </w:pP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rPr>
      </w:pPr>
    </w:p>
    <w:bookmarkEnd w:id="2"/>
    <w:sectPr>
      <w:headerReference r:id="rId3" w:type="default"/>
      <w:footerReference r:id="rId4" w:type="default"/>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宋体" w:cs="宋体"/>
        <w:sz w:val="21"/>
        <w:szCs w:val="21"/>
      </w:rPr>
    </w:pPr>
    <w:r>
      <w:rPr>
        <w:rFonts w:ascii="宋体" w:hAnsi="宋体" w:cs="宋体"/>
        <w:sz w:val="21"/>
        <w:szCs w:val="21"/>
        <w:lang w:val="zh-CN"/>
      </w:rPr>
      <w:fldChar w:fldCharType="begin"/>
    </w:r>
    <w:r>
      <w:rPr>
        <w:rFonts w:ascii="宋体" w:hAnsi="宋体" w:cs="宋体"/>
        <w:sz w:val="21"/>
        <w:szCs w:val="21"/>
        <w:lang w:val="zh-CN"/>
      </w:rPr>
      <w:instrText xml:space="preserve"> PAGE   \* MERGEFORMAT </w:instrText>
    </w:r>
    <w:r>
      <w:rPr>
        <w:rFonts w:ascii="宋体" w:hAnsi="宋体" w:cs="宋体"/>
        <w:sz w:val="21"/>
        <w:szCs w:val="21"/>
        <w:lang w:val="zh-CN"/>
      </w:rPr>
      <w:fldChar w:fldCharType="separate"/>
    </w:r>
    <w:r>
      <w:rPr>
        <w:rFonts w:ascii="宋体" w:hAnsi="宋体" w:cs="宋体"/>
        <w:sz w:val="21"/>
        <w:szCs w:val="21"/>
        <w:lang w:val="en-US"/>
      </w:rPr>
      <w:t>1</w:t>
    </w:r>
    <w:r>
      <w:rPr>
        <w:rFonts w:ascii="宋体" w:hAnsi="宋体" w:cs="宋体"/>
        <w:sz w:val="21"/>
        <w:szCs w:val="21"/>
        <w:lang w:val="zh-CN"/>
      </w:rPr>
      <w:fldChar w:fldCharType="end"/>
    </w:r>
  </w:p>
  <w:p>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OWVkYmUxNzIxNjA1NDFiYzg1MTM4MjRiZDYyMTcifQ=="/>
  </w:docVars>
  <w:rsids>
    <w:rsidRoot w:val="00172A27"/>
    <w:rsid w:val="00042073"/>
    <w:rsid w:val="00044395"/>
    <w:rsid w:val="00051A44"/>
    <w:rsid w:val="00067341"/>
    <w:rsid w:val="00075F11"/>
    <w:rsid w:val="00081CBD"/>
    <w:rsid w:val="00094077"/>
    <w:rsid w:val="000976DE"/>
    <w:rsid w:val="000B4710"/>
    <w:rsid w:val="000D3400"/>
    <w:rsid w:val="000D5D4E"/>
    <w:rsid w:val="000E6F29"/>
    <w:rsid w:val="000F03DF"/>
    <w:rsid w:val="000F3729"/>
    <w:rsid w:val="00145507"/>
    <w:rsid w:val="0015727A"/>
    <w:rsid w:val="00164FF8"/>
    <w:rsid w:val="001710C3"/>
    <w:rsid w:val="00172A27"/>
    <w:rsid w:val="001809DD"/>
    <w:rsid w:val="00194335"/>
    <w:rsid w:val="001B6212"/>
    <w:rsid w:val="001C1BB2"/>
    <w:rsid w:val="001E2620"/>
    <w:rsid w:val="001E5FEE"/>
    <w:rsid w:val="002209DD"/>
    <w:rsid w:val="002301B8"/>
    <w:rsid w:val="00235A62"/>
    <w:rsid w:val="0025350A"/>
    <w:rsid w:val="00253624"/>
    <w:rsid w:val="002619B0"/>
    <w:rsid w:val="002623DD"/>
    <w:rsid w:val="0027151F"/>
    <w:rsid w:val="002A5458"/>
    <w:rsid w:val="002B5408"/>
    <w:rsid w:val="002D3385"/>
    <w:rsid w:val="002D4076"/>
    <w:rsid w:val="002D7F8A"/>
    <w:rsid w:val="002E0D1D"/>
    <w:rsid w:val="002E792F"/>
    <w:rsid w:val="003203A3"/>
    <w:rsid w:val="0034769B"/>
    <w:rsid w:val="00357AC7"/>
    <w:rsid w:val="003640ED"/>
    <w:rsid w:val="003C388C"/>
    <w:rsid w:val="003E61BF"/>
    <w:rsid w:val="003F553F"/>
    <w:rsid w:val="004206DA"/>
    <w:rsid w:val="004437D9"/>
    <w:rsid w:val="00445E86"/>
    <w:rsid w:val="0046458B"/>
    <w:rsid w:val="00474E04"/>
    <w:rsid w:val="004A64B5"/>
    <w:rsid w:val="004C761F"/>
    <w:rsid w:val="004D0C5A"/>
    <w:rsid w:val="004E1396"/>
    <w:rsid w:val="004F555A"/>
    <w:rsid w:val="0051162F"/>
    <w:rsid w:val="00541BF7"/>
    <w:rsid w:val="00563EBC"/>
    <w:rsid w:val="00597FA2"/>
    <w:rsid w:val="005B0B4F"/>
    <w:rsid w:val="005F353F"/>
    <w:rsid w:val="006056EB"/>
    <w:rsid w:val="0061086F"/>
    <w:rsid w:val="00662229"/>
    <w:rsid w:val="006713D6"/>
    <w:rsid w:val="00692B5B"/>
    <w:rsid w:val="00693B8F"/>
    <w:rsid w:val="006971BF"/>
    <w:rsid w:val="006A4B8F"/>
    <w:rsid w:val="006F0971"/>
    <w:rsid w:val="00715923"/>
    <w:rsid w:val="0072334C"/>
    <w:rsid w:val="007235B4"/>
    <w:rsid w:val="007408F6"/>
    <w:rsid w:val="007652A4"/>
    <w:rsid w:val="007A39F0"/>
    <w:rsid w:val="007B5BD5"/>
    <w:rsid w:val="007C60F1"/>
    <w:rsid w:val="007E1E99"/>
    <w:rsid w:val="007E6900"/>
    <w:rsid w:val="007F047E"/>
    <w:rsid w:val="00822D40"/>
    <w:rsid w:val="008839CD"/>
    <w:rsid w:val="00895BEA"/>
    <w:rsid w:val="008A3497"/>
    <w:rsid w:val="008B2694"/>
    <w:rsid w:val="00902779"/>
    <w:rsid w:val="009100B4"/>
    <w:rsid w:val="00917A54"/>
    <w:rsid w:val="00990873"/>
    <w:rsid w:val="009A6948"/>
    <w:rsid w:val="00A43553"/>
    <w:rsid w:val="00A52698"/>
    <w:rsid w:val="00A66378"/>
    <w:rsid w:val="00A714C4"/>
    <w:rsid w:val="00A81A11"/>
    <w:rsid w:val="00AB406F"/>
    <w:rsid w:val="00AB5364"/>
    <w:rsid w:val="00AD1F0D"/>
    <w:rsid w:val="00B00A02"/>
    <w:rsid w:val="00B11BDC"/>
    <w:rsid w:val="00B21814"/>
    <w:rsid w:val="00B501D0"/>
    <w:rsid w:val="00B71C88"/>
    <w:rsid w:val="00B80796"/>
    <w:rsid w:val="00B90291"/>
    <w:rsid w:val="00BA3F4E"/>
    <w:rsid w:val="00BA571D"/>
    <w:rsid w:val="00BA612B"/>
    <w:rsid w:val="00BB6A5D"/>
    <w:rsid w:val="00BD1FD8"/>
    <w:rsid w:val="00C116DD"/>
    <w:rsid w:val="00C26074"/>
    <w:rsid w:val="00C61942"/>
    <w:rsid w:val="00C83B0A"/>
    <w:rsid w:val="00C94B32"/>
    <w:rsid w:val="00CA078C"/>
    <w:rsid w:val="00CE1E0C"/>
    <w:rsid w:val="00CE277E"/>
    <w:rsid w:val="00D02FE3"/>
    <w:rsid w:val="00D1749D"/>
    <w:rsid w:val="00D56867"/>
    <w:rsid w:val="00D800C3"/>
    <w:rsid w:val="00D822C3"/>
    <w:rsid w:val="00DE52A3"/>
    <w:rsid w:val="00DE59CE"/>
    <w:rsid w:val="00E02A7F"/>
    <w:rsid w:val="00E07880"/>
    <w:rsid w:val="00E207FA"/>
    <w:rsid w:val="00E60E75"/>
    <w:rsid w:val="00E72135"/>
    <w:rsid w:val="00E722A0"/>
    <w:rsid w:val="00E75D62"/>
    <w:rsid w:val="00E76709"/>
    <w:rsid w:val="00E76F36"/>
    <w:rsid w:val="00E82621"/>
    <w:rsid w:val="00ED4B24"/>
    <w:rsid w:val="00ED50EE"/>
    <w:rsid w:val="00F110BB"/>
    <w:rsid w:val="00F17854"/>
    <w:rsid w:val="00F36E11"/>
    <w:rsid w:val="00F61C45"/>
    <w:rsid w:val="00F77C9A"/>
    <w:rsid w:val="00F824D9"/>
    <w:rsid w:val="00F954E2"/>
    <w:rsid w:val="00FA2CA5"/>
    <w:rsid w:val="00FB576C"/>
    <w:rsid w:val="00FD2AA6"/>
    <w:rsid w:val="00FD6AFF"/>
    <w:rsid w:val="00FE7E8A"/>
    <w:rsid w:val="01004ACB"/>
    <w:rsid w:val="022655F4"/>
    <w:rsid w:val="04394E89"/>
    <w:rsid w:val="051E6A56"/>
    <w:rsid w:val="07455335"/>
    <w:rsid w:val="085E792F"/>
    <w:rsid w:val="09A6261B"/>
    <w:rsid w:val="09FC4E8C"/>
    <w:rsid w:val="0A061B9A"/>
    <w:rsid w:val="0A157CFC"/>
    <w:rsid w:val="0A5C6552"/>
    <w:rsid w:val="0C924F32"/>
    <w:rsid w:val="0CCD48BE"/>
    <w:rsid w:val="0E6D7CC2"/>
    <w:rsid w:val="0E9D3866"/>
    <w:rsid w:val="0EB600C0"/>
    <w:rsid w:val="0EE859DF"/>
    <w:rsid w:val="0F4C135D"/>
    <w:rsid w:val="1060257A"/>
    <w:rsid w:val="121E77F5"/>
    <w:rsid w:val="12AD17A2"/>
    <w:rsid w:val="135C6AE0"/>
    <w:rsid w:val="14403F37"/>
    <w:rsid w:val="14661880"/>
    <w:rsid w:val="15712886"/>
    <w:rsid w:val="15977161"/>
    <w:rsid w:val="15F1357D"/>
    <w:rsid w:val="160618C5"/>
    <w:rsid w:val="16757CB6"/>
    <w:rsid w:val="16F008C2"/>
    <w:rsid w:val="172376ED"/>
    <w:rsid w:val="174851B8"/>
    <w:rsid w:val="17C957B1"/>
    <w:rsid w:val="18F360E2"/>
    <w:rsid w:val="19CE37E7"/>
    <w:rsid w:val="1A4B03FB"/>
    <w:rsid w:val="1A951C05"/>
    <w:rsid w:val="1CA64FD4"/>
    <w:rsid w:val="1D6E57D3"/>
    <w:rsid w:val="1DC626DE"/>
    <w:rsid w:val="1F353E4A"/>
    <w:rsid w:val="1F6C40FF"/>
    <w:rsid w:val="20801925"/>
    <w:rsid w:val="210C148C"/>
    <w:rsid w:val="213F6706"/>
    <w:rsid w:val="21BE04B9"/>
    <w:rsid w:val="220F3EEC"/>
    <w:rsid w:val="22206785"/>
    <w:rsid w:val="233B037C"/>
    <w:rsid w:val="235B16F9"/>
    <w:rsid w:val="23CA70BF"/>
    <w:rsid w:val="25651A24"/>
    <w:rsid w:val="25753316"/>
    <w:rsid w:val="25B87416"/>
    <w:rsid w:val="26212DDE"/>
    <w:rsid w:val="26497204"/>
    <w:rsid w:val="268D7140"/>
    <w:rsid w:val="27FB6E16"/>
    <w:rsid w:val="28194FE3"/>
    <w:rsid w:val="2A9443BD"/>
    <w:rsid w:val="2AEF6C27"/>
    <w:rsid w:val="2B35258B"/>
    <w:rsid w:val="2B5F5484"/>
    <w:rsid w:val="2CD05FD9"/>
    <w:rsid w:val="2D7B3776"/>
    <w:rsid w:val="2D8D6C1D"/>
    <w:rsid w:val="2E5D389C"/>
    <w:rsid w:val="2F045AE0"/>
    <w:rsid w:val="2F663451"/>
    <w:rsid w:val="311C17EC"/>
    <w:rsid w:val="32C74F2A"/>
    <w:rsid w:val="337C47C4"/>
    <w:rsid w:val="34522BF0"/>
    <w:rsid w:val="34825E0A"/>
    <w:rsid w:val="34897229"/>
    <w:rsid w:val="353B5493"/>
    <w:rsid w:val="375515B4"/>
    <w:rsid w:val="37E40AE9"/>
    <w:rsid w:val="3852702E"/>
    <w:rsid w:val="397D7B2F"/>
    <w:rsid w:val="3C8E106E"/>
    <w:rsid w:val="3D364816"/>
    <w:rsid w:val="3DA44330"/>
    <w:rsid w:val="3E111FAD"/>
    <w:rsid w:val="3E4915E0"/>
    <w:rsid w:val="3F0415FA"/>
    <w:rsid w:val="3F986345"/>
    <w:rsid w:val="409E3FCC"/>
    <w:rsid w:val="41932B9C"/>
    <w:rsid w:val="443B7E1A"/>
    <w:rsid w:val="44657D89"/>
    <w:rsid w:val="44F97927"/>
    <w:rsid w:val="45BE672D"/>
    <w:rsid w:val="45F75F2C"/>
    <w:rsid w:val="46097F2C"/>
    <w:rsid w:val="46B8256F"/>
    <w:rsid w:val="47CB736B"/>
    <w:rsid w:val="47E42D3C"/>
    <w:rsid w:val="48926E4B"/>
    <w:rsid w:val="489B1C01"/>
    <w:rsid w:val="49697220"/>
    <w:rsid w:val="49E02B07"/>
    <w:rsid w:val="4AC22FAD"/>
    <w:rsid w:val="4BEF5B96"/>
    <w:rsid w:val="4D3E0715"/>
    <w:rsid w:val="509458C1"/>
    <w:rsid w:val="518E5997"/>
    <w:rsid w:val="522E622F"/>
    <w:rsid w:val="524152A4"/>
    <w:rsid w:val="526145C3"/>
    <w:rsid w:val="533A400F"/>
    <w:rsid w:val="53C66440"/>
    <w:rsid w:val="53DB13D1"/>
    <w:rsid w:val="54CF67CC"/>
    <w:rsid w:val="550B30CE"/>
    <w:rsid w:val="550E5435"/>
    <w:rsid w:val="5513308D"/>
    <w:rsid w:val="55296CA0"/>
    <w:rsid w:val="55752566"/>
    <w:rsid w:val="558B7413"/>
    <w:rsid w:val="56717635"/>
    <w:rsid w:val="57B32CB8"/>
    <w:rsid w:val="58727DC0"/>
    <w:rsid w:val="58FE78A6"/>
    <w:rsid w:val="59485891"/>
    <w:rsid w:val="59635BFA"/>
    <w:rsid w:val="5A8262B5"/>
    <w:rsid w:val="5A846EBF"/>
    <w:rsid w:val="5ABD01F2"/>
    <w:rsid w:val="5AFC7317"/>
    <w:rsid w:val="5CBB6483"/>
    <w:rsid w:val="5E0B2391"/>
    <w:rsid w:val="5E167440"/>
    <w:rsid w:val="5E543AC4"/>
    <w:rsid w:val="5E9521B4"/>
    <w:rsid w:val="5F742670"/>
    <w:rsid w:val="5FE77CE8"/>
    <w:rsid w:val="60463280"/>
    <w:rsid w:val="60B74CE9"/>
    <w:rsid w:val="61135EB8"/>
    <w:rsid w:val="621974FF"/>
    <w:rsid w:val="62A11406"/>
    <w:rsid w:val="63C81B21"/>
    <w:rsid w:val="64C37830"/>
    <w:rsid w:val="64FE29DC"/>
    <w:rsid w:val="65633D8D"/>
    <w:rsid w:val="67F929C5"/>
    <w:rsid w:val="68612EB3"/>
    <w:rsid w:val="695011AA"/>
    <w:rsid w:val="6ADF5614"/>
    <w:rsid w:val="6AFF3C8B"/>
    <w:rsid w:val="6B791C38"/>
    <w:rsid w:val="6BBF2EC5"/>
    <w:rsid w:val="6DD72BB3"/>
    <w:rsid w:val="6E0C6169"/>
    <w:rsid w:val="6E480D56"/>
    <w:rsid w:val="6F0F4163"/>
    <w:rsid w:val="6F2347E1"/>
    <w:rsid w:val="700115ED"/>
    <w:rsid w:val="70114AD2"/>
    <w:rsid w:val="71254F3C"/>
    <w:rsid w:val="714B0D57"/>
    <w:rsid w:val="71E748F5"/>
    <w:rsid w:val="721E646B"/>
    <w:rsid w:val="733962DF"/>
    <w:rsid w:val="73AA445A"/>
    <w:rsid w:val="743A1F10"/>
    <w:rsid w:val="747A0265"/>
    <w:rsid w:val="74CE7542"/>
    <w:rsid w:val="757271D1"/>
    <w:rsid w:val="75B861D3"/>
    <w:rsid w:val="75BB472E"/>
    <w:rsid w:val="774848A6"/>
    <w:rsid w:val="778145FD"/>
    <w:rsid w:val="77901972"/>
    <w:rsid w:val="78C849A6"/>
    <w:rsid w:val="79A65F77"/>
    <w:rsid w:val="7A9A25A5"/>
    <w:rsid w:val="7AEC7106"/>
    <w:rsid w:val="7B456D91"/>
    <w:rsid w:val="7BAE0860"/>
    <w:rsid w:val="7BDB07C8"/>
    <w:rsid w:val="7D684B3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Body Text"/>
    <w:basedOn w:val="1"/>
    <w:next w:val="1"/>
    <w:qFormat/>
    <w:uiPriority w:val="0"/>
    <w:pPr>
      <w:adjustRightInd w:val="0"/>
      <w:spacing w:after="120" w:line="312" w:lineRule="atLeast"/>
      <w:textAlignment w:val="baseline"/>
    </w:pPr>
    <w:rPr>
      <w:kern w:val="0"/>
    </w:rPr>
  </w:style>
  <w:style w:type="paragraph" w:styleId="4">
    <w:name w:val="Body Text Indent"/>
    <w:basedOn w:val="1"/>
    <w:link w:val="22"/>
    <w:qFormat/>
    <w:uiPriority w:val="99"/>
    <w:pPr>
      <w:ind w:firstLine="600" w:firstLineChars="200"/>
    </w:pPr>
    <w:rPr>
      <w:rFonts w:eastAsia="仿宋_GB2312"/>
      <w:sz w:val="24"/>
      <w:szCs w:val="24"/>
    </w:rPr>
  </w:style>
  <w:style w:type="paragraph" w:styleId="5">
    <w:name w:val="Plain Text"/>
    <w:basedOn w:val="1"/>
    <w:qFormat/>
    <w:uiPriority w:val="99"/>
    <w:rPr>
      <w:rFonts w:ascii="宋体" w:hAnsi="Courier New"/>
      <w:kern w:val="0"/>
      <w:sz w:val="20"/>
      <w:szCs w:val="20"/>
    </w:rPr>
  </w:style>
  <w:style w:type="paragraph" w:styleId="6">
    <w:name w:val="Balloon Text"/>
    <w:basedOn w:val="1"/>
    <w:link w:val="25"/>
    <w:semiHidden/>
    <w:qFormat/>
    <w:uiPriority w:val="99"/>
    <w:rPr>
      <w:sz w:val="18"/>
      <w:szCs w:val="18"/>
    </w:rPr>
  </w:style>
  <w:style w:type="paragraph" w:styleId="7">
    <w:name w:val="footer"/>
    <w:basedOn w:val="1"/>
    <w:link w:val="17"/>
    <w:qFormat/>
    <w:uiPriority w:val="99"/>
    <w:pPr>
      <w:tabs>
        <w:tab w:val="center" w:pos="4153"/>
        <w:tab w:val="right" w:pos="8306"/>
      </w:tabs>
      <w:snapToGrid w:val="0"/>
      <w:jc w:val="left"/>
    </w:pPr>
    <w:rPr>
      <w:sz w:val="18"/>
      <w:szCs w:val="18"/>
    </w:rPr>
  </w:style>
  <w:style w:type="paragraph" w:styleId="8">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First Indent"/>
    <w:basedOn w:val="3"/>
    <w:next w:val="10"/>
    <w:qFormat/>
    <w:uiPriority w:val="0"/>
    <w:pPr>
      <w:spacing w:line="240" w:lineRule="auto"/>
      <w:ind w:firstLine="420" w:firstLineChars="100"/>
      <w:jc w:val="both"/>
    </w:pPr>
    <w:rPr>
      <w:rFonts w:ascii="Calibri" w:hAnsi="Calibri" w:cs="Times New Roman"/>
      <w:sz w:val="21"/>
      <w:szCs w:val="24"/>
    </w:rPr>
  </w:style>
  <w:style w:type="paragraph" w:styleId="10">
    <w:name w:val="Body Text First Indent 2"/>
    <w:qFormat/>
    <w:uiPriority w:val="0"/>
    <w:pPr>
      <w:widowControl w:val="0"/>
      <w:adjustRightInd w:val="0"/>
      <w:snapToGrid w:val="0"/>
      <w:spacing w:line="360" w:lineRule="auto"/>
      <w:ind w:left="0" w:leftChars="0" w:firstLine="420" w:firstLineChars="200"/>
      <w:jc w:val="both"/>
    </w:pPr>
    <w:rPr>
      <w:rFonts w:ascii="等线" w:hAnsi="等线" w:eastAsia="宋体" w:cs="Times New Roman"/>
      <w:kern w:val="2"/>
      <w:sz w:val="24"/>
      <w:szCs w:val="24"/>
      <w:lang w:val="en-US" w:eastAsia="zh-CN" w:bidi="ar-SA"/>
    </w:rPr>
  </w:style>
  <w:style w:type="table" w:styleId="12">
    <w:name w:val="Table Grid"/>
    <w:basedOn w:val="11"/>
    <w:semiHidden/>
    <w:unhideWhenUsed/>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99"/>
  </w:style>
  <w:style w:type="paragraph" w:customStyle="1" w:styleId="15">
    <w:name w:val="列出段落1"/>
    <w:basedOn w:val="1"/>
    <w:qFormat/>
    <w:uiPriority w:val="99"/>
    <w:pPr>
      <w:ind w:firstLine="420" w:firstLineChars="200"/>
    </w:pPr>
    <w:rPr>
      <w:rFonts w:ascii="Calibri" w:hAnsi="Calibri" w:cs="Calibri"/>
    </w:rPr>
  </w:style>
  <w:style w:type="paragraph" w:customStyle="1" w:styleId="1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character" w:customStyle="1" w:styleId="17">
    <w:name w:val="页脚 Char"/>
    <w:link w:val="7"/>
    <w:qFormat/>
    <w:locked/>
    <w:uiPriority w:val="99"/>
    <w:rPr>
      <w:kern w:val="2"/>
      <w:sz w:val="18"/>
      <w:szCs w:val="18"/>
    </w:rPr>
  </w:style>
  <w:style w:type="character" w:customStyle="1" w:styleId="18">
    <w:name w:val="页眉 Char"/>
    <w:link w:val="8"/>
    <w:semiHidden/>
    <w:qFormat/>
    <w:locked/>
    <w:uiPriority w:val="99"/>
    <w:rPr>
      <w:kern w:val="2"/>
      <w:sz w:val="18"/>
      <w:szCs w:val="18"/>
    </w:rPr>
  </w:style>
  <w:style w:type="character" w:customStyle="1" w:styleId="19">
    <w:name w:val="Footer Char1"/>
    <w:semiHidden/>
    <w:qFormat/>
    <w:uiPriority w:val="99"/>
    <w:rPr>
      <w:sz w:val="18"/>
      <w:szCs w:val="18"/>
    </w:rPr>
  </w:style>
  <w:style w:type="character" w:customStyle="1" w:styleId="20">
    <w:name w:val="Header Char1"/>
    <w:semiHidden/>
    <w:qFormat/>
    <w:uiPriority w:val="99"/>
    <w:rPr>
      <w:sz w:val="18"/>
      <w:szCs w:val="18"/>
    </w:rPr>
  </w:style>
  <w:style w:type="paragraph" w:customStyle="1" w:styleId="21">
    <w:name w:val="_Style 67"/>
    <w:basedOn w:val="1"/>
    <w:next w:val="1"/>
    <w:qFormat/>
    <w:uiPriority w:val="99"/>
    <w:pPr>
      <w:widowControl/>
      <w:spacing w:line="360" w:lineRule="auto"/>
      <w:ind w:firstLine="420" w:firstLineChars="200"/>
      <w:jc w:val="left"/>
    </w:pPr>
    <w:rPr>
      <w:rFonts w:ascii="Calibri" w:hAnsi="Calibri" w:eastAsia="微软雅黑" w:cs="Calibri"/>
      <w:sz w:val="24"/>
      <w:szCs w:val="24"/>
    </w:rPr>
  </w:style>
  <w:style w:type="character" w:customStyle="1" w:styleId="22">
    <w:name w:val="正文文本缩进 Char"/>
    <w:link w:val="4"/>
    <w:qFormat/>
    <w:locked/>
    <w:uiPriority w:val="99"/>
    <w:rPr>
      <w:rFonts w:eastAsia="仿宋_GB2312"/>
      <w:kern w:val="2"/>
      <w:sz w:val="24"/>
      <w:szCs w:val="24"/>
    </w:rPr>
  </w:style>
  <w:style w:type="character" w:customStyle="1" w:styleId="23">
    <w:name w:val="Body Text Indent Char1"/>
    <w:semiHidden/>
    <w:qFormat/>
    <w:uiPriority w:val="99"/>
    <w:rPr>
      <w:szCs w:val="21"/>
    </w:rPr>
  </w:style>
  <w:style w:type="character" w:customStyle="1" w:styleId="24">
    <w:name w:val="正文文本缩进 字符"/>
    <w:semiHidden/>
    <w:qFormat/>
    <w:uiPriority w:val="99"/>
    <w:rPr>
      <w:kern w:val="2"/>
      <w:sz w:val="24"/>
      <w:szCs w:val="24"/>
    </w:rPr>
  </w:style>
  <w:style w:type="character" w:customStyle="1" w:styleId="25">
    <w:name w:val="批注框文本 Char"/>
    <w:link w:val="6"/>
    <w:semiHidden/>
    <w:qFormat/>
    <w:locked/>
    <w:uiPriority w:val="99"/>
    <w:rPr>
      <w:kern w:val="2"/>
      <w:sz w:val="18"/>
      <w:szCs w:val="18"/>
    </w:rPr>
  </w:style>
  <w:style w:type="paragraph" w:customStyle="1" w:styleId="26">
    <w:name w:val="Table Paragraph"/>
    <w:basedOn w:val="1"/>
    <w:qFormat/>
    <w:uiPriority w:val="1"/>
    <w:rPr>
      <w:rFonts w:ascii="宋体" w:hAnsi="宋体" w:eastAsia="宋体" w:cs="宋体"/>
      <w:lang w:val="zh-CN" w:eastAsia="zh-CN" w:bidi="zh-CN"/>
    </w:rPr>
  </w:style>
  <w:style w:type="character" w:customStyle="1" w:styleId="27">
    <w:name w:val="font41"/>
    <w:basedOn w:val="13"/>
    <w:qFormat/>
    <w:uiPriority w:val="0"/>
    <w:rPr>
      <w:rFonts w:hint="eastAsia" w:ascii="宋体" w:hAnsi="宋体" w:eastAsia="宋体" w:cs="宋体"/>
      <w:color w:val="000000"/>
      <w:sz w:val="22"/>
      <w:szCs w:val="22"/>
      <w:u w:val="none"/>
    </w:rPr>
  </w:style>
  <w:style w:type="character" w:customStyle="1" w:styleId="28">
    <w:name w:val="font01"/>
    <w:basedOn w:val="13"/>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1</Pages>
  <Words>650</Words>
  <Characters>789</Characters>
  <Lines>25</Lines>
  <Paragraphs>7</Paragraphs>
  <TotalTime>0</TotalTime>
  <ScaleCrop>false</ScaleCrop>
  <LinksUpToDate>false</LinksUpToDate>
  <CharactersWithSpaces>807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2019-12-18T07:49:00Z</dcterms:created>
  <dc:creator>Legend User</dc:creator>
  <cp:lastModifiedBy>A.</cp:lastModifiedBy>
  <cp:lastPrinted>2020-08-24T03:42:00Z</cp:lastPrinted>
  <dcterms:modified xsi:type="dcterms:W3CDTF">2023-10-20T05:33:06Z</dcterms:modified>
  <dc:title>××产品质量监督抽查实施细则</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C41FFC87B9E84471805252089FF33384</vt:lpwstr>
  </property>
</Properties>
</file>