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2022年区本级预算绩效管理工作开展情况</w:t>
      </w:r>
    </w:p>
    <w:p>
      <w:pPr>
        <w:keepNext w:val="0"/>
        <w:keepLines w:val="0"/>
        <w:pageBreakBefore w:val="0"/>
        <w:kinsoku/>
        <w:wordWrap/>
        <w:overflowPunct/>
        <w:topLinePunct w:val="0"/>
        <w:autoSpaceDE/>
        <w:autoSpaceDN/>
        <w:bidi w:val="0"/>
        <w:adjustRightInd/>
        <w:snapToGrid/>
        <w:spacing w:line="600" w:lineRule="exact"/>
        <w:ind w:firstLine="64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仿宋_GB2312"/>
          <w:bCs/>
          <w:kern w:val="32"/>
        </w:rPr>
      </w:pPr>
      <w:r>
        <w:rPr>
          <w:rFonts w:hint="eastAsia" w:ascii="黑体" w:hAnsi="黑体" w:eastAsia="黑体" w:cs="仿宋_GB2312"/>
          <w:bCs/>
          <w:kern w:val="32"/>
        </w:rPr>
        <w:t>一、全面实施绩效目标管理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Ansi="仿宋_GB2312" w:cs="仿宋_GB2312"/>
          <w:kern w:val="32"/>
        </w:rPr>
      </w:pPr>
      <w:r>
        <w:rPr>
          <w:rFonts w:hint="eastAsia" w:hAnsi="仿宋_GB2312" w:cs="仿宋_GB2312"/>
          <w:kern w:val="32"/>
        </w:rPr>
        <w:t>一是明确绩效目标管</w:t>
      </w:r>
      <w:bookmarkStart w:id="0" w:name="_GoBack"/>
      <w:bookmarkEnd w:id="0"/>
      <w:r>
        <w:rPr>
          <w:rFonts w:hint="eastAsia" w:hAnsi="仿宋_GB2312" w:cs="仿宋_GB2312"/>
          <w:kern w:val="32"/>
        </w:rPr>
        <w:t>理范围。将区乡两级</w:t>
      </w:r>
      <w:r>
        <w:rPr>
          <w:rFonts w:hAnsi="仿宋_GB2312" w:cs="仿宋_GB2312"/>
          <w:kern w:val="32"/>
        </w:rPr>
        <w:t>预算项目支出和整体支出纳入绩效目标管理范围，全程在预算</w:t>
      </w:r>
      <w:r>
        <w:rPr>
          <w:rFonts w:hint="eastAsia" w:hAnsi="仿宋_GB2312" w:cs="仿宋_GB2312"/>
          <w:kern w:val="32"/>
        </w:rPr>
        <w:t>管理</w:t>
      </w:r>
      <w:r>
        <w:rPr>
          <w:rFonts w:hAnsi="仿宋_GB2312" w:cs="仿宋_GB2312"/>
          <w:kern w:val="32"/>
        </w:rPr>
        <w:t>一体化系统中进行线上申报，切实做到绩效目标管理全覆盖。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Ansi="仿宋_GB2312" w:cs="仿宋_GB2312"/>
          <w:kern w:val="32"/>
        </w:rPr>
      </w:pPr>
      <w:r>
        <w:rPr>
          <w:rFonts w:hint="eastAsia" w:hAnsi="仿宋_GB2312" w:cs="仿宋_GB2312"/>
          <w:kern w:val="32"/>
        </w:rPr>
        <w:t>二是强化审核把关，预算和绩效同审核。审核人员对所有录入预算管理一体化系统的项目支出和部门整体支出绩效目标进行审核，规范部门编制绩效目标的科学性和准确性。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Ansi="仿宋_GB2312" w:cs="仿宋_GB2312"/>
          <w:kern w:val="32"/>
        </w:rPr>
      </w:pPr>
      <w:r>
        <w:rPr>
          <w:rFonts w:hint="eastAsia" w:hAnsi="仿宋_GB2312" w:cs="仿宋_GB2312"/>
          <w:kern w:val="32"/>
        </w:rPr>
        <w:t>三是完善项目绩效管理责任，推动绩效目标公开。在批复下达年初预算时，通过格式表格同步下达绩效目标，明确部门单位是预算执行主体，负责实现并向社会公开项目绩效目标。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仿宋_GB2312"/>
          <w:kern w:val="32"/>
        </w:rPr>
      </w:pPr>
      <w:r>
        <w:rPr>
          <w:rFonts w:hint="eastAsia" w:ascii="黑体" w:hAnsi="黑体" w:eastAsia="黑体" w:cs="仿宋_GB2312"/>
          <w:kern w:val="32"/>
        </w:rPr>
        <w:t>二、</w:t>
      </w:r>
      <w:r>
        <w:rPr>
          <w:rFonts w:ascii="黑体" w:hAnsi="黑体" w:eastAsia="黑体" w:cs="仿宋_GB2312"/>
          <w:kern w:val="32"/>
        </w:rPr>
        <w:t>积极</w:t>
      </w:r>
      <w:r>
        <w:rPr>
          <w:rFonts w:hint="eastAsia" w:ascii="黑体" w:hAnsi="黑体" w:eastAsia="黑体" w:cs="仿宋_GB2312"/>
          <w:kern w:val="32"/>
        </w:rPr>
        <w:t>开展</w:t>
      </w:r>
      <w:r>
        <w:rPr>
          <w:rFonts w:ascii="黑体" w:hAnsi="黑体" w:eastAsia="黑体" w:cs="仿宋_GB2312"/>
          <w:kern w:val="32"/>
        </w:rPr>
        <w:t>资金</w:t>
      </w:r>
      <w:r>
        <w:rPr>
          <w:rFonts w:hint="eastAsia" w:ascii="黑体" w:hAnsi="黑体" w:eastAsia="黑体" w:cs="仿宋_GB2312"/>
          <w:kern w:val="32"/>
        </w:rPr>
        <w:t>绩效自评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Ansi="仿宋_GB2312" w:cs="仿宋_GB2312"/>
          <w:kern w:val="32"/>
        </w:rPr>
      </w:pPr>
      <w:r>
        <w:rPr>
          <w:rFonts w:hint="eastAsia" w:hAnsi="仿宋_GB2312" w:cs="仿宋_GB2312"/>
          <w:kern w:val="32"/>
        </w:rPr>
        <w:t>认真贯彻落实省厅、市局关于加强预算绩效管理的工作部署，稳步推进财政支出绩效评价工作。制定下发了《卧龙区财政局关于开展</w:t>
      </w:r>
      <w:r>
        <w:rPr>
          <w:rFonts w:hAnsi="仿宋_GB2312" w:cs="仿宋_GB2312"/>
          <w:kern w:val="32"/>
        </w:rPr>
        <w:t>2021年度区级预算资金</w:t>
      </w:r>
      <w:r>
        <w:rPr>
          <w:rFonts w:hint="eastAsia" w:hAnsi="仿宋_GB2312" w:cs="仿宋_GB2312"/>
          <w:kern w:val="32"/>
        </w:rPr>
        <w:t>绩效评价工作的通知》（宛龙财字[2022]50号），要求区直各预算部门单位对2021年度预算项目资金开展项目支出资金绩效自评</w:t>
      </w:r>
      <w:r>
        <w:rPr>
          <w:rFonts w:hAnsi="仿宋_GB2312" w:cs="仿宋_GB2312"/>
          <w:kern w:val="32"/>
        </w:rPr>
        <w:t>和部门整体支出资金绩效自评，</w:t>
      </w:r>
      <w:r>
        <w:rPr>
          <w:rFonts w:hint="eastAsia" w:hAnsi="仿宋_GB2312" w:cs="仿宋_GB2312"/>
          <w:kern w:val="32"/>
        </w:rPr>
        <w:t>将实际取得的绩效与绩效目标进行对比，如未实现绩效目标，应在总结报告中逐个说明项目情况、偏差原因和整改措施。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仿宋_GB2312"/>
          <w:kern w:val="32"/>
        </w:rPr>
      </w:pPr>
      <w:r>
        <w:rPr>
          <w:rFonts w:hint="eastAsia" w:ascii="黑体" w:hAnsi="黑体" w:eastAsia="黑体" w:cs="仿宋_GB2312"/>
          <w:kern w:val="32"/>
        </w:rPr>
        <w:t>三、稳步推进部门绩效评价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Ansi="仿宋_GB2312" w:cs="仿宋_GB2312"/>
          <w:kern w:val="32"/>
        </w:rPr>
      </w:pPr>
      <w:r>
        <w:rPr>
          <w:rFonts w:hAnsi="仿宋_GB2312" w:cs="仿宋_GB2312"/>
          <w:kern w:val="32"/>
        </w:rPr>
        <w:t>在普遍开展</w:t>
      </w:r>
      <w:r>
        <w:rPr>
          <w:rFonts w:hint="eastAsia" w:hAnsi="仿宋_GB2312" w:cs="仿宋_GB2312"/>
          <w:kern w:val="32"/>
        </w:rPr>
        <w:t>项目支出资金绩效自评和部门整体支出资金绩效自评的</w:t>
      </w:r>
      <w:r>
        <w:rPr>
          <w:rFonts w:hAnsi="仿宋_GB2312" w:cs="仿宋_GB2312"/>
          <w:kern w:val="32"/>
        </w:rPr>
        <w:t>基础上，今年根据市局工作要求和安排，稳步推进</w:t>
      </w:r>
      <w:r>
        <w:rPr>
          <w:rFonts w:hint="eastAsia" w:hAnsi="仿宋_GB2312" w:cs="仿宋_GB2312"/>
          <w:kern w:val="32"/>
        </w:rPr>
        <w:t>部门绩效评价工作。由各预算主管部门负责并组织实施，在本部门项目自评的基础上，结合工作实际，优先选择部门履职的重大改革发展项目，对项目的决策情况、资金管理和使用情况、相关管理制度办法的健全性及执行情况、实现的产出情况、取得的效益情况等组织开展绩效评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仿宋_GB2312"/>
          <w:bCs/>
          <w:kern w:val="0"/>
        </w:rPr>
      </w:pPr>
      <w:r>
        <w:rPr>
          <w:rFonts w:hint="eastAsia" w:ascii="黑体" w:hAnsi="黑体" w:eastAsia="黑体" w:cs="仿宋_GB2312"/>
          <w:bCs/>
          <w:kern w:val="0"/>
        </w:rPr>
        <w:t>四、加大重点项目支出绩效评价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Ansi="仿宋_GB2312" w:cs="仿宋_GB2312"/>
          <w:kern w:val="0"/>
        </w:rPr>
      </w:pPr>
      <w:r>
        <w:rPr>
          <w:rFonts w:hint="eastAsia" w:hAnsi="仿宋_GB2312" w:cs="仿宋_GB2312"/>
          <w:kern w:val="0"/>
        </w:rPr>
        <w:t>以绩效目标为基础，在区直部门开展部门整体自评和项目自评，覆盖区直所有部门，评价金额</w:t>
      </w:r>
      <w:r>
        <w:rPr>
          <w:rFonts w:hint="eastAsia" w:hAnsi="仿宋_GB2312" w:cs="仿宋_GB2312"/>
          <w:kern w:val="0"/>
          <w:lang w:bidi="ar"/>
        </w:rPr>
        <w:t>66243万元。同时，</w:t>
      </w:r>
      <w:r>
        <w:rPr>
          <w:rFonts w:hint="eastAsia" w:hAnsi="仿宋_GB2312" w:cs="仿宋_GB2312"/>
          <w:kern w:val="0"/>
        </w:rPr>
        <w:t>选择一些社会关注度高、涉及面广、影响较大的项目开展财政再评价。2022年共选取5个项目开展重点评价，涉及财政资金9802.9989万元（国家基本公共卫生服务项目</w:t>
      </w:r>
      <w:r>
        <w:rPr>
          <w:rFonts w:hAnsi="仿宋_GB2312" w:cs="仿宋_GB2312"/>
          <w:kern w:val="0"/>
        </w:rPr>
        <w:t>6063.62</w:t>
      </w:r>
      <w:r>
        <w:rPr>
          <w:rFonts w:hint="eastAsia" w:hAnsi="仿宋_GB2312" w:cs="仿宋_GB2312"/>
          <w:kern w:val="0"/>
        </w:rPr>
        <w:t>万元，计划生育专项项目</w:t>
      </w:r>
      <w:r>
        <w:rPr>
          <w:rFonts w:hAnsi="仿宋_GB2312" w:cs="仿宋_GB2312"/>
          <w:kern w:val="0"/>
        </w:rPr>
        <w:t>2609.09</w:t>
      </w:r>
      <w:r>
        <w:rPr>
          <w:rFonts w:hint="eastAsia" w:hAnsi="仿宋_GB2312" w:cs="仿宋_GB2312"/>
          <w:kern w:val="0"/>
        </w:rPr>
        <w:t>万元，财政衔接乡村振兴资金潦河、英庄产业项目238.35万元，高龄老年人津贴项目</w:t>
      </w:r>
      <w:r>
        <w:rPr>
          <w:rFonts w:hAnsi="仿宋_GB2312" w:cs="仿宋_GB2312"/>
          <w:kern w:val="0"/>
        </w:rPr>
        <w:t>735.776</w:t>
      </w:r>
      <w:r>
        <w:rPr>
          <w:rFonts w:hint="eastAsia" w:hAnsi="仿宋_GB2312" w:cs="仿宋_GB2312"/>
          <w:kern w:val="0"/>
        </w:rPr>
        <w:t>万元，脱贫户和监测户就业补助项目</w:t>
      </w:r>
      <w:r>
        <w:rPr>
          <w:rFonts w:hAnsi="仿宋_GB2312" w:cs="仿宋_GB2312"/>
          <w:kern w:val="0"/>
        </w:rPr>
        <w:t>156.1629</w:t>
      </w:r>
      <w:r>
        <w:rPr>
          <w:rFonts w:hint="eastAsia" w:hAnsi="仿宋_GB2312" w:cs="仿宋_GB2312"/>
          <w:kern w:val="0"/>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pPr>
    </w:p>
    <w:p>
      <w:pPr>
        <w:keepNext w:val="0"/>
        <w:keepLines w:val="0"/>
        <w:pageBreakBefore w:val="0"/>
        <w:kinsoku/>
        <w:wordWrap/>
        <w:overflowPunct/>
        <w:topLinePunct w:val="0"/>
        <w:autoSpaceDE/>
        <w:autoSpaceDN/>
        <w:bidi w:val="0"/>
        <w:adjustRightInd/>
        <w:snapToGrid/>
        <w:spacing w:line="600" w:lineRule="exact"/>
        <w:ind w:firstLine="640"/>
        <w:textAlignment w:val="auto"/>
      </w:pPr>
    </w:p>
    <w:p>
      <w:pPr>
        <w:keepNext w:val="0"/>
        <w:keepLines w:val="0"/>
        <w:pageBreakBefore w:val="0"/>
        <w:kinsoku/>
        <w:wordWrap/>
        <w:overflowPunct/>
        <w:topLinePunct w:val="0"/>
        <w:autoSpaceDE/>
        <w:autoSpaceDN/>
        <w:bidi w:val="0"/>
        <w:adjustRightInd/>
        <w:snapToGrid/>
        <w:spacing w:line="600" w:lineRule="exact"/>
        <w:ind w:firstLine="640"/>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489796"/>
      <w:docPartObj>
        <w:docPartGallery w:val="AutoText"/>
      </w:docPartObj>
    </w:sdtPr>
    <w:sdtContent>
      <w:p>
        <w:pPr>
          <w:pStyle w:val="3"/>
          <w:ind w:firstLine="360"/>
          <w:jc w:val="center"/>
        </w:pPr>
        <w:r>
          <w:fldChar w:fldCharType="begin"/>
        </w:r>
        <w:r>
          <w:instrText xml:space="preserve">PAGE   \* MERGEFORMAT</w:instrText>
        </w:r>
        <w:r>
          <w:fldChar w:fldCharType="separate"/>
        </w:r>
        <w:r>
          <w:rPr>
            <w:lang w:val="zh-CN"/>
          </w:rPr>
          <w:t>1</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NGRiNDkxZjE3MmFmMTYzMWJlNDk2Yjk0MWVhOGEifQ=="/>
  </w:docVars>
  <w:rsids>
    <w:rsidRoot w:val="0097447C"/>
    <w:rsid w:val="0007156D"/>
    <w:rsid w:val="000F1AE2"/>
    <w:rsid w:val="00103D85"/>
    <w:rsid w:val="00166BAF"/>
    <w:rsid w:val="001B34FB"/>
    <w:rsid w:val="001D272D"/>
    <w:rsid w:val="001F03F5"/>
    <w:rsid w:val="0021134C"/>
    <w:rsid w:val="00274121"/>
    <w:rsid w:val="002752C5"/>
    <w:rsid w:val="002B65CF"/>
    <w:rsid w:val="003653E4"/>
    <w:rsid w:val="004462B8"/>
    <w:rsid w:val="004905C5"/>
    <w:rsid w:val="004F43A6"/>
    <w:rsid w:val="005C4130"/>
    <w:rsid w:val="005D656B"/>
    <w:rsid w:val="006278FF"/>
    <w:rsid w:val="006778D1"/>
    <w:rsid w:val="006F5813"/>
    <w:rsid w:val="00714D84"/>
    <w:rsid w:val="00802E99"/>
    <w:rsid w:val="00876118"/>
    <w:rsid w:val="008D04E2"/>
    <w:rsid w:val="008F1CDF"/>
    <w:rsid w:val="00906E93"/>
    <w:rsid w:val="00950312"/>
    <w:rsid w:val="0097447C"/>
    <w:rsid w:val="009B6B35"/>
    <w:rsid w:val="009C5296"/>
    <w:rsid w:val="00A20278"/>
    <w:rsid w:val="00A24B28"/>
    <w:rsid w:val="00A509B5"/>
    <w:rsid w:val="00A57E79"/>
    <w:rsid w:val="00B53BFA"/>
    <w:rsid w:val="00B732B8"/>
    <w:rsid w:val="00B93B1C"/>
    <w:rsid w:val="00BB1ABA"/>
    <w:rsid w:val="00BB2723"/>
    <w:rsid w:val="00BB792B"/>
    <w:rsid w:val="00C96652"/>
    <w:rsid w:val="00CC49DE"/>
    <w:rsid w:val="00CD3B34"/>
    <w:rsid w:val="00CE2F98"/>
    <w:rsid w:val="00D365A0"/>
    <w:rsid w:val="00D76DD6"/>
    <w:rsid w:val="00E331D3"/>
    <w:rsid w:val="00E75C75"/>
    <w:rsid w:val="00EE60F6"/>
    <w:rsid w:val="00F065C5"/>
    <w:rsid w:val="00FA39D2"/>
    <w:rsid w:val="09C6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仿宋_GB2312" w:eastAsia="仿宋_GB2312" w:hAnsiTheme="minorHAnsi"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845</Words>
  <Characters>906</Characters>
  <Lines>6</Lines>
  <Paragraphs>1</Paragraphs>
  <TotalTime>1959</TotalTime>
  <ScaleCrop>false</ScaleCrop>
  <LinksUpToDate>false</LinksUpToDate>
  <CharactersWithSpaces>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2023-01-29T07:51:00Z</dcterms:created>
  <dc:creator>余海东</dc:creator>
  <cp:lastModifiedBy>悠然豆粑</cp:lastModifiedBy>
  <dcterms:modified xsi:type="dcterms:W3CDTF">2023-09-12T09:27:18Z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DBB5865FA882413F840F586A8F8D7CEF_13</vt:lpwstr>
  </property>
</Properties>
</file>