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0" w:name="_Toc521506818"/>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 w:name="_Toc28758"/>
      <w:bookmarkStart w:id="2" w:name="_Toc29781"/>
      <w:bookmarkStart w:id="3" w:name="_Toc18014"/>
      <w:r>
        <w:rPr>
          <w:rFonts w:hint="eastAsia" w:ascii="方正小标宋简体" w:hAnsi="方正小标宋简体" w:eastAsia="方正小标宋简体" w:cs="方正小标宋简体"/>
          <w:b w:val="0"/>
          <w:bCs/>
          <w:kern w:val="2"/>
          <w:sz w:val="36"/>
          <w:szCs w:val="36"/>
          <w:lang w:eastAsia="zh-CN"/>
        </w:rPr>
        <w:t>第一部分</w:t>
      </w:r>
      <w:r>
        <w:rPr>
          <w:rFonts w:hint="eastAsia" w:ascii="方正小标宋简体" w:hAnsi="方正小标宋简体" w:eastAsia="方正小标宋简体" w:cs="方正小标宋简体"/>
          <w:b w:val="0"/>
          <w:bCs/>
          <w:kern w:val="2"/>
          <w:sz w:val="36"/>
          <w:szCs w:val="36"/>
          <w:lang w:val="en-US" w:eastAsia="zh-CN"/>
        </w:rPr>
        <w:t xml:space="preserve">  </w:t>
      </w:r>
      <w:r>
        <w:rPr>
          <w:rFonts w:hint="eastAsia" w:ascii="方正小标宋简体" w:hAnsi="方正小标宋简体" w:eastAsia="方正小标宋简体" w:cs="方正小标宋简体"/>
          <w:b w:val="0"/>
          <w:bCs/>
          <w:kern w:val="2"/>
          <w:sz w:val="36"/>
          <w:szCs w:val="36"/>
          <w:lang w:eastAsia="zh-CN"/>
        </w:rPr>
        <w:t>国民经济行业分类</w:t>
      </w:r>
      <w:bookmarkEnd w:id="0"/>
      <w:bookmarkEnd w:id="1"/>
      <w:bookmarkEnd w:id="2"/>
      <w:bookmarkEnd w:id="3"/>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版</w:t>
      </w:r>
      <w:r>
        <w:rPr>
          <w:rFonts w:hint="eastAsia" w:ascii="楷体_GB2312"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本</w:t>
      </w:r>
      <w:r>
        <w:rPr>
          <w:rFonts w:hint="eastAsia" w:ascii="楷体_GB2312"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w:t>
      </w:r>
      <w:r>
        <w:rPr>
          <w:rFonts w:ascii="楷体_GB2312" w:hAnsi="Times New Roman" w:eastAsia="楷体_GB2312" w:cs="Times New Roman"/>
          <w:color w:val="auto"/>
          <w:sz w:val="24"/>
          <w:szCs w:val="24"/>
        </w:rPr>
        <w:t>GB/T 4754-2017</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发布时间：</w:t>
      </w:r>
      <w:r>
        <w:rPr>
          <w:rFonts w:ascii="楷体_GB2312" w:hAnsi="Times New Roman" w:eastAsia="楷体_GB2312" w:cs="Times New Roman"/>
          <w:color w:val="auto"/>
          <w:sz w:val="24"/>
          <w:szCs w:val="24"/>
        </w:rPr>
        <w:t>2017</w:t>
      </w:r>
      <w:r>
        <w:rPr>
          <w:rFonts w:hint="eastAsia" w:ascii="楷体_GB2312" w:hAnsi="Times New Roman" w:eastAsia="楷体_GB2312" w:cs="Times New Roman"/>
          <w:color w:val="auto"/>
          <w:sz w:val="24"/>
          <w:szCs w:val="24"/>
        </w:rPr>
        <w:t>年</w:t>
      </w:r>
      <w:r>
        <w:rPr>
          <w:rFonts w:ascii="楷体_GB2312" w:hAnsi="Times New Roman" w:eastAsia="楷体_GB2312" w:cs="Times New Roman"/>
          <w:color w:val="auto"/>
          <w:sz w:val="24"/>
          <w:szCs w:val="24"/>
        </w:rPr>
        <w:t>6</w:t>
      </w:r>
      <w:r>
        <w:rPr>
          <w:rFonts w:hint="eastAsia" w:ascii="楷体_GB2312" w:hAnsi="Times New Roman" w:eastAsia="楷体_GB2312" w:cs="Times New Roman"/>
          <w:color w:val="auto"/>
          <w:sz w:val="24"/>
          <w:szCs w:val="24"/>
        </w:rPr>
        <w:t>月</w:t>
      </w:r>
      <w:r>
        <w:rPr>
          <w:rFonts w:ascii="楷体_GB2312" w:hAnsi="Times New Roman" w:eastAsia="楷体_GB2312" w:cs="Times New Roman"/>
          <w:color w:val="auto"/>
          <w:sz w:val="24"/>
          <w:szCs w:val="24"/>
        </w:rPr>
        <w:t>30</w:t>
      </w:r>
      <w:r>
        <w:rPr>
          <w:rFonts w:hint="eastAsia" w:ascii="楷体_GB2312" w:hAnsi="Times New Roman" w:eastAsia="楷体_GB2312"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实施时间：</w:t>
      </w:r>
      <w:r>
        <w:rPr>
          <w:rFonts w:ascii="楷体_GB2312" w:hAnsi="Times New Roman" w:eastAsia="楷体_GB2312" w:cs="Times New Roman"/>
          <w:color w:val="auto"/>
          <w:sz w:val="24"/>
          <w:szCs w:val="24"/>
        </w:rPr>
        <w:t>2017</w:t>
      </w:r>
      <w:r>
        <w:rPr>
          <w:rFonts w:hint="eastAsia" w:ascii="楷体_GB2312" w:hAnsi="Times New Roman" w:eastAsia="楷体_GB2312" w:cs="Times New Roman"/>
          <w:color w:val="auto"/>
          <w:sz w:val="24"/>
          <w:szCs w:val="24"/>
        </w:rPr>
        <w:t>年</w:t>
      </w:r>
      <w:r>
        <w:rPr>
          <w:rFonts w:ascii="楷体_GB2312" w:hAnsi="Times New Roman" w:eastAsia="楷体_GB2312" w:cs="Times New Roman"/>
          <w:color w:val="auto"/>
          <w:sz w:val="24"/>
          <w:szCs w:val="24"/>
        </w:rPr>
        <w:t>10</w:t>
      </w:r>
      <w:r>
        <w:rPr>
          <w:rFonts w:hint="eastAsia" w:ascii="楷体_GB2312" w:hAnsi="Times New Roman" w:eastAsia="楷体_GB2312" w:cs="Times New Roman"/>
          <w:color w:val="auto"/>
          <w:sz w:val="24"/>
          <w:szCs w:val="24"/>
        </w:rPr>
        <w:t>月</w:t>
      </w:r>
      <w:r>
        <w:rPr>
          <w:rFonts w:ascii="楷体_GB2312" w:hAnsi="Times New Roman" w:eastAsia="楷体_GB2312" w:cs="Times New Roman"/>
          <w:color w:val="auto"/>
          <w:sz w:val="24"/>
          <w:szCs w:val="24"/>
        </w:rPr>
        <w:t>1</w:t>
      </w:r>
      <w:r>
        <w:rPr>
          <w:rFonts w:hint="eastAsia" w:ascii="楷体_GB2312" w:hAnsi="Times New Roman" w:eastAsia="楷体_GB2312"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前续版本号：</w:t>
      </w:r>
      <w:r>
        <w:rPr>
          <w:rFonts w:ascii="楷体_GB2312" w:hAnsi="Times New Roman" w:eastAsia="楷体_GB2312" w:cs="Times New Roman"/>
          <w:color w:val="auto"/>
          <w:sz w:val="24"/>
          <w:szCs w:val="24"/>
        </w:rPr>
        <w:t>GB/T 4754-2011</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相关文献：《国民经济行业分类注释</w:t>
      </w:r>
      <w:r>
        <w:rPr>
          <w:rFonts w:ascii="楷体_GB2312" w:hAnsi="Times New Roman" w:eastAsia="楷体_GB2312" w:cs="Times New Roman"/>
          <w:color w:val="auto"/>
          <w:sz w:val="24"/>
          <w:szCs w:val="24"/>
        </w:rPr>
        <w:t>2017</w:t>
      </w:r>
      <w:r>
        <w:rPr>
          <w:rFonts w:hint="eastAsia" w:ascii="楷体_GB2312" w:hAnsi="Times New Roman" w:eastAsia="楷体_GB2312"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Times New Roman" w:hAnsi="Times New Roman" w:eastAsia="楷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1  </w:t>
      </w:r>
      <w:r>
        <w:rPr>
          <w:rFonts w:hint="eastAsia" w:ascii="黑体" w:hAnsi="Calibri" w:eastAsia="黑体"/>
          <w:b w:val="0"/>
          <w:bCs/>
          <w:sz w:val="24"/>
          <w:szCs w:val="24"/>
        </w:rPr>
        <w:t>范围</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本标准规定了全社会经济活动的分类与代码。</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本标准适用于在统计、计划、财政、税收、工商等国家宏观管理中，对经济活动的分类，并用于信息处理和信息交换。</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2  </w:t>
      </w:r>
      <w:r>
        <w:rPr>
          <w:rFonts w:hint="eastAsia" w:ascii="黑体" w:hAnsi="Calibri" w:eastAsia="黑体"/>
          <w:b w:val="0"/>
          <w:bCs/>
          <w:sz w:val="24"/>
          <w:szCs w:val="24"/>
        </w:rPr>
        <w:t>术语和定义</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下列术语和定义适用于本文件。</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2.1</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行业</w:t>
      </w:r>
      <w:r>
        <w:rPr>
          <w:rFonts w:ascii="黑体" w:hAnsi="Calibri" w:eastAsia="黑体"/>
          <w:b w:val="0"/>
          <w:bCs/>
          <w:sz w:val="24"/>
          <w:szCs w:val="24"/>
        </w:rPr>
        <w:t xml:space="preserve"> industry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从事相同性质的经济活动的所有单位的集合。</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2.2</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主要活动</w:t>
      </w:r>
      <w:r>
        <w:rPr>
          <w:rFonts w:ascii="黑体" w:hAnsi="Calibri" w:eastAsia="黑体"/>
          <w:b w:val="0"/>
          <w:bCs/>
          <w:sz w:val="24"/>
          <w:szCs w:val="24"/>
        </w:rPr>
        <w:t xml:space="preserve"> principal activity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当一个单位对外从事两种以上的经济活动时，占其单位增加值份额最大的一种活动称为主要活动。如果无法用增加值确定单位的主要活动，可依据销售收入、营业收入或从业人员确定主要活动。</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注：与主要活动相对应的是次要活动和辅助活动。</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2.3</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次要活动</w:t>
      </w:r>
      <w:r>
        <w:rPr>
          <w:rFonts w:ascii="黑体" w:hAnsi="Calibri" w:eastAsia="黑体"/>
          <w:b w:val="0"/>
          <w:bCs/>
          <w:sz w:val="24"/>
          <w:szCs w:val="24"/>
        </w:rPr>
        <w:t>secondary</w:t>
      </w:r>
      <w:r>
        <w:rPr>
          <w:rFonts w:hint="eastAsia" w:ascii="黑体" w:hAnsi="Calibri" w:eastAsia="黑体"/>
          <w:b w:val="0"/>
          <w:bCs/>
          <w:sz w:val="24"/>
          <w:szCs w:val="24"/>
          <w:lang w:val="en-US" w:eastAsia="zh-CN"/>
        </w:rPr>
        <w:t xml:space="preserve"> </w:t>
      </w:r>
      <w:r>
        <w:rPr>
          <w:rFonts w:ascii="黑体" w:hAnsi="Calibri" w:eastAsia="黑体"/>
          <w:b w:val="0"/>
          <w:bCs/>
          <w:sz w:val="24"/>
          <w:szCs w:val="24"/>
        </w:rPr>
        <w:t>activity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一个单位对外从事的所有经济活动中，除主要活动以外的经济活动。</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2.4</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辅助活动</w:t>
      </w:r>
      <w:r>
        <w:rPr>
          <w:rFonts w:ascii="黑体" w:hAnsi="Calibri" w:eastAsia="黑体"/>
          <w:b w:val="0"/>
          <w:bCs/>
          <w:sz w:val="24"/>
          <w:szCs w:val="24"/>
        </w:rPr>
        <w:t>ancillary</w:t>
      </w:r>
      <w:r>
        <w:rPr>
          <w:rFonts w:hint="eastAsia" w:ascii="黑体" w:hAnsi="Calibri" w:eastAsia="黑体"/>
          <w:b w:val="0"/>
          <w:bCs/>
          <w:sz w:val="24"/>
          <w:szCs w:val="24"/>
          <w:lang w:val="en-US" w:eastAsia="zh-CN"/>
        </w:rPr>
        <w:t xml:space="preserve"> </w:t>
      </w:r>
      <w:r>
        <w:rPr>
          <w:rFonts w:ascii="黑体" w:hAnsi="Calibri" w:eastAsia="黑体"/>
          <w:b w:val="0"/>
          <w:bCs/>
          <w:sz w:val="24"/>
          <w:szCs w:val="24"/>
        </w:rPr>
        <w:t>activity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一个单位的全部活动中，不对外提供货物和服务的活动。</w:t>
      </w:r>
    </w:p>
    <w:p>
      <w:pPr>
        <w:keepNext w:val="0"/>
        <w:keepLines w:val="0"/>
        <w:pageBreakBefore w:val="0"/>
        <w:widowControl w:val="0"/>
        <w:kinsoku/>
        <w:wordWrap/>
        <w:overflowPunct/>
        <w:topLinePunct w:val="0"/>
        <w:autoSpaceDE/>
        <w:autoSpaceDN/>
        <w:bidi w:val="0"/>
        <w:adjustRightInd/>
        <w:snapToGrid/>
        <w:spacing w:line="460" w:lineRule="exact"/>
        <w:ind w:right="0" w:firstLine="456" w:firstLineChars="200"/>
        <w:jc w:val="both"/>
        <w:textAlignment w:val="auto"/>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注：辅助活动是为保证本单位主要活动和次要活动正常运转而进行的一种内部活动。</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2.5</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单位</w:t>
      </w:r>
      <w:r>
        <w:rPr>
          <w:rFonts w:ascii="黑体" w:hAnsi="Calibri" w:eastAsia="黑体"/>
          <w:b w:val="0"/>
          <w:bCs/>
          <w:sz w:val="24"/>
          <w:szCs w:val="24"/>
        </w:rPr>
        <w:t xml:space="preserve"> unit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有效地开展各种经济活动的实体，是划分国民经济行业的载体。</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2.6</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产业活动单位</w:t>
      </w:r>
      <w:r>
        <w:rPr>
          <w:rFonts w:ascii="黑体" w:hAnsi="Calibri" w:eastAsia="黑体"/>
          <w:b w:val="0"/>
          <w:bCs/>
          <w:sz w:val="24"/>
          <w:szCs w:val="24"/>
        </w:rPr>
        <w:t xml:space="preserve"> establishment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具备下列条件的单位为产业活动单位：</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在一个场所从事一种或主要从事一种经济活动；</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相对独立地组织生产、经营或业务活动；</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能够掌握收入和支出等资料。</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宋体" w:hAnsi="Calibri" w:eastAsia="宋体"/>
          <w:color w:val="000000"/>
          <w:sz w:val="24"/>
          <w:szCs w:val="24"/>
        </w:rPr>
      </w:pPr>
      <w:r>
        <w:rPr>
          <w:rFonts w:hint="eastAsia" w:ascii="黑体" w:hAnsi="黑体" w:eastAsia="黑体"/>
          <w:color w:val="000000"/>
          <w:sz w:val="24"/>
          <w:szCs w:val="24"/>
        </w:rPr>
        <w:t>注：</w:t>
      </w:r>
      <w:r>
        <w:rPr>
          <w:rFonts w:hint="eastAsia" w:ascii="宋体" w:hAnsi="宋体" w:eastAsia="宋体"/>
          <w:color w:val="000000"/>
          <w:sz w:val="24"/>
          <w:szCs w:val="24"/>
        </w:rPr>
        <w:t>产业活动单位是法人单位的附属单位。</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2.7</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法人单位</w:t>
      </w:r>
      <w:r>
        <w:rPr>
          <w:rFonts w:ascii="黑体" w:hAnsi="Calibri" w:eastAsia="黑体"/>
          <w:b w:val="0"/>
          <w:bCs/>
          <w:sz w:val="24"/>
          <w:szCs w:val="24"/>
        </w:rPr>
        <w:t xml:space="preserve"> corporate unit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具备下列条件的单位为法人单位：</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依法成立，有自己的名称、组织机构和场所，能够独立承担负债和其他民事责任；</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独立拥有和使用（或受权使用）资产，有权与其他单位签定合同；</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会计上独立核算，能够编制资产负债表。</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  </w:t>
      </w:r>
      <w:r>
        <w:rPr>
          <w:rFonts w:hint="eastAsia" w:ascii="黑体" w:hAnsi="Calibri" w:eastAsia="黑体"/>
          <w:b w:val="0"/>
          <w:bCs/>
          <w:sz w:val="24"/>
          <w:szCs w:val="24"/>
        </w:rPr>
        <w:t>分类的原则和规定</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3.1 </w:t>
      </w:r>
      <w:r>
        <w:rPr>
          <w:rFonts w:hint="eastAsia" w:ascii="黑体" w:hAnsi="Calibri" w:eastAsia="黑体"/>
          <w:b w:val="0"/>
          <w:bCs/>
          <w:sz w:val="24"/>
          <w:szCs w:val="24"/>
        </w:rPr>
        <w:t>划分行业的原则</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本标准采用经济活动的同质性原则划分国民经济行业。即每一个行业类别按照同一种经济活动的性质划分，而不是依据编制、会计制度或部门管理等划分。</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3.2  </w:t>
      </w:r>
      <w:r>
        <w:rPr>
          <w:rFonts w:hint="eastAsia" w:ascii="黑体" w:hAnsi="Calibri" w:eastAsia="黑体"/>
          <w:b w:val="0"/>
          <w:bCs/>
          <w:sz w:val="24"/>
          <w:szCs w:val="24"/>
        </w:rPr>
        <w:t>行业分类的基本单位</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参照联合国《所有经济活动的国际标准产业分类》（</w:t>
      </w:r>
      <w:r>
        <w:rPr>
          <w:rFonts w:ascii="Calibri" w:hAnsi="宋体" w:eastAsia="宋体"/>
          <w:sz w:val="24"/>
          <w:szCs w:val="24"/>
        </w:rPr>
        <w:t>ISIC Rev. 4</w:t>
      </w:r>
      <w:r>
        <w:rPr>
          <w:rFonts w:hint="eastAsia" w:ascii="Calibri" w:hAnsi="宋体" w:eastAsia="宋体"/>
          <w:sz w:val="24"/>
          <w:szCs w:val="24"/>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宋体" w:hAnsi="Calibri" w:eastAsia="宋体"/>
          <w:sz w:val="24"/>
          <w:szCs w:val="24"/>
        </w:rPr>
      </w:pPr>
      <w:r>
        <w:rPr>
          <w:rFonts w:hint="eastAsia" w:ascii="宋体" w:hAnsi="宋体" w:eastAsia="宋体"/>
          <w:sz w:val="24"/>
          <w:szCs w:val="24"/>
        </w:rPr>
        <w:t>在以法人单位划分行业时，应将由多法人组成的企业集团、集团公司等联合性企业中的每个法人单位区分开，按单个法人单位划分行业。</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3.3  </w:t>
      </w:r>
      <w:r>
        <w:rPr>
          <w:rFonts w:hint="eastAsia" w:ascii="黑体" w:hAnsi="Calibri" w:eastAsia="黑体"/>
          <w:b w:val="0"/>
          <w:bCs/>
          <w:sz w:val="24"/>
          <w:szCs w:val="24"/>
        </w:rPr>
        <w:t>确定单位行业归属的原则</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本标准按照单位的主要经济活动确定其行业性质。当单位从事一种经济活动时，则按照该经济活动确定单位的行业；当单位从事两种以上的经济活动时，则按照主要活动确定单位的行业。</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4  </w:t>
      </w:r>
      <w:r>
        <w:rPr>
          <w:rFonts w:hint="eastAsia" w:ascii="黑体" w:hAnsi="Calibri" w:eastAsia="黑体"/>
          <w:b w:val="0"/>
          <w:bCs/>
          <w:sz w:val="24"/>
          <w:szCs w:val="24"/>
        </w:rPr>
        <w:t>编码方法和代码结构</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b w:val="0"/>
          <w:bCs/>
          <w:sz w:val="24"/>
          <w:szCs w:val="24"/>
        </w:rPr>
      </w:pPr>
      <w:r>
        <w:rPr>
          <w:rFonts w:ascii="黑体" w:hAnsi="Calibri" w:eastAsia="黑体"/>
          <w:b w:val="0"/>
          <w:bCs/>
          <w:sz w:val="24"/>
          <w:szCs w:val="24"/>
        </w:rPr>
        <w:t xml:space="preserve">4.1  </w:t>
      </w:r>
      <w:r>
        <w:rPr>
          <w:rFonts w:hint="eastAsia" w:ascii="Calibri" w:hAnsi="宋体" w:eastAsia="宋体"/>
          <w:b w:val="0"/>
          <w:bCs/>
          <w:sz w:val="24"/>
          <w:szCs w:val="24"/>
        </w:rPr>
        <w:t>本标准采用线分类法和分层次编码方法，将国民经济行业划分为门类、大类、中类和小类四级。代码由一位拉丁字母和四位阿拉伯数字组成。</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门类代码用一位拉丁字母表示，即用字母</w:t>
      </w:r>
      <w:r>
        <w:rPr>
          <w:rFonts w:ascii="Calibri" w:hAnsi="Calibri" w:eastAsia="宋体"/>
          <w:sz w:val="24"/>
          <w:szCs w:val="24"/>
        </w:rPr>
        <w:t>A</w:t>
      </w:r>
      <w:r>
        <w:rPr>
          <w:rFonts w:hint="eastAsia" w:ascii="Calibri" w:hAnsi="宋体" w:eastAsia="宋体"/>
          <w:sz w:val="24"/>
          <w:szCs w:val="24"/>
        </w:rPr>
        <w:t>、</w:t>
      </w:r>
      <w:r>
        <w:rPr>
          <w:rFonts w:ascii="Calibri" w:hAnsi="Calibri" w:eastAsia="宋体"/>
          <w:sz w:val="24"/>
          <w:szCs w:val="24"/>
        </w:rPr>
        <w:t>B</w:t>
      </w:r>
      <w:r>
        <w:rPr>
          <w:rFonts w:hint="eastAsia" w:ascii="Calibri" w:hAnsi="宋体" w:eastAsia="宋体"/>
          <w:sz w:val="24"/>
          <w:szCs w:val="24"/>
        </w:rPr>
        <w:t>、</w:t>
      </w:r>
      <w:r>
        <w:rPr>
          <w:rFonts w:ascii="Calibri" w:hAnsi="Calibri" w:eastAsia="宋体"/>
          <w:sz w:val="24"/>
          <w:szCs w:val="24"/>
        </w:rPr>
        <w:t>C</w:t>
      </w:r>
      <w:r>
        <w:rPr>
          <w:rFonts w:hint="eastAsia" w:ascii="Calibri" w:hAnsi="Calibri" w:eastAsia="宋体"/>
          <w:sz w:val="24"/>
          <w:szCs w:val="24"/>
        </w:rPr>
        <w:t>、</w:t>
      </w:r>
      <w:r>
        <w:rPr>
          <w:rFonts w:ascii="Calibri" w:hAnsi="Calibri" w:eastAsia="宋体"/>
          <w:sz w:val="24"/>
          <w:szCs w:val="24"/>
        </w:rPr>
        <w:t>……</w:t>
      </w:r>
      <w:r>
        <w:rPr>
          <w:rFonts w:hint="eastAsia" w:ascii="Calibri" w:hAnsi="Calibri" w:eastAsia="宋体"/>
          <w:sz w:val="24"/>
          <w:szCs w:val="24"/>
        </w:rPr>
        <w:t>、</w:t>
      </w:r>
      <w:r>
        <w:rPr>
          <w:rFonts w:ascii="Calibri" w:hAnsi="Calibri" w:eastAsia="宋体"/>
          <w:sz w:val="24"/>
          <w:szCs w:val="24"/>
        </w:rPr>
        <w:t>T</w:t>
      </w:r>
      <w:r>
        <w:rPr>
          <w:rFonts w:hint="eastAsia" w:ascii="Calibri" w:hAnsi="宋体" w:eastAsia="宋体"/>
          <w:sz w:val="24"/>
          <w:szCs w:val="24"/>
        </w:rPr>
        <w:t>依次代表不同门类；大类代码用两位阿拉伯数字表示，打破门类界限，从</w:t>
      </w:r>
      <w:r>
        <w:rPr>
          <w:rFonts w:ascii="Calibri" w:hAnsi="Calibri" w:eastAsia="宋体"/>
          <w:sz w:val="24"/>
          <w:szCs w:val="24"/>
        </w:rPr>
        <w:t>01</w:t>
      </w:r>
      <w:r>
        <w:rPr>
          <w:rFonts w:hint="eastAsia" w:ascii="Calibri" w:hAnsi="Calibri" w:eastAsia="宋体"/>
          <w:sz w:val="24"/>
          <w:szCs w:val="24"/>
        </w:rPr>
        <w:t>开始</w:t>
      </w:r>
      <w:r>
        <w:rPr>
          <w:rFonts w:hint="eastAsia" w:ascii="Calibri" w:hAnsi="宋体" w:eastAsia="宋体"/>
          <w:sz w:val="24"/>
          <w:szCs w:val="24"/>
        </w:rPr>
        <w:t>按顺序编码；中类代码用三位阿拉伯数字表示，前两位为大类代码，第三位为中类顺序代码；小类代码用四位阿拉伯数字表示，前三位为中类代码，第四位为小类顺序代码。</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ascii="黑体" w:hAnsi="Calibri" w:eastAsia="黑体"/>
          <w:b w:val="0"/>
          <w:bCs/>
          <w:sz w:val="24"/>
          <w:szCs w:val="24"/>
        </w:rPr>
        <w:t xml:space="preserve">4.2  </w:t>
      </w:r>
      <w:r>
        <w:rPr>
          <w:rFonts w:hint="eastAsia" w:ascii="Calibri" w:hAnsi="宋体" w:eastAsia="宋体"/>
          <w:b w:val="0"/>
          <w:bCs/>
          <w:sz w:val="24"/>
          <w:szCs w:val="24"/>
        </w:rPr>
        <w:t>本标准的中类和小类，根据需要设立带有</w:t>
      </w:r>
      <w:r>
        <w:rPr>
          <w:rFonts w:hint="eastAsia" w:ascii="Calibri" w:hAnsi="Calibri" w:eastAsia="宋体"/>
          <w:b w:val="0"/>
          <w:bCs/>
          <w:sz w:val="24"/>
          <w:szCs w:val="24"/>
        </w:rPr>
        <w:t>“</w:t>
      </w:r>
      <w:r>
        <w:rPr>
          <w:rFonts w:hint="eastAsia" w:ascii="Calibri" w:hAnsi="宋体" w:eastAsia="宋体"/>
          <w:b w:val="0"/>
          <w:bCs/>
          <w:sz w:val="24"/>
          <w:szCs w:val="24"/>
        </w:rPr>
        <w:t>其他</w:t>
      </w:r>
      <w:r>
        <w:rPr>
          <w:rFonts w:hint="eastAsia" w:ascii="Calibri" w:hAnsi="Calibri" w:eastAsia="宋体"/>
          <w:b w:val="0"/>
          <w:bCs/>
          <w:sz w:val="24"/>
          <w:szCs w:val="24"/>
        </w:rPr>
        <w:t>”</w:t>
      </w:r>
      <w:r>
        <w:rPr>
          <w:rFonts w:hint="eastAsia" w:ascii="Calibri" w:hAnsi="宋体" w:eastAsia="宋体"/>
          <w:b w:val="0"/>
          <w:bCs/>
          <w:sz w:val="24"/>
          <w:szCs w:val="24"/>
        </w:rPr>
        <w:t>字样的收容项。为了便</w:t>
      </w:r>
      <w:r>
        <w:rPr>
          <w:rFonts w:hint="eastAsia" w:ascii="Calibri" w:hAnsi="宋体" w:eastAsia="宋体"/>
          <w:sz w:val="24"/>
          <w:szCs w:val="24"/>
        </w:rPr>
        <w:t>于识别，原则上规定收容项的代码尾数为</w:t>
      </w:r>
      <w:r>
        <w:rPr>
          <w:rFonts w:hint="eastAsia" w:ascii="Calibri" w:hAnsi="Calibri" w:eastAsia="宋体"/>
          <w:sz w:val="24"/>
          <w:szCs w:val="24"/>
        </w:rPr>
        <w:t>“</w:t>
      </w:r>
      <w:r>
        <w:rPr>
          <w:rFonts w:ascii="Calibri" w:hAnsi="Calibri" w:eastAsia="宋体"/>
          <w:sz w:val="24"/>
          <w:szCs w:val="24"/>
        </w:rPr>
        <w:t>9</w:t>
      </w:r>
      <w:r>
        <w:rPr>
          <w:rFonts w:hint="eastAsia" w:ascii="Calibri" w:hAnsi="Calibri" w:eastAsia="宋体"/>
          <w:sz w:val="24"/>
          <w:szCs w:val="24"/>
        </w:rPr>
        <w:t>”</w:t>
      </w:r>
      <w:r>
        <w:rPr>
          <w:rFonts w:hint="eastAsia" w:ascii="Calibri"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b w:val="0"/>
          <w:bCs/>
          <w:sz w:val="24"/>
          <w:szCs w:val="24"/>
        </w:rPr>
      </w:pPr>
      <w:r>
        <w:rPr>
          <w:rFonts w:ascii="黑体" w:hAnsi="Calibri" w:eastAsia="黑体"/>
          <w:b w:val="0"/>
          <w:bCs/>
          <w:sz w:val="24"/>
          <w:szCs w:val="24"/>
        </w:rPr>
        <w:t xml:space="preserve">4.3  </w:t>
      </w:r>
      <w:r>
        <w:rPr>
          <w:rFonts w:hint="eastAsia" w:ascii="Calibri" w:hAnsi="宋体" w:eastAsia="宋体"/>
          <w:b w:val="0"/>
          <w:bCs/>
          <w:sz w:val="24"/>
          <w:szCs w:val="24"/>
        </w:rPr>
        <w:t>当本标准大类、中类不再细分时，代码补</w:t>
      </w:r>
      <w:r>
        <w:rPr>
          <w:rFonts w:hint="eastAsia" w:ascii="Calibri" w:hAnsi="Calibri" w:eastAsia="宋体"/>
          <w:b w:val="0"/>
          <w:bCs/>
          <w:sz w:val="24"/>
          <w:szCs w:val="24"/>
        </w:rPr>
        <w:t>“</w:t>
      </w:r>
      <w:r>
        <w:rPr>
          <w:rFonts w:ascii="Calibri" w:hAnsi="Calibri" w:eastAsia="宋体"/>
          <w:b w:val="0"/>
          <w:bCs/>
          <w:sz w:val="24"/>
          <w:szCs w:val="24"/>
        </w:rPr>
        <w:t>0</w:t>
      </w:r>
      <w:r>
        <w:rPr>
          <w:rFonts w:hint="eastAsia" w:ascii="Calibri" w:hAnsi="Calibri" w:eastAsia="宋体"/>
          <w:b w:val="0"/>
          <w:bCs/>
          <w:sz w:val="24"/>
          <w:szCs w:val="24"/>
        </w:rPr>
        <w:t>”</w:t>
      </w:r>
      <w:r>
        <w:rPr>
          <w:rFonts w:hint="eastAsia" w:ascii="Calibri" w:hAnsi="宋体" w:eastAsia="宋体"/>
          <w:b w:val="0"/>
          <w:bCs/>
          <w:sz w:val="24"/>
          <w:szCs w:val="24"/>
        </w:rPr>
        <w:t>直至第四位。</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eastAsia="宋体"/>
          <w:sz w:val="24"/>
          <w:szCs w:val="24"/>
        </w:rPr>
      </w:pPr>
      <w:r>
        <w:rPr>
          <w:rFonts w:ascii="Calibri" w:hAnsi="Calibri" w:eastAsia="宋体"/>
          <w:sz w:val="24"/>
          <w:szCs w:val="24"/>
        </w:rPr>
        <w:drawing>
          <wp:inline distT="0" distB="0" distL="114300" distR="114300">
            <wp:extent cx="4591050" cy="2019300"/>
            <wp:effectExtent l="0" t="0" r="1143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91050" cy="2019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Calibri" w:hAnsi="宋体" w:eastAsia="宋体"/>
          <w:sz w:val="24"/>
          <w:szCs w:val="24"/>
        </w:rPr>
      </w:pPr>
      <w:r>
        <w:rPr>
          <w:rFonts w:hint="eastAsia" w:ascii="黑体" w:hAnsi="Calibri" w:eastAsia="黑体"/>
          <w:b w:val="0"/>
          <w:bCs/>
          <w:sz w:val="24"/>
          <w:szCs w:val="24"/>
        </w:rPr>
        <w:t>4.4</w:t>
      </w:r>
      <w:r>
        <w:rPr>
          <w:rFonts w:hint="eastAsia" w:ascii="Calibri" w:hAnsi="宋体" w:eastAsia="宋体"/>
          <w:sz w:val="24"/>
          <w:szCs w:val="24"/>
        </w:rPr>
        <w:t xml:space="preserve">  本标准的代码结构图如下：</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5  </w:t>
      </w:r>
      <w:r>
        <w:rPr>
          <w:rFonts w:hint="eastAsia" w:ascii="黑体" w:hAnsi="Calibri" w:eastAsia="黑体"/>
          <w:b w:val="0"/>
          <w:bCs/>
          <w:sz w:val="24"/>
          <w:szCs w:val="24"/>
        </w:rPr>
        <w:t>国民经济行业分类和代码表</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ascii="Calibri" w:hAnsi="宋体" w:eastAsia="宋体"/>
          <w:sz w:val="24"/>
          <w:szCs w:val="24"/>
        </w:rPr>
      </w:pPr>
      <w:r>
        <w:rPr>
          <w:rFonts w:hint="eastAsia" w:ascii="Calibri" w:hAnsi="宋体" w:eastAsia="宋体"/>
          <w:sz w:val="24"/>
          <w:szCs w:val="24"/>
        </w:rPr>
        <w:t>国民经济行业分类和代码见表</w:t>
      </w:r>
      <w:r>
        <w:rPr>
          <w:rFonts w:ascii="Calibri" w:hAnsi="宋体" w:eastAsia="宋体"/>
          <w:sz w:val="24"/>
          <w:szCs w:val="24"/>
        </w:rPr>
        <w:t>1</w:t>
      </w:r>
      <w:r>
        <w:rPr>
          <w:rFonts w:hint="eastAsia" w:ascii="Calibri"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ascii="Calibri" w:hAnsi="宋体" w:eastAsia="宋体"/>
          <w:b w:val="0"/>
          <w:bCs/>
          <w:sz w:val="28"/>
          <w:szCs w:val="28"/>
        </w:rPr>
      </w:pPr>
      <w:r>
        <w:rPr>
          <w:rFonts w:ascii="Calibri" w:hAnsi="宋体" w:eastAsia="宋体"/>
          <w:szCs w:val="21"/>
        </w:rPr>
        <w:br w:type="page"/>
      </w:r>
      <w:r>
        <w:rPr>
          <w:rFonts w:hint="eastAsia" w:ascii="黑体" w:hAnsi="Calibri" w:eastAsia="黑体"/>
          <w:b w:val="0"/>
          <w:bCs/>
          <w:sz w:val="28"/>
          <w:szCs w:val="28"/>
        </w:rPr>
        <w:t>表</w:t>
      </w:r>
      <w:r>
        <w:rPr>
          <w:rFonts w:ascii="黑体" w:hAnsi="Calibri" w:eastAsia="黑体"/>
          <w:b w:val="0"/>
          <w:bCs/>
          <w:sz w:val="28"/>
          <w:szCs w:val="28"/>
        </w:rPr>
        <w:t xml:space="preserve">1  </w:t>
      </w:r>
      <w:r>
        <w:rPr>
          <w:rFonts w:hint="eastAsia" w:ascii="黑体" w:hAnsi="Calibri" w:eastAsia="黑体"/>
          <w:b w:val="0"/>
          <w:bCs/>
          <w:sz w:val="28"/>
          <w:szCs w:val="28"/>
        </w:rPr>
        <w:t>国民经济行业分类和代码</w:t>
      </w:r>
    </w:p>
    <w:tbl>
      <w:tblPr>
        <w:tblStyle w:val="18"/>
        <w:tblW w:w="9889"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代    码</w:t>
            </w:r>
          </w:p>
        </w:tc>
        <w:tc>
          <w:tcPr>
            <w:tcW w:w="3402" w:type="dxa"/>
            <w:vMerge w:val="restart"/>
            <w:tcBorders>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类 别 名 称</w:t>
            </w:r>
          </w:p>
        </w:tc>
        <w:tc>
          <w:tcPr>
            <w:tcW w:w="3827" w:type="dxa"/>
            <w:vMerge w:val="restart"/>
            <w:tcBorders>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门类</w:t>
            </w:r>
          </w:p>
        </w:tc>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大类</w:t>
            </w:r>
          </w:p>
        </w:tc>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中类</w:t>
            </w:r>
          </w:p>
        </w:tc>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小类</w:t>
            </w:r>
          </w:p>
        </w:tc>
        <w:tc>
          <w:tcPr>
            <w:tcW w:w="3402" w:type="dxa"/>
            <w:vMerge w:val="continue"/>
            <w:tcBorders>
              <w:top w:val="single" w:color="000000" w:sz="4" w:space="0"/>
              <w:bottom w:val="single" w:color="000000" w:sz="4" w:space="0"/>
            </w:tcBorders>
            <w:noWrap w:val="0"/>
            <w:vAlign w:val="top"/>
          </w:tcPr>
          <w:p>
            <w:pPr>
              <w:spacing w:line="320" w:lineRule="exact"/>
              <w:rPr>
                <w:rFonts w:hint="eastAsia" w:ascii="宋体" w:hAnsi="宋体" w:eastAsia="宋体" w:cs="宋体"/>
                <w:color w:val="000000"/>
                <w:sz w:val="20"/>
                <w:szCs w:val="20"/>
              </w:rPr>
            </w:pPr>
          </w:p>
        </w:tc>
        <w:tc>
          <w:tcPr>
            <w:tcW w:w="3827" w:type="dxa"/>
            <w:vMerge w:val="continue"/>
            <w:tcBorders>
              <w:top w:val="single" w:color="000000" w:sz="4" w:space="0"/>
              <w:bottom w:val="single" w:color="000000" w:sz="4" w:space="0"/>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A</w:t>
            </w:r>
          </w:p>
        </w:tc>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op w:val="single" w:color="000000" w:sz="4" w:space="0"/>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农、林、牧、渔业</w:t>
            </w:r>
          </w:p>
        </w:tc>
        <w:tc>
          <w:tcPr>
            <w:tcW w:w="3827" w:type="dxa"/>
            <w:tcBorders>
              <w:top w:val="single" w:color="000000" w:sz="4" w:space="0"/>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本门类包括01～05大类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01</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指对各种农作物的种植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指以收获籽实为主的农作物的种植，包括稻谷、小麦、玉米等农作物的种植和作为饲料和工业原料的谷物的种植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稻谷种植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小麦种植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玉米种植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其他谷物种植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豆类、油料和薯类种植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豆类种植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油料种植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薯类种植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棉、麻、糖、烟草种植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棉花种植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糖料种植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指用于制糖的甘蔗和甜菜的种植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蔬菜、食用菌及园艺作物种植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食用菌种植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花卉种植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其他园艺作物种植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仁果类和核果类水果种植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指苹果、梨、桃、杏、李子等水果种植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葡萄种植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柑橘类种植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香蕉等亚热带水果种植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指香蕉、菠萝、芒果等亚热带水果种植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坚果、含油果、香料和饮料作物种植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坚果种植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含油果种植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指油茶、橄榄、油棕榈、油桐籽、椰子等种植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香料作物种植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茶叶种植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其他饮料作物种植</w:t>
            </w:r>
          </w:p>
        </w:tc>
        <w:tc>
          <w:tcPr>
            <w:tcW w:w="3827" w:type="dxa"/>
            <w:tcBorders>
              <w:tl2br w:val="nil"/>
              <w:tr2bl w:val="nil"/>
            </w:tcBorders>
            <w:noWrap w:val="0"/>
            <w:vAlign w:val="top"/>
          </w:tcPr>
          <w:p>
            <w:pPr>
              <w:spacing w:line="320" w:lineRule="exact"/>
              <w:ind w:right="-168" w:rightChars="-80"/>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中药材种植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指主要用于中药配制以及中成药加工的药材作物的种植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中草药种植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指主要用于中药配制以及中成药加工的各种中草药材作物的种植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其他中药材种植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草种植及割草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0181</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草种植</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指人工种植收获牧草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天然草原割草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指天然草原刈割收获牧草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02</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林业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林木育种和育苗</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林木育种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指应用遗传学原理选育、繁殖林木良种和繁殖林木新品种核心的栽植材料的林木遗传改良活动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林木育苗</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指通过人为活动将种子、穗条或植物其他组织培育成苗木的活动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造林和更新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指在宜林荒山荒地荒沙、采伐迹地、火烧迹地、疏林地、灌木林地等一切可造林的土地上通过人工造林、人工更新、封山育林、飞播造林等方式培育和恢复森林的活动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森林经营、管护和改培</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森林经营和管护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指为促进林木生长发育，在林木生长的不同时期进行的促进林木生长发育的活动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森林改培</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指为调整林分结构和树种组成，形成密度合理、物种丰富、功能完备的优质、高产、高效林而采取林分抚育、补植、补播等人工措施的活动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木材和竹材采运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指对林木和竹木的采伐，并将其运出山场至贮木场的生产活动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木材采运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竹材采运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林产品采集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指在天然林地和人工林地进行的各种林木产品和其他野生植物的采集等活动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木竹材林产品采集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非木竹材林产品采集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指在天然林地和人工林地进行的除木材、竹材产品外的其他各种林产品的采集活动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畜牧业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指为了获得各种畜禽产品而从事的动物饲养、捕捉活动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牲畜饲养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牛的饲养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马的饲养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猪的饲养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羊的饲养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骆驼饲养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其他牲畜饲养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家禽饲养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鸡的饲养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鸭的饲养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鹅的饲养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其他家禽饲养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狩猎和捕捉动物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指对各种野生动物的捕捉以及与此相关的活动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其他畜牧业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兔的饲养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蜜蜂饲养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其他未列明畜牧业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水产养殖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海水养殖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指利用海水对各种水生动植物的养殖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内陆养殖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指在内陆水域进行的各种水生动植物的养殖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水产捕捞</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海水捕捞</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指在海洋中对各种天然水生动植物的捕捞</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内陆捕捞</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指在内陆水域对各种天然水生动植物的捕捞</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农、林、牧、渔专业及辅助性活动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指对农业提供的各种专业及辅助性生产活动，不包括各种科学技术和专业技术服务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种子种苗培育活动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农业机械活动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指为农业生产提供农业机械并配备操作人员的活动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灌溉活动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指对农业生产灌溉排水系统的经营与管理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农产品初加工活动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农作物病虫害防治活动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指从事农作物重大病虫害防治等活动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指代耕代种代收、大田托管等其他农业活动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指为林业生产提供的林业有害生物防治、林地防火等各种辅助性活动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林业有害生物防治活动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森林防火活动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林产品初级加工活动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指对各种林产品进行去皮、打枝或去料、净化、初包装提供至贮木场或初级加工活动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其他林业专业及辅助性活动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指提供牲畜繁殖、圈舍清理、畜产品生产、初级加工、动物免疫接种、标识佩戴和动物诊疗等活动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畜牧良种繁殖活动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畜禽粪污处理活动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其他畜牧专业及辅助性活动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渔业专业及辅助性活动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指对渔业生产提供的各种活动，包括鱼苗及鱼种场、水产良种场和水产增殖场等活动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鱼苗及鱼种场活动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其他渔业专业及辅助性活动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B</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采矿业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pacing w:val="-6"/>
                <w:sz w:val="20"/>
                <w:szCs w:val="20"/>
              </w:rPr>
              <w:t xml:space="preserve">  本类包括06～12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煤炭开采和洗选业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指对各种煤炭的开采、洗选、分级等生产活动；不包括煤制品的生产和煤炭勘探活动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烟煤和无烟煤开采洗选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指对地下或露天烟煤、无烟煤的开采，以及对采出的烟煤、无烟煤及其他硬煤进行洗选、分级等提高质量的活动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褐煤开采洗选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指对褐煤——煤化程度较低的一种燃料的地下或露天开采，以及对采出的褐煤进行洗选、分级等提高质量的活动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其他煤炭采选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指对生长在古生代地层中的含碳量低、灰分高的煤炭资源（如石煤、泥炭）的开采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石油和天然气开采业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陆地石油开采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海洋石油开采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天然气开采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陆地天然气开采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海洋天然气及可燃冰开采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黑色金属矿采选业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指对铁矿石的采矿、选矿活动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锰矿、铬矿采选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其他黑色金属矿采选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指对钒矿等钢铁工业黑色金属辅助原料矿的采矿、选矿活动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有色金属矿采选业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指对常用有色金属矿、贵金属矿，以及稀有稀土金属矿的开采、选矿活动，包括深海有色金属矿开采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常用有色金属矿采选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指对铜、铅锌、镍钴、锡、锑、铝、镁、汞、镉、铋等常用有色金属矿的采选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铜矿采选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铅锌矿采选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镍钴矿采选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锡矿采选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锑矿采选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铝矿采选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镁矿采选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其他常用有色金属矿采选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贵金属矿采选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指对在地壳中含量极少的金、银和铂族元素（铂、铱、锇、钌、钯、铑）矿的采选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其他贵金属矿采选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稀有稀土金属矿采选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指对在自然界中含量较小，分布稀散或难以从原料中提取，以及研究和使用较晚的金属矿开采、精选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钨钼矿采选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稀土金属矿采选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指镧系金属及与镧系金属性质相近的金属矿的采选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放射性金属矿采选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指对主要含钍和铀的矿石开采，以及对这类矿石的精选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其他稀有金属矿采选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指对稀有轻金属矿、稀有高熔点金属矿、稀散金属矿采选活动，以及其他稀有金属矿的采选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非金属矿采选业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土砂石开采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石灰石、石膏开采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指对石灰、石膏，以及石灰石助熔剂的开采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建筑装饰用石开采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指通常在采石场切制加工各种纪念碑及建筑用石料的活动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耐火土石开采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粘土及其他土砂石开采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指用于建筑、陶瓷等方面的粘土开采，以及用于铺路和建筑材料的石料、石渣、砂的开采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化学矿开采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指对化学矿和肥料矿物的开采，包括海底化学矿开采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采盐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石棉及其他非金属矿采选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指对石棉、石墨、贵重宝石、金刚石、天然磨料及其他矿石的开采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石棉、云母矿采选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石墨、滑石采选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指对天然石墨、滑石的开采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宝石、玉石采选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指对贵重宝石、玉石、彩石的开采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其他未列明非金属矿采选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开采专业及辅助性活动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指为煤炭、石油和天然气等矿物开采提供的活动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煤炭开采和洗选专业及辅助性活动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石油和天然气开采专业及辅助性活动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其他开采专业及辅助性活动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其他采矿业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1200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其他采矿业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指对地热资源、矿泉水资源以及其他未列明的自然资源的开采，但不包括利用这些资源建立的热电厂和矿泉水厂的活动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C</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13～43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农副食品加工业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指直接以农、林、牧、渔业产品为原料进行的谷物磨制、饲料加工、植物油和制糖加工、屠宰及肉类加工、水产品加工，以及蔬菜、水果和坚果等食品的加工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谷物磨制</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也称粮食加工，指将稻谷、小麦、玉米、谷子、高粱等谷物去壳、碾磨，加工为成品粮的生产活动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稻谷加工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指将稻谷去壳、碾磨成大米的生产活动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小麦加工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指将小麦碾磨成小麦粉的生产活动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玉米加工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指将玉米碾碎或碾磨成玉米碴或玉米粉的生产活动，不含以玉米为原料的饲料加工、淀粉及淀粉制品制造、酒精制造等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杂粮加工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指将谷子、高粱、绿豆、红小豆等小宗谷类、豆类作物进行清理去壳、碾磨，加工为成品粮的生产活动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其他谷物磨制</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饲料加工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宠物饲料加工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指专门为合法饲养的猫、狗、鱼、鸟等小动物提供食物的加工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其他饲料加工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指适用于农场、农户饲养牲畜、家禽、水产品的饲料生产加工和用低值水产品及水产品加工废弃物（如鱼骨、内脏、虾壳）等为主要原料的饲料加工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植物油加工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食用植物油加工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指用各种食用植物油料生产油脂，以及精制食用油的加工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非食用植物油加工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指用各种非食用植物油料生产油脂的活动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制糖业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指以甘蔗、甜菜等为原料制作成品糖，以及以原糖或砂糖为原料精炼加工各种精制糖的生产活动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屠宰及肉类加工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牲畜屠宰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指对各种牲畜进行宰杀，以及鲜肉冷冻等保鲜活动，但不包括商业冷藏活动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禽类屠宰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指对各种禽类进行宰杀，以及鲜肉冷冻等保鲜活动，但不包括商业冷藏活动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肉制品及副产品加工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指主要以各种畜、禽肉及畜、禽副产品为原料加工成熟肉制品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水产品加工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水产品冷冻加工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指为了保鲜，将海水、淡水养殖或捕捞的鱼类、虾类、甲壳类、贝类、藻类等水生动物或植物进行的冷冻加工，但不包括商业冷藏活动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鱼糜制品及水产品干腌制加工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指鱼糜制品制造，以及水产品的干制、腌制等加工活动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鱼油提取及制品制造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指从鱼或鱼肝中提取油脂，并生产制品的活动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其他水产品加工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指对水生动植物进行的其他加工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蔬菜、菌类、水果和坚果加工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指用脱水、干制、冷藏、冷冻、腌制等方法，对蔬菜、菌类、水果、坚果的加工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食用菌加工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水果和坚果加工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其他农副食品加工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淀粉及淀粉制品制造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指用玉米、薯类、豆类及其他植物原料制作淀粉和淀粉制品的生产；还包括以淀粉为原料，经酶法或酸法转换得到的糖品生产活动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豆制品制造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指以大豆、小豆、绿豆、豌豆、蚕豆等豆类为主要原料，经加工制成食品的活动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蛋品加工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其他未列明农副食品加工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食品制造业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焙烤食品制造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糕点、面包制造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指用米粉、小麦粉、豆粉为主要原料，配以辅料，经成型、油炸、烤制而成的各种食品生产活动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饼干及其他焙烤食品制造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糖果、巧克力及蜜饯制造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糖果、巧克力制造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蜜饯制作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指以水果、坚果、果皮及植物的其他部分制作糖果蜜饯的活动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方便食品制造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指以米、小麦粉、杂粮等为主要原料加工制成，只需简单烹制即可作为主食，具有食用简便、携带方便，易于储藏等特点的食品制造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米、面制品制造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指以大米、小麦粉、杂粮等为主要原料，经加工制成各种未经蒸煮类米面制品的生产活动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速冻食品制造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方便面制造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其他方便食品制造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指用米、杂粮等为主要原料加工制成的，可以直接食用或只需简单蒸煮即可作为主食的各种方便主食食品的生产活动，以及其他未列明的方便食品制造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乳制品制造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指以生鲜牛（羊）乳及其制品为主要原料，经加工制成的液体乳及固体乳（乳粉、炼乳、乳脂肪、干酪等）制品的生产活动；不包括含乳饮料和植物蛋白饮料生产活动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液体乳制造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乳粉制造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其他乳制品制造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罐头食品制造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肉、禽类罐头制造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水产品罐头制造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蔬菜、水果罐头制造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其他罐头食品制造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指婴幼儿辅助食品类罐头、米面食品类罐头（如八宝粥罐头等）及上述未列明的罐头食品制造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调味品、发酵制品制造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味精制造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指以淀粉或糖蜜为原料，经微生物发酵、提取、精制等工序制成的，谷氨酸钠含量在80％及以上的鲜味剂的生产活动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酱油、食醋及类似制品制造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其他调味品、发酵制品制造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营养食品制造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保健食品制造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冷冻饮品及食用冰制造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指以砂糖、乳制品、豆制品、蛋制品、油脂、果料和食用添加剂等经混合配制、加热杀菌、均质、老化、冻结（凝冻）而成的冷食饮品的制造，以及食用冰的制造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盐加工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指以原盐为原料，经过化卤、蒸发、洗涤、粉碎、干燥、脱水、筛分等工序，或在其中添加碘酸钾及调味品等加工制成盐产品的生产活动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食品及饲料添加剂制造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指增加或改善食品特色的化学品，以及补充动物饲料的营养成分和促进生长、防治疫病的制剂的生产活动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15</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酒、饮料和精制茶制造业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指酒精、白酒、啤酒及其专用麦芽、黄酒、葡萄酒、果酒、配制酒以及其他酒的生产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酒精制造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指用玉米、小麦、薯类等淀粉质原料或用糖蜜等含糖质原料，经蒸煮、糖化、发酵及蒸馏等工艺制成的酒精产品的生产活动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白酒制造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指以高粱等粮谷为主要原料，以大曲、小曲或麸曲及酒母等为糖化发酵剂，经蒸煮、糖化、发酵、蒸馏、陈酿、勾兑而制成的蒸馏酒产品的生产活动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啤酒制造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黄酒制造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指以稻米、黍米、黑米、小麦、玉米等为主要原料，加曲、酵母等糖化发酵剂发酵酿制而成的发酵酒产品的生产活动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葡萄酒制造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指以新鲜葡萄或葡萄汁为原料，经全部或部分发酵酿制而成，含有一定酒精度的发酵酒产品的生产活动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指除葡萄酒以外的果酒、配制酒以及上述未列明的其他酒产品的生产活动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碳酸饮料制造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指在一定条件下充入二氧化碳气的饮用品制造，其成品中二氧化碳气的含量（20℃时的体积倍数）不低于2.0倍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瓶（罐）装饮用水制造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指以地下矿泉水和符合生活饮用水卫生标准的水为水源加工制成的，密封于塑料瓶（罐）、玻璃瓶或其他容器中，不含任何添加剂，可直接饮用的水的生产活动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果菜汁及果菜汁饮料制造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指以新鲜或冷藏水果和蔬菜为原料，经加工制得的果菜汁液制品生产活动，以及在果汁或浓缩果汁、蔬菜汁中加入水、糖液、酸味剂等，经调制而成的可直接饮用的饮品（果汁含量不低于10％）的生产活动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含乳饮料和植物蛋白饮料制造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1525</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固体饮料制造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指以糖、食品添加剂、果汁或植物抽提物等为原料，加工制成粉末状、颗粒状或块状制品[其成品水分(质量分数)不高于5％]的生产活动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茶饮料及其他饮料制造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指茶饮料、特殊用途饮料以及其他未列明的饮料制造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精制茶加工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指对毛茶或半成品原料茶进行筛分、轧切、风选、干燥、匀堆、拼配等精制加工茶叶的生产活动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16</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烟草制品业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烟叶复烤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指在原烟（初烤）基础上进行第二次烟叶水分调整的活动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卷烟制造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指各种卷烟生产，但不包括生产烟用滤嘴棒的纤维丝束原料的制造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其他烟草制品制造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17</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纺织业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棉纺织及印染精加工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指棉、棉型化纤（化纤短丝）纺织及印染精加工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棉纺纱加工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指以棉及棉型化学纤维为主要原料进行的纺纱加工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指以棉纱、混纺纱、化学纤维纱为主要原料进行的机织物织造加工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指对非自产的棉和化学纤维织物进行漂白、染色、印花、轧光、起绒、缩水等工序的加工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毛纺织及染整精加工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毛条和毛纱线加工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指以毛及毛型化学纤维为原料进行梳条的加工，按毛纺工艺（精梳、粗梳、半精梳）进行纺纱的加工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指以毛及毛型化学纤维纱线为原料进行的机织物织造加工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指对非自产的毛织物进行漂白、染色、印花等工序的染整精加工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麻纺织及染整精加工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麻纤维纺前加工和纺纱</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指以苎麻、亚麻、大麻、黄麻、剑麻、罗布麻等为原料的纺前纤维加工和纺纱加工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指以苎麻、亚麻、大麻、黄麻、剑麻、罗布麻纤维纱线等为主要原料的机织物织造加工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指对非自产的麻织物进行漂白、染色、印花等工序的染整精加工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丝绢纺织及印染精加工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缫丝加工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指由蚕茧经过加工缫制成丝的活动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绢纺和丝织加工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指以丝为主要原料进行的丝织物织造加工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丝印染精加工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指对非自产的丝织物进行漂白、染色、印花、轧光、起绒、缩水等工序的加工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化纤织造及印染精加工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指经纬双向或经向以化纤长丝(不包括化纤短纤）为主要原料生产的机织物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指以化纤长丝(含有色长丝)为主要原料生产的机织坯布、色织布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化纤织物染整精加工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指对化纤长丝坯布进行漂白、染色、印花、轧光、起绒、缩水等染整工序的加工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针织或钩针编织物及其制品制造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针织或钩针编织物织造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指采用经编、纬编、横编及钩针编工艺进行的针织物织造加工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针织或钩针编织物印染精加工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指对非自产的针织品进行漂白、染色、印花、轧光、起绒、缩水等工序的加工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指除针织或钩针编织服装以外的其他针织品或钩针编织品的加工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家用纺织制成品制造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床上用品制造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指以棉、麻、竹、丝、毛、化学纤维等纤维及纺织品为主要原料，加工制造床上用品（包括含有填充物的被子、睡袋、枕头等类产品）的生产活动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毛巾类制品制造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指以棉、麻、竹、丝及化学纤维等为主要原料，加工制造毛巾类产品的生产活动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窗帘、布艺类产品制造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指以棉、麻、丝、毛及化学纤维等为主要原料，加工制造窗帘、各种装饰罩（套）、靠垫、坐垫、贮物袋等生活用布艺产品的生产活动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其他家用纺织制成品制造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指以棉、麻、丝、毛及化学纤维等为主要原料，加工制造毛毯、桌布、台布、餐巾、擦布、洗碗巾等餐厨生活制品的其他家用纺织制成品生产活动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产业用纺织制成品制造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也称产业用纺织制成品制造（包括帐篷等户外及庭院休闲用品制造）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非织造布制造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绳、索、缆制造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指用天然纤维和化学纤维制造绳、索具、缆绳、合股线的生产活动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纺织带和帘子布制造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指帘子布、复合材料用基布、输送带基布、传送带和胶管等增强材料的生产活动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篷、帆布制造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指车用篷布、帐篷布、鞋用纺织材料、灯箱布等纺织材料的生产活动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其他产业用纺织制成品制造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纺织服装、服饰业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指以机织面料为主要原料，缝制各种男、女服装，以及儿童成衣的活动；包括非自产原料制作的服装，以及固定生产地点的服装制作活动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运动机织服装制造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指运动服、滑雪服、登山服、游泳衣等服装制造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指除运动机织服装以外的其他机织服装制造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指以针织、钩针编织面料为主要原料，经裁剪后缝制各种男、女服装，以及儿童成衣的活动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运动休闲针织服装制造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指针织T恤、针织休闲衫、针织运动类服装制造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其他针织或钩针编织服装制造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指除运动休闲针织服装以外其他针织或钩织编织服装制造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指帽子、手套、围巾、领带、领结、手绢，以及袜子等服装饰品的加工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皮革、毛皮、羽毛及其制品和制鞋业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皮革鞣制加工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指动物生皮经脱毛、鞣制等物理和化学方法加工，再经涂饰和整理，制成具有不易腐烂、柔韧、透气等性能的皮革生产活动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皮革服装制造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指全部或大部分用皮革、人造革、合成革为面料，制作各式服装的活动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皮箱、包（袋）制造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指全部或大部分用皮革、人造革、合成革为材料，或者以塑料、纺织物为材料，制作各种用途的皮箱、皮包(袋)，或其他材料的箱、包(袋)等制作活动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皮手套及皮装饰制品制造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指全部或大部分用皮革、人造革、合成革为材料制成的皮手套、皮带，以及皮领带等皮装饰制品的生产活动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其他皮革制品制造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指全部或大部分用皮革、人造革、合成革为材料制成上述未列明的其他各种皮革制品的生产活动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毛皮鞣制及制品加工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毛皮鞣制加工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指带毛动物生皮经鞣制等化学和物理方法处理后，保持其绒毛形态及特点的毛皮(又称裘皮)的生产活动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毛皮服装加工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指用各种动物毛皮和人造毛皮为面料或里料，加工制作毛皮服装的生产活动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其他毛皮制品加工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指用各种动物毛皮和人造毛皮为材料，加工制作上述类别未列明的其他各种用途毛皮制品的生产活动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羽毛(绒)加工及制品制造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羽毛（绒）加工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指对鹅、鸭等禽类羽毛进行加工成标准毛的生产活动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羽毛（绒）制品加工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指用加工过的羽毛(绒)作为填充物制作各种用途的羽绒制品(如羽绒服装、羽绒寝具、羽绒睡袋等)的生产活动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制鞋业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指纺织面料鞋、皮鞋、塑料鞋、橡胶鞋及其他各种鞋的生产活动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纺织面料鞋制造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指用各种纺织面料、木材、棕草等原料缝制、模压或编制各种鞋的生产活动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指全部或大部分用皮革、人造革、合成革为面料，以橡胶、塑料或合成材料等为外底，按缝绱、胶粘、模压、注塑等工艺方法制作各种皮鞋的生产活动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指以聚氯乙烯、聚乙烯、聚氨酯和乙烯醋酸乙烯等树脂为原料生产发泡或不发泡的塑料鞋类制品的活动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指以橡胶作为鞋底、鞋帮的运动鞋及其他橡胶鞋和橡胶鞋部件的生产活动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其他制鞋业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木材加工和木、竹、藤、棕、草制品业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木材加工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锯材加工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木片加工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指利用森林采伐、造材、加工等剩余物和定向培育的木材，经削（刨）片机加工成一定规格的产品生产活动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单板加工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指用于胶合板、细工木板、木质重组装饰材、装饰单板（厚度0.55mm以下)、单层板积材（LVL）、纺织用木质层压板、电工层压板和木质层积塑料等材料的生产活动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其他木材加工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指对木材进行干燥、防腐、改性、染色加工等活动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人造板制造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胶合板制造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指具有一定规格的原木经旋（刨）切成单板，再经干燥、涂胶、组坯、热压而成的符合国家标准及供需双方协定标准的产品生产活动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纤维板制造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指用木材碎料（包括木片）、棉秆、甘蔗渣、芦苇等植物纤维作原料，经削片纤维分离，铺装成型，热压而成的产品生产活动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刨花板制造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指用木材碎料（包括木片）和其他植物纤维作原料，制成刨花，经干燥、施胶，铺装成型，热压而成的产品生产活动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其他人造板制造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包括非木质人造板、细工木板、胶合木等其他各类人造板的制造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木质制品制造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指以木材为原料加工成建筑用木料和木材组件、木容器、软木制品及其他木制品的生产活动，但不包括木质家具的制造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建筑用木料及木材组件加工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指主要用于建筑施工工程的木质制品，如建筑施工用的大木工或其他支撑物，以及建筑木工的生产活动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木门窗制造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木楼梯制造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木地板制造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木制容器制造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软木制品及其他木制品制造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指天然软木除去表皮，经初加工后获得的结块软木及其制品的生产活动，以及其他未列明的木质产品的生产活动，包括整体定制家具制造的活动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竹、藤、棕、草等制品制造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指除木材以外，以竹、藤、棕、草等天然植物为原料生产制品的活动，但不包括家具的制造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指竹胶合板、竹地板、竹丝板、竹梯子、竹键盘、竹篮子、竹筷子、竹席、高温竹炭制品等竹制工业用品、建筑用品、包装用品、保健品和生活日用品的制造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藤制品制造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棕制品制造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草及其他制品制造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家具制造业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木质家具制造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指以天然木材和木质人造板为主要材料，配以其他辅料（如油漆、贴面材料、玻璃、五金配件等）制作各种家具的生产活动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竹、藤家具制造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指以竹材和藤材为主要材料，配以其他辅料制作各种家具的生产活动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指支(框)架及主要部件以铸铁、钢材、钢板、钢管、合金等金属为主要材料，结合使用木、竹、塑等材料，配以人造革、尼龙布、泡沫塑料等其他辅料制作各种家具的生产活动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指用塑料管、板、异型材加工或用塑料、玻璃钢（即增强塑料）直接在模具中成型的家具的生产活动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由弹性材料(如弹簧、蛇簧、拉簧等)和软质材料(如棕丝、棉花、乳胶海绵、泡沫塑料等)，辅以绷结材料(如绷绳、绷带、麻布等)和装饰面料及饰物(如棉、毛、化纤织物及牛皮、羊皮、人造革等)制成的各种软家具；以玻璃为主要材料，辅以木材或金属材料制成的各种玻璃家具，以及其他未列明的原材料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造纸和纸制品业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纸浆制造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指经机械或化学方法加工纸浆的生产活动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木竹浆制造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非木竹浆制造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造纸</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指用纸浆或其他原料（如矿渣棉、云母、石棉等）悬浮在流体中的纤维，经过造纸机或其他设备成型，或手工操作而成的纸及纸板的制造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机制纸及纸板制造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手工纸制造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指采用手工操作成型，制成纸的生产活动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加工纸制造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指对原纸及纸板进一步加工的生产活动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纸制品制造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指用纸及纸板为原料，进一步加工制成纸制品的生产活动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纸和纸板容器制造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其他纸制品制造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指符合出售规格或包装要求的纸制品，以及其他未列明的纸制品的制造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印刷和记录媒介复制业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印刷</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书、报刊印刷</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本册印制</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指由各种纸及纸板制作的，用于书写和其他用途的本册生产活动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包装装潢及其他印刷</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指根据一定的商品属性、形态，采用一定的包装材料，经过对商品包装的造型结构艺术和图案文字的设计与安排来装饰美化商品的印刷，以及其他印刷活动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装订及印刷相关服务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指专门企业从事的装订、压印媒介制造等与印刷有关的服务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记录媒介复制</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指将母带、母盘上的信息进行批量翻录的生产活动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文教、工美、体育和娱乐用品制造业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文教办公用品制造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指办公、学习等使用的各种文具的制造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笔的制造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指用于学习、办公或绘画等用途的各种笔制品的制造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教学用模型及教具制造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指主要用于教学的各种专用模型、标本及教具的制造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墨水、墨汁制造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其他文教办公用品制造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指上述未列明的文教办公类用品的制造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指中国民族乐器、西乐器等各种乐器及乐器零部件和配套产品的制造，但不包括玩具乐器的制造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西乐器制造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其他乐器及零件制造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指其他未列明的乐器、乐器零件及配套产品的制造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工艺美术及礼仪用品制造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雕塑工艺品制造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漆器工艺品制造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花画工艺品制造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天然植物纤维编织工艺品制造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指以竹、藤、棕、草、柳、葵、麻等天然植物纤维为材料，经编织或镶嵌而成具有造型艺术或图案花纹，以欣赏为主的工艺陈列品、礼仪用品以及工艺实用品的制作活动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抽纱刺绣工艺品制造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地毯、挂毯制造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珠宝首饰及有关物品制造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指以金、银、铂等贵金属及其合金以及钻石、宝石、玉石、翡翠、珍珠等为原料，经金属加工和连结组合、镶嵌等工艺加工制作各种图案的装饰品和礼仪用品的制作活动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其他工艺美术及礼仪用品制造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球类制造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指各种皮制、胶制、革制的可充气的运动用球，以及其他材料制成的各种运动用硬球、软球等球类产品的生产活动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专项运动器材及配件制造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指各项竞技比赛和训练用器材及用品，体育场馆设施及器件的生产活动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健身器材制造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指供健身房、家庭或体育训练用的健身器材及运动物品的制造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运动防护用具制造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指用各种材质，为各项运动特制手套、鞋、帽和护具的生产活动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指钓鱼专用的各种用具及用品，以及上述未列明的体育用品制造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指以儿童为主要使用者，用于玩耍、智力开发等娱乐器具的制造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指制造供14岁以下儿童玩耍的、至少有一种玩耍功能需要使用额定电压小于或等于24V的玩具产品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塑胶玩具制造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指制造供14岁以下儿童玩耍的、玩具主体或主要玩耍部分由塑胶制成的，非预定承载儿童体重的非电玩具产品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指制造供14岁以下儿童玩耍的、玩具主体或主要玩耍部分由金属材料制成的，非预定承载儿童体重的非电玩具产品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弹射玩具制造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指制造供14岁以下儿童玩耍的，各种材质的通过可贮存和释放能量的弹射机构发射弹射物的蓄能弹射玩具和由儿童给予的能量发射弹射物的非蓄能弹射玩具的玩具产品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娃娃玩具制造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指制造供14岁以下儿童玩耍的、至少头部和四肢由非纺织物材质的聚合材料制成，并带有服装或身体由软性材料填充的非电的婴儿娃娃或人物娃娃玩具产品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儿童乘骑玩耍的童车类产品制造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指制造供儿童乘骑玩耍的童车类产品（含儿童推车、婴儿学步车）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游艺器材及娱乐用品制造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露天游乐场所游乐设备制造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指主要安装在公园、游乐园、水上乐园、儿童乐园等露天游乐场所的电动及非电动游乐设备和游艺器材的制造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游艺用品及室内游艺器材制造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指主要供室内、桌上等游艺及娱乐场所使用的游乐设备、游艺器材和游艺娱乐用品，以及主要安装在室内游乐场所的电子游乐设备的制造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其他娱乐用品制造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25</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石油、煤炭及其他燃料加工业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精炼石油产品制造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原油加工及石油制品制造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指从天然原油、人造原油中提炼液态或气态燃料以及石油制品的生产活动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2519</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其他原油制造</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指采用油页岩、油砂、焦油以及一氧化碳、氢等气体等加工得到的类似天然石油的液体燃料的生产活动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煤炭加工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炼焦</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指主要从硬煤和褐煤中生产焦炭、干馏炭及煤焦油或沥青等副产品的炼焦炉的操作活动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煤制合成气生产</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煤制液体燃料生产</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指通过化学加工过程把固体煤炭转化成为液体燃料、化工原料和产品的活动，如煤制甲醇、煤制烯烃等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指用烟煤、无烟煤、褐煤及其他各种煤炭制成的煤砖、煤球等固体燃料制品的活动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其他煤炭加工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指煤质活性炭等其他煤炭加工活动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核燃料加工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生物质燃料加工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2541</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生物质液体燃料生产</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生物质致密成型燃料加工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包括对下列生物质燃料的加工活动：林木致密成型燃料，秸秆致密成型燃料，废物、废料致密成型燃料，其他生物致密成型燃料；不包括：木炭、竹炭加工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化学原料和化学制品制造业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基础化学原料制造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无机酸制造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无机碱制造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指烧碱、纯碱等生产活动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无机盐制造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有机化学原料制造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其他基础化学原料制造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指化学肥料、有机肥料及微生物肥料的制造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氮肥制造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指矿物氮肥及用化学方法制成含有作物营养元素氮的化肥的生产活动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磷肥制造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指以磷矿石为主要原料，用化学或物理方法制成含有作物营养元素磷的化肥的生产活动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钾肥制造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指用天然钾盐矿经富集精制加工制成含有作物营养元素钾的化肥的生产活动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复混肥料制造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指经过化学或物理方法加工制成的，含有两种以上作物所需主要营养元素（氮、磷、钾）的化肥的生产活动；包括通用型复混肥料和专用型复混肥料</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有机肥料及微生物肥料制造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指来源于动植物，经发酵或腐熟等化学处理后，适用于土壤并提供植物养分供给的，其主要成分为含氮物质的肥料制造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指上述未列明的微量元素肥料及其他肥料的生产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化学农药制造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指化学农药原药，以及经过机械粉碎、混合或稀释制成粉状、乳状和水状的化学农药制剂的生产活动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生物化学农药及微生物农药制造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指由细菌、真菌、病毒和原生动物或基因修饰的微生物等自然产生，以及由植物提取的防治病、虫、草、鼠和其他有害生物的农药制剂生产活动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涂料、油墨、颜料及类似产品制造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涂料制造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指在天然树脂或合成树脂中加入颜料、溶剂和辅助材料，经加工后制成的覆盖材料的生产活动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油墨及类似产品制造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指由颜料、联接料（植物油、矿物油、树脂、溶剂）和填充料经过混合、研磨调制而成，用于印刷的有色胶浆状物质，以及用于计算机打印、复印机用墨等生产活动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工业颜料制造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指用于陶瓷、搪瓷、玻璃等工业的无机颜料及类似材料的生产活动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工艺美术颜料制造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指油画、水粉画、广告等艺术用颜料的制造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染料制造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指有机合成、植物性或动物性色料，以及有机颜料的生产活动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密封用填料及类似品制造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指用于建筑涂料、密封和漆工用的填充料，以及其他类似化学材料的制造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初级形态塑料及合成树脂制造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也称初级塑料或原状塑料的生产活动，包括通用塑料、工程塑料、功能高分子塑料的制造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合成橡胶制造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指用一种或多种单体为原料进行聚合生产合成橡胶或高分子弹性体的生产活动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合成纤维单（聚合）体制造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指以石油、天然气、煤等为主要原料，用有机合成的方法制成合成纤维单体或聚合体的生产活动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其他合成材料制造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指陶瓷纤维等特种纤维及其增强的复合材料的生产活动；其他专用合成材料的制造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专用化学产品制造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化学试剂和助剂制造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指各种化学试剂、催化剂及专用助剂的生产活动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专项化学用品制造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指水处理化学品、造纸化学品、皮革化学品、油脂化学品、油田化学品、生物工程化学品、日化产品专用化学品等产品的生产活动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林产化学产品制造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指以林产品为原料，经过化学和物理加工方法生产产品的活动，包括木炭、竹炭生产活动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文化用信息化学品制造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指电影、照相、幻灯及投影用感光材料、冲洗套药，磁、光记录材料，光纤维通讯用辅助材料，及其专用化学制剂的制造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医学生产用信息化学品制造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指医学和其他生产用感光材料、冲洗套药等化学制剂制造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环境污染处理专用药剂材料制造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指对水污染、空气污染、固体废物、土壤污染等污染物处理所专用的化学药剂及材料的制造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指以动物骨、皮为原料，经一系列工艺处理制成有一定透明度、黏度、纯度的胶产品的生产活动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其他专用化学产品制造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指其他各种用途的专用化学用品的制造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炸药、火工及焰火产品制造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炸药及火工产品制造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指各种军用和生产用炸药、雷管及类似的火工产品的制造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焰火、鞭炮产品制造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指节日、庆典用焰火及民用烟花、鞭炮等产品的制造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日用化学产品制造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肥皂及洗涤剂制造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化妆品制造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指以涂抹、喷洒或者其他类似方法，撒布于人体表面任何部位（皮肤、毛发、指甲、口唇等），以达到清洁、消除不良气味、护肤、美容和修饰目的的日用化学工业产品的制造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口腔清洁用品制造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指用于口腔或牙齿清洁卫生制品的生产活动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香料、香精制造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香气和香味，用于调配香精的物质——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其他日用化学产品制造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指室内散香或除臭制品，光洁用品，擦洗膏及类似制品，动物用化妆盥洗品，火柴，蜡烛及类似制品等日用化学产品的生产活动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27</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医药制造业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化学药品原料药制造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指供进一步加工化学药品制剂、生物药品制剂所需的原料药生产活动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化学药品制剂制造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指直接用于人体疾病防治、诊断的化学药品制剂的制造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中药饮片加工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指对采集的天然或人工种植、养殖的动物、植物和矿物的药材部位进行加工、炮制，使其符合中药处方调剂或中成药生产使用的活动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中成药生产</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以中药材为原料，在中医药理论指导下，为了预防及治疗疾病的需要，按规定的处方和制剂工艺将其加工制成一定剂型的中药制品的生产活动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兽用药品制造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指用于动物疾病防治医药的制造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生物药品制品制造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指利用生物技术生产生物化学药品、基因工程药物和疫苗的制剂生产活动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生物药品制造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指利用生物技术生产生物化学药品的生产活动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基因工程药物和疫苗制造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277</w:t>
            </w:r>
          </w:p>
          <w:p>
            <w:pPr>
              <w:spacing w:line="320" w:lineRule="exact"/>
              <w:rPr>
                <w:rFonts w:hint="eastAsia" w:ascii="宋体" w:hAnsi="宋体" w:eastAsia="宋体" w:cs="宋体"/>
                <w:color w:val="000000"/>
                <w:sz w:val="20"/>
                <w:szCs w:val="20"/>
              </w:rPr>
            </w:pPr>
          </w:p>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2770</w:t>
            </w:r>
          </w:p>
          <w:p>
            <w:pPr>
              <w:spacing w:line="320" w:lineRule="exact"/>
              <w:rPr>
                <w:rFonts w:hint="eastAsia" w:ascii="宋体" w:hAnsi="宋体" w:eastAsia="宋体" w:cs="宋体"/>
                <w:color w:val="000000"/>
                <w:sz w:val="20"/>
                <w:szCs w:val="20"/>
              </w:rPr>
            </w:pPr>
          </w:p>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2780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卫生材料及医药用品制造</w:t>
            </w:r>
          </w:p>
          <w:p>
            <w:pPr>
              <w:spacing w:line="320" w:lineRule="exact"/>
              <w:rPr>
                <w:rFonts w:hint="eastAsia" w:ascii="宋体" w:hAnsi="宋体" w:eastAsia="宋体" w:cs="宋体"/>
                <w:color w:val="000000"/>
                <w:sz w:val="20"/>
                <w:szCs w:val="20"/>
              </w:rPr>
            </w:pPr>
          </w:p>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药用辅料及包装材料制造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指卫生材料、外科敷料以及其他内、外科用医药制品的制造</w:t>
            </w:r>
          </w:p>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指药品用辅料和包装材料等制造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28</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化学纤维制造业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纤维素纤维原料及纤维制造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化纤浆粕制造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指纺织生产用粘胶纤维的基本原料生产活动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人造纤维（纤维素纤维）制造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指用化纤浆粕经化学加工生产纤维的活动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指以石油、天然气、煤等为主要原料，用有机合成的方法制成单体，聚合后经纺丝加工生产纤维的活动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锦纶纤维制造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也称聚酰胺纤维制造，指由尼龙66盐和聚己内酰胺为主要原料生产合成纤维的活动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涤纶纤维制造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是聚酯纤维制造的一种，指以聚对苯二甲酸乙二醇酯为原料生产合成纤维的活动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腈纶纤维制造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也称聚丙烯腈纤维制造，指以丙烯腈为主要原料（含丙烯腈85%以上）生产合成纤维的活动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维纶纤维制造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也称聚乙烯醇纤维制造，指以聚乙烯醇为主要原料生产合成纤维的活动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丙纶纤维制造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也称聚丙烯纤维制造，指以聚丙烯为主要原料生产合成纤维的活动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氨纶纤维制造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也称聚氨酯纤维制造，指以聚氨基甲酸酯为主要原料生产合成纤维的活动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其他合成纤维制造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生物基材料制造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生物基化学纤维制造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指以生物单体或天然有机高分子为原料生产纤维的活动，除天然动植物纤维外，特指生物基再生纤维、生物基合成纤维等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生物基、淀粉基新材料制造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指使用可再生生物资源（如玉米、木薯、秸秆等）经过糖化、发酵、聚合等步骤制成的聚乳酸等生物基、淀粉基材料的活动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橡胶和塑料制品业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橡胶制品业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指以天然及合成橡胶为原料生产各种橡胶制品的活动，还包括利用废橡胶再生产橡胶制品的活动；不包括橡胶鞋制造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center"/>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轮胎制造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橡胶板、管、带制造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橡胶零件制造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指各种用途的橡胶异形制品、橡胶零配件制品的生产活动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再生橡胶制造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指用废橡胶生产再生橡胶的活动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日用及医用橡胶制品制造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运动场地用塑胶制造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指运动场地、操场及其他特殊场地用的合成材料跑道面层制造和其他塑胶制造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其他橡胶制品制造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塑料制品业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塑料薄膜制造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指用于农业覆盖，工业、商业及日用包装薄膜的制造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塑料板、管、型材制造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指各种塑料板、管及管件、棒材、薄片等生产活动，以及以聚氯乙烯为主要原料，经连续挤出成型的塑料异型材的生产活动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塑料丝、绳及编织品制造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指塑料制丝、绳、扁条，塑料袋及编织袋、编织布等生产活动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泡沫塑料制造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指以合成树脂为主要原料，经发泡成型工艺加工制成内部具有微孔的塑料制品的生产活动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塑料人造革、合成革制造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塑料包装箱及容器制造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指用吹塑或注塑工艺等制成的，可盛装各种物品或液体物质，以便于储存、运输等用途的塑料包装箱及塑料容器制品的生产活动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日用塑料制品制造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指塑料制餐、厨用具，卫生设备、洁具及其配件，塑料服装，日用塑料装饰品，以及其他日用塑料制品的生产活动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人造草坪制造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指采用合成纤维，植入在机织的基布上，并具有天然草运动性能的人造草制造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塑料零件及其他塑料制品制造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指塑料制绝缘零件、密封制品、紧固件，以及汽车、家具等专用零配件的制造，以及上述未列明的其他各类非日用塑料制品的生产活动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30</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非金属矿物制品业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水泥、石灰和石膏制造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指以水泥熟料加入适量石膏或一定混合材，经研磨设备（水泥磨）磨制到规定的细度，制成水凝水泥的生产活动，还包括水泥熟料的生产活动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石灰和石膏制造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石膏、水泥制品及类似制品制造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水泥制品制造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指水泥制管、杆、桩、砖、瓦等制品制造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砼结构构件制造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指用于建筑施工工程的水泥混凝土预制构件的生产活动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石棉水泥制品制造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轻质建筑材料制造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指石膏板、石膏制品及类似轻质建筑材料的制造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其他水泥类似制品制造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指玻璃纤维增强水泥制品，以及其他未列明的水泥制品的制造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砖瓦、石材等建筑材料制造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指粘土、陶瓷砖瓦的生产，建筑用石的加工，用废料或废渣生产的建筑材料，以及其他建筑材料的制造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粘土砖瓦及建筑砌块制造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指用粘土和其他材料生产的砖、瓦及建筑砌块的活动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建筑用石加工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指用于建筑、筑路、墓地及其他用途的大理石板、花岗岩等石材的切割、成形和修饰活动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防水建筑材料制造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指以沥青或类似材料为主要原料制造防水材料的活动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隔热和隔音材料制造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指用于隔热、隔音、保温的岩石棉、矿渣棉、膨胀珍珠岩、膨胀蛭石等矿物绝缘材料及其制品的制造，但不包括石棉隔热、隔音材料的制造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指任何形态玻璃的生产，以及利用废玻璃再生产玻璃活动，包括特制玻璃的生产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平板玻璃制造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指用浮法、垂直引上法、压延法等生产平板玻璃原片的活动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特种玻璃制造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指具有钢化、单向透视、耐高压、耐高温、隔音、防紫外线、防弹、防爆、中空、夹层、变形、超厚、超薄等某一种特殊功能或特殊工艺的玻璃制造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指未列明的玻璃制造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指任何形态玻璃制品的生产，以及利用废玻璃再生产玻璃制品的活动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技术玻璃制品制造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指用于建筑、工业生产的技术玻璃制品的制造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光学玻璃制造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指用于放大镜、显微镜、光学仪器等方面的光学玻璃，日用光学玻璃，钟表用玻璃或类似玻璃，光学玻璃眼镜毛坯的制造，以及未进行光学加工的光学玻璃元件的制造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玻璃仪器制造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指实验室、医疗卫生用各种玻璃仪器和玻璃器皿以及玻璃管的制造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指餐厅、厨房、卫生间、室内装饰及其他生活用玻璃制品的制造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玻璃包装容器制造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指主要用于产品包装的各种玻璃容器的制造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玻璃保温容器制造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指玻璃保温瓶和其他个人或家庭用玻璃保温容器的制造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制镜及类似品加工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指以平板玻璃为材料，经对其进行镀银、镀铝，或冷、热加工后成型的镜子及类似制品的制造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玻璃纤维和玻璃纤维增强塑料制品制造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玻璃纤维及制品制造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玻璃纤维增强塑料制品制造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也称玻璃钢，指用玻璃纤维增强热固性树脂生产塑料制品的活动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陶瓷制品制造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建筑陶瓷制品制造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指用于建筑物的内、外墙及地面装饰或耐酸腐蚀的陶瓷材料（不论是否涂釉）的生产活动，以及水道、排水沟的陶瓷管道及配件的制造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卫生陶瓷制品制造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指卫生和清洁盥洗用的陶瓷用具的生产活动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特种陶瓷制品制造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指专为工业、农业、实验室等领域的各种特定用途和要求，采用特殊生产工艺制造陶瓷制品的生产活动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指以粘土、瓷石、长石、石英等为原料，经破碎、制泥、成型、烧炼等工艺制成，主要供日常生活用的各种瓷器、炻器、陶器等陶瓷制品的制造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陈设艺术陶瓷制造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指以粘土、瓷土、瓷石、长石、石英等为原料，经制胎、施釉、装饰、烧制等工艺制成，主要供欣赏、装饰的陶瓷工艺美术品制造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园艺陶瓷制造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指专门为园林、公园、室外景观的摆设或具有一定功能的大型陶瓷制造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指以石英、长石、瓷土等为原料，经制胎、施釉、装饰、烧成等工艺制成的实用陶瓷的制造，以及其他未列明的陶瓷制品的制造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耐火材料制品制造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指以石棉或其他矿物纤维素为基础，制造摩擦制品、石棉纺织制品、石棉橡胶制品、石棉保温隔热材料制品的生产活动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云母制品制造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耐火陶瓷制品及其他耐火材料制造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指用硅质、粘土质、高铝质等石粉成形的陶瓷隔热制品的制造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石墨及其他非金属矿物制品制造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石墨及碳素制品制造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指以炭、石墨材料加工的特种石墨制品、石墨烯、碳素制品、异形制品，以及用树脂和各种有机物浸渍加工而成的碳素异形产品的制造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其他非金属矿物制品制造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黑色金属冶炼和压延加工业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指用高炉法、直接还原法、熔融还原法等，将铁从矿石等含铁化合物中还原出来的生产活动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指利用不同来源的氧（如空气、氧气）来氧化炉料（主要是生铁）所含杂质的金属提纯活动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钢压延加工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指通过热轧、冷加工、锻压和挤压等塑性加工使连铸坯、钢锭产生塑性变形，制成具有一定形状尺寸的钢材产品的生产活动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铁合金冶炼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指铁与其他一种或一种以上的金属或非金属元素组成的合金生产活动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有色金属冶炼和压延加工业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常用有色金属冶炼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指通过熔炼、精炼、电解或其他方法从有色金属矿、废杂金属料等有色金属原料中提炼常用有色金属的生产活动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铜冶炼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指对铜精矿等矿山原料、废杂铜料进行熔炼、精炼、电解等提炼铜的生产活动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铅锌冶炼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镍钴冶炼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锡冶炼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锑冶炼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铝冶炼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指对铝矿山原料通过冶炼、电解、铸型，以及对废杂铝料进行熔炼等提炼铝的生产活动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镁冶炼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硅冶炼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其他常用有色金属冶炼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贵金属冶炼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指对金、银及铂族金属的提炼活动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指用金精（块）矿、阳极泥（冶炼其他有色金属时回收的阳极泥含金）、废杂金提炼黄金的生产活动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指用银精（块）矿、阳极泥（冶炼其他有色金属时回收的阳极泥含银）、废杂银提炼白银的生产活动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其他贵金属冶炼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稀有稀土金属冶炼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指钨钼、稀有轻金属、稀有高熔点金属、稀散金属、稀土金属及其他稀有稀土金属冶炼活动，但不包括钍和铀等放射性金属的冶炼加工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钨钼冶炼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稀土金属冶炼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其他稀有金属冶炼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有色金属合金制造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指以有色金属为基体，加入一种或几种其他元素所构成的合金生产活动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有色金属压延加工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铜压延加工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指铜及铜合金的压延加工生产活动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铝压延加工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指铝及铝合金的压延加工生产活动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贵金属压延加工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指对金、银及铂族等贵金属，进行轧制、拉制或挤压加工的生产活动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稀有稀土金属压延加工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指对钨、钼、钽等稀有金属材的加工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其他有色金属压延加工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33</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金属制品业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结构性金属制品制造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金属结构制造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指以铁、钢或铝等金属为主要材料，制造金属构件、金属构件零件、建筑用钢制品及类似品的生产活动，这些制品可以运输，并便于装配、安装或竖立</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金属门窗制造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指用金属材料（铝合金或其他金属）制作建筑物用门窗及类似品的生产活动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切削工具制造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指手工或机床用可互换的切削工具的制造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手工具制造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指在生产和日常生活中，进行装配、安装、维修时使用的手工工具的制造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农用及园林用金属工具制造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指主要用于农牧业生产的小农具，园艺或林业作业用金属工具的制造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刀剪及类似日用金属工具制造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指日常生活用刀剪、刀具、指甲钳等类似金属工具的制造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指上述类别未包括的用于各种用途的金属工具的制造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集装箱及金属包装容器制造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集装箱制造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指专门设计，可长期反复使用，不用换箱内货物，便可从一种运输方式转移到另一种运输方式的放置货物的钢质箱体（其容积大于1m</w:t>
            </w:r>
            <w:r>
              <w:rPr>
                <w:rFonts w:hint="eastAsia" w:ascii="宋体" w:hAnsi="宋体" w:eastAsia="宋体" w:cs="宋体"/>
                <w:color w:val="000000"/>
                <w:sz w:val="20"/>
                <w:szCs w:val="20"/>
                <w:vertAlign w:val="superscript"/>
              </w:rPr>
              <w:t>3</w:t>
            </w:r>
            <w:r>
              <w:rPr>
                <w:rFonts w:hint="eastAsia" w:ascii="宋体" w:hAnsi="宋体" w:eastAsia="宋体" w:cs="宋体"/>
                <w:color w:val="000000"/>
                <w:sz w:val="20"/>
                <w:szCs w:val="20"/>
              </w:rPr>
              <w:t>）的生产活动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金属压力容器制造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指用于存装压缩气体、液化气体及其他具有一定压力的液体物质的金属容器（不论其是否配有顶盖、塞子，或衬有除铁、钢、铝以外的材料）的制造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金属包装容器及材料制造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指主要为商品运输或包装而制作的金属包装容器及附件的制造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金属丝绳及其制品制造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建筑、安全用金属制品制造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建筑、家具用金属配件制造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指用于建筑物、家具、交通工具或其他场所和用具的金属装置、锁及其金属配件的制造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建筑装饰及水暖管道零件制造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安全、消防用金属制品制造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指安全、消防用金属保险柜、保险箱、消防梯等金属制品的制造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其他建筑、安全用金属制品制造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金属表面处理及热处理加工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指对外来的金属物件表面进行的电镀、镀层、抛光、喷涂、着色等专业性作业加工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指在金属坯体表面涂搪瓷釉制成的，具有金属机械强度和瓷釉物化特征，及可装饰性的制品制造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生产专用搪瓷制品制造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指专为工业生产设备、工业产品及家电配套的各种搪瓷制品的制造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建筑装饰搪瓷制品制造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指用于建筑及其装饰方面的搪瓷制品和搪瓷制建筑材料的制造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搪瓷卫生洁具制造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指卫生用和清洁盥洗用搪瓷用具的生产活动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搪瓷日用品及其他搪瓷制品制造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指金属薄板经过成型、搪烧制成的日用品及其他搪瓷制品的制造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金属制日用品制造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指以不锈钢、铝等金属为主要原材料，加工制作各种日常生活用金属制品的生产活动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金属制厨房用器具制造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指厨房烹制、调理用各种金属器具、用具的生产活动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金属制餐具和器皿制造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金属制卫生器具制造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指卫生用和清洁盥洗用的各种金属器具、用具的生产活动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其他金属制日用品制造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铸造及其他金属制品制造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黑色金属铸造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指铸铁件、铸钢件等各种成品、半成品的制造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有色金属铸造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指有色金属及其合金铸造的各种成品、半成品的制造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锻件及粉末冶金制品制造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交通及公共管理用金属标牌制造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其他未列明金属制品制造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指其他上述未包括的金属制品的制造；本类别还包括武器弹药的制造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通用设备制造业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锅炉及原动设备制造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锅炉及辅助设备制造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指各种蒸汽锅炉、汽化锅炉，以及除同位素分离器以外的各种核反应堆的制造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内燃机及配件制造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指用于移动或固定用途的往复式、旋转式、火花点火式或压燃式内燃机及配件的制造，但不包括飞机、汽车和摩托车发动机的制造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汽轮机及辅机制造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指汽轮机和燃气轮机（蒸汽涡轮机）的制造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水轮机及辅机制造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风能原动设备制造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指风能发电设备及其他风能原动设备制造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其他原动设备制造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金属加工机械制造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金属切削机床制造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指用于加工金属的各种切削加工数控机床及普通机床的制造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金属成形机床制造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指以锻压、锤击和模压方式加工金属的机床，或以弯曲、折叠、矫直、剪切、冲压、开槽、拉丝等方式加工金属的数控机床及普通机床的制造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铸造机械制造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指金属铸件（机械零件毛坯件）铸造用专用设备及其专门配套件的制造，普通铸造设备、制芯设备、砂处理设备、清理设备和特种铸造设备等制造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金属切割及焊接设备制造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指将电能及其他形式的能量转换为切割、焊接能量对金属进行切割、焊接设备的制造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机床功能部件及附件制造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指实现机床核心功能的零件和部件的制造，以及扩大机床加工性能和使用范围的附属装置的制造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其他金属加工机械制造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物料搬运设备制造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指在工厂、仓库、码头、站台及其他场地，进行起重、输送、装卸、搬运、堆码、存储等作业的机械设备以及车辆及其专门配套件的制造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轻小型起重设备制造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生产专用起重机制造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指具有起升、行走等主要工作机构的各种起重机及其专门配套件的制造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生产专用车辆制造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连续搬运设备制造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指在同一方向上，按照规定的线路连续或间歇地运送或装卸散状物料和成件物品的搬运设备及其专门配套件的制造；包括输送机械、装卸机械、给料机械等三类产品及其专门配套件的制造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电梯、自动扶梯及升降机制造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指各种电梯、自动扶梯及自动人行道、升降机及其专门配套件的制造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客运索道制造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指动力驱动，利用柔性绳索牵引箱体等运载工具运送人员的机电设备，包括客运架空索道、客运缆车、客运拖牵索道等制造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机械式停车设备制造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指采用机械方法存取、停放汽车的机械装置或设备系统的制造，包括平面移动类、巷道堆垛类、垂直升降类、升降横移类、简易升降类停车设备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其他物料搬运设备制造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指除上述以外的其他物料搬运设备及其专门配套件的制造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泵、阀门、压缩机及类似机械制造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指泵、真空设备、压缩机，液压和气压动力机械及类似机械和阀门的制造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泵及真空设备制造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指用以输送各种液体、液固混合体、液气混合体及其增压、循环、真空等用途的设备制造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气体压缩机械制造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指对气体进行压缩，使其压力提高到340kPa以上的压缩机械的制造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阀门和旋塞制造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指通过改变其流道面积的大小，用以控制流体流量、压力和流向的装置制造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液压动力机械及元件制造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指以液体为工作介质，依靠液体压力能，来进行能量转换、传递、控制和分配的元件和装置制造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液力动力机械及元件制造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指以液体为工作介质，依靠液体动量矩，来进行能量转换、传递、控制和分配的元件和装置制造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气压动力机械及元件制造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指以气体为工作介质，靠气压动力来传送能量的装置制造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轴承、齿轮和传动部件制造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滚动轴承制造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指将运转的轴与轴座之间的滑动摩擦变为滚动摩擦，从而减少摩擦损失的一种精密的机械元件的制造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滑动轴承制造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指在滑动摩擦下工作的轴承制造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齿轮及齿轮减、变速箱制造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指用于传递动力和转速的齿轮和齿轮减(增）速箱（机、器）、齿轮变速箱的制造；不包括汽车变速箱等制造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其他传动部件制造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指除齿轮及齿轮减、变速箱以外的其他相关传动装置制造；包括链传动、带传动、离合器、联轴节、制动器、平衡系统及其配套件制造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烘炉、风机、包装等设备制造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烘炉、熔炉及电炉制造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风机、风扇制造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指用来输送各种气体，以及气体增压、循环、通风换气、排尘等设备的制造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气体、液体分离及纯净设备制造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制冷、空调设备制造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指用于专业生产、商业经营等方面的制冷设备和空调设备的制造，但不包括家用空调设备的制造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风动和电动工具制造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指带有电动机、非电力发动机或风动装置的手工操作加工工具的制造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喷枪及类似器具制造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包装专用设备制造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指对瓶、桶、箱、袋或其他容器的洗涤、干燥、装填、密封和贴标签等专用包装机械的制造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文化、办公用机械制造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电影机械制造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指各种类型或用途的电影摄影机、电影录音摄影机、影像放映机及电影辅助器材和配件的制造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幻灯及投影设备制造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指通过媒体将在电子成像器件上的文字图像、胶片上的文字图像、纸张上的文字图像及实物投射到银幕上的各种设备、器材及零配件的制造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照相机及器材制造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指各种类型或用途的照相机的制造；包括用以制备印刷板，用于水下或空中照相的照相机制造，以及照相机用闪光装置、摄影暗室装置和零件的制造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复印和胶印设备制造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指各种用途的复印设备和集复印、打印、扫描、传真为一体的多功能一体机的制造；以及主要用于办公室的胶印设备、文字处理设备及零件的制造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计算器及货币专用设备制造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指金融、商业、交通及办公等使用的电子计算器、具有计算功能的数据记录、重现和显示机器的制造；以及货币专用设备及类似机械的制造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其他文化、办公用机械制造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通用零部件制造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金属密封件制造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指以金属为原料制作密封件的生产活动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紧固件制造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弹簧制造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机械零部件加工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指对专用和通用机械零部件的加工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其他通用零部件制造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其他通用设备制造业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工业机器人制造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指用于工业自动化领域的工业机器人的制造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3492</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特殊作业机器人制造</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指用于特殊性作业的机器人制造，如水下、危险环境、高空作业、国防、科考、特殊搬运、农业等特殊作业机器人制造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增材制造装备制造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指以增材制造技术进行加工的设备制造和零部件制造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其他未列明通用设备制造业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35</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专用设备制造业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采矿、冶金、建筑专用设备制造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矿山机械制造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石油钻采专用设备制造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指对陆地和近海石油、天然气等专用开采设备的制造；不包括深海石油、天然气勘探开采平台及相关漂浮设备的制造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深海石油钻探设备制造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指对1500m以上海洋的石油、天然气等专用开采设备的制造；不包括1500m以下浅海和陆地石油、天然气勘探开采平台及相关漂浮设备的制造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建筑工程用机械制造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指建筑施工及市政公共工程用机械的制造，包括土方机械、筑路机械、具有回转、变幅功能的工程起重机、建筑起重机等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建筑材料生产专用机械制造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指生产水泥、水泥制品、玻璃及玻璃纤维、建筑陶瓷、砖瓦等建筑材料所使用的各种生产、搅拌成型机械的制造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冶金专用设备制造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指金属冶炼、锭坯铸造、轧制及其专用配套设备等生产专用设备的制造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隧道施工专用机械制造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指用于地下非开挖施工专用机械的制造，包括隧道掘进机（盾构机和硬岩掘进机）、顶管机、水平定向钻等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化工、木材、非金属加工专用设备制造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炼油、化工生产专用设备制造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指炼油、化学工业生产专用设备的制造，但不包括包装机械等通用设备的制造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指加工橡胶，或以橡胶为材料生产橡胶制品的专用机械制造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指塑料加工工业中所使用的各类专用机械和装置的制造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木竹材加工机械制造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指在木竹材、木竹质板材、木制品及竹制品加工过程中的各类机械和设备的制造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模具制造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指金属铸造用模具、矿物材料用模具、橡胶或塑料用模具及其他用途的模具的制造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其他非金属加工专用设备制造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食品、饮料、烟草及饲料生产专用设备制造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食品、酒、饮料及茶生产专用设备制造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指主要用于食品、酒、饮料生产及茶制品加工等专用设备的制造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农副食品加工专用设备制造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指对谷物、干豆类等农作物的筛选、碾磨、储存等专用机械，糖料和油料作物加工机械，畜禽屠宰、水产品加工及盐加工机械的制造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饲料生产专用设备制造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印刷、制药、日化及日用品生产专用设备制造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制浆和造纸专用设备制造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指在制浆、造纸、纸加工及纸制品的生产过程中所用的各类机械和设备的制造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印刷专用设备制造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指使用印刷或其他方式将图文信息转移到承印物上的专用生产设备的制造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日用化工专用设备制造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指日用化学工业产品，如洗涤用品、口腔清洁用品、化妆品、香精、香料、动物胶、感光材料及其他日用化学制品专用生产设备的制造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制药专用设备制造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指化学原料药和药剂、中药饮片及中成药专用生产设备的制造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照明器具生产专用设备制造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指用于生产各种类型电光源产品和各种照明器具产品的专用生产设备的制造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玻璃、陶瓷和搪瓷制品生产专用设备制造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指用于生产加工玻璃制品、玻璃器皿的专用机械，陶瓷器等类似产品的加工机床和生产专用机械，以及搪瓷制品生产设备的制造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其他日用品生产专用设备制造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指上述未列明的日用品、工艺美术品的生产专用机械设备的制造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纺织、服装和皮革加工专用设备制造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指纺织纤维预处理、纺纱、织造和针织机械的制造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皮革、毛皮及其制品加工专用设备制造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指在制革、毛皮鞣制及其制品的加工生产过程中所使用的各种专用设备的制造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缝制机械制造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指用于服装、鞋帽、箱包等制作的专用缝纫机械制造，以及生产加工各种面料服装、鞋帽所包括的铺布、裁剪、整烫、输送管理等机械和羽绒加工设备的制造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洗涤机械制造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指洗衣店等专业洗衣机械的制造；不包括家用洗衣机的制造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电子和电工机械专用设备制造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电工机械专用设备制造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指电机、电线、电缆等电站、电工专用机械及器材的生产设备的制造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半导体器件专用设备制造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指生产集成电路、二极管（含发光二极管）、三极管、太阳能电池片的设备的制造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电子元器件与机电组件设备制造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指生产电容、电阻、电感、印制电路板、电声元件、锂离子电池等电子元器件与机电组件的设备的制造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指电子（气）物理设备及其他未列明的电子设备的制造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农、林、牧、渔专用机械制造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拖拉机制造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机械化农业及园艺机具制造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指用于土壤处理，作物种植或施肥，种植物收割的农业、园艺或其他机械的制造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营林及木竹采伐机械制造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指草原建设、管理，畜禽养殖及畜禽产品采集等专用机械的制造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渔业机械制造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指渔业养殖、渔业捕捞等专用设备的制造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农林牧渔机械配件制造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指拖拉机配件和其他农林牧渔机械配件的制造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棉花加工机械制造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指棉花加工专用机械制造，棉花加工成套设备的制造和安装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其他农、林、牧、渔业机械制造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指用于农产品初加工机械，以及其他未列明的农、林、牧、渔业机械的制造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医疗仪器设备及器械制造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医疗诊断、监护及治疗设备制造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指用于内科、外科、眼科、妇产科等医疗专用诊断、监护、治疗等方面的设备制造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口腔科用设备及器具制造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指用于口腔治疗、修补设备及器械的制造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医疗实验室及医用消毒设备和器具制造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指医疗实验室或医疗用消毒、灭菌设备及器具的制造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医疗、外科及兽医用器械制造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指各种手术室、急救室、诊疗室等医疗专用及兽医用手术器械、医疗诊断用品和医疗用具的制造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机械治疗及病房护理设备制造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指各种治疗设备、病房护理及康复专用设备的制造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康复辅具制造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眼镜制造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指眼镜成镜、眼镜框架和零配件、眼镜镜片、角膜接触镜（隐形眼镜）及护理产品的制造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其他医疗设备及器械制造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指外科、牙科等医疗专用及兽医用家具器械的制造和人工器官及植（介）入器械制造，以及其他未列明的医疗设备及器械的制造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环保、邮政、社会公共服务及其他专用设备制造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环境保护专用设备制造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指用于大气污染防治、水污染防治、固体废弃物处理、土壤修复和抽样、噪声与振动控制、环境应急等环境污染防治专用设备制造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地质勘查专用设备制造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指地质勘查（勘探）专用设备的制造；不包括通用钻采、挖掘机械的制造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邮政专用机械及器材制造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商业、饮食、服务专用设备制造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社会公共安全设备及器材制造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指公安、消防、安全等社会公共安全设备及器材的制造和加工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交通安全、管制及类似专用设备制造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指除铁路运输以外的道路运输、水上运输及航空运输等有关的管理、安全、控制专用设备的制造；不包括电气照明设备、信号设备的制造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水资源专用机械制造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指水利工程管理、节水工程及水的生产、供应专用设备的制造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指上述类别中未列明的其他专用设备的制造，包括同位素设备的制造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汽车制造业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361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汽车整车制造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汽柴油车整车制造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指由传统燃料动力装置驱动，具有四个以上车轮的非轨道、无架线的车辆，并主要用于载送人员和（或）货物、牵引输送人员和（或）货物的车辆制造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新能源车整车制造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指采用新型动力系统，完全或主要依靠新型能源驱动的汽车，包括插电式混合动力（含增程式）汽车、纯电动汽车和燃料电池电动汽车等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汽车用发动机制造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改装汽车制造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指利用外购汽车底盘改装各类汽车的制造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低速汽车制造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指最高时速限制在规定范围内的农用三轮或四轮等载货汽车的制造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指以电作为动力，以屏板或可控硅方式控制的城市内交通工具和专用交通工具的制造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汽车车身、挂车制造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指其设计和技术特性需由汽车牵引，才能正常行驶的一种无动力的道路车辆的制造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汽车零部件及配件制造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指机动车辆及其车身的各种零配件的制造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37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铁路、船舶、航空航天和其他运输设备制造业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371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铁路运输设备制造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高铁车组制造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指以外来电源或以蓄电池驱动的，或以压燃式发动机及其他方式驱动的，能够牵引高速铁路车辆的动力机车、高铁车组、铁路动车组的制造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铁路机车车辆制造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指非高铁、动车机组的铁路机车制造，以及用于运送旅客和用以装运货物的客车、货车及其他铁路专用车辆的制造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窄轨机车车辆制造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指可用于交通运输的窄轨内燃机车、电力机车和窄轨非机动车的制造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高铁设备、配件制造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铁路机车车辆配件制造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指铁道或有轨机车及其拖拽车辆的专用零配件的制造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铁路专用设备及器材、配件制造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指铁路安全或交通控制设备的制造，以及其他铁路专用设备及器材、配件的制造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其他铁路运输设备制造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城市轨道交通设备制造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船舶及相关装置制造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金属船舶制造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指以钢质、铝质等各种金属为主要材料，为民用或军事部门建造远洋、近海或内陆河湖的金属船舶的制造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非金属船舶制造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指以各种木材、水泥、玻璃钢等非金属材料，为民用或军事部门建造船舶的活动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娱乐船和运动船制造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指游艇和用于娱乐或运动的其他船只的制造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船用配套设备制造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指船用主机、辅机设备的制造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船舶改装</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指按规范要求对船舶船体、设备、系统、结构等改装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船舶拆除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海洋工程装备制造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指海上工程、海底工程、近海工程的专用设备制造，不含港口工程设备以及船舶、潜水、救捞等设备制造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航标器材及其他相关装置制造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指用于航标的各种器材，以及不以航行为主的船只的制造，不含海上浮动装置的制造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航空、航天器及设备制造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3741</w:t>
            </w:r>
          </w:p>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飞机制造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指在大气同温层以内飞行的用于运货或载客，用于国防，以及用于体育运动或其他用途的各种飞机及其零件的制造，包括飞机发动机的制造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航天器及运载火箭制造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航天相关设备制造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航空相关设备制造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其他航空航天器制造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摩托车整车制造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指不论是否装有边斗的摩托车制造，包括摩托车发动机的制造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摩托车零部件及配件制造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自行车和残疾人座车制造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指未装马达，主要以脚蹬驱动，装有一个或多个轮子的脚踏车辆及其零件的制造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残疾人座车制造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助动车制造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指以出行代步为主要功能，主要以蓄电池等作为辅助能源，具有两个、三个、四个车轮，电动或电动助力功能的特种助力车及其零件的制造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3780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非公路休闲车及零配件制造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指以运动休闲娱乐为主要功能，包括运动休闲车（不含跑车、山地车和越野车）、一轮、两轮、四轮休闲车、滑板车、草地车、观光车等制造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潜水救捞及其他未列明运输设备制造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潜水装备制造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指潜水装置的制造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水下救捞装备制造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指水下作业、救捞装备的制造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指手推车辆、牲畜牵引车辆的制造，以及上述未列明的交通运输设备的制造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38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电气机械和器材制造业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381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发电机及发电机组制造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指发电机及其辅助装置、发电成套设备的制造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电动机制造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指交流或直流电动机及零件的制造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微特电机及组件制造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指微型特种电机、减速器及零组件的制造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输配电及控制设备制造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变压器、整流器和电感器制造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指变压器、静止式变流器等电力电子设备和互感器的制造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电容器及其配套设备制造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指电力电容器及其配套装置和电容器零件的制造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配电开关控制设备制造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指用于电压超过1000V的，诸如一般在配电系统中使用的接通及断开或保护电路的电器，以及用于电压不超过1000V的，如在住房、工业设备或家用电器中使用的配电开关控制设备及其零件的制造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电力电子元器件制造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指用于电能变换和控制（从而实现运动控制）的电子元器件的制造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光伏设备及元器件制造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指太阳能组件（太阳能电池）、控制设备及其他太阳能设备和元器件制造；不包括太阳能用蓄电池制造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其他输配电及控制设备制造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指开关设备和控制设备内部的元器件之间，以及与外部电路之间的电连接所需用的器件和配件的制造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电线、电缆、光缆及电工器材制造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电线、电缆制造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指在电力输配、电能传送，声音、文字、图像等信息传播，以及照明等各方面所使用的电线电缆的制造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光纤制造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指将电的信号变成光的信号，进行声音、文字、图像等信息传输的光纤的制造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指利用置于包覆套中的一根或多根光纤作为传输媒质并可以单独或成组使用的光缆的制造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绝缘制品制造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指电气绝缘子、电机或电气设备用的绝缘零件，以及带有绝缘材料的金属制电导管及接头的制造，但不包括玻璃、陶瓷绝缘体和绝缘漆制品的制造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其他电工器材制造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锂离子电池制造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指以锂离子嵌入化合物为正极材料电池的制造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镍氢电池制造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指以储氢合金为负极材料，氢氧化镍为正极材料，电解液是含氢氧化锂（LiOH）的氢氧化钾（KOH）水溶液的电池的制造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铅蓄电池制造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指以铅及氧化物为正负极材料，电解液为硫酸水溶液的电池制造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锌锰电池制造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指以二氧化锰为正极，锌为负极的原电池的制造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家用电力器具制造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指使用交流电源或电池的各种家用电器的制造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家用制冷电器具制造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家用空气调节器制造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指使用交流电源(制冷量14000W及以下)，调节室内温度、湿度、气流速度和空气洁净度的房间空气调节器的制造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家用通风电器具制造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指由单相交流电动机驱动扇叶旋转，产生强制气流，以改善人体与周围空气间的热交换条件的电器制造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家用厨房电器具制造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指家庭厨房用的电热蒸煮器具、电热烘烤器具、电热水和饮料加热器具、电热煎炒器具、家用电灶、家用食品加工电器具、家用厨房电清洁器具等电器具的制造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家用清洁卫生电器具制造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指家用洗衣机、吸尘器等电力器具的制造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家用美容、保健护理电器具制造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家用电力器具专用配件制造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指家用电力器具专用配件的制造，不包括通用零部件制造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其他家用电力器具制造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非电力家用器具制造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燃气及类似能源家用器具制造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指以液化气、天然气、人工煤气、沼气作燃料，以马口铁、搪瓷、不锈钢等为材料加工制成的家用器具的生产活动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太阳能器具制造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其他非电力家用器具制造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照明器具制造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电光源制造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照明灯具制造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舞台及场地用灯制造</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指演出舞台、演出场地、运动场地、大型活动场地用灯制造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智能照明器具制造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灯用电器附件及其他照明器具制造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指用于生产各种电光源用电器附件以及为各类电光源配套的灯座及其他照明器具的制造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其他电气机械及器材制造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电气信号设备装置制造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指交通运输工具（如机动车、船舶、铁道车辆等）专用信号装置及各种电气音响或视觉报警、警告、指示装置的制造，以及其他电气声像信号装置的制造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其他未列明电气机械及器材制造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指上述未列明的电气机械及器材的制造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39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计算机、通信和其他电子设备制造业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391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计算机制造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计算机整机制造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指将可进行算术或逻辑运算的中央处理器和外围设备集成计算整机的制造，也包括硬件与软件集成计算机系统的制造，还包括来件组装计算机的加工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计算机零部件制造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指组成电子计算机的内存、板卡、硬盘、电源、机箱、显示器等部件的制造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计算机外围设备制造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指计算机外围设备及附属设备的制造；包括输入设备、输出设备和外存储设备等制造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工业控制计算机及系统制造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是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信息安全设备制造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其他计算机制造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计算机应用电子设备（以中央处理器为核心，配以专业功能模块、外围设备等构成各行业应用领域专用的电子产品及设备，如金融电子、汽车电子、医疗电子、工业控制计算机及装置、信息采集及识别设备、数字化3C产品等），以及其他未列明计算机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通信系统设备制造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指固定或移动通信接入、传输、交换设备等通信系统建设所需设备的制造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通信终端设备制造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指固定或移动通信终端设备的制造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广播电视节目制作及发射设备制造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指广播电视节目制作、发射设备及器材的制造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广播电视接收设备制造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指专业广播电视接收设备的制造，但不包括家用广播电视接收设备的制造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广播电视专用配件制造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指专业用录像重放及其他配套的广播电视设备的制造，但不包括家用广播电视装置的制造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专业音响设备制造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指广播电视、影剧院、各种场地等专业用录音、音响设备及其他配套设备的制造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应用电视设备及其他广播电视设备制造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指应用电视设备、其他广播电视设备和器材的制造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雷达及配套设备制造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指雷达整机及雷达配套产品的制造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非专业视听设备制造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电视机制造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指非专业用电视机制造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音响设备制造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指非专业用智能音响、无线电收音机、收录音机、唱机等音响设备的制造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影视录放设备制造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指非专业用智能机顶盒、录像机、摄像机、激光视盘机等影视设备整机及零部件的制造，包括教学用影视设备的制造，但不包括广播电视等专业影视设备的制造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智能消费设备制造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可穿戴智能设备制造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指由用户穿戴和控制，并且自然、持续地运行和交互的个人移动计算设备产品的制造，包括可穿戴运动监测设备制造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智能车载设备制造</w:t>
            </w:r>
          </w:p>
        </w:tc>
        <w:tc>
          <w:tcPr>
            <w:tcW w:w="38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智能无人飞行器制造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指按照国家有关安全规定标准，经允许生产并主要用于娱乐、科普等的智能无人飞行器的制造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服务消费机器人制造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其他智能消费设备制造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指其他未列明的智能消费设备的制造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电子真空器件制造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指电子热离子管、冷阴极管或光电阴极管及其他真空电子器件，以及电子管零件的制造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半导体分立器件制造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集成电路制造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指单片集成电路、混合式集成电路的制造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显示器件制造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半导体照明器件制造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指用于半导体照明的发光二极管（LED）、有机发光二极管（OLED）器件等制造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光电子器件制造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指利用半导体光—电子（或电—光子）转换效应制成的各种功能器件制造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指其他未列明的电子器件的制造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电子元件及电子专用材料制造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电阻电容电感元件制造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指电容器（包括超级电容器）、电阻器、电位器、电感器件、电子变压器件的制造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电子电路制造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指在绝缘基材上采用印制工艺形成电气电子连接电路，以及附有无源与有源元件的制造，包括印刷电路板及附有元器件构成电子电路功能组合件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敏感元件及传感器制造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指按一定规律，将感受到的信息转换成为电信号或其他所需形式的信息输出的敏感元件及传感器的制造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电声器件及零件制造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指扬声器、送受话器、耳机、音箱及零件等制造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电子专用材料制造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指未列明的电子元件及组件的制造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指电子（气）物理设备及其他未列明的电子设备的制造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40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仪器仪表制造业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401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通用仪器仪表制造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工业自动控制系统装置制造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电工仪器仪表制造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指用于电压、电流、电阻、功率等电磁量的测量、计量、采集、监测、分析、处理、检验与控制用仪器仪表及系统装置的制造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绘图、计算及测量仪器制造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指供设计、制图、绘图、计算、测量，以及学习或办公、教学等使用的测量和绘图用具、器具及量仪的制造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实验分析仪器制造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试验机制造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指测试、评定和研究材料、零部件及其制成品的物理性能、机械（力学）性能、工艺性能、安全性能、舒适性能的实验仪器和设备的制造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供应用仪器仪表制造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指电、气、水、油和热等类似气体或液体的供应过程中使用的计量仪表、自动调节或控制仪器及装置的制造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指其他未列明的通用仪器仪表和仪表元器件的制造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环境监测专用仪器仪表制造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指对环境中的污染物、噪声、放射性物质、电磁波等进行监测和监控的专用仪器仪表及系统装置的制造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运输设备及生产用计数仪表制造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指汽车、船舶及工业生产用转数计、生产计数器、里程记录器及类似仪表的制造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导航、测绘、气象及海洋专用仪器制造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指用于气象、海洋、水文、天文、航海、航空等方面的导航、测绘、制导、测量仪器和仪表及类似装置的制造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农林牧渔专用仪器仪表制造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指农、林、牧、渔生产专用仪器、仪表及类似装置的制造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地质勘探和地震专用仪器制造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指地质勘探、钻采、地震等地球物理专用仪器、仪表及类似装置的制造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教学专用仪器制造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指专供教学示范或展览，而无其他用途的专用仪器的制造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核子及核辐射测量仪器制造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指专门用于核离子射线的测量或检验的仪器、装置，核辐射探测器等核专业用仪器仪表的制造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电子测量仪器制造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指用电子技术实现对被测对象（电子产品）的电参数定量检测装置的制造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指用于纺织、电站热工仪表等其他未列明的专用仪器的制造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钟表与计时仪器制造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光学仪器制造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指用玻璃或其他材料（如石英、萤石、塑料或金属）制作的光学配件、装配好的光学元件、组合式光学显微镜，以及军用望远镜等光学仪器的制造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衡器制造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指用来测定物质重量的各种机械、电子或机电结合的装置或设备的生产活动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其他仪器仪表制造业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指上述未列明的仪器、仪表的制造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41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其他制造业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411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日用杂品制造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鬃毛加工、制刷及清扫工具制造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指用原毛加工成生产刷子类产品的成品毛的生产，或以成品毛和棕、金属丝、塑料丝等为原料加工制刷的生产，以及其他清扫工具的制造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其他日用杂品制造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指制伞及其他未列明的各种日常生活用杂品的生产活动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核辐射加工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指核技术与同位素技术的应用，由核辐照站利用核技术对原有产品改良、改变性质并使其增值的加工活动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废弃资源综合利用业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指废弃资源和废旧材料回收加工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421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金属废料和碎屑加工处理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非金属废料和碎屑加工处理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指从各种废料［包括固体废料、废水（液）、废气等］中回收，或经过分类，使其适于进一步加工为新原料的非金属废料和碎屑的再加工处理活动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金属制品、机械和设备修理业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431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金属制品修理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专用设备修理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铁路、船舶、航空航天等运输设备修理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铁路运输设备修理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不包括火车机车回厂修理和发动机修理活动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不包括船舶回厂修复、发动机修理以及船舶拆除活动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航空航天器修理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不包括航空航天器回厂修理和发动机修理活动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其他运输设备修理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电气设备修理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仪器仪表修理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其他机械和设备修理业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D</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电力、热力、燃气及水生产和供应业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本门类包括44～46大类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电力、热力生产和供应业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电力生产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火力发电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不包括既发电又提供热力的活动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热电联产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指既发电又提供热力的生产活动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指通过建设水电站、水利枢纽、航电枢纽等工程、将水能转换成电能的生产活动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指利用核反应堆中重核裂变所释放出的热能转换成电能的生产活动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太阳能发电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生物质能发电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指主要利用农业、林业和工业废弃物、甚至城市垃圾为原料，采取直接燃烧或气化等方式的发电活动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其他电力生产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指利用地热、潮汐能、温差能、波浪能及其他未列明的能源的发电活动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电力供应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指利用电网出售给用户电能的输送与分配活动，以及供电局的供电活动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热力生产和供应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指利用煤炭、油、燃气等能源，通过锅炉等装置生产蒸汽和热水，或外购蒸汽、热水进行供应销售、供热设施的维护和管理的活动，包括利用地热和温泉供应销售的活动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燃气生产和供应业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燃气生产和供应业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液化石油气生产和供应业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生物质燃气生产和供应业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指利用农作物秸秆、林木废弃物、食用菌渣、禽畜粪便等生物质资源作为原料转化为可燃性气体能源</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46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水的生产和供应业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自来水生产和供应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指将天然水（地下水、地表水）经过蓄集、净化达到生活饮用水或其他用水标准，并向居民家庭、企业和其他用户供应的活动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污水处理及其再生利用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指对污水污泥的处理和处置，及净化后的再利用活动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海水淡化处理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指将海水淡化处理，达到可以使用标准的生产活动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其他水的处理、利用与分配</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指对雨水、微咸水等类似水进行收集、处理和利用活动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E</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本门类包括47～50大类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房屋建筑业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指房屋主体工程的施工活动；不包括主体工程施工前的工程准备活动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住宅房屋建筑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体育场馆建筑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指体育馆工程服务、体育及休闲健身用房屋建设活动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其他房屋建筑业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土木工程建筑业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指土木工程主体的施工活动；不包括施工前的工程准备活动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铁路、道路、隧道和桥梁工程建筑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公路工程建筑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市政道路工程建筑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城市轨道交通工程建筑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其他道路、隧道和桥梁工程建筑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水利和水运工程建筑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水源及供水设施工程建筑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河湖治理及防洪设施工程建筑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港口及航运设施工程建筑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指海上工程、海底工程、近海工程建筑活动，不含港口工程建筑活动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海洋油气资源开发利用工程建筑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海洋能源开发利用工程建筑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海底隧道工程建筑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海底设施铺设工程建筑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其他海洋工程建筑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工矿工程建筑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指除厂房、电力工程外的非节能环保型矿山和工厂生产设施、设备的施工和安装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架线和管道工程建筑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指建筑物外的架线、管道和设备的施工活动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架线及设备工程建筑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指敷设于地面以上的电力、通信、广播电视等线缆、杆塔等工程建筑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管道工程建筑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指供水、排水、燃气、集中供热、线缆排管、工业和长输等管道工程建筑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地下综合管廊工程建筑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指建于城市地下用于容纳两类及以上城市工程管线的构筑物及其附属设施，如水管网、燃气网、电信网等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节能环保工程施工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节能工程施工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生态保护工程施工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电力工程施工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火力发电工程施工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水力发电工程施工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风能发电工程施工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太阳能发电工程施工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其他电力工程施工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其他土木工程建筑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园林绿化工程施工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体育场地设施工程施工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指田径场、篮球场、足球场、网球场、高尔夫球场、跑马场、赛车场、卡丁车赛场、全民体育健身工程设施等室内外场地设施的工程施工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游乐设施工程施工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其他土木工程建筑施工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建筑安装业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指建筑物主体工程竣工后，建筑物内各种设备的安装活动，以及施工中的线路敷设和管道安装活动；不包括工程收尾的装饰，如对墙面、地板、天花板、门窗等处理活动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电气安装</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指建筑物及土木工程构筑物内电气系统（含电力线路）的安装活动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管道和设备安装</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指管道、取暖及空调系统等安装活动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其他建筑安装业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体育场地设施安装</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指运动地面（如足球场、篮球场、网球场等）、滑冰、游泳设施（含可拼装设施、健身步道）的安装等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其他建筑安装</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包括智能化安装、救援逃生设备安装及其他未列明的安装活动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建筑装饰、装修和其他建筑业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建筑装饰和装修业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指对建筑工程后期的装饰、装修、维护和清理活动，以及对居室的装修活动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公共建筑装饰和装修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住宅装饰和装修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建筑幕墙装饰和装修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建筑物拆除和场地准备活动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指房屋、土木工程建筑施工前的准备活动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建筑物拆除活动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场地准备活动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提供施工设备服务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指为建筑工程提供配有操作人员的施工设备的服务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其他未列明建筑业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指上述未列明的其他工程建筑活动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F</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批发和零售业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本门类包括51和52大类，指商品在流通环节中的批发活动和零售活动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批发业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其他批发或零售单位（含个体经营者）及其他企事业单位、机关团体等批量销售生活用品、生产资料的活动，以及从事进出口贸易和贸易经纪与代理的活动，包括拥有货物所有权，并以本单位(公司)的名义进行交易活动,也包括不拥有货物的所有权，收取佣金的商品代理、商品代售活动；本类还包括各类商品批发市场中固定摊位的批发活动，以及以销售为目的的收购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农、林、牧、渔产品批发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谷物、豆及薯类批发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种子批发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畜牧渔业饲料批发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不包括宠物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棉、麻批发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林业产品批发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指林木种苗、采伐产品及采集产品等批发和进出口活动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牲畜批发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渔业产品批发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其他农牧产品批发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食品、饮料及烟草制品批发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指经过加工和制造的食品、饮料及烟草制品的批发和进出口活动，以及蔬菜、水果、肉、禽、蛋、奶及水产品的批发和进出口活动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米、面制品及食用油批发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糕点、糖果及糖批发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果品、蔬菜批发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肉、禽、蛋、奶及水产品批发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盐及调味品批发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营养和保健品批发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酒、饮料及茶叶批发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指可直接饮用或稀释、冲泡后饮用的饮料、酒及茶叶的批发和进出口活动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指经过加工、生产的烟草制品的批发和进出口活动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其他食品批发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纺织、服装及家庭用品批发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指纺织面料、纺织品、服装、鞋、帽及日杂品、家用电器、家具等生活日用品的批发和进出口活动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纺织品、针织品及原料批发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服装批发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鞋帽批发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化妆品及卫生用品批发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厨具卫具及日用杂品批发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指灶具、炊具、厨具、餐具及各种容器、器皿等批发和进出口活动；卫生间的用品用具和生活用清洁、清扫用品、用具等批发和进出口活动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灯具、装饰物品批发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家用视听设备批发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日用家电批发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其他家庭用品批发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指上述未列明的其他生活日用品的批发和进出口活动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文化、体育用品及器材批发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指各类文具用品、体育用品、图书、报刊、音像制品、电子出版物、数字出版物、首饰、工艺美术品、收藏品及其他文化用品、器材的批发和进出口活动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文具用品批发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体育用品及器材批发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报刊批发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音像制品、电子和数字出版物批发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首饰、工艺品及收藏品批发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乐器批发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医药及医疗器材批发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指各种化学药品、生物药品、中药及医疗器材的批发和进出口活动；包括兽用药的批发和进出口活动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西药批发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指人用化学药品和生物药品的批发与进出口活动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指人用中成药、中药材中药饮片（含中药配方颗粒）的批发和进出口活动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动物用药品批发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医疗用品及器材批发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矿产品、建材及化工产品批发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指煤及煤制品、石油制品、矿产品及矿物制品、金属材料、建筑和装饰装修材料以及化工产品的批发和进出口活动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煤炭及制品批发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石油及制品批发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非金属矿及制品批发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金属及金属矿批发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建材批发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指建筑用材料和装饰装修材料的批发和进出口活动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化肥批发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农药批发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农用薄膜批发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其他化工产品批发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机械设备、五金产品及电子产品批发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指提供通用机械、专用设备、交通运输设备、电气机械、五金、交通器材、电料、计算机设备、通讯设备、电子产品、仪器仪表及办公用机械的批发和进出口活动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农业机械批发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汽车及零配件批发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摩托车及零配件批发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五金产品批发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指小五金、工具、水暖部件及材料的批发和进出口活动，不包括自行车及零配件的批发和进出口</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电气设备批发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计算机、软件及辅助设备批发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通讯设备批发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指电信设备的批发和进出口活动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广播影视设备批发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指广播影视设备的批发和进出口活动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其他机械设备及电子产品批发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贸易经纪与代理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指代办商、商品经纪人、拍卖商的活动；专门为某一生产企业做销售代理的活动；为买卖双方提供贸易机会或代表委托人进行商品交易代理活动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贸易代理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指不拥有货物的所有权，为实现供求双方达成交易，按协议收取佣金的贸易代理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一般物品拍卖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艺术品、收藏品拍卖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艺术品代理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指艺术品、收藏品销售代理，以及画廊艺术经纪代理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其他贸易经纪与代理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其他批发业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再生物资回收与批发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指将可再生的废旧物资回收，并批发给制造企业作初级原料的活动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宠物食品用品批发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指通过互联网电子商务平台开展的商品批发活动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其他未列明批发业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零售业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综合零售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百货零售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指经营的商品品种较齐全，经营规模较大的综合零售活动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超级市场零售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指经营生鲜、食品、日用品等大众化实用品的超级市场的综合零售活动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便利店零售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指以满足顾客便利性需求为主要目的，以小型超市形式的零售活动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其他综合零售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指日用杂品综合零售活动；在街道、社区、乡镇、农村、工矿区、校区、交通要道口等人口稠密地区开办的小型综合零售店的活动；农村供销社的零售活动；不包括便利店零售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食品、饮料及烟草制品专门零售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指专门经营粮油、食品、饮料及烟草制品的店铺零售活动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粮油零售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糕点、面包零售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果品、蔬菜零售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肉、禽、蛋、奶及水产品零售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营养和保健品零售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酒、饮料及茶叶零售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指专门经营酒、茶叶及各种饮料的店铺零售活动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烟草制品零售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其他食品零售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指上述未列明的店铺食品零售活动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纺织、服装及日用品专门零售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指专门经营纺织面料、纺织品、服装、鞋、帽及各种生活日用品的店铺零售活动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纺织品及针织品零售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服装零售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鞋帽零售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化妆品及卫生用品零售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厨具卫具及日用杂品零售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指专门经营炊具、厨具、餐具、日用陶瓷、日用玻璃器皿、塑料器皿、清洁用具和用品的店铺零售活动，以及各种材质其他日用杂品的零售活动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钟表、眼镜零售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箱包零售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自行车等代步设备零售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包括自行车、助动自行车（包括电力助动自行车和燃油助动自行车）以及平衡车、老年代步车、三轮车等汽车、摩托车以外的代步车及零配件零售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指专门经营小饰物、礼品花卉及其他未列明日用品的店铺零售活动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文化、体育用品及器材专门零售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指专门经营文具、体育用品、图书、报刊、音像制品、电子出版物、数字出版物、首饰、工艺美术品、收藏品、照相器材及其他文化用品的店铺零售活动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文具用品零售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体育用品及器材零售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图书、报刊零售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音像制品、电子和数字出版物零售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珠宝首饰零售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工艺美术品及收藏品零售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指专门经营具有收藏价值和艺术价值的工艺品、艺术品、古玩、字画、邮品等店铺零售活动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乐器零售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照相器材零售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其他文化用品零售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指专门经营游艺用品及其他未列明文化用品的店铺零售活动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医药及医疗器材专门零售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指专门经营各种化学药品、生物药品、中药、医疗用品及器材的店铺零售活动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西药零售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指人用化学药品和生物药品的零售活动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指人用中成药、中药材中药饮片的零售活动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动物用药品零售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指畜牧业、渔业及禽类等动物用药品的零售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医疗用品及器材零售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保健辅助治疗器材零售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汽车、摩托车、零配件和燃料及其他动力销售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指专门经营汽车、摩托车、汽车部件、汽车零配件及燃料、燃气的零售活动以及汽车充电桩服务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汽车新车零售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汽车旧车零售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汽车零配件零售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摩托车及零配件零售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机动车燃油零售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指专门经营机动车燃油及相关产品（润滑油）的店铺零售活动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机动车燃气零售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5267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机动车充电销售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家用电器及电子产品专门零售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指专门经营家用电器和计算机、软件及辅助设备、电子通信设备、电子元器件及办公设备的店铺零售活动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家用视听设备零售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指专门经营电视、音响设备、摄录像设备等店铺零售活动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日用家电零售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指专门经营冰箱、洗衣机、空调、吸尘器及其他家用电器设备的店铺零售活动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计算机、软件及辅助设备零售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不包括专业通信设备的销售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其他电子产品零售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五金、家具及室内装饰材料专门零售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指专门经营五金用品、家具和装修材料的店铺零售活动，以及在家具、家居装饰、建材城（中心）及展销会上设摊位的销售活动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五金零售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灯具零售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家具零售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涂料零售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卫生洁具零售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木质装饰材料零售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指专门经营木质地板、门、窗等店铺零售活动，不包括板材销售活动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陶瓷、石材装饰材料零售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指专门经营陶瓷、石材制地板砖、壁砖等店铺零售活动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其他室内装饰材料零售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货摊、无店铺及其他零售业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流动货摊零售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strike/>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指零售商通过电子商务平台开展销售的活动，不包括仅提供网络支付的活动，以及仅建立或提供网络交易平台和接入的活动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邮购及电视、电话零售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指通过寄递及电视、电话等方式进行销售，并送货上门的零售活动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自动售货机零售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旧货零售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生活用燃料零售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指从事生活用煤、煤油、酒精、薪柴、木炭以及罐装液化石油气等专门零售活动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宠物食品用品零售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其他未列明零售业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G</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交通运输、仓储和邮政业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本门类包括53～60大类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铁路运输业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高速铁路旅客运输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城际铁路旅客运输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客运火车站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货运火车站（场）</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5333</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铁路运输维护活动</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指车辆运用及维护、线桥遂涵运用及维护、牵引供电运用及维护、通信信号运用及维护、铁路专用线运用及维护等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其他铁路运输辅助活动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指除铁路旅客和货物公共运输、专用铁路运输和为其服务的铁路场站、机车车辆、线桥隧涵、牵引供电、通信信号的运用及维修养护，以及铁路专用线外的运输辅助活动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54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道路运输业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城市公共交通运输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指城市旅客运输活动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公共电汽车客运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城市轨道交通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指城市地铁、轻轨、有轨电车等活动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出租车客运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指出租车公司以及与出租车公司签协议的出租车驾驶员的服务，还包括网络约车公司以及承揽网络预约客运的驾驶员的服务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公共自行车服务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指政府或社会机构以低价格为居民提供的自行车出行服务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其他城市公共交通运输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指其他未列明的城市旅客运输活动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指城市以外道路的旅客运输活动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长途客运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指由始发站至终点站定线、定站、定班运行和停靠的旅客运输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旅游客运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指专门为观光消遣为目的的团体或个人提供的，或者在特定旅游线路上提供的客运服务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其他公路客运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指其他未列明的公路旅客运输活动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道路货物运输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指所有道路的货物运输活动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普通货物道路运输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指对运输、装卸、保管没有特殊要求的道路货物运输活动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冷藏车道路运输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指农产品、食品、植物等货物始终处于适宜温度环境下，保证产品质量的配有专门运输设备的道路货物运输活动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集装箱道路运输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指以集装箱为承载货物容器的道路运输活动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大型货物道路运输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指具备长度超过6m，高度超过2.7m，宽度超过2.5m，质量超过4t中一个及以上条件货物的道路运输活动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危险货物道路运输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指具有燃烧、爆炸、腐蚀、有毒、放射性等物质，在运输、装卸、保管过程中可能引起人身伤亡和财产毁损而需要特别防护的货物道路运输活动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邮件包裹道路运输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城市配送</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搬家运输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其他道路货物运输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指其他未列明的道路货物运输活动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道路运输辅助活动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指与道路运输相关的运输辅助活动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客运汽车站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指长途旅客运输汽车站的服务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货运枢纽（站）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公路管理与养护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其他道路运输辅助活动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水上运输业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水上旅客运输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海上旅客运输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指沿海、远洋客轮的运输活动和以客运为主的沿海、远洋运输活动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内河旅客运输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指江、河、湖泊、水库的水上旅客运输活动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客运轮渡运输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指城市及其他水域旅客轮渡运输活动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水上货物运输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远洋货物运输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沿海货物运输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内河货物运输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指江、河、湖泊、水库的水上货物运输活动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水上运输辅助活动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客运港口</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含水上运动码头</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货运港口</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其他水上运输辅助活动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指其他未列明的水上运输辅助活动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航空运输业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航空客货运输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指以旅客运输为主的航空运输活动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指以货物或邮件为主的航空运输活动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通用航空服务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指使用民用航空器从事除公共航空运输以外的民用航空活动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通用航空生产服务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指通用航空为农业、测绘、航拍、抢险、救援等活动的服务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观光游览航空服务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包括直升机、热气球的游览服务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体育航空运动服务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指通过各种航空器进行运动活动的服务，包括航空俱乐部服务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其他通用航空服务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563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机场</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空中交通管理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其他航空运输辅助活动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指其他未列明的航空运输辅助活动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管道运输业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海底管道运输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指通过海底管道对气体、液体等运输活动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陆地管道运输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指通过陆地管道对气体、液体等运输活动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多式联运和运输代理业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多式联运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指由两种及其以上的交通工具相互衔接、转运而共同完成的货物复合运输活动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运输代理业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指与运输有关的代理及服务活动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货物运输代理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旅客票务代理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其他运输代理业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装卸搬运和仓储业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指装卸搬运活动和专门从事货物仓储、货物运输中转仓储，以及以仓储为主的货物送配活动，还包括以仓储为目的的收购活动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Cs/>
                <w:color w:val="000000"/>
                <w:sz w:val="20"/>
                <w:szCs w:val="20"/>
              </w:rPr>
            </w:pPr>
            <w:r>
              <w:rPr>
                <w:rFonts w:hint="eastAsia" w:ascii="宋体" w:hAnsi="宋体" w:eastAsia="宋体" w:cs="宋体"/>
                <w:iCs/>
                <w:color w:val="000000"/>
                <w:sz w:val="20"/>
                <w:szCs w:val="20"/>
              </w:rPr>
              <w:t>5910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装卸搬运</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指除冷藏冷冻物品、危险物品、谷物、棉花、中药材等具有特殊要求以外的物品的仓储活动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低温仓储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指对冷藏冷冻物品等低温货物的仓储活动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指对具有易燃易爆物品、危险化学品、放射性物品等能够危及人身安全和财产安全的物品的仓储活动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油气仓储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危险化学品仓储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其他危险品仓储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谷物、棉花等农产品仓储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指国家储备及其他谷物仓储活动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棉花仓储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指棉花加工厂仓储、中转仓储、棉花专业仓储、棉花物流配送活动，还包括在棉花仓储、物流配送过程中的棉花信息化管理活动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其他农产品仓储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指未列明的其他农产品仓储活动，包括林产品的仓储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中药材仓储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其他仓储业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邮政业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6010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邮政基本服务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指邮政企业或者受邮政企业委托的企业提供的信件、印刷品、包裹、汇兑、报刊发行等邮政服务，以及国家规定的其他邮政服务；不包括邮政企业提供的快递服务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快递服务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指快递服务组织在承诺的时限内快速完成的寄递服务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其他寄递服务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指邮政企业和快递企业之外的企业提供的多种类型的寄递服务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H</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住宿和餐饮业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本门类包括61和62大类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指为旅行者提供短期留宿场所的活动，有些单位只提供住宿，也有些单位提供住宿、饮食、商务、娱乐一体的服务，本类不包括主要按月或按年长期出租房屋住所的活动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6110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旅游饭店</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指按照国家有关规定评定的旅游饭店和具有同等质量、水平的饭店活动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一般旅馆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指不具备评定旅游饭店和同等水平饭店的一般旅馆的活动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经济型连锁酒店</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其他一般旅馆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民宿服务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指城乡居民及社会机构利用闲置房屋开展的住宿活动和短期出租公寓服务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露营地服务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指在游览景区或其他地区，为自驾游、自行车游客及其他游客外出旅行提供使用自备露营设施（如帐篷、房车）或租借小木屋、移动别墅、房车等住宿和生活场所</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其他住宿业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指上述未列明的住宿服务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餐饮业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指通过即时制作加工、商业销售和服务性劳动等，向消费者提供食品和消费场所及设施的服务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6210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正餐服务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指在一定场所内提供以中餐、晚餐为主的各种中西式炒菜和主食，并由服务员送餐上桌的餐饮活动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快餐服务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指在一定场所内或通过特定设备提供快捷、便利的餐饮服务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饮料及冷饮服务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指在一定场所内以提供饮料和冷饮为主的服务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茶馆服务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咖啡馆服务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酒吧服务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其他饮料及冷饮服务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餐饮配送及外卖送餐服务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餐饮配送服务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指根据协议或合同，为民航、铁路、学校、公司、机关等机构提供餐饮配送服务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外卖送餐服务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指根据消费者的订单和食品安全的要求，选择适当的交通工具、设备，按时、按质、按量送达消费者，并提供相应单据的服务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629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其他餐饮业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6291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小吃服务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指提供全天就餐的简便餐饮服务，包括路边小饭馆、农家饭馆、流动餐饮和单一小吃等餐饮服务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6299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其他未列明餐饮业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I</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信息传输、软件和信息技术服务业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本门类包括63～65大类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电信、广播电视和卫星传输服务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指利用有线、无线的电磁系统或者光电系统，传送、发射或者接收语音、文字、数据、图像以及其他任何形式信息的活动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固定电信服务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指从事固定通信业务活动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移动电信服务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指从事移动通信业务活动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指除固定电信服务、移动电信服务外，利用固定、移动通信网从事的信息服务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有线广播电视传输服务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指有线广播电视网络及其信息传输分发交换接入服务和信号的传输服务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无线广播电视传输服务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指无线广播电视传输覆盖网及其信息传输分发交换服务信号的传输服务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指利用卫星提供通讯传输和广播电视传输服务、以及导航、定位、测绘、气象、地质勘查、空间信息等应用服务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64</w:t>
            </w: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互联网和相关服务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互联网接入及相关服务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指除基础电信运营商外，基于基础传输网络为存储数据、数据处理及相关活动，提供接入互联网的有关应用设施的服务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互联网信息服务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互联网搜索服务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互联网游戏服务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含互联网电子竞技服务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互联网其他信息服务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互联网平台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互联网生产服务平台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指专门为生产服务提供第三方服务平台的互联网活动，包括互联网大宗商品交易平台、互联网货物运输平台等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互联网生活服务平台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指专门为居民生活服务提供第三方服务平台的互联网活动，包括互联网销售平台、互联网约车服务平台、互联网旅游出行服务平台、互联网体育平台等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互联网科技创新平台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bCs/>
                <w:color w:val="000000"/>
                <w:sz w:val="20"/>
                <w:szCs w:val="20"/>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互联网公共服务平台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bCs/>
                <w:color w:val="000000"/>
                <w:sz w:val="20"/>
                <w:szCs w:val="20"/>
              </w:rPr>
              <w:t>指专门为公共服务提供第三方服务平台的互联网活动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其他互联网平台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互联网安全服务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包括网络安全监控，以及网络服务质量、可信度和安全等评估测评活动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互联网数据服务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指以互联网技术为基础的大数据处理、云存储、云计算、云加工等服务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其他互联网服务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指除基础电信运营商服务、互联网接入及相关服务、互联网信息服务以外的其他未列明互联网服务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65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软件和信息技术服务业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指对信息传输、信息制作、信息提供和信息接收过程中产生的技术问题或技术需求所提供的服务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基础软件开发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指能够对硬件资源进行调度和管理、为应用软件提供运行支撑的软件，包括操作系统、数据库、中间件、各类固件等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支撑软件开发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指软件开发过程中使用到的支撑软件开发的工具和集成环境、测试工具软件等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应用软件开发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指独立销售的面向应用需求的软件和解决方案软件等，包括通用软件、工业软件、行业软件、嵌入式应用软件等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指未列明的软件开发，如平台软件、信息安全软件等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集成电路设计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指IC设计服务，即企业开展的集成电路功能研发、设计等服务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信息系统集成和物联网技术服务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6531</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信息系统集成服务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6532</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物联网技术服务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指提供各种物联网技术支持服务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运行维护服务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指基础环境运行维护、网络运行维护、软件运行维护、硬件运行维护、其他运行维护服务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信息处理和存储支持服务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指供方向需方提供的信息和数据的分析、整理、计算、编辑、存储等加工处理服务，以及应用软件、信息系统基础设施等租用服务；包括在线企业资源规划（ERP）、在线杀毒、服务器托管、虚拟主机等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信息技术咨询服务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数字内容服务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指数字内容的加工处理，即将图片、文字、视频、音频等信息内容运用数字化技术进行加工处理并整合应用的服务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地理遥感信息服务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动漫、游戏数字内容服务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其他数字内容服务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含数字文化和数字体育内容服务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659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其他信息技术服务业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呼叫中心</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其他未列明信息技术服务业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J</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本门类包括66～69大类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66</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货币金融服务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661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中央银行服务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指代表政府管理金融活动，并制定和执行货币政策，维护金融稳定，管理金融市场的特殊金融机构的活动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货币银行服务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指除中央银行以外的各类银行所从事存款、贷款和信用卡等货币媒介活动，还包括在中国开展货币业务的外资银行及分支机构的活动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政策性银行服务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信用合作社服务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农村资金互助社服务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指经银行业监督管理机构批准，由自愿入股组成的社区互助性银行业金融业务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其他货币银行服务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非货币银行服务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指主要与非货币媒介机构以各种方式发放贷款有关的金融服务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融资租赁服务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指经中国银行保险监督管理委员会批准的金融租赁公司及经地方金融监管部门批准的融资租赁公司的活动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财务公司服务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指经银行业监督管理部门批准，为企业融资提供的金融活动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典当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指以动产、不动产或其他财产权利质押或抵押的融资活动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汽车金融公司服务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指经中国银监会批准设立的专门为中国境内的汽车购买者及销售者提供金融服务的非银行金融机构的活动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小额贷款公司服务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指经地方政府批准设立的小额贷款公司的活动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消费金融公司服务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指经中国银监会批准设立的为中国境内居民个人提供以消费（不包括购买房屋和汽车）为目的贷款的非银行金融机构的活动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网络借贷服务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指依法成立，专门从事网络借贷信息中介业务活动的金融信息中介公司，以及个体和个体之间通过互联网平台实现的直接借贷，个体包含自然人、法人及其他组织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其他非货币银行服务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指上述未包括的从事融资、抵押等非货币银行的服务，包括各种消费信贷抵押顾问和经纪人的活动；还包括金融保理活动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银行理财服务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指银行提供的非保本理财产品服务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银行监管服务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指代表政府管理银行业活动，制定并发布对银行业金融机构及其业务活动监督管理的规章、规则</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资本市场服务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671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证券市场服务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证券市场管理服务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指非政府机关进行的证券市场经营和监管，包括证券交易所、登记结算机构的活动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证券经纪交易服务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指在金融市场上代他人进行交易、代理发行证券和其他有关活动，包括证券经纪、证券承销与保荐、融资融券业务、客户资产管理业务等活动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公开募集证券投资基金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非公开募集证券投资基金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指以投资活动为目的设立，非公开募集，由基金管理人或者普通合伙人管理的基金，依照《私募投资基金监督管理暂行办法》进行运作</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创业投资基金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指向处于创业各阶段的成长性企业进行股权投资，以期所投资的企业成熟或相对成熟后主要通过股权转让获得增值收益的基金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天使投资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指除被投资企业职员及其家庭成员和直系亲属以外的个人以其自有资金开展的创业投资的活动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其他非公开募集证券投资基金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包括基金投资类理财服务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期货市场服务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期货市场管理服务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指非政府机关进行的期货市场经营和监管，包括商品期货交易所、金融期货交易所、期货保证金监控中心的活动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其他期货市场服务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指商品合约经纪及其他未列明的期货市场的服务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证券期货监管服务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指由政府或行业自律组织进行的对证券期货市场的监管活动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资本投资服务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指经批准的证券投资机构的自营投资、直接投资活动和其他投资活动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其他资本市场服务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指投资咨询服务、财务咨询服务、资信评级服务，以及其他未列明的资本市场的服务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68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保险业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681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人身保险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指以人的寿命和身体为保险标的的保险活动，包括人寿保险、年金保险、健康保险和意外伤害保险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人寿保险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指以人的寿命为保险标的的人身保险，包括定期寿险、终身寿险和两全保险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年金保险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指以被保险人生存为给付保险金条件，并按约定的时间间隔分期给付生存保险金的人身保险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健康保险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指以因健康原因导致损失为给付保险金条件的人身保险，包括疾病保险、医疗保险、失能收入损失保险和护理保险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意外伤害保险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指以被保险人因意外事故而导致身故、残疾或者发生保险合同约定的其他事故为给付保险金条件的人身保险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财产保险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指以财产及其有关利益为保险标的的保险，包括财产损失保险、责任保险、信用保险、保证保险等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再保险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指承担与其他保险公司承保的现有保单相关的所有或部分风险的活动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商业养老金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指专为个人和单位雇员或成员提供退休金补贴而设立的法定实体的活动(如基金、计划、项目等)，包括养老金定额补贴计划以及完全根据成员贡献确定补贴数额的个人养老金计划等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保险中介服务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保险经纪服务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指基于投保人的利益，为投保人与保险人订立保险合同提供中介服务并依法收取佣金的活动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指根据保险人的委托，向保险人收取佣金，并在保险人授权的范围内代为办理保险业务的活动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保险公估服务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指接受委托，专门从事保险标的或者保险事故评估、勘验、鉴定、估损理算等业务，并按约定收取报酬的活动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保险资产管理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指保险资产管理公司接受委托，开展的保险资金、商业养老金等资金的投资管理活动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6870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保险监管服务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指根据国务院授权及相关法律、法规规定所履行的对保险市场的监督、管理活动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其他保险活动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指其他未列明的与保险和商业养老金相关或密切相关的活动，包括救助管理、保险精算等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69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其他金融业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691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金融信托与管理服务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信托公司</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指经中国银监会批准设立的，主要经营信托业务的金融机构；信托业务是指信托公司以营业和收取报酬为目的，以受托人身份承诺信托和处理信托事务的经营行为</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其他金融信托与管理服务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控股公司服务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指通过一定比例股份，控制某个公司或多个公司的集团，控股公司仅控制股权，不直接参与经营管理，以及其他类似的活动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非金融机构支付服务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指非金融机构在收付款人之间作为中介机构提供下列部分或全部货币资金转移服务，包括第三方支付机构从事的互联网支付、预付卡的发行与受理、银行卡收单及中国人民银行确定的其他支付等服务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金融信息服务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指向从事金融分析、金融交易、金融决策或者其他金融活动的用户提供可能影响金融市场的信息（或者金融数据）的服务，包括征信机构服务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金融资产管理公司</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指经批准成立的，以从事收购、管理和处置不良资产业务为主，同时通过全资或控股金融类子公司提供银行、信托、证券、租赁、保险等综合化金融服务的金融企业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货币经纪公司服务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指经中国银监会批准设立的专门从事促进金融机构间资金融通和外汇交易等经纪服务的非银行金融机构的活动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6999</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其他未包括金融业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K</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房地产业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本门类包括70大类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房地产业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701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r>
              <w:rPr>
                <w:rFonts w:hint="eastAsia" w:ascii="宋体" w:hAnsi="宋体" w:eastAsia="宋体" w:cs="宋体"/>
                <w:color w:val="000000"/>
                <w:sz w:val="20"/>
                <w:szCs w:val="20"/>
              </w:rPr>
              <w:t>7010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房地产开发经营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指房地产开发企业进行的房屋、基础设施建设等开发，以及转让房地产开发项目或者销售房屋等活动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物业管理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指物业服务企业按照合同约定，对房屋及配套的设施设备和相关场地进行维修、养护、管理，维护环境卫生和相关秩序的活动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房地产中介服务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指房地产咨询、房地产价格评估、房地产经纪等活动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房地产租赁经营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指各类单位和居民住户的营利性房地产租赁活动，以及房地产管理部门和企事业单位、机关提供的非营利性租赁服务，包括体育场地租赁服务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其他房地产业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L</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租赁和商务服务业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本门类包括71和72大类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租赁业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机械设备经营租赁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指不配备操作人员的机械设备的租赁服务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农业机械经营租赁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建筑工程机械与设备经营租赁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计算机及通讯设备经营租赁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其他机械与设备经营租赁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文体设备和用品出租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休闲娱乐用品设备出租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体育用品设备出租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文化用品设备出租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不包括图书、音响制品出租</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其他文体设备和用品出租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商务服务业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200" w:firstLineChars="100"/>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组织管理服务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指市场化组织管理和经营性组织管理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企业总部管理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投资与资产管理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指政府主管部门转变职能后，成立的国有资产管理机构和行业管理机构的活动；其他投资管理活动；不包括资本投资服务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资源与产权交易服务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指除货物、资本市场、黄金、外汇、房地产、土地、知识产权交易以外的所有资源与产权交易活动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单位后勤管理服务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指为企事业、机关提供综合后勤服务的活动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农村集体经济组织管理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指以土地等生产资料劳动群众集体所有制为基础，承担管理集体资产、开发集体资源、发展集体经济、服务集体成员的基层经济组织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Cs/>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其他组织管理服务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指其他各类企业、行业管理机构和未列明的综合跨界管理的活动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综合管理服务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园区管理服务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指非政府部门的各类园区管理服务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商业综合体管理服务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指以购物中心为主导，融合了商业零售、餐饮、休闲健身、娱乐、文化等多项活动的大型建筑综合体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市场管理服务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指各种交易市场的管理活动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供应链管理服务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其他综合管理服务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指其他未列明的综合跨界管理的活动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法律服务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指律师、公证、仲裁、调解等活动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律师及相关法律服务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指在民事案件、刑事案件和其他案件中，为原被告双方提供法律代理服务，以及为一般民事行为提供的法律咨询服务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公证服务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其他法律服务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咨询与调查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会计、审计及税务服务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市场调查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包含广播电视收听、收视调查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社会经济咨询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健康咨询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含体育策划</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其他专业咨询与调查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指上述咨询以外的其他专业咨询和其他调查活动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广告业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指在报纸、期刊、路牌、灯箱、橱窗、互联网、通讯设备及广播电影电视等媒介上为客户策划、制作的有偿宣传活动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互联网广告服务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指提供互联网推送及其他互联网广告服务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其他广告服务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指除互联网广告以外的广告服务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人力资源服务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公共就业服务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指向劳动者提供公益性的就业服务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职业中介服务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指为求职者寻找、选择、介绍工作，为用人单位提供劳动力的服务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劳务派遣服务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指劳务派遣单位招用劳动力后，将其派到用工单位从事劳动的行为</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创业指导服务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指除众创空间、孵化器等创业服务载体外的其他机构为初创企业或创业者提供的创业辅导、创业培训、技术转移、人才引进、金融投资、市场开拓、国际合作等一系列服务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其他人力资源服务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指其他未列明的人力资源服务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安全保护服务</w:t>
            </w:r>
          </w:p>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指为社会提供的专业化、有偿安全防范服务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安全系统监控服务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其他安全保护服务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会议、展览及相关服务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指以会议、展览为主，也可附带其他相关的活动形式，包括项目策划组织、场馆租赁、保障服务等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科技会展服务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旅游会展服务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其他会议、展览及相关服务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其他商务服务业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旅行社及相关服务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指为社会各界提供商务、组团和散客旅游的服务，包括向顾客提供咨询、旅游计划和建议、日程安排、导游、食宿和交通等服务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包装服务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指有偿或按协议为客户提供包装服务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办公服务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指为商务、公务及个人提供的各种办公服务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翻译服务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指专业提供口译和笔译的服务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指专门从事信用信息采集、整理和加工，并提供相关信用产品和信用服务的活动，包括信用评级、商账管理等活动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非融资担保服务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商务代理代办服务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指为机构单位提供的各种代理、代办服务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票务代理服务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指除旅客交通票务代理外的各种票务代理服务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其他未列明商务服务业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指上述未列明的商务、代理等活动，包括商业保理活动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M</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科学研究和技术服务业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本门类包括73～75大类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73</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r>
              <w:rPr>
                <w:rFonts w:hint="eastAsia" w:ascii="宋体" w:hAnsi="宋体" w:eastAsia="宋体" w:cs="宋体"/>
                <w:color w:val="000000"/>
                <w:sz w:val="20"/>
                <w:szCs w:val="20"/>
              </w:rPr>
              <w:t>7310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自然科学研究和试验发展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工程和技术研究和试验发展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农业科学研究和试验发展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7340 </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医学研究和试验发展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7350 </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社会人文科学研究</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专业技术服务业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r>
              <w:rPr>
                <w:rFonts w:hint="eastAsia" w:ascii="宋体" w:hAnsi="宋体" w:eastAsia="宋体" w:cs="宋体"/>
                <w:color w:val="000000"/>
                <w:sz w:val="20"/>
                <w:szCs w:val="20"/>
              </w:rPr>
              <w:t>7410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气象服务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指从事气象探测、预报、服务和气象灾害防御、气候资源利用等活动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地震服务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指地震监测预报、震灾预防和紧急救援等防震减灾活动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海洋气象服务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海洋环境服务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其他海洋服务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测绘地理信息服务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遥感测绘服务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其他测绘地理信息服务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质检技术服务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检验检疫服务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检测服务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指依据相关标准或者技术规范，利用仪器设备、环境设施等技术条件，对产品或者特定对象进行的技术判断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计量服务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标准化服务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认证认可服务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其他质检技术服务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指质量相关的代理、咨询、评价、保险等活动，还包括质量品牌保护等活动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环境与生态监测检测服务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环境保护监测</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指对环境各要素，对生产与生活等各类污染源排放的液体、气体、固体、辐射等污染物或污染因子指标进行的测试、监测和评估活动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生态资源监测</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指对海洋资源、森林资源、湿地资源、荒漠化、珍稀濒危野生动植物资源及外来物种的调查与监测活动，以及对生态工程的监测活动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野生动物疫源疫病防控监测</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地质勘查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指对矿产资源、工程地质、科学研究进行的地质勘查、测试、监测、评估等活动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能源矿产地质勘查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固体矿产地质勘查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水、二氧化碳等矿产地质勘查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基础地质勘查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指区域、海洋、环境和水文地质勘查活动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地质勘查技术服务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指除矿产地质勘查、基础地质勘查以外的其他勘查和相关的技术服务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工程技术与设计服务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指工程项目建设中的项目策划、投资与造价咨询、招标代理、项目管理等服务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工程监理服务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工程勘察活动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指建筑工程施工前的工程测量、工程地质勘察和咨询等活动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工程设计活动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规划设计管理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指对区域和城镇、乡村的规划，以及其他规划</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土地规划服务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指开展土地利用总体规划、专项规划、详细规划的调查评价、编制设计、论证评估、修改、咨询活动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工业与专业设计及其他专业技术服务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工业设计服务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专业设计服务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指除工程设计、软件设计、集成电路设计、工业设计以外的各种专业设计服务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兽医服务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指除宠物医院以外的各类兽医服务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其他未列明专业技术服务业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科技推广和应用服务业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指将新技术、新产品、新工艺直接推向市场而进行的相关技术活动，以及技术推广和转让活动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新材料技术推广服务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节能技术推广服务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指仅包括节能技术和产品的开发、交流、转让、推广服务，以及一站式合同能源管理综合服务；节能技术咨询、节能评估、能源审计、节能量审核服务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新能源技术推广服务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三维（3D)打印技术推广服务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知识产权服务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指专利、商标、版权、软件、集成电路布图设计、技术秘密、地理标志等各类知识产权的代理、转让、登记、鉴定、检索、分析、咨询、评估、运营、认证等服务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科技中介服务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指为科技活动提供社会化服务与管理，在政府、各类科技活动主体与市场之间提供居间服务的组织，主要开展信息交流、技术咨询、科技评估和科技鉴证等活动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创业空间服务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其他科技推广服务业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指除技术推广、科技中介以外的其他科技服务，但不包括短期的日常业务活动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N</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水利、环境和公共设施管理业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本门类包括76～79大类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水利管理业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防洪除涝设施管理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指对江河湖泊开展的河道、堤防、岸线整治等活动及对河流、湖泊、行蓄洪区和沿海的防洪设施的管理活动，包括防洪工程设施的管理及运行维护等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水资源管理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指对水资源的开发、利用、配置、节约、保护、监测、管理等活动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天然水收集与分配</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指通过各种方式收集、分配天然水资源的活动，包括通过蓄水（水库、塘堰等）、提水、引水和井等水源工程，收集和分配各类地表和地下淡水资源的活动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水文服务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指通过布设水文站网对水的时空分布规律、泥沙、水质进行监测、收集和分析处理的活动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其他水利管理业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生态保护和环境治理业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生态保护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自然生态系统保护管理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指对自然生态系统的保护和管理活动，包括森林、草原和草甸、荒漠、湿地、内陆水域以及海洋生态系统的保护和管理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自然遗迹保护管理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包括地质遗迹保护管理、古生物遗迹保护管理等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野生动物保护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指对野生及濒危动物的饲养、繁殖等保护活动，以及对栖息地的管理活动，包括野生动物保护区管理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野生植物保护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指对野生及濒危植物的收集、保存、培育及其生存环境的维持等保护活动，包括野生植物保护区管理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动物园、水族馆管理服务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植物园管理服务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其他自然保护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指除自然生态系统保护管理、自然遗迹保护管理、野生动植物保护以外的其他自然保护活动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环境治理业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水污染治理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指对江、河、湖泊、水库及地下水、地表水的污染综合治理活动，不包括排放污水的搜集和治理活动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大气污染治理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指对大气污染的综合治理以及对工业废气的治理活动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固体废物治理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指除城乡居民生活垃圾以外的固体废物治理及其他非危险废物的治理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危险废物治理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指对制造、维修、医疗等活动产生的危险废物进行收集、贮存、利用、处理和处置等活动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放射性废物治理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指对生产及其他活动过程产生的放射性废物进行收集、运输、贮存、利用、处理和处置等活动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土壤污染治理与修复服务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噪声与振动控制服务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其他污染治理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指除上述治理以外的其他环境治理活动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78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公共设施管理业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市政设施管理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指污水排放、雨水排放、路灯、道路、桥梁、隧道、广场、涵洞、防空等城乡公共设施的抢险、紧急处理、管理等活动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环境卫生管理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指城乡生活垃圾的清扫、收集、运输、处理和处置、管理等活动，以及对公共厕所、化粪池的清扫、收集、运输、处理和处置、管理等活动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城乡市容管理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绿化管理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指城市绿地和生产绿地、防护绿地、附属绿地等管理活动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城市公园管理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指主要为人们提供休闲、观赏、运动、游览以及开展科普活动的城市各类公园管理活动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游览景区管理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名胜风景区管理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不含自然保护区管理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森林公园管理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其他游览景区管理</w:t>
            </w:r>
          </w:p>
        </w:tc>
        <w:tc>
          <w:tcPr>
            <w:tcW w:w="38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土地管理业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土地整治服务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对土地进行整理、复垦、开发以及相关设计、监测、评估等活动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土地调查评估服务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指对土地利用现状、城乡地籍、土地变更等进行调查和进行城镇基准地价评估、宗地价格评估、地价监测、土地等级评定、土地节约集约利用评价咨询活动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土地登记服务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指在土地登记过程中进行受理申请、登记事项审核、登记簿册填写和权属证书发放、土地产权产籍档案管理和应用等活动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土地登记代理服务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指接受申请人委托，通过实地调查、资料收集、权属判别等工作，代为办理土地、林木等不动产登记的申请和领证等事项，提供社会服务等活动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其他土地管理服务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指土地交易服务、土地储备管理及其他未列明的土地管理服务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O</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居民服务、修理和其他服务业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本门类包括80～82大类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80</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居民服务业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家庭服务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指雇佣家庭雇工的家庭住户和家庭户的自营活动，以及在雇主家庭从事有报酬的家庭雇工的活动，包括钟点工和居住在雇主家里的家政劳动者的活动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托儿所服务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指社会、街道、个人办的面向不足三岁幼儿的看护活动，可分为全托、日托、半托，或计时的服务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指专营的洗染店的服务，含各种干洗、湿洗等服务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理发及美容服务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指专业理发、美发、美容、美甲等保健服务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洗浴和保健养生服务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洗浴服务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指专业洗浴以及温泉、水疗等服务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8052</w:t>
            </w:r>
          </w:p>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8053</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足浴服务</w:t>
            </w:r>
          </w:p>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养生保健服务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指中医养生保健（非医疗）和其他专业养生保健等服务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8060</w:t>
            </w:r>
          </w:p>
        </w:tc>
        <w:tc>
          <w:tcPr>
            <w:tcW w:w="3402"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摄影扩印服务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8070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婚姻服务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指婚姻介绍、婚庆典礼等服务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8080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殡葬服务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指与殡葬有关的各类服务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其他居民服务业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指上述未包括的居民服务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机动车、电子产品和日用产品修理业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汽车、摩托车等修理与维护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指汽车修理厂及路边门店的专业修理服务，包括为汽车提供上油、充气、打蜡、抛光、喷漆、清洗、换零配件、出售零部件等服务，不包括汽车回厂拆卸、改装、大修的活动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大型车辆装备修理与维护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助动车等修理与维护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计算机和办公设备维修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指对计算机硬件及系统环境的维护和修理活动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计算机和辅助设备修理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通讯设备修理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其他办公设备维修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指其他未列明的各种办公设备的修理公司（中心）、修理门市部和修理网点的修理活动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家用电器修理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家用电子产品修理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指电视、音响等家用视频、音频产品的修理活动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日用电器修理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指洗衣机、电冰箱、空调等日用电器维修门市部，以及生产企业驻各地的维修网点和维修公司（中心）的修理活动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其他日用产品修理业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鞋和皮革修理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家具和相关物品修理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其他未列明日用产品修理业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指其他日用产品维修门市部、修理摊点的活动，以及生产企业驻各地的维修网点和维修中心的修理活动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其他服务业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清洁服务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指对建筑物、办公用品、家庭用品的清洗和消毒服务；包括专业公司和个人提供的清洗服务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建筑物清洁服务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指对建筑物内外墙、玻璃幕墙、地面、天花板及烟囱的清洗活动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其他清洁服务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指专业清洗人员为企业的机器、办公设备的清洗活动，以及为居民的日用品、器具及设备的清洗活动，包括清扫、消毒等服务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宠物饲养</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指专门以观赏、领养（出售）为目的的宠物饲养活动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宠物医院服务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宠物美容服务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宠物寄托收养服务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其他宠物服务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指宠物运输、宠物培训及其他未列明的宠物活动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P</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本门类包括83大类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8310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学前教育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指经教育行政部门批准举办的对学龄前幼儿进行保育和教育的活动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初等教育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指《义务教育法》规定的小学教育以及成人小学教育（含扫盲）的活动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普通小学教育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成人小学教育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普通初中教育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指《义务教育法》规定的对小学毕业生进行初级中等教育的活动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职业初中教育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成人初中教育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普通高中教育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指非义务教育阶段，通过考试招收初中毕业生进行普通高中教育的活动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成人高中教育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中等职业学校教育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指经教育行政部门或人力资源社会保障行政部门批准举办的中等技术学校、中等师范学校、成人中等专业学校、职业高中学校、技工学校等教育活动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普通高等教育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指经教育行政部门批准，由国家、地方、社会办的在完成高级中等教育基础上实施的获取学历的高等教育活动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成人高等教育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指经教育主管部门批准办的成人高等教育活动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特殊教育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指为残障儿童提供的特殊教育活动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技能培训、教育辅助及其他教育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职业技能培训</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体校及体育培训</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指各类、各级体校培训，以及其他各类体育运动培训活动，不包括学校教育制度范围内的体育大学、学院、学校的体育专业教育</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文化艺术培训</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指国家学校教育制度以外，由正规学校或社会各界办的文化艺术培训活动，不包括少年儿童的课外艺术辅导班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教育辅助服务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指专门从事教育检测、评价、考试、招生等辅助活动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其他未列明教育</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指经批准的宗教院校教育及上述未列明的教育活动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Q</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卫生和社会工作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本门类包括84和85大类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84</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卫生</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综合医院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中医医院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中西医结合医院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民族医院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指民族医医院</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专科医院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疗养院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指以疗养、康复为主，治疗为辅的医疗服务活动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基层医疗卫生服务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社区卫生服务中心（站）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街道卫生院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乡镇卫生院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8424</w:t>
            </w:r>
          </w:p>
        </w:tc>
        <w:tc>
          <w:tcPr>
            <w:tcW w:w="3402" w:type="dxa"/>
            <w:tcBorders>
              <w:tl2br w:val="nil"/>
              <w:tr2bl w:val="nil"/>
            </w:tcBorders>
            <w:noWrap w:val="0"/>
            <w:vAlign w:val="center"/>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村卫生室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门诊部（所）</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指门诊部、诊所、医务室、卫生站、护理院等卫生机构的活动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专业公共卫生服务</w:t>
            </w:r>
          </w:p>
        </w:tc>
        <w:tc>
          <w:tcPr>
            <w:tcW w:w="3827" w:type="dxa"/>
            <w:tcBorders>
              <w:tl2br w:val="nil"/>
              <w:tr2bl w:val="nil"/>
            </w:tcBorders>
            <w:noWrap w:val="0"/>
            <w:vAlign w:val="center"/>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疾病预防控制中心</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指卫生防疫站、卫生防病中心、预防保健中心等活动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专科疾病防治院（所、站）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指对各种专科疾病进行预防及群众预防的活动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妇幼保健院（所、站）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指非医院的妇女及婴幼儿保健活动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急救中心（站）服务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采供血机构服务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计划生育技术服务活动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指各地区计划生育技术服务机构的活动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其他卫生活动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指健康体检服务及其他未列明的卫生机构的活动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健康体检服务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临床检验服务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其他未列明卫生服务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指提供慈善、救助、福利、护理、帮助等社会工作的活动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提供住宿社会工作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指提供临时、长期住宿的福利和救济活动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干部休养所</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护理机构服务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指各级政府、企业和社会力量兴办的主要面向老年人、残疾人提供的专业化护理的服务机构的活动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精神康复服务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指智障、精神疾病、吸毒、酗酒等人员的住宿康复治疗活动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老年人、残疾人养护服务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指各级政府、企业和社会力量兴办的主要面向老年人和残疾人提供的长期照料、养护、关爱等服务机构的活动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临终关怀服务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center"/>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孤残儿童收养和庇护服务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指对孤残儿童、生活无着流浪儿童等人员的收养救助活动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center"/>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其他提供住宿社会救助</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指对生活无着流浪等其他人员的收养救助等活动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不提供住宿社会工作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指为孤儿、老人、残疾人、智障、军烈属、五保户、低保户、受灾群众及其他弱势群体提供不住宿的看护、帮助活动，以及慈善、募捐等其他社会工作的活动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社会看护与帮助服务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指为老人、残疾人、五保户及其他弱势群体提供不住宿的看护、帮助活动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康复辅具适配服务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指为老年人、残疾人、运动伤残人员、孤残儿童及其他弱势群体提供的假肢、矫形器、轮椅车、助行器、助听器等康复辅具适配服务的活动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其他不提供住宿社会工作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指慈善、募捐等其他社会工作的活动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R</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文化、体育和娱乐业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本门类包括86～90大类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新闻和出版业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新闻业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出版业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报纸出版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期刊出版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电子出版物出版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数字出版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指利用数字技术进行内容编辑加工，并通过网络传播数字内容产品的出版服务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其他出版业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广播、电视、电影和录音制作业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指对广播、电视、电影、影视录音内容的制作、编导、主持、播出、放映等活动；不包括广播电视信号的传输和接收活动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广播</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指广播节目的现场制作、播放及其他相关活动，还包括互联网广播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指有线和无线电视节目的现场制作、播放及其他相关活动，还包括互联网电视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影视节目制作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广播电视集成播控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指IP电视、手机电视、互联网电视等专网及定向传播视听节目服务的集成播控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电影和广播电视节目发行</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不含录像制品（以磁带、光盘为载体）的发行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电影放映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指专业电影院以及设在娱乐场所独立（或相对独立）的电影放映等活动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录音制作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文化艺术业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文艺创作与表演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指文学、美术创造和表演艺术（如戏曲、歌舞、话剧、音乐、杂技、马戏、木偶等表演艺术）等活动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艺术表演场馆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指有观众席、舞台、灯光设备，专供文艺团体演出的场所管理活动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图书馆与档案馆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档案馆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文物及非物质文化遗产保护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博物馆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指收藏、研究、展示文物和标本的博物馆的活动，以及展示人类文化、艺术、体育、科技、文明的美术馆、艺术馆、展览馆、科技馆、天文馆等管理活动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烈士陵园、纪念馆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群众文体活动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指对各种主要由城乡群众参与的文艺类演出、比赛、展览、文艺知识鉴赏等公益性文化活动的管理活动，以及群众参与的各级各类体育竞赛和活动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其他文化艺术业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体育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体育组织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指专业从事体育比赛、训练、辅导和管理的组织的活动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体育竞赛组织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指专业从事各类体育比赛、表演、训练、辅导、管理的体育组织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体育保障组织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指体育战略规划、竞技体育、全民健身、体育产业、反兴奋剂、体育器材装备及其他未列明的保障性体育管理和服务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其他体育组织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指其他由体育专业协会、体育类社会服务机构、基层体育组织、全民健身活动站点、互联网体育组织等提供的服务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ind w:firstLine="100" w:firstLineChars="50"/>
              <w:rPr>
                <w:rFonts w:hint="eastAsia" w:ascii="宋体" w:hAnsi="宋体" w:eastAsia="宋体" w:cs="宋体"/>
                <w:color w:val="000000"/>
                <w:sz w:val="20"/>
                <w:szCs w:val="20"/>
              </w:rPr>
            </w:pPr>
            <w:r>
              <w:rPr>
                <w:rFonts w:hint="eastAsia" w:ascii="宋体" w:hAnsi="宋体" w:eastAsia="宋体" w:cs="宋体"/>
                <w:color w:val="000000"/>
                <w:sz w:val="20"/>
                <w:szCs w:val="20"/>
              </w:rPr>
              <w:t>892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体育场地设施管理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指可供观赏比赛的场馆和专供运动员训练用的场地设施管理活动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体育场馆管理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其他体育场地设施管理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ind w:firstLine="100" w:firstLineChars="50"/>
              <w:rPr>
                <w:rFonts w:hint="eastAsia" w:ascii="宋体" w:hAnsi="宋体" w:eastAsia="宋体" w:cs="宋体"/>
                <w:color w:val="000000"/>
                <w:sz w:val="20"/>
                <w:szCs w:val="20"/>
              </w:rPr>
            </w:pPr>
            <w:r>
              <w:rPr>
                <w:rFonts w:hint="eastAsia" w:ascii="宋体" w:hAnsi="宋体" w:eastAsia="宋体" w:cs="宋体"/>
                <w:color w:val="000000"/>
                <w:sz w:val="20"/>
                <w:szCs w:val="20"/>
              </w:rPr>
              <w:t>893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健身休闲活动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指主要面向社会开放的休闲健身场所和其他体育娱乐场所的管理活动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指上述未包括的体育活动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体育中介代理服务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指各类体育赞助活动、体育招商活动、体育文化活动推广，以及其他体育音像、动漫、影视代理等服务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体育健康服务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指国民体质监测与康体服务，以及科学健身调理、社会体育指导员、运动康复按摩、体育健康指导等服务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8999</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其他未列明体育</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指其他未包括的体育活动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90</w:t>
            </w: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娱乐业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室内娱乐活动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指室内各种娱乐活动和以娱乐为主的活动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歌舞厅娱乐活动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电子游艺厅娱乐活动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网吧活动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指通过计算机等装置向公众提供互联网上网服务的网吧、电脑休闲室等营业性场所的服务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其他室内娱乐活动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游乐园</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指配有大型娱乐设施的室外娱乐活动及以娱乐为主的活动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休闲观光活动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指以农林牧渔业、制造业等生产和服务领域为对象的休闲观光旅游活动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彩票活动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指各种形式的彩票活动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体育彩票服务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福利彩票服务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其他彩票服务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文化体育娱乐活动与经纪代理服务</w:t>
            </w:r>
          </w:p>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文化活动服务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5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指策划、组织、实施各类文化、晚会、娱乐、演出、庆典、节日等活动的服务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体育表演服务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指策划、组织、实施各类职业化、商业化、群众性体育赛事等体育活动的服务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文化娱乐经纪人</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200" w:firstLineChars="100"/>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体育经纪人</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其他文化艺术经纪代理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指除文化娱乐经纪人、体育经纪人、艺术品、收藏品经纪代理以外的其他文化艺术经纪代理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其他娱乐业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指公园、海滩和旅游景点内小型设施的娱乐活动及其他娱乐活动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S</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公共管理、社会保障和社会组织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本类包括91～96大类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中国共产党机关</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910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9100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中国共产党机关</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国家机构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国家权力机构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指宪法规定的全国和地方各级人民代表大会及常委会机关的活动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国家行政机构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指国务院及所属行政主管部门的活动；县以上地方各级人民政府及所属各工作部门的活动；乡（镇）级地方人民政府的活动；行政管理部门下属的监督、检查机构的活动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综合事务管理机构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指中央和地方人民政府的活动，以及依法管理全国或地方综合事务的政府主管部门的活动，还包括政府事务管理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对外事务管理机构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公共安全管理机构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指除消防服务以外的公共安全管理机构</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经济事务管理机构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行政监督检查机构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指依法对社会经济活动进行监督、稽查、检查、查处等活动，包括独立（或相对独立）于各级行政管理机构的执法检查大队的活动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监察委员会、人民法院和人民检察院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指宪法规定的监察委员会、人民法院和人民检察院所进行的活动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监察委员会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指各级监察委员会的活动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人民法院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指各级人民法院的活动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人民检察院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指各级人民检察院的活动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其他国家机构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指其他未另列明的国家机构的活动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消防管理机构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其他未列明国家机构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人民政协、民主党派</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人民政协</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指全国人民政治协商会议及各级人民政协的活动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民主党派</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社会保障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基本保险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指依据国家有关规定开展的各种社会保障活动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基本养老保险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指职工基本养老保险、城乡居民基本养老保险的基金、经办、投资、管理等有关活动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基本医疗保险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指职工基本医疗保险、城乡居民基本医疗保险的基金、经办、投资、管理等有关活动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失业保险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指失业保险的基金、经办、投资、管理等有关活动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工伤保险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指工伤医疗保险的基金、经办、投资、管理等有关活动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生育保险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指生育保险的基金、经办、投资、管理等有关活动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其他基本保险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指其他基本保险活动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100" w:firstLineChars="5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补充保险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指企业年金、职业年金、补充医疗和其他补充保险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其他社会保障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群众团体、社会团体和其他成员组织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群众团体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指不在社会团体登记管理机关登记的群众团体的活动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妇联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共青团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其他群众团体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指依法在社会团体登记管理机关登记的单位的活动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专业性团体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指由同一领域的成员、专家组成的社会团体（如学科、学术、文化、艺术、体育、教育、卫生等）的活动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行业性团体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指由一个行业，或某一类企业，或不同企业的雇主（经理、厂长）组成的社会团体的活动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其他社会团体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指未列明的其他社会团体的活动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基金会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指利用自然人、法人或者其他组织捐赠的财产，以从事公益事业为目的，按照国务院颁布的《基金会管理条例》的规定成立的非营利性法人的活动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宗教组织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指在民政部门登记的宗教团体的活动和在政府宗教事务部门登记的宗教活动场所的活动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宗教团体服务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宗教活动场所服务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基层群众自治组织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指城市和农村按居民居住地区设立的居民委员会或者村民委员会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9610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社区居民自治组织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指城市、镇的居民通过选举产生的群众性自治组织的管理活动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9620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村民自治组织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指农村村民通过选举产生的群众性自治组织的管理活动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T</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国际组织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本门类包括97大类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国际组织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970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9700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国际组织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指联合国和其他国际组织驻我国境内机构等活动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bl>
    <w:p>
      <w:pPr>
        <w:spacing w:line="400" w:lineRule="exact"/>
        <w:rPr>
          <w:rFonts w:ascii="Calibri" w:hAnsi="宋体" w:eastAsia="宋体"/>
          <w:szCs w:val="21"/>
        </w:rPr>
      </w:pPr>
    </w:p>
    <w:p>
      <w:pPr>
        <w:spacing w:line="400" w:lineRule="exact"/>
        <w:rPr>
          <w:rFonts w:ascii="Calibri" w:hAnsi="Calibri" w:eastAsia="宋体"/>
        </w:rPr>
      </w:pPr>
    </w:p>
    <w:p>
      <w:pPr>
        <w:spacing w:line="400" w:lineRule="exact"/>
        <w:rPr>
          <w:rFonts w:ascii="Calibri" w:hAnsi="Calibri" w:eastAsia="宋体"/>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4" w:name="_Toc30816"/>
      <w:bookmarkStart w:id="5" w:name="_Toc14927"/>
      <w:bookmarkStart w:id="6" w:name="_Toc25302"/>
      <w:r>
        <w:rPr>
          <w:rFonts w:hint="eastAsia" w:ascii="方正小标宋简体" w:hAnsi="方正小标宋简体" w:eastAsia="方正小标宋简体" w:cs="方正小标宋简体"/>
          <w:b w:val="0"/>
          <w:bCs/>
          <w:kern w:val="2"/>
          <w:sz w:val="36"/>
          <w:szCs w:val="36"/>
          <w:lang w:eastAsia="zh-CN"/>
        </w:rPr>
        <w:t>第二部分  三次产业划分规定</w:t>
      </w:r>
      <w:bookmarkEnd w:id="4"/>
      <w:bookmarkEnd w:id="5"/>
      <w:bookmarkEnd w:id="6"/>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文件名称：国家统计局关于修订《三次产业划分规定（2012）》的通知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号：国统设管函〔2018〕74号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印发时间：2018年3月23日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前续版本：《三次产业划分规定》（国统字〔2012〕108号）</w:t>
      </w:r>
    </w:p>
    <w:p>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bookmarkStart w:id="7" w:name="正文开始"/>
      <w:bookmarkEnd w:id="7"/>
      <w:bookmarkStart w:id="8" w:name="正文文件"/>
      <w:bookmarkEnd w:id="8"/>
      <w:r>
        <w:rPr>
          <w:rFonts w:hint="eastAsia" w:ascii="宋体" w:hAnsi="宋体" w:cs="Times New Roman"/>
          <w:sz w:val="24"/>
          <w:szCs w:val="24"/>
        </w:rPr>
        <w:t>根据《国民经济行业分类》（GB/T 4754—2017），我们对《三次产业划分规定（2012）》中行业类别进行了对应调整，请在有关统计活动中认真贯彻执行。</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outlineLvl w:val="1"/>
        <w:rPr>
          <w:rFonts w:hint="eastAsia" w:ascii="黑体" w:hAnsi="黑体" w:eastAsia="黑体"/>
          <w:bCs/>
          <w:sz w:val="24"/>
          <w:szCs w:val="24"/>
        </w:rPr>
      </w:pPr>
      <w:bookmarkStart w:id="9" w:name="_Toc28308"/>
      <w:bookmarkStart w:id="10" w:name="_Toc15779"/>
      <w:bookmarkStart w:id="11" w:name="_Toc11923_WPSOffice_Level2"/>
      <w:bookmarkStart w:id="12" w:name="_Toc3083"/>
      <w:r>
        <w:rPr>
          <w:rFonts w:hint="eastAsia" w:ascii="黑体" w:hAnsi="黑体" w:eastAsia="黑体"/>
          <w:bCs/>
          <w:sz w:val="24"/>
          <w:szCs w:val="24"/>
        </w:rPr>
        <w:t>一、第二产业调整情况</w:t>
      </w:r>
      <w:bookmarkEnd w:id="9"/>
      <w:bookmarkEnd w:id="10"/>
      <w:bookmarkEnd w:id="11"/>
      <w:bookmarkEnd w:id="12"/>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“石油加工、炼焦和核燃料加工业”更名为“石油、煤炭及其他燃料加工业”，并将2011版《国民经济行业分类》4500中部分内容和4120全部内容调到此类；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“建筑装饰和其他建筑业”更名为“建筑装饰、装修和其他建筑业”。</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outlineLvl w:val="1"/>
        <w:rPr>
          <w:rFonts w:hint="eastAsia" w:ascii="黑体" w:hAnsi="黑体" w:eastAsia="黑体"/>
          <w:bCs/>
          <w:sz w:val="24"/>
          <w:szCs w:val="24"/>
        </w:rPr>
      </w:pPr>
      <w:bookmarkStart w:id="13" w:name="_Toc17318"/>
      <w:bookmarkStart w:id="14" w:name="_Toc405_WPSOffice_Level2"/>
      <w:bookmarkStart w:id="15" w:name="_Toc7141"/>
      <w:bookmarkStart w:id="16" w:name="_Toc2556"/>
      <w:r>
        <w:rPr>
          <w:rFonts w:hint="eastAsia" w:ascii="黑体" w:hAnsi="黑体" w:eastAsia="黑体"/>
          <w:bCs/>
          <w:sz w:val="24"/>
          <w:szCs w:val="24"/>
        </w:rPr>
        <w:t>二、第三产业调整情况</w:t>
      </w:r>
      <w:bookmarkEnd w:id="13"/>
      <w:bookmarkEnd w:id="14"/>
      <w:bookmarkEnd w:id="15"/>
      <w:bookmarkEnd w:id="16"/>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“农、林、牧、渔服务业”更名为“农、林、牧、渔专业及辅助性活动”；</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“开采辅助活动”更名为“开采专业及辅助性活动”；</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“装卸搬运和运输代理业”更名为“多式联运和运输代理业”，并将2011版的《国民经济行业分类》5810调出此类；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“仓储业”更名为“装卸搬运和仓储业”，并将2011版的《国民经济行业分类》5810调至此类；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“房地产业”内容变更，将2011版的《国民经济行业分类》7090部分内容调出；</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新增大类“土地管理业”，将2011版的《国民经济行业分类》7090部分内容调至此类；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56" w:firstLineChars="200"/>
        <w:textAlignment w:val="auto"/>
        <w:rPr>
          <w:rFonts w:ascii="宋体" w:hAnsi="宋体" w:cs="Times New Roman"/>
          <w:spacing w:val="-6"/>
          <w:sz w:val="24"/>
          <w:szCs w:val="24"/>
        </w:rPr>
      </w:pPr>
      <w:r>
        <w:rPr>
          <w:rFonts w:hint="eastAsia" w:ascii="宋体" w:hAnsi="宋体" w:cs="Times New Roman"/>
          <w:spacing w:val="-6"/>
          <w:sz w:val="24"/>
          <w:szCs w:val="24"/>
        </w:rPr>
        <w:t>“广播、电视、电影和影视录音制作业”更名为“广播、电视、电影和录音制作业”；</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“基层群众自治组织”更名为“基层群众自治组织及其他组织”。</w:t>
      </w:r>
    </w:p>
    <w:p>
      <w:pPr>
        <w:keepNext w:val="0"/>
        <w:keepLines w:val="0"/>
        <w:pageBreakBefore w:val="0"/>
        <w:widowControl w:val="0"/>
        <w:kinsoku/>
        <w:wordWrap/>
        <w:overflowPunct w:val="0"/>
        <w:topLinePunct w:val="0"/>
        <w:autoSpaceDE/>
        <w:autoSpaceDN/>
        <w:bidi w:val="0"/>
        <w:adjustRightInd w:val="0"/>
        <w:snapToGrid w:val="0"/>
        <w:spacing w:line="300" w:lineRule="exact"/>
        <w:ind w:firstLine="480" w:firstLineChars="200"/>
        <w:textAlignment w:val="auto"/>
        <w:rPr>
          <w:rFonts w:hint="eastAsia" w:ascii="宋体" w:hAnsi="宋体"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附件</w:t>
      </w:r>
      <w:r>
        <w:rPr>
          <w:rFonts w:hint="eastAsia" w:ascii="宋体" w:hAnsi="宋体" w:cs="Times New Roman"/>
          <w:sz w:val="24"/>
          <w:szCs w:val="24"/>
          <w:lang w:eastAsia="zh-CN"/>
        </w:rPr>
        <w:t>：</w:t>
      </w:r>
      <w:r>
        <w:rPr>
          <w:rFonts w:hint="eastAsia" w:ascii="宋体" w:hAnsi="宋体" w:cs="Times New Roman"/>
          <w:sz w:val="24"/>
          <w:szCs w:val="24"/>
        </w:rPr>
        <w:t>三次产业分类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0" w:firstLineChars="0"/>
        <w:textAlignment w:val="auto"/>
        <w:rPr>
          <w:rFonts w:ascii="黑体" w:hAnsi="Calibri" w:eastAsia="黑体"/>
          <w:b w:val="0"/>
          <w:bCs/>
          <w:sz w:val="24"/>
          <w:szCs w:val="24"/>
        </w:rPr>
      </w:pPr>
      <w:r>
        <w:rPr>
          <w:rFonts w:ascii="方正黑体简体" w:hAnsi="方正黑体简体" w:eastAsia="方正黑体简体" w:cs="方正黑体简体"/>
          <w:sz w:val="24"/>
          <w:szCs w:val="24"/>
        </w:rPr>
        <w:br w:type="page"/>
      </w:r>
      <w:r>
        <w:rPr>
          <w:rFonts w:hint="eastAsia" w:ascii="黑体" w:hAnsi="Calibri" w:eastAsia="黑体"/>
          <w:b w:val="0"/>
          <w:bCs/>
          <w:sz w:val="24"/>
          <w:szCs w:val="24"/>
        </w:rPr>
        <w:t>附</w:t>
      </w:r>
      <w:r>
        <w:rPr>
          <w:rFonts w:hint="eastAsia" w:ascii="黑体" w:hAnsi="Calibri" w:eastAsia="黑体"/>
          <w:b w:val="0"/>
          <w:bCs/>
          <w:sz w:val="24"/>
          <w:szCs w:val="24"/>
          <w:lang w:val="en-US" w:eastAsia="zh-CN"/>
        </w:rPr>
        <w:t xml:space="preserve">  </w:t>
      </w:r>
      <w:r>
        <w:rPr>
          <w:rFonts w:hint="eastAsia" w:ascii="黑体" w:hAnsi="Calibri" w:eastAsia="黑体"/>
          <w:b w:val="0"/>
          <w:bCs/>
          <w:sz w:val="24"/>
          <w:szCs w:val="24"/>
        </w:rPr>
        <w:t>件</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rPr>
      </w:pPr>
      <w:bookmarkStart w:id="17" w:name="_Toc3377_WPSOffice_Level2"/>
      <w:r>
        <w:rPr>
          <w:rFonts w:hint="eastAsia" w:ascii="黑体" w:hAnsi="Calibri" w:eastAsia="黑体"/>
          <w:b w:val="0"/>
          <w:bCs/>
          <w:sz w:val="28"/>
          <w:szCs w:val="28"/>
        </w:rPr>
        <w:t>三次产业分类</w:t>
      </w:r>
      <w:bookmarkEnd w:id="17"/>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779"/>
        <w:gridCol w:w="779"/>
        <w:gridCol w:w="5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973" w:type="pct"/>
            <w:vMerge w:val="restar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三次产业分类</w:t>
            </w:r>
          </w:p>
        </w:tc>
        <w:tc>
          <w:tcPr>
            <w:tcW w:w="4026" w:type="pct"/>
            <w:gridSpan w:val="3"/>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《国民经济行业分类》（GB/T 4754—2017）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973" w:type="pct"/>
            <w:vMerge w:val="continue"/>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门类</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大类</w:t>
            </w:r>
          </w:p>
        </w:tc>
        <w:tc>
          <w:tcPr>
            <w:tcW w:w="3165"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第一产业</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A</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农、林、牧、渔业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林业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畜牧业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第二产业</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B</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采矿业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煤炭开采和洗选业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石油和天然气开采业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黑色金属矿采选业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有色金属矿采选业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非金属矿采选业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其他采矿业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C</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农副食品加工业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食品制造业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酒、饮料和精制茶制造业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烟草制品业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纺织业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纺织服装、服饰业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皮革、毛皮、羽毛及其制品和制鞋业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木材加工和木、竹、藤、棕、草制品业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家具制造业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造纸和纸制品业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印刷和记录媒介复制业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文教、工美、体育和娱乐用品制造业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石油</w:t>
            </w:r>
            <w:r>
              <w:rPr>
                <w:rFonts w:hint="eastAsia" w:ascii="宋体" w:hAnsi="宋体" w:eastAsia="宋体" w:cs="宋体"/>
                <w:b/>
                <w:bCs/>
                <w:kern w:val="0"/>
                <w:sz w:val="20"/>
                <w:szCs w:val="20"/>
              </w:rPr>
              <w:t>、</w:t>
            </w:r>
            <w:r>
              <w:rPr>
                <w:rFonts w:hint="eastAsia" w:ascii="宋体" w:hAnsi="宋体" w:eastAsia="宋体" w:cs="宋体"/>
                <w:bCs/>
                <w:kern w:val="0"/>
                <w:sz w:val="20"/>
                <w:szCs w:val="20"/>
              </w:rPr>
              <w:t>煤炭及其他</w:t>
            </w:r>
            <w:r>
              <w:rPr>
                <w:rFonts w:hint="eastAsia" w:ascii="宋体" w:hAnsi="宋体" w:eastAsia="宋体" w:cs="宋体"/>
                <w:kern w:val="0"/>
                <w:sz w:val="20"/>
                <w:szCs w:val="20"/>
              </w:rPr>
              <w:t>燃料加工业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化学原料和化学制品制造业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医药制造业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化学纤维制造业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橡胶和塑料制品业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非金属矿物制品业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黑色金属冶炼和压延加工业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有色金属冶炼和压延加工业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金属制品业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通用设备制造业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专用设备制造业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铁路、船舶、航空航天和其他运输设备制造业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电气机械和器材制造业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计算机、通信和其他电子设备制造业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仪器仪表制造业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废弃资源综合利用业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D</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电力、热力、燃气及水生产和供应业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电力、热力生产和供应业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燃气生产和供应业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水的生产和供应业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E</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房屋建筑业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土木工程建筑业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建筑安装业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建筑装饰</w:t>
            </w:r>
            <w:r>
              <w:rPr>
                <w:rFonts w:hint="eastAsia" w:ascii="宋体" w:hAnsi="宋体" w:eastAsia="宋体" w:cs="宋体"/>
                <w:bCs/>
                <w:kern w:val="0"/>
                <w:sz w:val="20"/>
                <w:szCs w:val="20"/>
              </w:rPr>
              <w:t>、装修</w:t>
            </w:r>
            <w:r>
              <w:rPr>
                <w:rFonts w:hint="eastAsia" w:ascii="宋体" w:hAnsi="宋体" w:eastAsia="宋体" w:cs="宋体"/>
                <w:kern w:val="0"/>
                <w:sz w:val="20"/>
                <w:szCs w:val="20"/>
              </w:rPr>
              <w:t>和其他建筑业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第三产业</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A</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农、林、牧、渔</w:t>
            </w:r>
            <w:r>
              <w:rPr>
                <w:rFonts w:hint="eastAsia" w:ascii="宋体" w:hAnsi="宋体" w:eastAsia="宋体" w:cs="宋体"/>
                <w:bCs/>
                <w:kern w:val="0"/>
                <w:sz w:val="20"/>
                <w:szCs w:val="20"/>
              </w:rPr>
              <w:t>专业及辅助性活动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（服务业）</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B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开采</w:t>
            </w:r>
            <w:r>
              <w:rPr>
                <w:rFonts w:hint="eastAsia" w:ascii="宋体" w:hAnsi="宋体" w:eastAsia="宋体" w:cs="宋体"/>
                <w:bCs/>
                <w:kern w:val="0"/>
                <w:sz w:val="20"/>
                <w:szCs w:val="20"/>
              </w:rPr>
              <w:t>专业及辅助性活动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C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金属制品、机械和设备修理业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F</w:t>
            </w:r>
          </w:p>
        </w:tc>
        <w:tc>
          <w:tcPr>
            <w:tcW w:w="430" w:type="pct"/>
            <w:tcBorders>
              <w:tl2br w:val="nil"/>
              <w:tr2bl w:val="nil"/>
            </w:tcBorders>
            <w:noWrap w:val="0"/>
            <w:vAlign w:val="center"/>
          </w:tcPr>
          <w:p>
            <w:pPr>
              <w:jc w:val="center"/>
              <w:rPr>
                <w:rFonts w:hint="eastAsia" w:ascii="宋体" w:hAnsi="宋体" w:eastAsia="宋体" w:cs="宋体"/>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jc w:val="left"/>
              <w:rPr>
                <w:rFonts w:hint="eastAsia" w:ascii="宋体" w:hAnsi="宋体" w:eastAsia="宋体" w:cs="宋体"/>
                <w:kern w:val="0"/>
                <w:sz w:val="20"/>
                <w:szCs w:val="20"/>
              </w:rPr>
            </w:pPr>
            <w:r>
              <w:rPr>
                <w:rFonts w:hint="eastAsia" w:ascii="宋体" w:hAnsi="宋体" w:eastAsia="宋体" w:cs="宋体"/>
                <w:b/>
                <w:bCs/>
                <w:kern w:val="0"/>
                <w:sz w:val="20"/>
                <w:szCs w:val="20"/>
              </w:rPr>
              <w:t>批发和零售业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批发业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零售业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G</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交通运输、仓储和邮政业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铁路运输业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道路运输业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水上运输业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航空运输业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管道运输业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bCs/>
                <w:kern w:val="0"/>
                <w:sz w:val="20"/>
                <w:szCs w:val="20"/>
              </w:rPr>
              <w:t>多式联运</w:t>
            </w:r>
            <w:r>
              <w:rPr>
                <w:rFonts w:hint="eastAsia" w:ascii="宋体" w:hAnsi="宋体" w:eastAsia="宋体" w:cs="宋体"/>
                <w:kern w:val="0"/>
                <w:sz w:val="20"/>
                <w:szCs w:val="20"/>
              </w:rPr>
              <w:t>和运输代理业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bCs/>
                <w:kern w:val="0"/>
                <w:sz w:val="20"/>
                <w:szCs w:val="20"/>
              </w:rPr>
              <w:t>装卸搬运和</w:t>
            </w:r>
            <w:r>
              <w:rPr>
                <w:rFonts w:hint="eastAsia" w:ascii="宋体" w:hAnsi="宋体" w:eastAsia="宋体" w:cs="宋体"/>
                <w:kern w:val="0"/>
                <w:sz w:val="20"/>
                <w:szCs w:val="20"/>
              </w:rPr>
              <w:t>仓储业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邮政业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H</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住宿和餐饮业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住宿业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餐饮业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I</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电信、广播电视和卫星传输服务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互联网和相关服务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J</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金融业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货币金融服务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资本市场服务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68</w:t>
            </w:r>
          </w:p>
        </w:tc>
        <w:tc>
          <w:tcPr>
            <w:tcW w:w="316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保险业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其他金融业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K</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房地产业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房地产业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L</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租赁和商务服务业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租赁业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商务服务业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M</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科学研究和技术服务业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研究和试验发展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专业技术服务业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科技推广和应用服务业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N</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水利、环境和公共设施管理业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水利管理业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生态保护和环境治理业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公共设施管理业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79</w:t>
            </w:r>
          </w:p>
        </w:tc>
        <w:tc>
          <w:tcPr>
            <w:tcW w:w="3165" w:type="pct"/>
            <w:tcBorders>
              <w:tl2br w:val="nil"/>
              <w:tr2bl w:val="nil"/>
            </w:tcBorders>
            <w:noWrap w:val="0"/>
            <w:vAlign w:val="center"/>
          </w:tcPr>
          <w:p>
            <w:pPr>
              <w:widowControl/>
              <w:jc w:val="left"/>
              <w:rPr>
                <w:rFonts w:hint="eastAsia" w:ascii="宋体" w:hAnsi="宋体" w:eastAsia="宋体" w:cs="宋体"/>
                <w:bCs/>
                <w:kern w:val="0"/>
                <w:sz w:val="20"/>
                <w:szCs w:val="20"/>
              </w:rPr>
            </w:pPr>
            <w:r>
              <w:rPr>
                <w:rFonts w:hint="eastAsia" w:ascii="宋体" w:hAnsi="宋体" w:eastAsia="宋体" w:cs="宋体"/>
                <w:bCs/>
                <w:kern w:val="0"/>
                <w:sz w:val="20"/>
                <w:szCs w:val="20"/>
              </w:rPr>
              <w:t>土地管理业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O</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居民服务、修理和其他服务业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居民服务业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机动车、电子产品和日用产品修理业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P</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Q</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卫生和社会工作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社会工作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R</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文化、体育和娱乐业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新闻和出版业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广播、电视、电影和录音制作业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文化艺术业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体育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娱乐业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S</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公共管理、社会保障和社会组织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中国共产党机关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国家机构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人民政协、民主党派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社会保障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群众团体、社会团体和其他成员组织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基层群众自治组织</w:t>
            </w:r>
            <w:r>
              <w:rPr>
                <w:rFonts w:hint="eastAsia" w:ascii="宋体" w:hAnsi="宋体" w:eastAsia="宋体" w:cs="宋体"/>
                <w:bCs/>
                <w:kern w:val="0"/>
                <w:sz w:val="20"/>
                <w:szCs w:val="20"/>
              </w:rPr>
              <w:t>及其他组织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left"/>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T</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国际组织</w:t>
            </w:r>
          </w:p>
        </w:tc>
      </w:tr>
    </w:tbl>
    <w:p>
      <w:pPr>
        <w:spacing w:line="20" w:lineRule="exact"/>
        <w:rPr>
          <w:rFonts w:ascii="仿宋_GB2312" w:eastAsia="仿宋_GB2312"/>
          <w:sz w:val="32"/>
          <w:szCs w:val="30"/>
        </w:rPr>
      </w:pPr>
    </w:p>
    <w:p>
      <w:pPr>
        <w:pStyle w:val="17"/>
        <w:spacing w:beforeLines="0" w:afterLines="0"/>
        <w:rPr>
          <w:rFonts w:ascii="黑体" w:hAnsi="仿宋" w:eastAsia="黑体"/>
          <w:sz w:val="32"/>
          <w:szCs w:val="32"/>
        </w:rPr>
      </w:pPr>
      <w:r>
        <w:rPr>
          <w:rFonts w:ascii="黑体" w:hAnsi="仿宋" w:eastAsia="黑体"/>
          <w:sz w:val="32"/>
          <w:szCs w:val="32"/>
        </w:rPr>
        <w:br w:type="page"/>
      </w:r>
      <w:bookmarkStart w:id="18" w:name="_Toc509998930"/>
      <w:bookmarkStart w:id="19" w:name="_Toc405_WPSOffice_Level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20" w:name="_Toc24483"/>
      <w:bookmarkStart w:id="21" w:name="_Toc29683"/>
      <w:bookmarkStart w:id="22" w:name="_Toc13691"/>
      <w:r>
        <w:rPr>
          <w:rFonts w:hint="eastAsia" w:ascii="方正小标宋简体" w:hAnsi="方正小标宋简体" w:eastAsia="方正小标宋简体" w:cs="方正小标宋简体"/>
          <w:b w:val="0"/>
          <w:bCs/>
          <w:kern w:val="2"/>
          <w:sz w:val="36"/>
          <w:szCs w:val="36"/>
          <w:lang w:eastAsia="zh-CN"/>
        </w:rPr>
        <w:t>第三部分  统计上划分城乡的规定</w:t>
      </w:r>
      <w:bookmarkEnd w:id="18"/>
      <w:bookmarkEnd w:id="19"/>
      <w:bookmarkEnd w:id="20"/>
      <w:bookmarkEnd w:id="21"/>
      <w:bookmarkEnd w:id="22"/>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default" w:ascii="楷体_GB2312" w:hAnsi="Times New Roman" w:eastAsia="楷体_GB2312" w:cs="Times New Roman"/>
          <w:color w:val="auto"/>
          <w:sz w:val="24"/>
          <w:szCs w:val="24"/>
        </w:rPr>
        <w:t>号：国函〔2008〕60号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印发时间：2008年7月12日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一、为了科学、真实地反映我国现阶段城乡人口、社会和经济发展情况，准确评价我国的城镇化水平，制定本规定。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二、本规定作为统计上划分城乡的依据，不改变现有的行政区划、隶属关系、管理权限和机构编制，以及土地规划、城乡规划等有关规定。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三、本规定以我国的行政区划为基础，以民政部门确认的居民委员会和村民委员会辖区为划分对象，以实际建设为划分依据，将我国的地域划分为城镇和乡村。</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实际建设是指已建成或在建的公共设施、居住设施和其它设施。</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四、城镇包括城区和镇区。城区是指在市辖区和不设区的市，区、市政府驻地的实际建设连接到的居民委员会和其他区域。镇区是指在城区以外的县人民政府驻地和其他镇，政府驻地的实际建设连接到的居民委员会和其他区域。</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与政府驻地的实际建设不连接，且常住人口在3000人以上的独立的工矿区、开发区、科研单位、大专院校等特殊区域及农场、林场的场部驻地视为镇区。</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五、乡村是指本规定划定的城镇以外的区域。</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六、本规定由国家统计部门负责解释。</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七、本规定自2008年8月1日起施行。</w:t>
      </w:r>
    </w:p>
    <w:p>
      <w:pPr>
        <w:widowControl/>
        <w:adjustRightInd w:val="0"/>
        <w:snapToGrid w:val="0"/>
        <w:spacing w:beforeLines="0" w:afterLines="0" w:line="360" w:lineRule="auto"/>
        <w:jc w:val="center"/>
        <w:outlineLvl w:val="0"/>
        <w:rPr>
          <w:rFonts w:hint="default" w:ascii="仿宋_GB2312" w:hAnsi="宋体" w:eastAsia="仿宋_GB2312"/>
          <w:color w:val="auto"/>
          <w:kern w:val="0"/>
          <w:sz w:val="21"/>
          <w:szCs w:val="24"/>
        </w:rPr>
      </w:pPr>
      <w:r>
        <w:rPr>
          <w:rFonts w:hint="default" w:ascii="仿宋_GB2312" w:hAnsi="宋体" w:eastAsia="仿宋_GB2312"/>
          <w:color w:val="auto"/>
          <w:kern w:val="0"/>
          <w:sz w:val="21"/>
          <w:szCs w:val="24"/>
        </w:rPr>
        <w:br w:type="page"/>
      </w:r>
      <w:bookmarkStart w:id="23" w:name="_Toc521506822"/>
      <w:bookmarkStart w:id="24" w:name="_Toc50999893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spacing w:val="-6"/>
          <w:kern w:val="2"/>
          <w:sz w:val="36"/>
          <w:szCs w:val="36"/>
          <w:lang w:eastAsia="zh-CN"/>
        </w:rPr>
      </w:pPr>
      <w:bookmarkStart w:id="25" w:name="_Toc23655"/>
      <w:bookmarkStart w:id="26" w:name="_Toc31691"/>
      <w:bookmarkStart w:id="27" w:name="_Toc30926"/>
      <w:r>
        <w:rPr>
          <w:rFonts w:hint="eastAsia" w:ascii="方正小标宋简体" w:hAnsi="方正小标宋简体" w:eastAsia="方正小标宋简体" w:cs="方正小标宋简体"/>
          <w:b w:val="0"/>
          <w:bCs/>
          <w:spacing w:val="-6"/>
          <w:kern w:val="2"/>
          <w:sz w:val="36"/>
          <w:szCs w:val="36"/>
          <w:lang w:eastAsia="zh-CN"/>
        </w:rPr>
        <w:t>第四部分  统计用区划代码和城乡划分代码编制规则</w:t>
      </w:r>
      <w:bookmarkEnd w:id="25"/>
      <w:bookmarkEnd w:id="26"/>
      <w:bookmarkEnd w:id="27"/>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bookmarkEnd w:id="23"/>
    <w:bookmarkEnd w:id="24"/>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default" w:ascii="楷体_GB2312" w:hAnsi="Times New Roman" w:eastAsia="楷体_GB2312" w:cs="Times New Roman"/>
          <w:color w:val="auto"/>
          <w:sz w:val="24"/>
          <w:szCs w:val="24"/>
        </w:rPr>
        <w:t>号：国统字〔2009〕91号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印发时间：2009年8月25日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为规范统计用区划代码和城乡划分代码，建立各项普查、全面统计、抽样调查、专项调查统一使用的《统计用区划代码和城乡划分代码库》，特制定本规则。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outlineLvl w:val="1"/>
        <w:rPr>
          <w:rFonts w:hint="default" w:ascii="黑体" w:hAnsi="Times New Roman" w:eastAsia="黑体"/>
          <w:color w:val="auto"/>
          <w:sz w:val="24"/>
          <w:szCs w:val="24"/>
        </w:rPr>
      </w:pPr>
      <w:bookmarkStart w:id="28" w:name="_Toc31456"/>
      <w:bookmarkStart w:id="29" w:name="_Toc10353"/>
      <w:bookmarkStart w:id="30" w:name="_Toc24720"/>
      <w:r>
        <w:rPr>
          <w:rFonts w:hint="default" w:ascii="黑体" w:hAnsi="宋体" w:eastAsia="黑体"/>
          <w:color w:val="auto"/>
          <w:sz w:val="24"/>
          <w:szCs w:val="24"/>
        </w:rPr>
        <w:t>一、统计用区划代码和城乡划分代码结构</w:t>
      </w:r>
      <w:bookmarkEnd w:id="28"/>
      <w:bookmarkEnd w:id="29"/>
      <w:bookmarkEnd w:id="30"/>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统计用区划代码和城乡划分代码分为两段17位，其代码结构为：</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992" w:leftChars="0"/>
        <w:textAlignment w:val="auto"/>
        <w:rPr>
          <w:rFonts w:hint="eastAsia" w:ascii="宋体" w:hAnsi="Times New Roman" w:eastAsia="宋体"/>
          <w:color w:val="auto"/>
          <w:sz w:val="21"/>
          <w:szCs w:val="24"/>
        </w:rPr>
      </w:pPr>
      <w:r>
        <w:rPr>
          <w:rFonts w:hint="eastAsia" w:ascii="宋体" w:hAnsi="宋体" w:eastAsia="宋体"/>
          <w:color w:val="auto"/>
          <w:sz w:val="21"/>
          <w:szCs w:val="24"/>
        </w:rPr>
        <w:t>□</w:t>
      </w:r>
      <w:r>
        <w:rPr>
          <w:rFonts w:hint="eastAsia" w:ascii="宋体" w:hAnsi="宋体" w:eastAsia="宋体"/>
          <w:color w:val="auto"/>
          <w:sz w:val="21"/>
          <w:szCs w:val="24"/>
          <w:lang w:val="en-US" w:eastAsia="zh-CN"/>
        </w:rPr>
        <w:t xml:space="preserve"> </w:t>
      </w:r>
      <w:r>
        <w:rPr>
          <w:rFonts w:hint="eastAsia" w:ascii="宋体" w:hAnsi="宋体" w:eastAsia="宋体"/>
          <w:color w:val="auto"/>
          <w:sz w:val="21"/>
          <w:szCs w:val="24"/>
        </w:rPr>
        <w:t>□ □ □ □ □ □ □ □ □ □ □</w:t>
      </w:r>
      <w:r>
        <w:rPr>
          <w:rFonts w:hint="eastAsia" w:ascii="宋体" w:hAnsi="宋体"/>
          <w:color w:val="auto"/>
          <w:sz w:val="21"/>
          <w:szCs w:val="24"/>
          <w:lang w:val="en-US" w:eastAsia="zh-CN"/>
        </w:rPr>
        <w:t xml:space="preserve"> </w:t>
      </w:r>
      <w:r>
        <w:rPr>
          <w:rFonts w:hint="eastAsia" w:ascii="宋体" w:hAnsi="宋体" w:eastAsia="宋体"/>
          <w:color w:val="auto"/>
          <w:sz w:val="21"/>
          <w:szCs w:val="24"/>
        </w:rPr>
        <w:t>— □ □ □ □ □</w:t>
      </w:r>
    </w:p>
    <w:p>
      <w:pPr>
        <w:adjustRightInd w:val="0"/>
        <w:snapToGrid w:val="0"/>
        <w:spacing w:beforeLines="0" w:afterLines="0" w:line="360" w:lineRule="exact"/>
        <w:ind w:firstLine="945" w:firstLineChars="450"/>
        <w:jc w:val="left"/>
        <w:rPr>
          <w:rFonts w:hint="eastAsia" w:ascii="宋体" w:hAnsi="Times New Roman" w:eastAsia="宋体"/>
          <w:color w:val="auto"/>
          <w:sz w:val="21"/>
          <w:szCs w:val="24"/>
        </w:rPr>
      </w:pPr>
      <w:r>
        <w:rPr>
          <w:rFonts w:hint="eastAsia" w:ascii="宋体" w:hAnsi="宋体" w:eastAsia="宋体"/>
          <w:color w:val="auto"/>
          <w:sz w:val="21"/>
          <w:szCs w:val="24"/>
          <w:u w:val="single"/>
        </w:rPr>
        <w:t xml:space="preserve"> 1  2  3  4  5  6  7  8  9  10 11 12</w:t>
      </w:r>
      <w:r>
        <w:rPr>
          <w:rFonts w:hint="eastAsia" w:ascii="宋体" w:hAnsi="宋体" w:eastAsia="宋体"/>
          <w:color w:val="auto"/>
          <w:sz w:val="21"/>
          <w:szCs w:val="24"/>
        </w:rPr>
        <w:t xml:space="preserve">   </w:t>
      </w:r>
      <w:r>
        <w:rPr>
          <w:rFonts w:hint="eastAsia" w:ascii="宋体" w:hAnsi="宋体" w:eastAsia="宋体"/>
          <w:color w:val="auto"/>
          <w:sz w:val="21"/>
          <w:szCs w:val="24"/>
          <w:u w:val="single"/>
        </w:rPr>
        <w:t>13 14 15 16 17</w:t>
      </w:r>
    </w:p>
    <w:p>
      <w:pPr>
        <w:adjustRightInd w:val="0"/>
        <w:snapToGrid w:val="0"/>
        <w:spacing w:beforeLines="0" w:afterLines="0" w:line="360" w:lineRule="exact"/>
        <w:ind w:firstLine="1470" w:firstLineChars="700"/>
        <w:rPr>
          <w:rFonts w:hint="eastAsia" w:ascii="宋体" w:hAnsi="Times New Roman" w:eastAsia="宋体"/>
          <w:color w:val="auto"/>
          <w:sz w:val="21"/>
          <w:szCs w:val="24"/>
        </w:rPr>
      </w:pPr>
      <w:r>
        <w:rPr>
          <w:rFonts w:hint="eastAsia" w:ascii="宋体" w:hAnsi="宋体" w:eastAsia="宋体"/>
          <w:color w:val="auto"/>
          <w:sz w:val="21"/>
          <w:szCs w:val="24"/>
        </w:rPr>
        <w:t xml:space="preserve">   统计用区划代码                  城乡划分代码 </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（一）统计用区划代码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统计用区划代码由1～12位代码构成，其各代码表示为：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第1～2位，为省级代码；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第3～4 位，为地级代码；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第5～6位，为县级代码；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第7～9位，为乡级代码；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第10～12位，为村级代码。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（二）城乡划分代码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城乡划分代码由13～17位代码构成，其各代码表示为：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第13～14位，为城乡属性代码；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第15～17位，为城乡分类代码。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outlineLvl w:val="1"/>
        <w:rPr>
          <w:rFonts w:hint="eastAsia" w:ascii="黑体" w:hAnsi="宋体" w:eastAsia="黑体"/>
          <w:color w:val="auto"/>
          <w:sz w:val="24"/>
          <w:szCs w:val="24"/>
        </w:rPr>
      </w:pPr>
      <w:bookmarkStart w:id="31" w:name="_Toc21973"/>
      <w:bookmarkStart w:id="32" w:name="_Toc24456"/>
      <w:bookmarkStart w:id="33" w:name="_Toc23272"/>
      <w:r>
        <w:rPr>
          <w:rFonts w:hint="default" w:ascii="黑体" w:hAnsi="宋体" w:eastAsia="黑体"/>
          <w:color w:val="auto"/>
          <w:sz w:val="24"/>
          <w:szCs w:val="24"/>
        </w:rPr>
        <w:t>二、统计用区划代码编制规则</w:t>
      </w:r>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（一）县以上行政区划代码编码方法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县以上行政区划代码由1～6位代码组成。在统计工作中，各级统计部门不编制县以上行政区划代码，统一采用《中华人民共和国行政区划代码》国家标准。</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（二）县以下区划代码编码方法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县以下区划代码由7～12位代码组成，包括乡级代码和村级代码两部分。</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1.乡级代码编码方法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凡民政部门确认的街道、镇、乡，按照国家标准《县级以下行政区划代码编制规则》（GB/T 10114—2003）编制，其乡级代码为001～399；民政部门未确认的开发区、工矿区、农场等类似乡级单位，乡级代码为400～599。具体编码如下：</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001～099 表示街道；</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100～199 表示镇；</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200～399 表示乡；</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400～599表示类似乡级单位。</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2.村级代码编码方法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04" w:firstLineChars="200"/>
        <w:jc w:val="both"/>
        <w:textAlignment w:val="auto"/>
        <w:rPr>
          <w:rFonts w:hint="eastAsia" w:ascii="宋体" w:hAnsi="Times New Roman" w:eastAsia="宋体"/>
          <w:color w:val="auto"/>
          <w:spacing w:val="6"/>
          <w:sz w:val="24"/>
          <w:szCs w:val="24"/>
        </w:rPr>
      </w:pPr>
      <w:r>
        <w:rPr>
          <w:rFonts w:hint="eastAsia" w:ascii="宋体" w:hAnsi="宋体" w:eastAsia="宋体"/>
          <w:color w:val="auto"/>
          <w:spacing w:val="6"/>
          <w:sz w:val="24"/>
          <w:szCs w:val="24"/>
        </w:rPr>
        <w:t>凡民政部门确认的村级单位，村级代码为001～399；民政部门未确认的园区、工矿区、农场等类似村级单位，村级代码为400～599（498、598除外）。具体编码如下：</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001～199 表示居民委员会；</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200～399 表示村民委员会；</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400～499 表示类似居民委员会（不含498代码）；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500～599 表示类似村民委员会（不含598代码）。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3.特殊情况的编码方法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（1）虚拟村级单位</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当乡级单位下未设（或未明确）村级单位时，则在该乡级单位下虚拟一个村级单位，其编码方法为：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在街道、镇以及类似乡级单位的开发区、科技园区、工业园区、工矿区、高校园区、科研机构园区等区域下，虚拟村级单位的代码为498，名称为“××虚拟社区”；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在乡以及类似乡级单位的农、林、牧、渔场和其他农业活动区域下，虚拟村级单位的代码为598，名称为“××虚拟生活区”。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（2）县直辖村级单位</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strike/>
          <w:color w:val="auto"/>
          <w:sz w:val="24"/>
          <w:szCs w:val="24"/>
        </w:rPr>
      </w:pPr>
      <w:r>
        <w:rPr>
          <w:rFonts w:hint="eastAsia" w:ascii="宋体" w:hAnsi="宋体" w:eastAsia="宋体"/>
          <w:color w:val="auto"/>
          <w:sz w:val="24"/>
          <w:szCs w:val="24"/>
        </w:rPr>
        <w:t>县级单位直辖村级单位，其乡级代码统一编为198，在198代码下，再对所辖的村民委员会和居民委员会进行编码。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（3）乡直管村民小组</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乡级单位直接管辖的村民小组，其村级代码编制为398 。</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（三）统计用区划代码编制要求</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04" w:firstLineChars="200"/>
        <w:jc w:val="both"/>
        <w:textAlignment w:val="auto"/>
        <w:rPr>
          <w:rFonts w:hint="eastAsia" w:ascii="宋体" w:hAnsi="Times New Roman" w:eastAsia="宋体"/>
          <w:color w:val="auto"/>
          <w:spacing w:val="6"/>
          <w:sz w:val="24"/>
          <w:szCs w:val="24"/>
        </w:rPr>
      </w:pPr>
      <w:r>
        <w:rPr>
          <w:rFonts w:hint="eastAsia" w:ascii="宋体" w:hAnsi="宋体" w:eastAsia="宋体"/>
          <w:color w:val="auto"/>
          <w:spacing w:val="6"/>
          <w:sz w:val="24"/>
          <w:szCs w:val="24"/>
        </w:rPr>
        <w:t>1.统计用区划代码基本长度为12位，省、地、县、乡四级代码不足12位用</w:t>
      </w:r>
      <w:r>
        <w:rPr>
          <w:rFonts w:hint="eastAsia" w:ascii="宋体" w:hAnsi="Times New Roman" w:eastAsia="宋体"/>
          <w:color w:val="auto"/>
          <w:spacing w:val="6"/>
          <w:sz w:val="24"/>
          <w:szCs w:val="24"/>
        </w:rPr>
        <w:t>0</w:t>
      </w:r>
      <w:r>
        <w:rPr>
          <w:rFonts w:hint="eastAsia" w:ascii="宋体" w:hAnsi="宋体" w:eastAsia="宋体"/>
          <w:color w:val="auto"/>
          <w:spacing w:val="6"/>
          <w:sz w:val="24"/>
          <w:szCs w:val="24"/>
        </w:rPr>
        <w:t>补足。</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2.县以下区划代码的各个码段按照由小到大的顺序编制。因区划变动调整，代码取消不再重复使用。</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3.民政部门确认的乡、村两级单位，代码分别在001～399区间编制，名称统一采用民政部门确认的正式名称。</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4.类似乡级单位为民政部门未确认的乡级单位，名称按实际名称填写。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5.类似居民委员会和类似村民委员会为民政部门未确认的村级单位，如果实际名称不含居委会、村委会、家委会、</w:t>
      </w:r>
      <w:r>
        <w:rPr>
          <w:rFonts w:hint="eastAsia" w:ascii="宋体" w:hAnsi="宋体" w:eastAsia="宋体"/>
          <w:color w:val="auto"/>
          <w:kern w:val="0"/>
          <w:sz w:val="24"/>
          <w:szCs w:val="24"/>
        </w:rPr>
        <w:t>生产队、连队、队、管理区、牧委会、嘎查</w:t>
      </w:r>
      <w:r>
        <w:rPr>
          <w:rFonts w:hint="eastAsia" w:ascii="宋体" w:hAnsi="宋体" w:eastAsia="宋体"/>
          <w:color w:val="auto"/>
          <w:sz w:val="24"/>
          <w:szCs w:val="24"/>
        </w:rPr>
        <w:t>等字样，则在类似居民委员会的实际名称后添加“社区”；在类似村民委员会的实际名称后添加“生活区”。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6.统计用区划代码的区划名称采用标准汉字、汉字数字（如一、二、三等）和全角单括号进行书写，其他字母、数字、标点、字符及空格均为错误。汉字书写不得使用繁体字，简化字应按国家颁布的简化字总表的规定书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outlineLvl w:val="1"/>
        <w:rPr>
          <w:rFonts w:hint="default" w:ascii="黑体" w:hAnsi="宋体" w:eastAsia="黑体"/>
          <w:color w:val="auto"/>
          <w:sz w:val="24"/>
          <w:szCs w:val="24"/>
        </w:rPr>
      </w:pPr>
      <w:bookmarkStart w:id="34" w:name="_Toc7580"/>
      <w:bookmarkStart w:id="35" w:name="_Toc32676"/>
      <w:bookmarkStart w:id="36" w:name="_Toc20374"/>
      <w:r>
        <w:rPr>
          <w:rFonts w:hint="default" w:ascii="黑体" w:hAnsi="宋体" w:eastAsia="黑体"/>
          <w:color w:val="auto"/>
          <w:sz w:val="24"/>
          <w:szCs w:val="24"/>
        </w:rPr>
        <w:t>三、城乡划分代码编制规则</w:t>
      </w:r>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（一）城乡属性代码编码方法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城乡属性代码由第13、14位代码组成。其中：第13位表示乡级属性，第14位表示村级属性。</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1.城乡属性代码编制原则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（1）城乡属性代码在乡、村两级单位上编制。</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（2）乡级单位对应的第13位按照乡级属性编码方法编制，第14位编</w:t>
      </w:r>
      <w:r>
        <w:rPr>
          <w:rFonts w:hint="eastAsia" w:ascii="宋体" w:hAnsi="Times New Roman" w:eastAsia="宋体"/>
          <w:color w:val="auto"/>
          <w:sz w:val="24"/>
          <w:szCs w:val="24"/>
        </w:rPr>
        <w:t>0</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（3）村级单位对应的第13位为所属乡级单位的乡级属性代码，第14位按照村级属性编码方法编制。</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2.乡级属性编码方法</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乡级属性代码表示街道、镇、乡以及类似乡级单位的乡级属性。乡级属性代码用1～3数字表示：</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1表示：县级政府驻地</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2表示：连接的乡级区域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3表示：其他乡级区域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3.村级属性编码方法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村级属性代码表示居民委员会（社区）、村民委员会以及类似村级单位的村级属性。村级属性代码用1～9数字表示：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1表示：乡级政府驻地</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2表示：完全连接的村级地域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3表示：部分连接的村级地域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4表示：与其他区、市完全连接的村级地域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5表示：与其他区、市部分连接的村级地域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6表示：与其他镇完全连接的村级地域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7表示：与其他镇部分连接的村级地域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8表示：特殊地域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9表示：其他村级地域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乡级属性和村级属性的相关解释，参见《城乡划分实施办法》。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4.城乡属性代码的有关说明</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（1）特殊地域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在城乡属性代码中，特殊地域仅指以下两种情况：</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在类似居委会中，常住人口达到或超过3000人的开发区、工矿区、大专院校、科研单位等居民生活区域。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在类似村委会中，常住人口达到或超过3000人，且非农产业从业人员达到70%的农、林、牧、渔场及其他以农业活动为主的区域。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当类似居委会、类似村委会不满足上述要求，也不满足代码1～7的编制要求时</w:t>
      </w:r>
      <w:r>
        <w:rPr>
          <w:rFonts w:hint="eastAsia" w:ascii="宋体" w:hAnsi="Times New Roman" w:eastAsia="宋体"/>
          <w:color w:val="auto"/>
          <w:sz w:val="24"/>
          <w:szCs w:val="24"/>
        </w:rPr>
        <w:t>,</w:t>
      </w:r>
      <w:r>
        <w:rPr>
          <w:rFonts w:hint="eastAsia" w:ascii="宋体" w:hAnsi="宋体" w:eastAsia="宋体"/>
          <w:color w:val="auto"/>
          <w:sz w:val="24"/>
          <w:szCs w:val="24"/>
        </w:rPr>
        <w:t>村级属性一律编9。</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（2）农、林、牧、渔场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农、林、牧、渔场场部的村级属性代码一律编1，与场部连接的下属生产单位，村级属性代码编2或3，与场部不连接的下属生产单位，村级属性代码编9。当常住人口达到3000人，非农产业从业人员达到70%时，不连接的下属生产单位的村级属性代码编8。</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（3）只有一个村级单位的村级属性</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凡乡级单位下只有一个村级单位，无论是实际存在还是虚拟的，其对应的村级属性代码一律编1。</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（4）不连接的居民委员会</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当居民委员会与政府驻地不连接时，如果有农业用地，村级属性代码编9；如果没有农业用地（或没有明确的地域），村级属性代码编8。</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2"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（二）城乡分类代码编码方法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1.城乡分类代码结构</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城乡分类代码由第15～17位代码组成。第15位为“1”，表示城镇；第15位为“2”，表示乡村。具体编码为：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111表示：主城区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112表示：城乡结合区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121表示：镇中心区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122表示：镇乡结合区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123表示：特殊区域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210表示：乡中心区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220表示：村庄</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2.城乡分类代码编制原则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在划分城乡时，各地统计部门不直接编制城乡分类代码，而是通过统计用区划代码和城乡属性代码转换生成城乡分类代码。</w:t>
      </w:r>
    </w:p>
    <w:p>
      <w:pPr>
        <w:widowControl/>
        <w:spacing w:line="120" w:lineRule="exact"/>
        <w:jc w:val="left"/>
        <w:rPr>
          <w:rFonts w:ascii="仿宋_GB2312" w:eastAsia="仿宋_GB2312"/>
          <w:bCs/>
          <w:sz w:val="32"/>
          <w:szCs w:val="32"/>
        </w:rPr>
      </w:pPr>
    </w:p>
    <w:p>
      <w:pPr>
        <w:pStyle w:val="2"/>
        <w:rPr>
          <w:rFonts w:ascii="仿宋_GB2312" w:eastAsia="仿宋_GB2312"/>
          <w:bCs/>
          <w:sz w:val="32"/>
          <w:szCs w:val="32"/>
        </w:rPr>
      </w:pPr>
    </w:p>
    <w:p>
      <w:pPr>
        <w:pStyle w:val="4"/>
        <w:rPr>
          <w:rFonts w:ascii="仿宋_GB2312" w:eastAsia="仿宋_GB2312"/>
          <w:bCs/>
          <w:sz w:val="32"/>
          <w:szCs w:val="32"/>
        </w:rPr>
      </w:pPr>
    </w:p>
    <w:p>
      <w:pPr>
        <w:pStyle w:val="2"/>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37" w:name="_Toc8172_WPSOffice_Level1"/>
      <w:bookmarkStart w:id="38" w:name="_Toc509998932"/>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spacing w:val="-6"/>
          <w:kern w:val="2"/>
          <w:sz w:val="36"/>
          <w:szCs w:val="36"/>
          <w:lang w:eastAsia="zh-CN"/>
        </w:rPr>
      </w:pPr>
      <w:bookmarkStart w:id="39" w:name="_Toc7525"/>
      <w:bookmarkStart w:id="40" w:name="_Toc22872"/>
      <w:bookmarkStart w:id="41" w:name="_Toc18619"/>
      <w:r>
        <w:rPr>
          <w:rFonts w:hint="eastAsia" w:ascii="方正小标宋简体" w:hAnsi="方正小标宋简体" w:eastAsia="方正小标宋简体" w:cs="方正小标宋简体"/>
          <w:b w:val="0"/>
          <w:bCs/>
          <w:spacing w:val="-6"/>
          <w:kern w:val="2"/>
          <w:sz w:val="36"/>
          <w:szCs w:val="36"/>
          <w:lang w:eastAsia="zh-CN"/>
        </w:rPr>
        <w:t>第五部分  河南省统计用区划代码和城乡划分代码</w:t>
      </w:r>
      <w:bookmarkEnd w:id="37"/>
      <w:bookmarkEnd w:id="38"/>
      <w:bookmarkEnd w:id="39"/>
      <w:bookmarkEnd w:id="40"/>
      <w:bookmarkEnd w:id="4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数据变动截至：20</w:t>
      </w:r>
      <w:r>
        <w:rPr>
          <w:rFonts w:hint="eastAsia" w:ascii="楷体_GB2312" w:hAnsi="Times New Roman" w:eastAsia="楷体_GB2312" w:cs="Times New Roman"/>
          <w:color w:val="auto"/>
          <w:sz w:val="24"/>
          <w:szCs w:val="24"/>
          <w:lang w:val="en-US" w:eastAsia="zh-CN"/>
        </w:rPr>
        <w:t>23</w:t>
      </w:r>
      <w:r>
        <w:rPr>
          <w:rFonts w:hint="eastAsia" w:ascii="楷体_GB2312" w:hAnsi="Times New Roman" w:eastAsia="楷体_GB2312" w:cs="Times New Roman"/>
          <w:color w:val="auto"/>
          <w:sz w:val="24"/>
          <w:szCs w:val="24"/>
        </w:rPr>
        <w:t>年</w:t>
      </w:r>
      <w:r>
        <w:rPr>
          <w:rFonts w:hint="eastAsia" w:ascii="楷体_GB2312" w:hAnsi="Times New Roman" w:eastAsia="楷体_GB2312" w:cs="Times New Roman"/>
          <w:color w:val="auto"/>
          <w:sz w:val="24"/>
          <w:szCs w:val="24"/>
          <w:lang w:val="en-US" w:eastAsia="zh-CN"/>
        </w:rPr>
        <w:t>7</w:t>
      </w:r>
      <w:r>
        <w:rPr>
          <w:rFonts w:hint="eastAsia" w:ascii="楷体_GB2312" w:hAnsi="Times New Roman" w:eastAsia="楷体_GB2312" w:cs="Times New Roman"/>
          <w:color w:val="auto"/>
          <w:sz w:val="24"/>
          <w:szCs w:val="24"/>
        </w:rPr>
        <w:t>月15日</w:t>
      </w:r>
    </w:p>
    <w:tbl>
      <w:tblPr>
        <w:tblStyle w:val="18"/>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57" w:type="dxa"/>
        </w:tblCellMar>
      </w:tblPr>
      <w:tblGrid>
        <w:gridCol w:w="1614"/>
        <w:gridCol w:w="1302"/>
        <w:gridCol w:w="1324"/>
        <w:gridCol w:w="1379"/>
        <w:gridCol w:w="958"/>
        <w:gridCol w:w="23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81" w:hRule="exact"/>
          <w:jc w:val="center"/>
        </w:trPr>
        <w:tc>
          <w:tcPr>
            <w:tcW w:w="9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12位区划代码</w:t>
            </w:r>
          </w:p>
        </w:tc>
        <w:tc>
          <w:tcPr>
            <w:tcW w:w="7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乡属性代码</w:t>
            </w:r>
          </w:p>
        </w:tc>
        <w:tc>
          <w:tcPr>
            <w:tcW w:w="7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村属性代码</w:t>
            </w:r>
          </w:p>
        </w:tc>
        <w:tc>
          <w:tcPr>
            <w:tcW w:w="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城乡分类代码</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备注项</w:t>
            </w:r>
          </w:p>
        </w:tc>
        <w:tc>
          <w:tcPr>
            <w:tcW w:w="13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区划名称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410000000000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河南省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410100000000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郑州市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410101000000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市辖区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中原区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林山寨街道办事处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410102001002</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碧沙岗社区居委会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410102001003</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互助路社区居委会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410102001004</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伊河路社区居委会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410102001005</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河南工大社区居民委员会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410102001006</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颖河路社区居委会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410102001008</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一中社区居委会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410102001009</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农业银行社区居民委员会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410102001011</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百花社区居委会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410102001013</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人社局社区居民委员会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410102001014</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郑州日报社区居委会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410102002000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建设路街道办事处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410102002001</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省五建社区居委会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410102002003</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中心医院社区居委会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901"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727"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739"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770"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535"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1326"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r>
    </w:tbl>
    <w:p>
      <w:pPr>
        <w:spacing w:before="48" w:beforeLines="20" w:line="320" w:lineRule="exact"/>
        <w:ind w:left="678" w:hanging="680" w:hangingChars="300"/>
        <w:rPr>
          <w:rFonts w:hint="eastAsia" w:ascii="楷体_GB2312" w:hAnsi="楷体_GB2312" w:eastAsia="楷体_GB2312" w:cs="楷体_GB2312"/>
          <w:spacing w:val="8"/>
          <w:szCs w:val="21"/>
        </w:rPr>
      </w:pPr>
      <w:r>
        <w:rPr>
          <w:rFonts w:hint="eastAsia" w:ascii="楷体_GB2312" w:hAnsi="楷体_GB2312" w:eastAsia="楷体_GB2312" w:cs="楷体_GB2312"/>
          <w:b/>
          <w:bCs/>
          <w:spacing w:val="8"/>
          <w:szCs w:val="21"/>
        </w:rPr>
        <w:t>说明：</w:t>
      </w:r>
      <w:r>
        <w:rPr>
          <w:rFonts w:hint="eastAsia" w:ascii="楷体_GB2312" w:hAnsi="楷体_GB2312" w:eastAsia="楷体_GB2312" w:cs="楷体_GB2312"/>
          <w:spacing w:val="8"/>
          <w:szCs w:val="21"/>
        </w:rPr>
        <w:t>更新至20</w:t>
      </w:r>
      <w:r>
        <w:rPr>
          <w:rFonts w:hint="eastAsia" w:ascii="楷体_GB2312" w:hAnsi="楷体_GB2312" w:eastAsia="楷体_GB2312" w:cs="楷体_GB2312"/>
          <w:spacing w:val="8"/>
          <w:szCs w:val="21"/>
          <w:lang w:val="en-US" w:eastAsia="zh-CN"/>
        </w:rPr>
        <w:t>23</w:t>
      </w:r>
      <w:r>
        <w:rPr>
          <w:rFonts w:hint="eastAsia" w:ascii="楷体_GB2312" w:hAnsi="楷体_GB2312" w:eastAsia="楷体_GB2312" w:cs="楷体_GB2312"/>
          <w:spacing w:val="8"/>
          <w:szCs w:val="21"/>
        </w:rPr>
        <w:t>年</w:t>
      </w:r>
      <w:r>
        <w:rPr>
          <w:rFonts w:hint="eastAsia" w:ascii="楷体_GB2312" w:hAnsi="楷体_GB2312" w:eastAsia="楷体_GB2312" w:cs="楷体_GB2312"/>
          <w:spacing w:val="8"/>
          <w:szCs w:val="21"/>
          <w:lang w:val="en-US" w:eastAsia="zh-CN"/>
        </w:rPr>
        <w:t>7</w:t>
      </w:r>
      <w:r>
        <w:rPr>
          <w:rFonts w:hint="eastAsia" w:ascii="楷体_GB2312" w:hAnsi="楷体_GB2312" w:eastAsia="楷体_GB2312" w:cs="楷体_GB2312"/>
          <w:spacing w:val="8"/>
          <w:szCs w:val="21"/>
        </w:rPr>
        <w:t>月</w:t>
      </w:r>
      <w:r>
        <w:rPr>
          <w:rFonts w:hint="eastAsia" w:ascii="楷体_GB2312" w:hAnsi="楷体_GB2312" w:eastAsia="楷体_GB2312" w:cs="楷体_GB2312"/>
          <w:spacing w:val="8"/>
          <w:szCs w:val="21"/>
          <w:lang w:val="en-US" w:eastAsia="zh-CN"/>
        </w:rPr>
        <w:t>15</w:t>
      </w:r>
      <w:r>
        <w:rPr>
          <w:rFonts w:hint="eastAsia" w:ascii="楷体_GB2312" w:hAnsi="楷体_GB2312" w:eastAsia="楷体_GB2312" w:cs="楷体_GB2312"/>
          <w:spacing w:val="8"/>
          <w:szCs w:val="21"/>
        </w:rPr>
        <w:t>日的统计用区划代码加载至河南统计局内网“统计标准”栏目和河南省</w:t>
      </w:r>
      <w:r>
        <w:rPr>
          <w:rFonts w:hint="eastAsia" w:ascii="楷体_GB2312" w:hAnsi="楷体_GB2312" w:eastAsia="楷体_GB2312" w:cs="楷体_GB2312"/>
          <w:spacing w:val="8"/>
          <w:szCs w:val="21"/>
          <w:lang w:eastAsia="zh-CN"/>
        </w:rPr>
        <w:t>第五次</w:t>
      </w:r>
      <w:r>
        <w:rPr>
          <w:rFonts w:hint="eastAsia" w:ascii="楷体_GB2312" w:hAnsi="楷体_GB2312" w:eastAsia="楷体_GB2312" w:cs="楷体_GB2312"/>
          <w:spacing w:val="8"/>
          <w:szCs w:val="21"/>
        </w:rPr>
        <w:t>全国经济普查网站“资料下载”栏目，请各地下载使用。</w:t>
      </w:r>
    </w:p>
    <w:p>
      <w:pPr>
        <w:widowControl/>
        <w:jc w:val="center"/>
        <w:outlineLvl w:val="0"/>
        <w:rPr>
          <w:rFonts w:ascii="楷体_GB2312" w:hAnsi="宋体" w:eastAsia="楷体_GB2312" w:cs="Times New Roman"/>
          <w:color w:val="auto"/>
          <w:szCs w:val="21"/>
        </w:rPr>
      </w:pPr>
      <w:r>
        <w:rPr>
          <w:rFonts w:hint="eastAsia" w:ascii="宋体" w:hAnsi="宋体"/>
          <w:spacing w:val="8"/>
          <w:szCs w:val="21"/>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42" w:name="_Toc509998934"/>
      <w:bookmarkStart w:id="43" w:name="_Toc20155_WPSOffice_Level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44" w:name="_Toc9602"/>
      <w:bookmarkStart w:id="45" w:name="_Toc20724"/>
      <w:bookmarkStart w:id="46" w:name="_Toc3944"/>
      <w:r>
        <w:rPr>
          <w:rFonts w:hint="eastAsia" w:ascii="方正小标宋简体" w:hAnsi="方正小标宋简体" w:eastAsia="方正小标宋简体" w:cs="方正小标宋简体"/>
          <w:b w:val="0"/>
          <w:bCs/>
          <w:kern w:val="2"/>
          <w:sz w:val="36"/>
          <w:szCs w:val="36"/>
          <w:lang w:eastAsia="zh-CN"/>
        </w:rPr>
        <w:t>第六部分  统计单位划分及具体处理办法</w:t>
      </w:r>
      <w:bookmarkEnd w:id="42"/>
      <w:bookmarkEnd w:id="43"/>
      <w:bookmarkEnd w:id="44"/>
      <w:bookmarkEnd w:id="45"/>
      <w:bookmarkEnd w:id="46"/>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号：国统字〔2011〕96号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印发时间：2011年10月20日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相关文献：《</w:t>
      </w:r>
      <w:r>
        <w:rPr>
          <w:rFonts w:hint="eastAsia" w:ascii="楷体_GB2312" w:hAnsi="Times New Roman" w:eastAsia="楷体_GB2312" w:cs="Times New Roman"/>
          <w:color w:val="auto"/>
          <w:sz w:val="24"/>
          <w:szCs w:val="24"/>
          <w:lang w:eastAsia="zh-CN"/>
        </w:rPr>
        <w:t>第五次</w:t>
      </w:r>
      <w:r>
        <w:rPr>
          <w:rFonts w:hint="eastAsia" w:ascii="楷体_GB2312" w:hAnsi="Times New Roman" w:eastAsia="楷体_GB2312" w:cs="Times New Roman"/>
          <w:color w:val="auto"/>
          <w:sz w:val="24"/>
          <w:szCs w:val="24"/>
        </w:rPr>
        <w:t>全国经济普查综合试点方案（第二部分：普查单位划分具体处理规定）》</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47" w:name="_Toc28142_WPSOffice_Level2"/>
      <w:r>
        <w:rPr>
          <w:rFonts w:hint="eastAsia" w:ascii="黑体" w:hAnsi="黑体" w:eastAsia="黑体" w:cs="黑体"/>
          <w:bCs/>
          <w:spacing w:val="0"/>
          <w:sz w:val="30"/>
          <w:szCs w:val="30"/>
        </w:rPr>
        <w:t xml:space="preserve">第一章  总 </w:t>
      </w:r>
      <w:r>
        <w:rPr>
          <w:rFonts w:hint="eastAsia" w:ascii="黑体" w:hAnsi="黑体" w:eastAsia="黑体" w:cs="黑体"/>
          <w:bCs/>
          <w:spacing w:val="0"/>
          <w:sz w:val="30"/>
          <w:szCs w:val="30"/>
          <w:lang w:val="en-US" w:eastAsia="zh-CN"/>
        </w:rPr>
        <w:t xml:space="preserve"> </w:t>
      </w:r>
      <w:r>
        <w:rPr>
          <w:rFonts w:hint="eastAsia" w:ascii="黑体" w:hAnsi="黑体" w:eastAsia="黑体" w:cs="黑体"/>
          <w:bCs/>
          <w:spacing w:val="0"/>
          <w:sz w:val="30"/>
          <w:szCs w:val="30"/>
        </w:rPr>
        <w:t xml:space="preserve"> 则</w:t>
      </w:r>
      <w:bookmarkEnd w:id="47"/>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第一条</w:t>
      </w:r>
      <w:r>
        <w:rPr>
          <w:rFonts w:hint="eastAsia" w:ascii="宋体" w:hAnsi="宋体"/>
          <w:spacing w:val="0"/>
          <w:sz w:val="24"/>
          <w:szCs w:val="24"/>
        </w:rPr>
        <w:t xml:space="preserve">  为了科学有效地开展统计调查，统一和规范统计单位，避免统计单位的重复和遗漏，提高统计数据质量，根据《中华人民共和国统计法》等相关国家法律、法规和部门规章，特制定本办法。</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本办法参考联合国有关统计单位的标准和规定。</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第二条</w:t>
      </w:r>
      <w:r>
        <w:rPr>
          <w:rFonts w:hint="eastAsia" w:ascii="宋体" w:hAnsi="宋体"/>
          <w:spacing w:val="0"/>
          <w:sz w:val="24"/>
          <w:szCs w:val="24"/>
        </w:rPr>
        <w:t xml:space="preserve">  本办法适用于各项普查、常规统计调查和专项统计调查。</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48" w:name="_Toc25916_WPSOffice_Level2"/>
      <w:r>
        <w:rPr>
          <w:rFonts w:hint="eastAsia" w:ascii="黑体" w:hAnsi="黑体" w:eastAsia="黑体" w:cs="黑体"/>
          <w:bCs/>
          <w:spacing w:val="0"/>
          <w:sz w:val="30"/>
          <w:szCs w:val="30"/>
        </w:rPr>
        <w:t>第二章  统计单位类型</w:t>
      </w:r>
      <w:bookmarkEnd w:id="48"/>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第三条</w:t>
      </w:r>
      <w:r>
        <w:rPr>
          <w:rFonts w:hint="eastAsia" w:ascii="宋体" w:hAnsi="宋体"/>
          <w:spacing w:val="0"/>
          <w:sz w:val="24"/>
          <w:szCs w:val="24"/>
        </w:rPr>
        <w:t xml:space="preserve">  本办法中的统计单位包括法人单位、产业活动单位、个体经营户。</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第四条</w:t>
      </w:r>
      <w:r>
        <w:rPr>
          <w:rFonts w:hint="eastAsia" w:ascii="宋体" w:hAnsi="宋体"/>
          <w:spacing w:val="0"/>
          <w:sz w:val="24"/>
          <w:szCs w:val="24"/>
        </w:rPr>
        <w:t xml:space="preserve">  法人单位是指有权拥有资产、承担负债，并独立从事社会经济活动（或与其他单位进行交易）的组织。法人单位应同时具备以下条件：</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（一）依法成立，有自己的名称、组织机构和场所,能够独立承担民事责任；</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（二）独立拥有（或授权使用）资产或者经费，承担负债，有权与其他单位签订合同；</w:t>
      </w:r>
    </w:p>
    <w:p>
      <w:pPr>
        <w:pStyle w:val="29"/>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eastAsia="宋体"/>
          <w:i/>
          <w:spacing w:val="0"/>
          <w:sz w:val="24"/>
          <w:szCs w:val="24"/>
        </w:rPr>
      </w:pPr>
      <w:r>
        <w:rPr>
          <w:rFonts w:hint="eastAsia" w:ascii="宋体" w:hAnsi="宋体" w:eastAsia="宋体"/>
          <w:spacing w:val="0"/>
          <w:sz w:val="24"/>
          <w:szCs w:val="24"/>
        </w:rPr>
        <w:t>（三）具有包括资产负债表在内的账户，或者能够根据需要编制账户。</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第五条</w:t>
      </w:r>
      <w:r>
        <w:rPr>
          <w:rFonts w:hint="eastAsia" w:ascii="宋体" w:hAnsi="宋体"/>
          <w:spacing w:val="0"/>
          <w:sz w:val="24"/>
          <w:szCs w:val="24"/>
        </w:rPr>
        <w:t xml:space="preserve">  法人单位包括五种类型：企业法人、事业单位法人、机关法人、社会团体和其他成员组织法人、其他法人。</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（一）企业法人是指依据《中华人民共和国公司登记管理条例》、《中华人民共和国企业法人登记管理条例》等国家法律和法规，经各级工商行政管理机关登记注册，领取《企业法人营业执照》的企业。包括：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1．公司制企业法人；</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2．非公司制企业法人；</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lang w:val="en-US" w:eastAsia="zh-CN"/>
        </w:rPr>
        <w:t>3</w:t>
      </w:r>
      <w:r>
        <w:rPr>
          <w:rFonts w:hint="eastAsia" w:ascii="宋体" w:hAnsi="宋体"/>
          <w:spacing w:val="0"/>
          <w:sz w:val="24"/>
          <w:szCs w:val="24"/>
        </w:rPr>
        <w:t>．依据《中华人民共和国个人独资企业法》、《中华人民共和国合伙企业法》，经各级工商行政管理机关登记注册，领取《营业执照》的个人独资企业、合伙企业。</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（二）事业单位法人是指经国务院或地方县级以上机构编制管理部门批准，经国家或地方县级以上事业单位登记管理部门登记或备案，领取《事业单位法人证书》，取得法人资格的事业单位。包括：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1．各级党委、政府直属事业单位；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2．中共中央、国务院直属事业单位举办的事业单位；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3．各级人大、政协机关，人民法院、人民检察院和各民主党派机关举办的事业单位；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4．各级党委部门和政府部门举办的事业单位；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5．使用财政性经费的群众团体举办的事业单位；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6．国有企业及其他组织利用国有资产举办的事业单位；</w:t>
      </w:r>
    </w:p>
    <w:p>
      <w:pPr>
        <w:pStyle w:val="30"/>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eastAsia="宋体"/>
          <w:spacing w:val="0"/>
          <w:sz w:val="24"/>
          <w:szCs w:val="24"/>
        </w:rPr>
      </w:pPr>
      <w:r>
        <w:rPr>
          <w:rFonts w:hint="eastAsia" w:ascii="宋体" w:hAnsi="宋体" w:eastAsia="宋体"/>
          <w:spacing w:val="0"/>
          <w:sz w:val="24"/>
          <w:szCs w:val="24"/>
        </w:rPr>
        <w:t>7．依照法律或有关规定，应当由各级登记管理机关登记的其他事业单位。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（三）机关法人是指各级政党机关和国家机关。包括：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49" w:name="_Toc28045_WPSOffice_Level3"/>
      <w:r>
        <w:rPr>
          <w:rFonts w:hint="eastAsia" w:ascii="宋体" w:hAnsi="宋体"/>
          <w:spacing w:val="0"/>
          <w:sz w:val="24"/>
          <w:szCs w:val="24"/>
        </w:rPr>
        <w:t>1．县级以上各级中国共产党委员会及其所属各工作部门；</w:t>
      </w:r>
      <w:bookmarkEnd w:id="49"/>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0" w:name="_Toc22156_WPSOffice_Level3"/>
      <w:r>
        <w:rPr>
          <w:rFonts w:hint="eastAsia" w:ascii="宋体" w:hAnsi="宋体"/>
          <w:spacing w:val="0"/>
          <w:sz w:val="24"/>
          <w:szCs w:val="24"/>
        </w:rPr>
        <w:t>2．县级以上各级人民代表大会机关；</w:t>
      </w:r>
      <w:bookmarkEnd w:id="50"/>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1" w:name="_Toc1431_WPSOffice_Level3"/>
      <w:r>
        <w:rPr>
          <w:rFonts w:hint="eastAsia" w:ascii="宋体" w:hAnsi="宋体"/>
          <w:spacing w:val="0"/>
          <w:sz w:val="24"/>
          <w:szCs w:val="24"/>
        </w:rPr>
        <w:t>3．县级以上各级人民政府及其所属各工作部门，以及地区行政行署；</w:t>
      </w:r>
      <w:bookmarkEnd w:id="51"/>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2" w:name="_Toc17749_WPSOffice_Level3"/>
      <w:r>
        <w:rPr>
          <w:rFonts w:hint="eastAsia" w:ascii="宋体" w:hAnsi="宋体"/>
          <w:spacing w:val="0"/>
          <w:sz w:val="24"/>
          <w:szCs w:val="24"/>
        </w:rPr>
        <w:t>4．县级以上各级政治协商会议机关；</w:t>
      </w:r>
      <w:bookmarkEnd w:id="52"/>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3" w:name="_Toc16048_WPSOffice_Level3"/>
      <w:r>
        <w:rPr>
          <w:rFonts w:hint="eastAsia" w:ascii="宋体" w:hAnsi="宋体"/>
          <w:spacing w:val="0"/>
          <w:sz w:val="24"/>
          <w:szCs w:val="24"/>
        </w:rPr>
        <w:t>5．县级以上各级人民法院、检察院机关；</w:t>
      </w:r>
      <w:bookmarkEnd w:id="53"/>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4" w:name="_Toc2892_WPSOffice_Level3"/>
      <w:r>
        <w:rPr>
          <w:rFonts w:hint="eastAsia" w:ascii="宋体" w:hAnsi="宋体"/>
          <w:spacing w:val="0"/>
          <w:sz w:val="24"/>
          <w:szCs w:val="24"/>
        </w:rPr>
        <w:t>6．县级以上各民主党派机关；</w:t>
      </w:r>
      <w:bookmarkEnd w:id="54"/>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5" w:name="_Toc5150_WPSOffice_Level3"/>
      <w:r>
        <w:rPr>
          <w:rFonts w:hint="eastAsia" w:ascii="宋体" w:hAnsi="宋体"/>
          <w:spacing w:val="0"/>
          <w:sz w:val="24"/>
          <w:szCs w:val="24"/>
        </w:rPr>
        <w:t>7．乡、镇中国共产党委员会和人民政府。</w:t>
      </w:r>
      <w:bookmarkEnd w:id="55"/>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四）社会团体和其他成员组织法人是指依据《社会团体登记管理条例》，经国家或县级以上民政部门登记注册或备案、领取《社会团体法人登记证书》的各类社会团体，以及由机构编制管理部门管理其编制的群众团体。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6" w:name="_Toc9129_WPSOffice_Level3"/>
      <w:r>
        <w:rPr>
          <w:rFonts w:hint="eastAsia" w:ascii="宋体" w:hAnsi="宋体"/>
          <w:spacing w:val="0"/>
          <w:sz w:val="24"/>
          <w:szCs w:val="24"/>
        </w:rPr>
        <w:t>1．社会团体法人;</w:t>
      </w:r>
      <w:bookmarkEnd w:id="56"/>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7" w:name="_Toc21810_WPSOffice_Level3"/>
      <w:r>
        <w:rPr>
          <w:rFonts w:hint="eastAsia" w:ascii="宋体" w:hAnsi="宋体"/>
          <w:spacing w:val="0"/>
          <w:sz w:val="24"/>
          <w:szCs w:val="24"/>
        </w:rPr>
        <w:t>2．群众团体法人;</w:t>
      </w:r>
      <w:bookmarkEnd w:id="57"/>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8" w:name="_Toc17801_WPSOffice_Level3"/>
      <w:r>
        <w:rPr>
          <w:rFonts w:hint="eastAsia" w:ascii="宋体" w:hAnsi="宋体"/>
          <w:spacing w:val="0"/>
          <w:sz w:val="24"/>
          <w:szCs w:val="24"/>
        </w:rPr>
        <w:t>3．其他成员组织法人。</w:t>
      </w:r>
      <w:bookmarkEnd w:id="58"/>
    </w:p>
    <w:p>
      <w:pPr>
        <w:keepNext w:val="0"/>
        <w:keepLines w:val="0"/>
        <w:pageBreakBefore w:val="0"/>
        <w:widowControl w:val="0"/>
        <w:kinsoku/>
        <w:wordWrap/>
        <w:overflowPunct/>
        <w:topLinePunct w:val="0"/>
        <w:bidi w:val="0"/>
        <w:adjustRightInd w:val="0"/>
        <w:snapToGrid w:val="0"/>
        <w:spacing w:line="460" w:lineRule="exact"/>
        <w:ind w:firstLine="504" w:firstLineChars="200"/>
        <w:jc w:val="both"/>
        <w:textAlignment w:val="auto"/>
        <w:rPr>
          <w:rFonts w:ascii="宋体" w:hAnsi="宋体"/>
          <w:spacing w:val="6"/>
          <w:sz w:val="24"/>
          <w:szCs w:val="24"/>
        </w:rPr>
      </w:pPr>
      <w:r>
        <w:rPr>
          <w:rFonts w:hint="eastAsia" w:ascii="宋体" w:hAnsi="宋体"/>
          <w:spacing w:val="6"/>
          <w:sz w:val="24"/>
          <w:szCs w:val="24"/>
        </w:rPr>
        <w:t>（五）其他法人是指除上述类型以外的法人，是依据《</w:t>
      </w:r>
      <w:bookmarkStart w:id="127" w:name="_GoBack"/>
      <w:bookmarkEnd w:id="127"/>
      <w:r>
        <w:rPr>
          <w:rFonts w:hint="eastAsia" w:ascii="宋体" w:hAnsi="宋体"/>
          <w:spacing w:val="6"/>
          <w:sz w:val="24"/>
          <w:szCs w:val="24"/>
          <w:lang w:eastAsia="zh-CN"/>
        </w:rPr>
        <w:t>中华人民共和国城市居民委员会组织法</w:t>
      </w:r>
      <w:r>
        <w:rPr>
          <w:rFonts w:hint="eastAsia" w:ascii="宋体" w:hAnsi="宋体"/>
          <w:spacing w:val="6"/>
          <w:sz w:val="24"/>
          <w:szCs w:val="24"/>
        </w:rPr>
        <w:t>》、《中华人民共和国村民委员会组织法》、《基金会管理条例》、《农民专业合作社登记管理条例》及其他法律、法规，依法成立，具备法人条件的单位。包括：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9" w:name="_Toc13666_WPSOffice_Level3"/>
      <w:r>
        <w:rPr>
          <w:rFonts w:hint="eastAsia" w:ascii="宋体" w:hAnsi="宋体"/>
          <w:spacing w:val="0"/>
          <w:sz w:val="24"/>
          <w:szCs w:val="24"/>
        </w:rPr>
        <w:t>1．居民委员会和村民委员会；</w:t>
      </w:r>
      <w:bookmarkEnd w:id="59"/>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0" w:name="_Toc29736_WPSOffice_Level3"/>
      <w:r>
        <w:rPr>
          <w:rFonts w:hint="eastAsia" w:ascii="宋体" w:hAnsi="宋体"/>
          <w:spacing w:val="0"/>
          <w:sz w:val="24"/>
          <w:szCs w:val="24"/>
        </w:rPr>
        <w:t>2．基金会；</w:t>
      </w:r>
      <w:bookmarkEnd w:id="60"/>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1" w:name="_Toc23059_WPSOffice_Level3"/>
      <w:r>
        <w:rPr>
          <w:rFonts w:hint="eastAsia" w:ascii="宋体" w:hAnsi="宋体"/>
          <w:spacing w:val="0"/>
          <w:sz w:val="24"/>
          <w:szCs w:val="24"/>
        </w:rPr>
        <w:t>3．领取《民办非企业单位（法人）登记证书》的民办非企业单位；</w:t>
      </w:r>
      <w:bookmarkEnd w:id="61"/>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2" w:name="_Toc6670_WPSOffice_Level3"/>
      <w:r>
        <w:rPr>
          <w:rFonts w:hint="eastAsia" w:ascii="宋体" w:hAnsi="宋体"/>
          <w:spacing w:val="0"/>
          <w:sz w:val="24"/>
          <w:szCs w:val="24"/>
        </w:rPr>
        <w:t>4．宗教组织和活动场所；</w:t>
      </w:r>
      <w:bookmarkEnd w:id="62"/>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3" w:name="_Toc15251_WPSOffice_Level3"/>
      <w:r>
        <w:rPr>
          <w:rFonts w:hint="eastAsia" w:ascii="宋体" w:hAnsi="宋体"/>
          <w:spacing w:val="0"/>
          <w:sz w:val="24"/>
          <w:szCs w:val="24"/>
        </w:rPr>
        <w:t>5．农民专业合作社；</w:t>
      </w:r>
      <w:bookmarkEnd w:id="63"/>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4" w:name="_Toc20114_WPSOffice_Level3"/>
      <w:r>
        <w:rPr>
          <w:rFonts w:hint="eastAsia" w:ascii="宋体" w:hAnsi="宋体"/>
          <w:spacing w:val="0"/>
          <w:sz w:val="24"/>
          <w:szCs w:val="24"/>
        </w:rPr>
        <w:t>6．其他未列明法人单位。</w:t>
      </w:r>
      <w:bookmarkEnd w:id="64"/>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第六条</w:t>
      </w:r>
      <w:r>
        <w:rPr>
          <w:rFonts w:hint="eastAsia" w:ascii="宋体" w:hAnsi="宋体"/>
          <w:spacing w:val="0"/>
          <w:sz w:val="24"/>
          <w:szCs w:val="24"/>
        </w:rPr>
        <w:t xml:space="preserve">  产业活动单位是指</w:t>
      </w:r>
      <w:r>
        <w:rPr>
          <w:rFonts w:hint="eastAsia" w:ascii="宋体" w:hAnsi="宋体" w:cs="Courier New"/>
          <w:spacing w:val="0"/>
          <w:kern w:val="0"/>
          <w:sz w:val="24"/>
          <w:szCs w:val="24"/>
        </w:rPr>
        <w:t>位于一个地点，</w:t>
      </w:r>
      <w:r>
        <w:rPr>
          <w:rFonts w:hint="eastAsia" w:ascii="宋体" w:hAnsi="宋体" w:cs="宋体"/>
          <w:spacing w:val="0"/>
          <w:kern w:val="0"/>
          <w:sz w:val="24"/>
          <w:szCs w:val="24"/>
        </w:rPr>
        <w:t>从事一种或主要从事一种社会经济活动的组织或组织的一部分</w:t>
      </w:r>
      <w:r>
        <w:rPr>
          <w:rFonts w:hint="eastAsia" w:ascii="宋体" w:hAnsi="宋体" w:cs="Courier New"/>
          <w:spacing w:val="0"/>
          <w:kern w:val="0"/>
          <w:sz w:val="24"/>
          <w:szCs w:val="24"/>
        </w:rPr>
        <w:t>。</w:t>
      </w:r>
      <w:r>
        <w:rPr>
          <w:rFonts w:hint="eastAsia" w:ascii="宋体" w:hAnsi="宋体"/>
          <w:spacing w:val="0"/>
          <w:sz w:val="24"/>
          <w:szCs w:val="24"/>
        </w:rPr>
        <w:t>产业活动单位应同时具备以下条件：</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5" w:name="_Toc6943_WPSOffice_Level3"/>
      <w:r>
        <w:rPr>
          <w:rFonts w:hint="eastAsia" w:ascii="宋体" w:hAnsi="宋体"/>
          <w:spacing w:val="0"/>
          <w:sz w:val="24"/>
          <w:szCs w:val="24"/>
        </w:rPr>
        <w:t>（一）在一个场所从事一种或主要从事一种社会经济活动；</w:t>
      </w:r>
      <w:bookmarkEnd w:id="65"/>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6" w:name="_Toc8270_WPSOffice_Level3"/>
      <w:r>
        <w:rPr>
          <w:rFonts w:hint="eastAsia" w:ascii="宋体" w:hAnsi="宋体"/>
          <w:spacing w:val="0"/>
          <w:sz w:val="24"/>
          <w:szCs w:val="24"/>
        </w:rPr>
        <w:t>（二）相对独立地组织生产活动或经营活动；</w:t>
      </w:r>
      <w:bookmarkEnd w:id="66"/>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7" w:name="_Toc7658_WPSOffice_Level3"/>
      <w:r>
        <w:rPr>
          <w:rFonts w:hint="eastAsia" w:ascii="宋体" w:hAnsi="宋体"/>
          <w:spacing w:val="0"/>
          <w:sz w:val="24"/>
          <w:szCs w:val="24"/>
        </w:rPr>
        <w:t>（三）能提供收入、支出等相关资料。</w:t>
      </w:r>
      <w:bookmarkEnd w:id="67"/>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产业活动单位是法人单位的组成部分。仅包含一个产业活动单位的法人单位，称为单产业法人单位，该法人单位同时也是一个产业活动单位；由两个及以上产业活动单位组成的法人单位，称为多产业法人单位，这些产业活动单位接受法人单位的管理和控制。</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第七条</w:t>
      </w:r>
      <w:r>
        <w:rPr>
          <w:rFonts w:hint="eastAsia" w:ascii="宋体" w:hAnsi="宋体"/>
          <w:spacing w:val="0"/>
          <w:sz w:val="24"/>
          <w:szCs w:val="24"/>
        </w:rPr>
        <w:t xml:space="preserve">  个体经营户是指生产资料归劳动者个人所有，以个体劳动为基础，劳动成果归劳动者个人占有和支配的一种经营组织。个体经营户包括：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（一）按照《</w:t>
      </w:r>
      <w:r>
        <w:rPr>
          <w:rFonts w:hint="eastAsia" w:ascii="宋体" w:hAnsi="宋体" w:cs="宋体"/>
          <w:bCs/>
          <w:spacing w:val="0"/>
          <w:kern w:val="36"/>
          <w:sz w:val="24"/>
          <w:szCs w:val="24"/>
        </w:rPr>
        <w:t>中华人民共和国</w:t>
      </w:r>
      <w:r>
        <w:rPr>
          <w:rFonts w:hint="eastAsia" w:ascii="宋体" w:hAnsi="宋体"/>
          <w:spacing w:val="0"/>
          <w:sz w:val="24"/>
          <w:szCs w:val="24"/>
        </w:rPr>
        <w:t>民法通则》和《城乡个体工商户管理暂行条例》规定，经各级工商行政管理机关登记注册、领取《营业执照》的个体工商户；</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依据《民办非企业单位登记管理暂行条例》，经国务院民政部门和县级以上地方各级人民政府民政部门核准登记，并领取《民办非企业单位（合伙）登记证书》或《民办非企业单位（个人）登记证书》的民办非企业单位。</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68" w:name="_Toc11810_WPSOffice_Level2"/>
      <w:r>
        <w:rPr>
          <w:rFonts w:hint="eastAsia" w:ascii="黑体" w:hAnsi="黑体" w:eastAsia="黑体" w:cs="黑体"/>
          <w:bCs/>
          <w:spacing w:val="0"/>
          <w:sz w:val="30"/>
          <w:szCs w:val="30"/>
        </w:rPr>
        <w:t>第三章  统计单位的统计原则</w:t>
      </w:r>
      <w:bookmarkEnd w:id="68"/>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第八条</w:t>
      </w:r>
      <w:r>
        <w:rPr>
          <w:rFonts w:hint="eastAsia" w:ascii="宋体" w:hAnsi="宋体"/>
          <w:spacing w:val="0"/>
          <w:sz w:val="24"/>
          <w:szCs w:val="24"/>
        </w:rPr>
        <w:t xml:space="preserve">  对统计单位按照在地原则进行统计，即统计单位按照以下情况归入所在区域的统计范围：</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（一）经营地与行政登记住所在同一县级行政区域的统计单位，归入该县级区域的统计范围；</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b/>
          <w:spacing w:val="0"/>
          <w:sz w:val="24"/>
          <w:szCs w:val="24"/>
        </w:rPr>
      </w:pPr>
      <w:r>
        <w:rPr>
          <w:rFonts w:hint="eastAsia" w:ascii="宋体" w:hAnsi="宋体"/>
          <w:spacing w:val="0"/>
          <w:sz w:val="24"/>
          <w:szCs w:val="24"/>
        </w:rPr>
        <w:t>（二）经营地与行政登记住所不在同一县级行政区域的统计单位，原则上归入经营地所在的县级区域的统计范围；</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（三）有两处或两处以上经营地的统计单位，归入主要经营地所在的县级区域的统计范围。</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第九条</w:t>
      </w:r>
      <w:r>
        <w:rPr>
          <w:rFonts w:hint="eastAsia" w:ascii="宋体" w:hAnsi="宋体"/>
          <w:spacing w:val="0"/>
          <w:sz w:val="24"/>
          <w:szCs w:val="24"/>
        </w:rPr>
        <w:t xml:space="preserve">  在对法人单位开展统计调查时，按照本办法第八条确定法人单位所属的县级行政区域。含有多个法人单位的多法人联合体，应分别对每个法人单位开展统计调查，不能将多个法人单位作为一个统计单位。</w:t>
      </w:r>
    </w:p>
    <w:p>
      <w:pPr>
        <w:keepNext w:val="0"/>
        <w:keepLines w:val="0"/>
        <w:pageBreakBefore w:val="0"/>
        <w:widowControl w:val="0"/>
        <w:kinsoku/>
        <w:wordWrap/>
        <w:overflowPunct/>
        <w:topLinePunct w:val="0"/>
        <w:bidi w:val="0"/>
        <w:adjustRightInd w:val="0"/>
        <w:snapToGrid w:val="0"/>
        <w:spacing w:line="460" w:lineRule="exact"/>
        <w:ind w:firstLine="504" w:firstLineChars="200"/>
        <w:jc w:val="both"/>
        <w:textAlignment w:val="auto"/>
        <w:rPr>
          <w:rFonts w:ascii="宋体" w:hAnsi="宋体"/>
          <w:spacing w:val="6"/>
          <w:sz w:val="24"/>
          <w:szCs w:val="24"/>
        </w:rPr>
      </w:pPr>
      <w:r>
        <w:rPr>
          <w:rFonts w:hint="eastAsia" w:ascii="宋体" w:hAnsi="宋体"/>
          <w:spacing w:val="6"/>
          <w:sz w:val="24"/>
          <w:szCs w:val="24"/>
        </w:rPr>
        <w:t>在对产业活动单位开展统计调查时，按其经营地确定所属的县级行政区域。对多产业法人单位，应按照各产业活动单位的经营地分别对每个产业活动单位开展统计调查。</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第十条</w:t>
      </w:r>
      <w:r>
        <w:rPr>
          <w:rFonts w:hint="eastAsia" w:ascii="宋体" w:hAnsi="宋体"/>
          <w:spacing w:val="0"/>
          <w:sz w:val="24"/>
          <w:szCs w:val="24"/>
        </w:rPr>
        <w:t xml:space="preserve">  </w:t>
      </w:r>
      <w:r>
        <w:rPr>
          <w:rFonts w:hint="eastAsia" w:ascii="宋体" w:hAnsi="宋体" w:cs="宋体"/>
          <w:spacing w:val="0"/>
          <w:kern w:val="0"/>
          <w:sz w:val="24"/>
          <w:szCs w:val="24"/>
        </w:rPr>
        <w:t>法人单位下属</w:t>
      </w:r>
      <w:r>
        <w:rPr>
          <w:rFonts w:hint="eastAsia" w:ascii="宋体" w:hAnsi="宋体"/>
          <w:spacing w:val="0"/>
          <w:sz w:val="24"/>
          <w:szCs w:val="24"/>
        </w:rPr>
        <w:t>跨省的分支机构</w:t>
      </w:r>
      <w:r>
        <w:rPr>
          <w:rFonts w:hint="eastAsia" w:ascii="宋体" w:hAnsi="宋体" w:cs="宋体"/>
          <w:spacing w:val="0"/>
          <w:kern w:val="0"/>
          <w:sz w:val="24"/>
          <w:szCs w:val="24"/>
        </w:rPr>
        <w:t>，符合以下条件的，经与分支机构上级法人单位协商一致，并经国家统计局认可，</w:t>
      </w:r>
      <w:r>
        <w:rPr>
          <w:rFonts w:hint="eastAsia" w:ascii="宋体" w:hAnsi="宋体"/>
          <w:spacing w:val="0"/>
          <w:sz w:val="24"/>
          <w:szCs w:val="24"/>
        </w:rPr>
        <w:t>可</w:t>
      </w:r>
      <w:r>
        <w:rPr>
          <w:rFonts w:hint="eastAsia" w:ascii="宋体" w:hAnsi="宋体" w:cs="宋体"/>
          <w:spacing w:val="0"/>
          <w:kern w:val="0"/>
          <w:sz w:val="24"/>
          <w:szCs w:val="24"/>
        </w:rPr>
        <w:t>视同法人单位处理</w:t>
      </w:r>
      <w:r>
        <w:rPr>
          <w:rFonts w:hint="eastAsia" w:ascii="宋体" w:hAnsi="宋体"/>
          <w:spacing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cs="宋体"/>
          <w:spacing w:val="0"/>
          <w:kern w:val="0"/>
          <w:sz w:val="24"/>
          <w:szCs w:val="24"/>
        </w:rPr>
      </w:pPr>
      <w:r>
        <w:rPr>
          <w:rFonts w:hint="eastAsia" w:ascii="宋体" w:hAnsi="宋体" w:cs="宋体"/>
          <w:spacing w:val="0"/>
          <w:kern w:val="0"/>
          <w:sz w:val="24"/>
          <w:szCs w:val="24"/>
        </w:rPr>
        <w:t>（一）在当地</w:t>
      </w:r>
      <w:r>
        <w:rPr>
          <w:rFonts w:hint="eastAsia" w:ascii="宋体" w:hAnsi="宋体"/>
          <w:spacing w:val="0"/>
          <w:sz w:val="24"/>
          <w:szCs w:val="24"/>
        </w:rPr>
        <w:t>工商行政管理机关</w:t>
      </w:r>
      <w:r>
        <w:rPr>
          <w:rFonts w:hint="eastAsia" w:ascii="宋体" w:hAnsi="宋体" w:cs="宋体"/>
          <w:spacing w:val="0"/>
          <w:kern w:val="0"/>
          <w:sz w:val="24"/>
          <w:szCs w:val="24"/>
        </w:rPr>
        <w:t>领取《营业执照》，并有独立的场所；</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cs="宋体"/>
          <w:spacing w:val="0"/>
          <w:kern w:val="0"/>
          <w:sz w:val="24"/>
          <w:szCs w:val="24"/>
        </w:rPr>
      </w:pPr>
      <w:r>
        <w:rPr>
          <w:rFonts w:hint="eastAsia" w:ascii="宋体" w:hAnsi="宋体" w:cs="宋体"/>
          <w:spacing w:val="0"/>
          <w:kern w:val="0"/>
          <w:sz w:val="24"/>
          <w:szCs w:val="24"/>
        </w:rPr>
        <w:t>（二）以该分支机构的名义独立开展生产经营活动一年或一年以上；</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cs="宋体"/>
          <w:spacing w:val="0"/>
          <w:kern w:val="0"/>
          <w:sz w:val="24"/>
          <w:szCs w:val="24"/>
        </w:rPr>
      </w:pPr>
      <w:r>
        <w:rPr>
          <w:rFonts w:hint="eastAsia" w:ascii="宋体" w:hAnsi="宋体" w:cs="宋体"/>
          <w:spacing w:val="0"/>
          <w:kern w:val="0"/>
          <w:sz w:val="24"/>
          <w:szCs w:val="24"/>
        </w:rPr>
        <w:t>（三）该分支机构的生产经营活动依法向当地纳税；</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cs="宋体"/>
          <w:spacing w:val="0"/>
          <w:kern w:val="0"/>
          <w:sz w:val="24"/>
          <w:szCs w:val="24"/>
        </w:rPr>
        <w:t>（四）具有包括资产负债表在内的账户，或者</w:t>
      </w:r>
      <w:r>
        <w:rPr>
          <w:rFonts w:hint="eastAsia" w:ascii="宋体" w:hAnsi="宋体"/>
          <w:spacing w:val="0"/>
          <w:sz w:val="24"/>
          <w:szCs w:val="24"/>
        </w:rPr>
        <w:t>能够根据统计调查的需要提供财务资料。</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按照不重不漏的原则，凡视同法人单位独立报送统计数据的分支机构，其上级法人单位（总部）的统计数据不再包括该分支机构的统计数据。</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69" w:name="_Toc435_WPSOffice_Level2"/>
      <w:r>
        <w:rPr>
          <w:rFonts w:hint="eastAsia" w:ascii="黑体" w:hAnsi="黑体" w:eastAsia="黑体" w:cs="黑体"/>
          <w:bCs/>
          <w:spacing w:val="0"/>
          <w:sz w:val="30"/>
          <w:szCs w:val="30"/>
        </w:rPr>
        <w:t>第四章  统计单位的具体处理办法</w:t>
      </w:r>
      <w:bookmarkEnd w:id="69"/>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第十一条</w:t>
      </w:r>
      <w:r>
        <w:rPr>
          <w:rFonts w:hint="eastAsia" w:ascii="宋体" w:hAnsi="宋体"/>
          <w:spacing w:val="0"/>
          <w:sz w:val="24"/>
          <w:szCs w:val="24"/>
        </w:rPr>
        <w:t xml:space="preserve">  </w:t>
      </w:r>
      <w:r>
        <w:rPr>
          <w:rFonts w:hint="eastAsia" w:ascii="宋体" w:hAnsi="宋体" w:cs="仿宋_GB2312"/>
          <w:spacing w:val="0"/>
          <w:kern w:val="0"/>
          <w:sz w:val="24"/>
          <w:szCs w:val="24"/>
          <w:lang w:val="zh-CN"/>
        </w:rPr>
        <w:t>工业企业的法人单位，</w:t>
      </w:r>
      <w:r>
        <w:rPr>
          <w:rFonts w:hint="eastAsia" w:ascii="宋体" w:hAnsi="宋体"/>
          <w:spacing w:val="0"/>
          <w:sz w:val="24"/>
          <w:szCs w:val="24"/>
        </w:rPr>
        <w:t>如经营地与工商登记住所不在同一县级行政区域，且经营地不能报送法人单位完整统计数据，按企业管理机构所在地统计。</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第十二条</w:t>
      </w:r>
      <w:r>
        <w:rPr>
          <w:rFonts w:hint="eastAsia" w:ascii="宋体" w:hAnsi="宋体"/>
          <w:spacing w:val="0"/>
          <w:sz w:val="24"/>
          <w:szCs w:val="24"/>
        </w:rPr>
        <w:t xml:space="preserve">  </w:t>
      </w:r>
      <w:r>
        <w:rPr>
          <w:rFonts w:hint="eastAsia" w:ascii="宋体" w:hAnsi="宋体" w:cs="仿宋_GB2312"/>
          <w:spacing w:val="0"/>
          <w:kern w:val="0"/>
          <w:sz w:val="24"/>
          <w:szCs w:val="24"/>
          <w:lang w:val="zh-CN"/>
        </w:rPr>
        <w:t>建筑企业的法人单位按照注册地统计。</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第十三条</w:t>
      </w:r>
      <w:r>
        <w:rPr>
          <w:rFonts w:hint="eastAsia" w:ascii="宋体" w:hAnsi="宋体"/>
          <w:spacing w:val="0"/>
          <w:sz w:val="24"/>
          <w:szCs w:val="24"/>
        </w:rPr>
        <w:t xml:space="preserve">  以下垂直管理单位的跨地区分支机构，视同法人单位处理：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各商业银行省级（省、自治区、直辖市）、地级（地区、地级市、州、盟）分支机构，以及其他金融机构（如农村信用合作社等）的省、地级分支机构视同法人单位；县级支行及所属的分理处、储蓄所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b/>
          <w:spacing w:val="0"/>
          <w:sz w:val="24"/>
          <w:szCs w:val="24"/>
        </w:rPr>
      </w:pPr>
      <w:r>
        <w:rPr>
          <w:rFonts w:hint="eastAsia" w:ascii="宋体" w:hAnsi="宋体"/>
          <w:spacing w:val="0"/>
          <w:sz w:val="24"/>
          <w:szCs w:val="24"/>
        </w:rPr>
        <w:t>（二）保险公司垂直管理的省、地级保险机构视同法人单位；县级及以下分支机构作为产业活动单位；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b/>
          <w:spacing w:val="0"/>
          <w:sz w:val="24"/>
          <w:szCs w:val="24"/>
        </w:rPr>
      </w:pPr>
      <w:r>
        <w:rPr>
          <w:rFonts w:hint="eastAsia" w:ascii="宋体" w:hAnsi="宋体"/>
          <w:spacing w:val="0"/>
          <w:sz w:val="24"/>
          <w:szCs w:val="24"/>
        </w:rPr>
        <w:t>（三）中国电信、中国移动、中国联通、中国卫星通信等通信公司的省、地级分支机构视同法人单位；县级分支机构及营业网点作为产业活动单位。为电信公司提供分销服务且不隶属于电信系统的经营代办网点，根据证照确定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四）中国石油天然气集团公司、中国石油天然气股份公司、中国石油化工集团公司、中国石油化工股份公司、中国海洋石油总公司的省、地级分支机构（分公司）视同法人单位；省、地级石油销售公司视同法人单位，县级及以下的石油销售单位作为产业活动单位。中国石油天然气集团公司、中国石油天然气股份公司、中国石油化工集团公司、中国石油化工股份公司、中国海洋石油总公司下属的加油站作为产业活动单位；不隶属于上述公司的加油站根据证照确定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（五）铁路系统的铁路局一级单位，以及隶属于铁路系统的检察院、法院、公安局、疾病控制所、防疫站视同法人单位；铁路局下属的站段、铁路办事处一级单位为产业活动单位；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（六）隶属于国家邮政集团公司的省、地级邮政机构视同法人单位；县级及以下分支机构作为产业活动单位；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（七）隶属于国家烟草专卖局（中国烟草总公司）的地级及以上烟草专卖机构视同法人单位；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（八）国家电网公司、区域电网公司下属的非法人省级分公司视同法人单位；发电公司、供电公司下属的非独立核算电力生产企业视同法人单位；非独立核算的地、县级供电公司作为产业活动单位；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（九）其他另外规定的单位。</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第十四条</w:t>
      </w:r>
      <w:r>
        <w:rPr>
          <w:rFonts w:hint="eastAsia" w:ascii="宋体" w:hAnsi="宋体"/>
          <w:spacing w:val="0"/>
          <w:sz w:val="24"/>
          <w:szCs w:val="24"/>
        </w:rPr>
        <w:t xml:space="preserve">  领取多个法人执照的一户多证（照）机构，如果是相同的人员、在相同的场地、从事同种活动，则作为一个法人单位；如果从事多种活动，并分别核算收入和支出等业务，则分别作为不同的法人单位。</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第十五条</w:t>
      </w:r>
      <w:r>
        <w:rPr>
          <w:rFonts w:hint="eastAsia" w:ascii="宋体" w:hAnsi="宋体"/>
          <w:spacing w:val="0"/>
          <w:sz w:val="24"/>
          <w:szCs w:val="24"/>
        </w:rPr>
        <w:t xml:space="preserve">  统计单位的派出机构按照以下方法确定统计单位类型：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（一）企业法人和事业单位法人派驻各地的派出机构（办事处、联络处、办公室、销售部、售后服务部等），按照以下情况处理：</w:t>
      </w:r>
    </w:p>
    <w:p>
      <w:pPr>
        <w:keepNext w:val="0"/>
        <w:keepLines w:val="0"/>
        <w:pageBreakBefore w:val="0"/>
        <w:widowControl w:val="0"/>
        <w:tabs>
          <w:tab w:val="left" w:pos="3752"/>
        </w:tabs>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1.对外从事经营活动的派出机构（如销售部、售后服务部等），在工商部门登记注册并具有法人资格的，作为法人单位，否则作为产业活动单位；</w:t>
      </w:r>
    </w:p>
    <w:p>
      <w:pPr>
        <w:keepNext w:val="0"/>
        <w:keepLines w:val="0"/>
        <w:pageBreakBefore w:val="0"/>
        <w:widowControl w:val="0"/>
        <w:tabs>
          <w:tab w:val="left" w:pos="3752"/>
        </w:tabs>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2.不直接从事经营活动的派出机构（如办事处、联络处、办公室等），不单独作为统计单位。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（二）机关法人的派出机构，按照以下情况处理：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1．机关法人驻外地的办事处和在乡（镇）设立的派出机构（如法庭、检察分院、公安派出所、财税所、工商所、国土所等），作为产业活动单位；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2．城镇街道办事处视同法人单位；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3．机关法人驻外地的办事处开办的经营性机构（宾馆、招待所、培训中心等），在工商部门登记注册并具有法人资格的，作为法人单位的，否则作为产业活动单位。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（三）外国企业和港澳台企业在中国境内常驻的从事与该企业业务有关的非营利性活动的办事处、代表处等机构，不具有法人资格的，作为产业活动单位。</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第十六条</w:t>
      </w:r>
      <w:r>
        <w:rPr>
          <w:rFonts w:hint="eastAsia" w:ascii="宋体" w:hAnsi="宋体"/>
          <w:spacing w:val="0"/>
          <w:sz w:val="24"/>
          <w:szCs w:val="24"/>
        </w:rPr>
        <w:t xml:space="preserve">  统计单位的内设机构按照以下方法确定统计单位类型：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住宿业单位（宾馆、饭店）的内设机构，如从事餐饮、娱乐、健身、洗浴、商务服务等活动，符合产业活动单位条件的，作为产业活动单位；否则不单独作为统计单位。住宿业单位（宾馆、饭店）将内设机构承包给外单位（含个人），从事餐饮、娱乐、健身、洗浴、商务服务等活动，作为承包方的产业活动单位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企事业单位、机关下属不具备法人单位条件，以为本单位提供住宿、餐饮、卫生、洗浴、托儿所、运输、建筑、农业（农场、牧场）等服务为主的机构，符合产业活动单位条件的，作为产业活动单位；否则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（三）购物中心（百货商场、超市、仓储会员店等）内经营单位的划分，按照以下情况处理：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1．购物中心自营的商品销售或餐饮经营活动，符合产业活动单位条件的，作为产业活动单位，否则不单独作为统计单位。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购物中心对外出租的店面或柜台，如果由购物中心统一核算收支，不单独作为统计单位；如果不由购物中心统一核算收支的，分三种情况处理：承租单位在工商部门登记注册且具有法人资格的，作为法人单位；承租单位符合本办法第七条规定的，作为个体经营户；否则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百货商场、超市、仓储会员店以及其他商品零售门店或场所对外出租店面或柜台，参照上述情况处理。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四）商品交易市场（集贸市场）内的经营单位，经工商部门登记注册且具有法人资格的，作为法人单位；符合本办法第七条规定的，作为个体经营户；不符合上述规定，但有固定摊位，实际从事经营活动三个月以上的商户，视为个体经营户。</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70" w:name="_Toc3109_WPSOffice_Level2"/>
      <w:r>
        <w:rPr>
          <w:rFonts w:hint="eastAsia" w:ascii="黑体" w:hAnsi="黑体" w:eastAsia="黑体" w:cs="黑体"/>
          <w:bCs/>
          <w:spacing w:val="0"/>
          <w:sz w:val="30"/>
          <w:szCs w:val="30"/>
        </w:rPr>
        <w:t xml:space="preserve">第五章  附 </w:t>
      </w:r>
      <w:r>
        <w:rPr>
          <w:rFonts w:hint="eastAsia" w:ascii="黑体" w:hAnsi="黑体" w:eastAsia="黑体" w:cs="黑体"/>
          <w:bCs/>
          <w:spacing w:val="0"/>
          <w:sz w:val="30"/>
          <w:szCs w:val="30"/>
          <w:lang w:val="en-US" w:eastAsia="zh-CN"/>
        </w:rPr>
        <w:t xml:space="preserve"> </w:t>
      </w:r>
      <w:r>
        <w:rPr>
          <w:rFonts w:hint="eastAsia" w:ascii="黑体" w:hAnsi="黑体" w:eastAsia="黑体" w:cs="黑体"/>
          <w:bCs/>
          <w:spacing w:val="0"/>
          <w:sz w:val="30"/>
          <w:szCs w:val="30"/>
        </w:rPr>
        <w:t xml:space="preserve"> 则</w:t>
      </w:r>
      <w:bookmarkEnd w:id="70"/>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第十七条</w:t>
      </w:r>
      <w:r>
        <w:rPr>
          <w:rFonts w:hint="eastAsia" w:ascii="宋体" w:hAnsi="宋体"/>
          <w:spacing w:val="0"/>
          <w:sz w:val="24"/>
          <w:szCs w:val="24"/>
        </w:rPr>
        <w:t xml:space="preserve">  本办法由国家统计局负责解释。</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textAlignment w:val="auto"/>
        <w:rPr>
          <w:rFonts w:ascii="宋体" w:hAnsi="宋体"/>
          <w:spacing w:val="0"/>
          <w:sz w:val="24"/>
          <w:szCs w:val="24"/>
        </w:rPr>
      </w:pPr>
      <w:r>
        <w:rPr>
          <w:rFonts w:hint="eastAsia" w:ascii="宋体" w:hAnsi="宋体"/>
          <w:b/>
          <w:bCs/>
          <w:spacing w:val="0"/>
          <w:sz w:val="24"/>
          <w:szCs w:val="24"/>
        </w:rPr>
        <w:t>第十八条</w:t>
      </w:r>
      <w:r>
        <w:rPr>
          <w:rFonts w:hint="eastAsia" w:ascii="宋体" w:hAnsi="宋体"/>
          <w:spacing w:val="0"/>
          <w:sz w:val="24"/>
          <w:szCs w:val="24"/>
        </w:rPr>
        <w:t xml:space="preserve">  本办法自印发之日起实施。</w:t>
      </w:r>
    </w:p>
    <w:p>
      <w:pPr>
        <w:widowControl/>
        <w:spacing w:line="120" w:lineRule="exact"/>
        <w:jc w:val="left"/>
        <w:rPr>
          <w:rFonts w:ascii="宋体" w:hAnsi="宋体"/>
          <w:spacing w:val="8"/>
          <w:szCs w:val="21"/>
        </w:rPr>
      </w:pPr>
      <w:r>
        <w:rPr>
          <w:rFonts w:ascii="宋体" w:hAnsi="宋体"/>
          <w:spacing w:val="8"/>
          <w:szCs w:val="21"/>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71" w:name="_Toc17294_WPSOffice_Level1"/>
      <w:bookmarkStart w:id="72" w:name="_Toc509998935"/>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spacing w:val="-6"/>
          <w:kern w:val="2"/>
          <w:sz w:val="36"/>
          <w:szCs w:val="36"/>
          <w:lang w:eastAsia="zh-CN"/>
        </w:rPr>
      </w:pPr>
      <w:bookmarkStart w:id="73" w:name="_Toc15807"/>
      <w:bookmarkStart w:id="74" w:name="_Toc1077"/>
      <w:bookmarkStart w:id="75" w:name="_Toc4059"/>
      <w:r>
        <w:rPr>
          <w:rFonts w:hint="eastAsia" w:ascii="方正小标宋简体" w:hAnsi="方正小标宋简体" w:eastAsia="方正小标宋简体" w:cs="方正小标宋简体"/>
          <w:b w:val="0"/>
          <w:bCs/>
          <w:spacing w:val="-6"/>
          <w:kern w:val="2"/>
          <w:sz w:val="36"/>
          <w:szCs w:val="36"/>
          <w:lang w:eastAsia="zh-CN"/>
        </w:rPr>
        <w:t>第七部分  法人和其他组织统一社会信用代码编码规则</w:t>
      </w:r>
      <w:bookmarkEnd w:id="71"/>
      <w:bookmarkEnd w:id="72"/>
      <w:bookmarkEnd w:id="73"/>
      <w:bookmarkEnd w:id="74"/>
      <w:bookmarkEnd w:id="75"/>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准</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号：GB 32100-2015</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发布时间：2015年9月17日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实施时间：2015年10月1日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r>
        <w:rPr>
          <w:rFonts w:hint="eastAsia" w:ascii="黑体" w:hAnsi="黑体" w:eastAsia="黑体" w:cs="黑体"/>
          <w:bCs/>
          <w:spacing w:val="0"/>
          <w:sz w:val="30"/>
          <w:szCs w:val="30"/>
        </w:rPr>
        <w:commentReference w:id="0"/>
      </w:r>
      <w:r>
        <w:rPr>
          <w:rFonts w:hint="eastAsia" w:ascii="黑体" w:hAnsi="黑体" w:eastAsia="黑体" w:cs="黑体"/>
          <w:bCs/>
          <w:spacing w:val="0"/>
          <w:sz w:val="30"/>
          <w:szCs w:val="30"/>
        </w:rPr>
        <w:t>法人和其他组织统一社会信用代码编码规则</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1  范围</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本标准规定了法人和其他组织统一社会信用代码（以下简称统一代码）的术语和定义、构成。</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本标准适用于对统一代码的编码、信息处理和信息共享交换。</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  规范性引用文件</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GB/T 2260  中华人民共和国行政区划代码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 11714  全国组织机构代码编制规则</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GB/T 17710  信息技术  安全技术  校验字符系统</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  术语和定义</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下列术语和定义适有于本文件。</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3.1  组织机构  organization</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企业、事业单位、机关、社会团体及其他依法成立的单位的通称。</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〔GB/T 20091-2006，定义2.2〕</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3.2  法人  legal entities</w:t>
      </w:r>
    </w:p>
    <w:p>
      <w:pPr>
        <w:keepNext w:val="0"/>
        <w:keepLines w:val="0"/>
        <w:pageBreakBefore w:val="0"/>
        <w:widowControl w:val="0"/>
        <w:kinsoku/>
        <w:wordWrap/>
        <w:overflowPunct/>
        <w:topLinePunct w:val="0"/>
        <w:autoSpaceDE/>
        <w:autoSpaceDN/>
        <w:bidi w:val="0"/>
        <w:adjustRightInd/>
        <w:snapToGrid/>
        <w:spacing w:line="460" w:lineRule="exact"/>
        <w:ind w:right="0" w:firstLine="456" w:firstLineChars="200"/>
        <w:jc w:val="both"/>
        <w:textAlignment w:val="auto"/>
        <w:rPr>
          <w:rFonts w:hint="eastAsia" w:ascii="Calibri" w:hAnsi="宋体" w:eastAsia="宋体"/>
          <w:spacing w:val="-6"/>
          <w:sz w:val="24"/>
          <w:szCs w:val="24"/>
        </w:rPr>
      </w:pPr>
      <w:r>
        <w:rPr>
          <w:rFonts w:hint="eastAsia" w:ascii="Calibri" w:hAnsi="宋体" w:eastAsia="宋体"/>
          <w:spacing w:val="-6"/>
          <w:sz w:val="24"/>
          <w:szCs w:val="24"/>
        </w:rPr>
        <w:t>具有民事权利能力和民事行为能力，依法独立享有民事权利和承担民事义务的组织。</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3.3  其他组织  other organizations</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合法成立，有一定的组织机构和财产，不具备法人资格的组织。</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3.4  组织机构代码  organization code</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主体标识码 subject identification code</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按照GB 11714 编制，赋予每一个组织机构在全国范围内唯一的，始终不变的识别标识码。</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3.5  统一社会信用代码  unified social credit identifier</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每一个法人和其他组织在全国范围内唯一的，终身不变的法定身份识别码。</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  统一代码的构成</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4.1  结构</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统一代码由十八位的阿拉伯数字或大写英文字母（不使用I、O、Z、S、V）组织，包括第1位登记管理部门代码、第2位机构类别代码、第3位～第8位登记管理机关行政区划码、第9位～第17位主体标识码（组织机构代码）、第18位校验码五个部分。具体表示形式见表1。</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表1  统一代码构成</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50"/>
        <w:gridCol w:w="482"/>
        <w:gridCol w:w="455"/>
        <w:gridCol w:w="450"/>
        <w:gridCol w:w="450"/>
        <w:gridCol w:w="450"/>
        <w:gridCol w:w="450"/>
        <w:gridCol w:w="462"/>
        <w:gridCol w:w="450"/>
        <w:gridCol w:w="453"/>
        <w:gridCol w:w="453"/>
        <w:gridCol w:w="453"/>
        <w:gridCol w:w="453"/>
        <w:gridCol w:w="453"/>
        <w:gridCol w:w="453"/>
        <w:gridCol w:w="453"/>
        <w:gridCol w:w="453"/>
        <w:gridCol w:w="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51"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53"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2"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代码</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1"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3"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472"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c>
          <w:tcPr>
            <w:tcW w:w="248"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登</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记</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管</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理</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部</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门</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代</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码</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1</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位</w:t>
            </w:r>
          </w:p>
        </w:tc>
        <w:tc>
          <w:tcPr>
            <w:tcW w:w="266"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机构类别代码1位</w:t>
            </w:r>
          </w:p>
        </w:tc>
        <w:tc>
          <w:tcPr>
            <w:tcW w:w="1498" w:type="pct"/>
            <w:gridSpan w:val="6"/>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登记管理机关行政区划码6位</w:t>
            </w:r>
          </w:p>
        </w:tc>
        <w:tc>
          <w:tcPr>
            <w:tcW w:w="2248" w:type="pct"/>
            <w:gridSpan w:val="9"/>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主体标识码（组织机构代码）9位</w:t>
            </w:r>
          </w:p>
        </w:tc>
        <w:tc>
          <w:tcPr>
            <w:tcW w:w="266"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校验码1位</w:t>
            </w:r>
          </w:p>
        </w:tc>
      </w:tr>
    </w:tbl>
    <w:p>
      <w:pPr>
        <w:ind w:firstLine="43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  代码及说明</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4.2.1  第1位登记管理部门代码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登记管理部门代码使用阿拉伯数字或大写英文字母表示，见表2。</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表2  登记管理部门代码标识</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登记管理部门</w:t>
            </w:r>
          </w:p>
        </w:tc>
        <w:tc>
          <w:tcPr>
            <w:tcW w:w="2500"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Y</w:t>
            </w:r>
          </w:p>
        </w:tc>
      </w:tr>
    </w:tbl>
    <w:p>
      <w:pPr>
        <w:ind w:firstLine="43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4.2.2  第2位：机构类别代码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机构类别代码使用阿拉伯数字或大写英文字母表示，见表3。</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表3  机构类别代码标识</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576"/>
        <w:gridCol w:w="2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登记管理部门</w:t>
            </w:r>
          </w:p>
        </w:tc>
        <w:tc>
          <w:tcPr>
            <w:tcW w:w="2524"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机构类别</w:t>
            </w:r>
          </w:p>
        </w:tc>
        <w:tc>
          <w:tcPr>
            <w:tcW w:w="1349"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机关</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事业单位</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中央编办直接管理机构编制的群众团体</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社会团体</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民办非企业单位</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基金会</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企业</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个体工商户</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农民专业合作社</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524" w:type="pct"/>
            <w:tcBorders>
              <w:tl2br w:val="nil"/>
              <w:tr2bl w:val="nil"/>
            </w:tcBorders>
            <w:noWrap w:val="0"/>
            <w:vAlign w:val="center"/>
          </w:tcPr>
          <w:p>
            <w:pPr>
              <w:rPr>
                <w:rFonts w:hint="eastAsia" w:ascii="宋体" w:hAnsi="宋体" w:eastAsia="宋体" w:cs="宋体"/>
                <w:sz w:val="20"/>
                <w:szCs w:val="20"/>
              </w:rPr>
            </w:pP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bl>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4.2.3  第3位～第8位：登记管理机关行政区划码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登记管理机构行政区划的使用阿拉伯数字表示，按照GB/T 2260编码。</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4.2.4  第9位～第17位：主体标识码（组织机构代码）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主体标识码使用阿拉伯数字或大写英文字母表示。按照GB 11714编码。</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4.2.5  第18位：校验码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校验码使用阿拉伯数字或大写英文字母表示，校验码计算方法参照GB/T 17710。</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校验码按式（1）计算：</w:t>
      </w:r>
    </w:p>
    <w:p>
      <w:pPr>
        <w:tabs>
          <w:tab w:val="right" w:leader="middleDot" w:pos="8820"/>
        </w:tabs>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position w:val="-28"/>
          <w:sz w:val="24"/>
          <w:szCs w:val="24"/>
        </w:rPr>
        <w:object>
          <v:shape id="_x0000_i1025" o:spt="75" type="#_x0000_t75" style="height:34pt;width:150.95pt;" o:ole="t" filled="f" o:preferrelative="t" stroked="f" coordsize="21600,21600">
            <v:path/>
            <v:fill on="f" alignshape="1" focussize="0,0"/>
            <v:stroke on="f"/>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Times New Roman" w:hAnsi="Times New Roman" w:cs="Times New Roman"/>
          <w:sz w:val="24"/>
          <w:szCs w:val="24"/>
        </w:rPr>
        <w:tab/>
      </w:r>
      <w:r>
        <w:rPr>
          <w:rFonts w:hint="eastAsia" w:ascii="Times New Roman" w:hAnsi="Times New Roman" w:cs="Times New Roman"/>
          <w:sz w:val="24"/>
          <w:szCs w:val="24"/>
        </w:rPr>
        <w:t>（1）</w:t>
      </w:r>
    </w:p>
    <w:p>
      <w:pPr>
        <w:ind w:firstLine="480" w:firstLineChars="200"/>
        <w:rPr>
          <w:rFonts w:ascii="Times New Roman" w:hAnsi="Times New Roman" w:cs="Times New Roman"/>
          <w:sz w:val="24"/>
          <w:szCs w:val="24"/>
        </w:rPr>
      </w:pPr>
      <w:r>
        <w:rPr>
          <w:rFonts w:ascii="Times New Roman" w:hAnsi="Times New Roman" w:cs="Times New Roman"/>
          <w:sz w:val="24"/>
          <w:szCs w:val="24"/>
        </w:rPr>
        <w:t>式中：</w:t>
      </w:r>
    </w:p>
    <w:p>
      <w:pPr>
        <w:ind w:firstLine="480" w:firstLineChars="200"/>
        <w:rPr>
          <w:rFonts w:ascii="Times New Roman" w:hAnsi="Times New Roman" w:cs="Times New Roman"/>
          <w:sz w:val="24"/>
          <w:szCs w:val="24"/>
        </w:rPr>
      </w:pPr>
      <w:r>
        <w:rPr>
          <w:rFonts w:ascii="Times New Roman" w:hAnsi="Times New Roman" w:cs="Times New Roman"/>
          <w:position w:val="-10"/>
          <w:sz w:val="24"/>
          <w:szCs w:val="24"/>
        </w:rPr>
        <w:object>
          <v:shape id="_x0000_i1026" o:spt="75" type="#_x0000_t75" style="height:16pt;width:59pt;" o:ole="t" filled="f" o:preferrelative="t" stroked="f" coordsize="21600,21600">
            <v:path/>
            <v:fill on="f" alignshape="1" focussize="0,0"/>
            <v:stroke on="f"/>
            <v:imagedata r:id="rId12" o:title=""/>
            <o:lock v:ext="edit" aspectratio="t"/>
            <w10:wrap type="none"/>
            <w10:anchorlock/>
          </v:shape>
          <o:OLEObject Type="Embed" ProgID="Equation.3" ShapeID="_x0000_i1026" DrawAspect="Content" ObjectID="_1468075726" r:id="rId11">
            <o:LockedField>false</o:LockedField>
          </o:OLEObject>
        </w:object>
      </w:r>
      <w:r>
        <w:rPr>
          <w:rFonts w:ascii="Times New Roman" w:hAnsi="Times New Roman" w:cs="Times New Roman"/>
          <w:sz w:val="24"/>
          <w:szCs w:val="24"/>
        </w:rPr>
        <w:t>——整数求余函数，例如：</w:t>
      </w:r>
      <w:r>
        <w:rPr>
          <w:rFonts w:ascii="Times New Roman" w:hAnsi="Times New Roman" w:cs="Times New Roman"/>
          <w:position w:val="-10"/>
          <w:sz w:val="24"/>
          <w:szCs w:val="24"/>
        </w:rPr>
        <w:object>
          <v:shape id="_x0000_i1027" o:spt="75" type="#_x0000_t75" style="height:16pt;width:64pt;" o:ole="t" filled="f" o:preferrelative="t" stroked="f" coordsize="21600,21600">
            <v:path/>
            <v:fill on="f" alignshape="1" focussize="0,0"/>
            <v:stroke on="f"/>
            <v:imagedata r:id="rId14" o:title=""/>
            <o:lock v:ext="edit" aspectratio="t"/>
            <w10:wrap type="none"/>
            <w10:anchorlock/>
          </v:shape>
          <o:OLEObject Type="Embed" ProgID="Equation.3" ShapeID="_x0000_i1027" DrawAspect="Content" ObjectID="_1468075727" r:id="rId13">
            <o:LockedField>false</o:LockedField>
          </o:OLEObject>
        </w:object>
      </w:r>
      <w:r>
        <w:rPr>
          <w:rFonts w:ascii="Times New Roman" w:hAnsi="Times New Roman" w:cs="Times New Roman"/>
          <w:sz w:val="24"/>
          <w:szCs w:val="24"/>
        </w:rPr>
        <w:t>的值为0；</w:t>
      </w:r>
    </w:p>
    <w:p>
      <w:pPr>
        <w:ind w:firstLine="480" w:firstLineChars="200"/>
        <w:rPr>
          <w:rFonts w:ascii="Times New Roman" w:hAnsi="Times New Roman" w:cs="Times New Roman"/>
          <w:sz w:val="24"/>
          <w:szCs w:val="24"/>
        </w:rPr>
      </w:pPr>
      <w:r>
        <w:rPr>
          <w:rFonts w:ascii="Times New Roman" w:hAnsi="Times New Roman" w:cs="Times New Roman"/>
          <w:position w:val="-6"/>
          <w:sz w:val="24"/>
          <w:szCs w:val="24"/>
        </w:rPr>
        <w:object>
          <v:shape id="_x0000_i1028"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28" DrawAspect="Content" ObjectID="_1468075728" r:id="rId15">
            <o:LockedField>false</o:LockedField>
          </o:OLEObject>
        </w:object>
      </w:r>
      <w:r>
        <w:rPr>
          <w:rFonts w:ascii="Times New Roman" w:hAnsi="Times New Roman" w:cs="Times New Roman"/>
          <w:sz w:val="24"/>
          <w:szCs w:val="24"/>
        </w:rPr>
        <w:t>——代码字符从左到右的位置序号；</w:t>
      </w:r>
    </w:p>
    <w:p>
      <w:pPr>
        <w:ind w:firstLine="480" w:firstLineChars="200"/>
        <w:rPr>
          <w:rFonts w:ascii="Times New Roman" w:hAnsi="Times New Roman" w:cs="Times New Roman"/>
          <w:sz w:val="24"/>
          <w:szCs w:val="24"/>
        </w:rPr>
      </w:pPr>
      <w:r>
        <w:rPr>
          <w:rFonts w:ascii="Times New Roman" w:hAnsi="Times New Roman" w:cs="Times New Roman"/>
          <w:position w:val="-12"/>
          <w:sz w:val="24"/>
          <w:szCs w:val="24"/>
        </w:rPr>
        <w:object>
          <v:shape id="_x0000_i1029" o:spt="75" type="#_x0000_t75" style="height:18pt;width:13.95pt;" o:ole="t" filled="f" o:preferrelative="t" stroked="f" coordsize="21600,21600">
            <v:path/>
            <v:fill on="f" alignshape="1" focussize="0,0"/>
            <v:stroke on="f"/>
            <v:imagedata r:id="rId18" o:title=""/>
            <o:lock v:ext="edit" aspectratio="t"/>
            <w10:wrap type="none"/>
            <w10:anchorlock/>
          </v:shape>
          <o:OLEObject Type="Embed" ProgID="Equation.3" ShapeID="_x0000_i1029" DrawAspect="Content" ObjectID="_1468075729" r:id="rId17">
            <o:LockedField>false</o:LockedField>
          </o:OLEObject>
        </w:object>
      </w:r>
      <w:r>
        <w:rPr>
          <w:rFonts w:ascii="Times New Roman" w:hAnsi="Times New Roman" w:cs="Times New Roman"/>
          <w:sz w:val="24"/>
          <w:szCs w:val="24"/>
        </w:rPr>
        <w:t>——第</w:t>
      </w:r>
      <w:r>
        <w:rPr>
          <w:rFonts w:ascii="Times New Roman" w:hAnsi="Times New Roman" w:cs="Times New Roman"/>
          <w:position w:val="-6"/>
          <w:sz w:val="24"/>
          <w:szCs w:val="24"/>
        </w:rPr>
        <w:object>
          <v:shape id="_x0000_i1030"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30" DrawAspect="Content" ObjectID="_1468075730" r:id="rId19">
            <o:LockedField>false</o:LockedField>
          </o:OLEObject>
        </w:object>
      </w:r>
      <w:r>
        <w:rPr>
          <w:rFonts w:ascii="Times New Roman" w:hAnsi="Times New Roman" w:cs="Times New Roman"/>
          <w:sz w:val="24"/>
          <w:szCs w:val="24"/>
        </w:rPr>
        <w:t>位置上的代码字符的值，字符对应的值见附录A；</w:t>
      </w:r>
    </w:p>
    <w:p>
      <w:pPr>
        <w:ind w:firstLine="480" w:firstLineChars="200"/>
        <w:rPr>
          <w:rFonts w:ascii="Times New Roman" w:hAnsi="Times New Roman" w:cs="Times New Roman"/>
          <w:sz w:val="24"/>
          <w:szCs w:val="24"/>
        </w:rPr>
      </w:pPr>
      <w:r>
        <w:rPr>
          <w:rFonts w:ascii="Times New Roman" w:hAnsi="Times New Roman" w:cs="Times New Roman"/>
          <w:position w:val="-12"/>
          <w:sz w:val="24"/>
          <w:szCs w:val="24"/>
        </w:rPr>
        <w:object>
          <v:shape id="_x0000_i1031" o:spt="75" type="#_x0000_t75" style="height:18pt;width:18pt;" o:ole="t" filled="f" o:preferrelative="t" stroked="f" coordsize="21600,21600">
            <v:path/>
            <v:fill on="f" alignshape="1" focussize="0,0"/>
            <v:stroke on="f"/>
            <v:imagedata r:id="rId21" o:title=""/>
            <o:lock v:ext="edit" aspectratio="t"/>
            <w10:wrap type="none"/>
            <w10:anchorlock/>
          </v:shape>
          <o:OLEObject Type="Embed" ProgID="Equation.3" ShapeID="_x0000_i1031" DrawAspect="Content" ObjectID="_1468075731" r:id="rId20">
            <o:LockedField>false</o:LockedField>
          </o:OLEObject>
        </w:object>
      </w:r>
      <w:r>
        <w:rPr>
          <w:rFonts w:ascii="Times New Roman" w:hAnsi="Times New Roman" w:cs="Times New Roman"/>
          <w:sz w:val="24"/>
          <w:szCs w:val="24"/>
        </w:rPr>
        <w:t>——校验码；</w:t>
      </w:r>
    </w:p>
    <w:p>
      <w:pPr>
        <w:ind w:firstLine="480" w:firstLineChars="200"/>
        <w:rPr>
          <w:rFonts w:ascii="Times New Roman" w:hAnsi="Times New Roman" w:cs="Times New Roman"/>
          <w:sz w:val="24"/>
          <w:szCs w:val="24"/>
        </w:rPr>
      </w:pPr>
      <w:r>
        <w:rPr>
          <w:rFonts w:ascii="Times New Roman" w:hAnsi="Times New Roman" w:cs="Times New Roman"/>
          <w:position w:val="-12"/>
          <w:sz w:val="24"/>
          <w:szCs w:val="24"/>
        </w:rPr>
        <w:object>
          <v:shape id="_x0000_i1032" o:spt="75" type="#_x0000_t75" style="height:18pt;width:15pt;" o:ole="t" filled="f" o:preferrelative="t" stroked="f" coordsize="21600,21600">
            <v:path/>
            <v:fill on="f" alignshape="1" focussize="0,0"/>
            <v:stroke on="f"/>
            <v:imagedata r:id="rId23" o:title=""/>
            <o:lock v:ext="edit" aspectratio="t"/>
            <w10:wrap type="none"/>
            <w10:anchorlock/>
          </v:shape>
          <o:OLEObject Type="Embed" ProgID="Equation.3" ShapeID="_x0000_i1032" DrawAspect="Content" ObjectID="_1468075732" r:id="rId22">
            <o:LockedField>false</o:LockedField>
          </o:OLEObject>
        </w:object>
      </w:r>
      <w:r>
        <w:rPr>
          <w:rFonts w:ascii="Times New Roman" w:hAnsi="Times New Roman" w:cs="Times New Roman"/>
          <w:sz w:val="24"/>
          <w:szCs w:val="24"/>
        </w:rPr>
        <w:t>——第</w:t>
      </w:r>
      <w:r>
        <w:rPr>
          <w:rFonts w:ascii="Times New Roman" w:hAnsi="Times New Roman" w:cs="Times New Roman"/>
          <w:position w:val="-6"/>
          <w:sz w:val="24"/>
          <w:szCs w:val="24"/>
        </w:rPr>
        <w:object>
          <v:shape id="_x0000_i1033"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33" DrawAspect="Content" ObjectID="_1468075733" r:id="rId24">
            <o:LockedField>false</o:LockedField>
          </o:OLEObject>
        </w:object>
      </w:r>
      <w:r>
        <w:rPr>
          <w:rFonts w:ascii="Times New Roman" w:hAnsi="Times New Roman" w:cs="Times New Roman"/>
          <w:sz w:val="24"/>
          <w:szCs w:val="24"/>
        </w:rPr>
        <w:t>位上的加权因子，</w:t>
      </w:r>
      <w:r>
        <w:rPr>
          <w:rFonts w:ascii="Times New Roman" w:hAnsi="Times New Roman" w:cs="Times New Roman"/>
          <w:position w:val="-12"/>
          <w:sz w:val="24"/>
          <w:szCs w:val="24"/>
        </w:rPr>
        <w:object>
          <v:shape id="_x0000_i1034" o:spt="75" type="#_x0000_t75" style="height:19pt;width:99pt;" o:ole="t" filled="f" o:preferrelative="t" stroked="f" coordsize="21600,21600">
            <v:path/>
            <v:fill on="f" alignshape="1" focussize="0,0"/>
            <v:stroke on="f"/>
            <v:imagedata r:id="rId26" o:title=""/>
            <o:lock v:ext="edit" aspectratio="t"/>
            <w10:wrap type="none"/>
            <w10:anchorlock/>
          </v:shape>
          <o:OLEObject Type="Embed" ProgID="Equation.3" ShapeID="_x0000_i1034" DrawAspect="Content" ObjectID="_1468075734" r:id="rId25">
            <o:LockedField>false</o:LockedField>
          </o:OLEObject>
        </w:object>
      </w:r>
      <w:r>
        <w:rPr>
          <w:rFonts w:ascii="Times New Roman" w:hAnsi="Times New Roman" w:cs="Times New Roman"/>
          <w:sz w:val="24"/>
          <w:szCs w:val="24"/>
        </w:rPr>
        <w:t>，加权因子见表4。</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表4  各位置序号上的加权因子</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475"/>
        <w:gridCol w:w="475"/>
        <w:gridCol w:w="475"/>
        <w:gridCol w:w="504"/>
        <w:gridCol w:w="504"/>
        <w:gridCol w:w="504"/>
        <w:gridCol w:w="504"/>
        <w:gridCol w:w="504"/>
        <w:gridCol w:w="504"/>
        <w:gridCol w:w="505"/>
        <w:gridCol w:w="505"/>
        <w:gridCol w:w="505"/>
        <w:gridCol w:w="505"/>
        <w:gridCol w:w="505"/>
        <w:gridCol w:w="506"/>
        <w:gridCol w:w="506"/>
        <w:gridCol w:w="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9"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35"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35" DrawAspect="Content" ObjectID="_1468075735" r:id="rId27">
                  <o:LockedField>false</o:LockedField>
                </o:OLEObject>
              </w:objec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89"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36" o:spt="75" type="#_x0000_t75" style="height:18pt;width:15pt;" o:ole="t" filled="f" o:preferrelative="t" stroked="f" coordsize="21600,21600">
                  <v:path/>
                  <v:fill on="f" alignshape="1" focussize="0,0"/>
                  <v:stroke on="f"/>
                  <v:imagedata r:id="rId23" o:title=""/>
                  <o:lock v:ext="edit" aspectratio="t"/>
                  <w10:wrap type="none"/>
                  <w10:anchorlock/>
                </v:shape>
                <o:OLEObject Type="Embed" ProgID="Equation.3" ShapeID="_x0000_i1036" DrawAspect="Content" ObjectID="_1468075736" r:id="rId28">
                  <o:LockedField>false</o:LockedField>
                </o:OLEObject>
              </w:objec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3</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9</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27</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19</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26</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16</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17</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20</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29</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25</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13</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8</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24</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10</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30</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28</w:t>
            </w:r>
          </w:p>
        </w:tc>
      </w:tr>
    </w:tbl>
    <w:p>
      <w:pPr>
        <w:spacing w:before="120" w:beforeLines="50"/>
        <w:ind w:firstLine="480" w:firstLineChars="200"/>
        <w:rPr>
          <w:rFonts w:ascii="Times New Roman" w:hAnsi="Times New Roman" w:cs="Times New Roman"/>
          <w:sz w:val="24"/>
          <w:szCs w:val="24"/>
        </w:rPr>
      </w:pPr>
      <w:r>
        <w:rPr>
          <w:rFonts w:ascii="Times New Roman" w:hAnsi="Times New Roman" w:cs="Times New Roman"/>
          <w:sz w:val="24"/>
          <w:szCs w:val="24"/>
        </w:rPr>
        <w:t>当</w:t>
      </w:r>
      <w:r>
        <w:rPr>
          <w:rFonts w:ascii="Times New Roman" w:hAnsi="Times New Roman" w:cs="Times New Roman"/>
          <w:position w:val="-6"/>
          <w:sz w:val="24"/>
          <w:szCs w:val="24"/>
        </w:rPr>
        <w:object>
          <v:shape id="_x0000_i1037" o:spt="75" type="#_x0000_t75" style="height:13.95pt;width:31pt;" o:ole="t" filled="f" o:preferrelative="t" stroked="f" coordsize="21600,21600">
            <v:path/>
            <v:fill on="f" alignshape="1" focussize="0,0"/>
            <v:stroke on="f"/>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cs="Times New Roman"/>
          <w:sz w:val="24"/>
          <w:szCs w:val="24"/>
        </w:rPr>
        <w:t>函数值为1（即</w:t>
      </w:r>
      <w:r>
        <w:rPr>
          <w:rFonts w:ascii="Times New Roman" w:hAnsi="Times New Roman" w:cs="Times New Roman"/>
          <w:position w:val="-12"/>
          <w:sz w:val="24"/>
          <w:szCs w:val="24"/>
        </w:rPr>
        <w:object>
          <v:shape id="_x0000_i1038" o:spt="75" type="#_x0000_t75" style="height:18pt;width:42.95pt;" o:ole="t" filled="f" o:preferrelative="t" stroked="f" coordsize="21600,21600">
            <v:path/>
            <v:fill on="f" alignshape="1" focussize="0,0"/>
            <v:stroke on="f"/>
            <v:imagedata r:id="rId32" o:title=""/>
            <o:lock v:ext="edit" aspectratio="t"/>
            <w10:wrap type="none"/>
            <w10:anchorlock/>
          </v:shape>
          <o:OLEObject Type="Embed" ProgID="Equation.3" ShapeID="_x0000_i1038" DrawAspect="Content" ObjectID="_1468075738" r:id="rId31">
            <o:LockedField>false</o:LockedField>
          </o:OLEObject>
        </w:object>
      </w:r>
      <w:r>
        <w:rPr>
          <w:rFonts w:ascii="Times New Roman" w:hAnsi="Times New Roman" w:cs="Times New Roman"/>
          <w:sz w:val="24"/>
          <w:szCs w:val="24"/>
        </w:rPr>
        <w:t>）时，校验码应用符号Y表示；当</w:t>
      </w:r>
      <w:r>
        <w:rPr>
          <w:rFonts w:ascii="Times New Roman" w:hAnsi="Times New Roman" w:cs="Times New Roman"/>
          <w:position w:val="-6"/>
          <w:sz w:val="24"/>
          <w:szCs w:val="24"/>
        </w:rPr>
        <w:object>
          <v:shape id="_x0000_i1039" o:spt="75" type="#_x0000_t75" style="height:13.95pt;width:31pt;" o:ole="t" filled="f" o:preferrelative="t" stroked="f" coordsize="21600,21600">
            <v:path/>
            <v:fill on="f" alignshape="1" focussize="0,0"/>
            <v:stroke on="f"/>
            <v:imagedata r:id="rId34" o:title=""/>
            <o:lock v:ext="edit" aspectratio="t"/>
            <w10:wrap type="none"/>
            <w10:anchorlock/>
          </v:shape>
          <o:OLEObject Type="Embed" ProgID="Equation.3" ShapeID="_x0000_i1039" DrawAspect="Content" ObjectID="_1468075739" r:id="rId33">
            <o:LockedField>false</o:LockedField>
          </o:OLEObject>
        </w:object>
      </w:r>
      <w:r>
        <w:rPr>
          <w:rFonts w:ascii="Times New Roman" w:hAnsi="Times New Roman" w:cs="Times New Roman"/>
          <w:sz w:val="24"/>
          <w:szCs w:val="24"/>
        </w:rPr>
        <w:t>函数值为0（即</w:t>
      </w:r>
      <w:r>
        <w:rPr>
          <w:rFonts w:ascii="Times New Roman" w:hAnsi="Times New Roman" w:cs="Times New Roman"/>
          <w:position w:val="-12"/>
          <w:sz w:val="24"/>
          <w:szCs w:val="24"/>
        </w:rPr>
        <w:object>
          <v:shape id="_x0000_i1040" o:spt="75" type="#_x0000_t75" style="height:18pt;width:42pt;" o:ole="t" filled="f" o:preferrelative="t" stroked="f" coordsize="21600,21600">
            <v:path/>
            <v:fill on="f" alignshape="1" focussize="0,0"/>
            <v:stroke on="f"/>
            <v:imagedata r:id="rId36" o:title=""/>
            <o:lock v:ext="edit" aspectratio="t"/>
            <w10:wrap type="none"/>
            <w10:anchorlock/>
          </v:shape>
          <o:OLEObject Type="Embed" ProgID="Equation.3" ShapeID="_x0000_i1040" DrawAspect="Content" ObjectID="_1468075740" r:id="rId35">
            <o:LockedField>false</o:LockedField>
          </o:OLEObject>
        </w:object>
      </w:r>
      <w:r>
        <w:rPr>
          <w:rFonts w:ascii="Times New Roman" w:hAnsi="Times New Roman" w:cs="Times New Roman"/>
          <w:sz w:val="24"/>
          <w:szCs w:val="24"/>
        </w:rPr>
        <w:t>）时，校验码用0表示，校验位代码字符集参见附录A。</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核验码计算方法实例参见附录B。</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附  录  A</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（资料性附录）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代码字符集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代码字符集见表A.1。</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表A.1  代码字符集</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代码字符</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代码字符数值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8" w:hRule="atLeast"/>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A</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B</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C</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D</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E</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F</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G</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H</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J</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K</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L</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M</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N</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P</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Q</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R</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U</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X</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Y</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ascii="Times New Roman" w:hAnsi="Times New Roman" w:cs="Times New Roman"/>
        </w:rPr>
        <w:br w:type="page"/>
      </w:r>
      <w:r>
        <w:rPr>
          <w:rFonts w:hint="eastAsia" w:ascii="黑体" w:hAnsi="黑体" w:eastAsia="黑体" w:cs="黑体"/>
          <w:sz w:val="28"/>
          <w:szCs w:val="28"/>
        </w:rPr>
        <w:t>附  录  B</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（资料性附录）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校验码计算方法实例</w:t>
      </w:r>
    </w:p>
    <w:p>
      <w:pPr>
        <w:spacing w:line="360" w:lineRule="auto"/>
        <w:rPr>
          <w:rFonts w:ascii="Times New Roman" w:hAnsi="Times New Roman" w:eastAsia="方正黑体简体" w:cs="Times New Roma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某统一代码前17位为91350100M000100Y4，其第18位校验码可按下列步骤与方法计算。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第一步，列出代码前17位字符位置序号</w:t>
      </w:r>
      <w:r>
        <w:rPr>
          <w:rFonts w:hint="eastAsia" w:ascii="宋体" w:hAnsi="宋体" w:eastAsia="宋体" w:cs="宋体"/>
          <w:position w:val="-6"/>
          <w:sz w:val="24"/>
          <w:szCs w:val="24"/>
        </w:rPr>
        <w:object>
          <v:shape id="_x0000_i1041"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1" DrawAspect="Content" ObjectID="_1468075741" r:id="rId37">
            <o:LockedField>false</o:LockedField>
          </o:OLEObject>
        </w:object>
      </w:r>
      <w:r>
        <w:rPr>
          <w:rFonts w:hint="eastAsia" w:ascii="宋体" w:hAnsi="宋体" w:eastAsia="宋体" w:cs="宋体"/>
          <w:sz w:val="24"/>
          <w:szCs w:val="24"/>
        </w:rPr>
        <w:t>相对应的各个位置上的字符值</w:t>
      </w:r>
      <w:r>
        <w:rPr>
          <w:rFonts w:hint="eastAsia" w:ascii="宋体" w:hAnsi="宋体" w:eastAsia="宋体" w:cs="宋体"/>
          <w:position w:val="-12"/>
          <w:sz w:val="24"/>
          <w:szCs w:val="24"/>
        </w:rPr>
        <w:object>
          <v:shape id="_x0000_i1042" o:spt="75" type="#_x0000_t75" style="height:18pt;width:13.95pt;" o:ole="t" filled="f" o:preferrelative="t" stroked="f" coordsize="21600,21600">
            <v:path/>
            <v:fill on="f" alignshape="1" focussize="0,0"/>
            <v:stroke on="f"/>
            <v:imagedata r:id="rId39" o:title=""/>
            <o:lock v:ext="edit" aspectratio="t"/>
            <w10:wrap type="none"/>
            <w10:anchorlock/>
          </v:shape>
          <o:OLEObject Type="Embed" ProgID="Equation.3" ShapeID="_x0000_i1042" DrawAspect="Content" ObjectID="_1468075742" r:id="rId38">
            <o:LockedField>false</o:LockedField>
          </o:OLEObject>
        </w:object>
      </w:r>
      <w:r>
        <w:rPr>
          <w:rFonts w:hint="eastAsia" w:ascii="宋体" w:hAnsi="宋体" w:eastAsia="宋体" w:cs="宋体"/>
          <w:sz w:val="24"/>
          <w:szCs w:val="24"/>
        </w:rPr>
        <w:t>。</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489"/>
        <w:gridCol w:w="489"/>
        <w:gridCol w:w="489"/>
        <w:gridCol w:w="489"/>
        <w:gridCol w:w="489"/>
        <w:gridCol w:w="489"/>
        <w:gridCol w:w="489"/>
        <w:gridCol w:w="489"/>
        <w:gridCol w:w="510"/>
        <w:gridCol w:w="511"/>
        <w:gridCol w:w="511"/>
        <w:gridCol w:w="511"/>
        <w:gridCol w:w="511"/>
        <w:gridCol w:w="511"/>
        <w:gridCol w:w="512"/>
        <w:gridCol w:w="512"/>
        <w:gridCol w:w="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43"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3" DrawAspect="Content" ObjectID="_1468075743" r:id="rId40">
                  <o:LockedField>false</o:LockedField>
                </o:OLEObject>
              </w:objec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44" o:spt="75" type="#_x0000_t75" style="height:18pt;width:13.95pt;" o:ole="t" filled="f" o:preferrelative="t" stroked="f" coordsize="21600,21600">
                  <v:path/>
                  <v:fill on="f" alignshape="1" focussize="0,0"/>
                  <v:stroke on="f"/>
                  <v:imagedata r:id="rId39" o:title=""/>
                  <o:lock v:ext="edit" aspectratio="t"/>
                  <w10:wrap type="none"/>
                  <w10:anchorlock/>
                </v:shape>
                <o:OLEObject Type="Embed" ProgID="Equation.3" ShapeID="_x0000_i1044" DrawAspect="Content" ObjectID="_1468075744" r:id="rId41">
                  <o:LockedField>false</o:LockedField>
                </o:OLEObject>
              </w:objec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21</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r>
    </w:tbl>
    <w:p>
      <w:pPr>
        <w:spacing w:line="360" w:lineRule="auto"/>
        <w:ind w:firstLine="420" w:firstLineChars="200"/>
        <w:rPr>
          <w:rFonts w:ascii="Times New Roman" w:hAnsi="Times New Roman" w:cs="Times New Roman"/>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第二步，由表4列出与字符位置序号</w:t>
      </w:r>
      <w:r>
        <w:rPr>
          <w:rFonts w:ascii="Times New Roman" w:hAnsi="Times New Roman" w:cs="Times New Roman"/>
          <w:sz w:val="24"/>
          <w:szCs w:val="24"/>
        </w:rPr>
        <w:object>
          <v:shape id="_x0000_i1045"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5" DrawAspect="Content" ObjectID="_1468075745" r:id="rId42">
            <o:LockedField>false</o:LockedField>
          </o:OLEObject>
        </w:object>
      </w:r>
      <w:r>
        <w:rPr>
          <w:rFonts w:ascii="Times New Roman" w:hAnsi="Times New Roman" w:cs="Times New Roman"/>
          <w:sz w:val="24"/>
          <w:szCs w:val="24"/>
        </w:rPr>
        <w:t>相对应的加权因子值</w:t>
      </w:r>
      <w:r>
        <w:rPr>
          <w:rFonts w:ascii="Times New Roman" w:hAnsi="Times New Roman" w:cs="Times New Roman"/>
          <w:position w:val="-12"/>
        </w:rPr>
        <w:object>
          <v:shape id="_x0000_i1046" o:spt="75" type="#_x0000_t75" style="height:18pt;width:13.95pt;" o:ole="t" filled="f" o:preferrelative="t" stroked="f" coordsize="21600,21600">
            <v:path/>
            <v:fill on="f" alignshape="1" focussize="0,0"/>
            <v:stroke on="f"/>
            <v:imagedata r:id="rId44" o:title=""/>
            <o:lock v:ext="edit" aspectratio="t"/>
            <w10:wrap type="none"/>
            <w10:anchorlock/>
          </v:shape>
          <o:OLEObject Type="Embed" ProgID="Equation.3" ShapeID="_x0000_i1046" DrawAspect="Content" ObjectID="_1468075746" r:id="rId43">
            <o:LockedField>false</o:LockedField>
          </o:OLEObject>
        </w:object>
      </w:r>
      <w:r>
        <w:rPr>
          <w:rFonts w:ascii="Times New Roman" w:hAnsi="Times New Roman" w:cs="Times New Roman"/>
          <w:sz w:val="24"/>
          <w:szCs w:val="24"/>
        </w:rPr>
        <w:t>。</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476"/>
        <w:gridCol w:w="476"/>
        <w:gridCol w:w="476"/>
        <w:gridCol w:w="504"/>
        <w:gridCol w:w="505"/>
        <w:gridCol w:w="505"/>
        <w:gridCol w:w="505"/>
        <w:gridCol w:w="505"/>
        <w:gridCol w:w="505"/>
        <w:gridCol w:w="505"/>
        <w:gridCol w:w="505"/>
        <w:gridCol w:w="505"/>
        <w:gridCol w:w="505"/>
        <w:gridCol w:w="505"/>
        <w:gridCol w:w="505"/>
        <w:gridCol w:w="505"/>
        <w:gridCol w:w="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1"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47"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7" DrawAspect="Content" ObjectID="_1468075747" r:id="rId45">
                  <o:LockedField>false</o:LockedField>
                </o:OLEObject>
              </w:objec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1"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48" o:spt="75" type="#_x0000_t75" style="height:18pt;width:15pt;" o:ole="t" filled="f" o:preferrelative="t" stroked="f" coordsize="21600,21600">
                  <v:path/>
                  <v:fill on="f" alignshape="1" focussize="0,0"/>
                  <v:stroke on="f"/>
                  <v:imagedata r:id="rId23" o:title=""/>
                  <o:lock v:ext="edit" aspectratio="t"/>
                  <w10:wrap type="none"/>
                  <w10:anchorlock/>
                </v:shape>
                <o:OLEObject Type="Embed" ProgID="Equation.3" ShapeID="_x0000_i1048" DrawAspect="Content" ObjectID="_1468075748" r:id="rId46">
                  <o:LockedField>false</o:LockedField>
                </o:OLEObject>
              </w:objec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27</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25</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24</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28</w:t>
            </w:r>
          </w:p>
        </w:tc>
      </w:tr>
    </w:tbl>
    <w:p>
      <w:pPr>
        <w:spacing w:line="360" w:lineRule="auto"/>
        <w:ind w:firstLine="420" w:firstLineChars="200"/>
        <w:rPr>
          <w:rFonts w:ascii="Times New Roman" w:hAnsi="Times New Roman" w:cs="Times New Roman"/>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第三步，计算与字符位置序号</w:t>
      </w:r>
      <w:r>
        <w:rPr>
          <w:rFonts w:ascii="Times New Roman" w:hAnsi="Times New Roman" w:cs="Times New Roman"/>
          <w:position w:val="-6"/>
          <w:sz w:val="24"/>
          <w:szCs w:val="24"/>
        </w:rPr>
        <w:object>
          <v:shape id="_x0000_i1049"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9" DrawAspect="Content" ObjectID="_1468075749" r:id="rId47">
            <o:LockedField>false</o:LockedField>
          </o:OLEObject>
        </w:object>
      </w:r>
      <w:r>
        <w:rPr>
          <w:rFonts w:ascii="Times New Roman" w:hAnsi="Times New Roman" w:cs="Times New Roman"/>
          <w:sz w:val="24"/>
          <w:szCs w:val="24"/>
        </w:rPr>
        <w:t>相对应的乘积</w:t>
      </w:r>
      <w:r>
        <w:rPr>
          <w:rFonts w:ascii="Times New Roman" w:hAnsi="Times New Roman" w:cs="Times New Roman"/>
          <w:position w:val="-12"/>
        </w:rPr>
        <w:object>
          <v:shape id="_x0000_i1050" o:spt="75" type="#_x0000_t75" style="height:18pt;width:35pt;" o:ole="t" filled="f" o:preferrelative="t" stroked="f" coordsize="21600,21600">
            <v:path/>
            <v:fill on="f" alignshape="1" focussize="0,0"/>
            <v:stroke on="f"/>
            <v:imagedata r:id="rId49" o:title=""/>
            <o:lock v:ext="edit" aspectratio="t"/>
            <w10:wrap type="none"/>
            <w10:anchorlock/>
          </v:shape>
          <o:OLEObject Type="Embed" ProgID="Equation.3" ShapeID="_x0000_i1050" DrawAspect="Content" ObjectID="_1468075750" r:id="rId48">
            <o:LockedField>false</o:LockedField>
          </o:OLEObject>
        </w:object>
      </w:r>
      <w:r>
        <w:rPr>
          <w:rFonts w:ascii="Times New Roman" w:hAnsi="Times New Roman" w:cs="Times New Roman"/>
          <w:sz w:val="24"/>
          <w:szCs w:val="24"/>
        </w:rPr>
        <w:t>。</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42"/>
        <w:gridCol w:w="442"/>
        <w:gridCol w:w="477"/>
        <w:gridCol w:w="516"/>
        <w:gridCol w:w="442"/>
        <w:gridCol w:w="477"/>
        <w:gridCol w:w="442"/>
        <w:gridCol w:w="442"/>
        <w:gridCol w:w="516"/>
        <w:gridCol w:w="478"/>
        <w:gridCol w:w="478"/>
        <w:gridCol w:w="478"/>
        <w:gridCol w:w="478"/>
        <w:gridCol w:w="478"/>
        <w:gridCol w:w="478"/>
        <w:gridCol w:w="516"/>
        <w:gridCol w:w="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9"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51"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51" DrawAspect="Content" ObjectID="_1468075751" r:id="rId50">
                  <o:LockedField>false</o:LockedField>
                </o:OLEObject>
              </w:objec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9"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52" o:spt="75" type="#_x0000_t75" style="height:18pt;width:35pt;" o:ole="t" filled="f" stroked="f" coordsize="21600,21600">
                  <v:path/>
                  <v:fill on="f" focussize="0,0"/>
                  <v:stroke on="f"/>
                  <v:imagedata r:id="rId52" o:title=""/>
                  <o:lock v:ext="edit" aspectratio="t"/>
                  <w10:wrap type="none"/>
                  <w10:anchorlock/>
                </v:shape>
                <o:OLEObject Type="Embed" ProgID="Equation.3" ShapeID="_x0000_i1052" DrawAspect="Content" ObjectID="_1468075752" r:id="rId51">
                  <o:LockedField>false</o:LockedField>
                </o:OLEObject>
              </w:objec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27</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135</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26</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420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900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112</w:t>
            </w:r>
          </w:p>
        </w:tc>
      </w:tr>
    </w:tbl>
    <w:p>
      <w:pPr>
        <w:spacing w:line="360" w:lineRule="auto"/>
        <w:ind w:firstLine="420" w:firstLineChars="200"/>
        <w:rPr>
          <w:rFonts w:ascii="Times New Roman" w:hAnsi="Times New Roman" w:cs="Times New Roman"/>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第四步：计算级数之和。</w:t>
      </w:r>
    </w:p>
    <w:p>
      <w:pPr>
        <w:spacing w:line="360" w:lineRule="auto"/>
        <w:ind w:firstLine="480" w:firstLineChars="200"/>
        <w:rPr>
          <w:rFonts w:ascii="Times New Roman" w:hAnsi="Times New Roman" w:cs="Times New Roman"/>
          <w:sz w:val="24"/>
          <w:szCs w:val="24"/>
        </w:rPr>
      </w:pPr>
      <w:r>
        <w:rPr>
          <w:rFonts w:ascii="Times New Roman" w:hAnsi="Times New Roman" w:cs="Times New Roman"/>
          <w:position w:val="-28"/>
          <w:sz w:val="24"/>
          <w:szCs w:val="24"/>
        </w:rPr>
        <w:object>
          <v:shape id="_x0000_i1053" o:spt="75" type="#_x0000_t75" style="height:34pt;width:52pt;" o:ole="t" filled="f" o:preferrelative="t" stroked="f" coordsize="21600,21600">
            <v:path/>
            <v:fill on="f" alignshape="1" focussize="0,0"/>
            <v:stroke on="f"/>
            <v:imagedata r:id="rId54" o:title=""/>
            <o:lock v:ext="edit" aspectratio="t"/>
            <w10:wrap type="none"/>
            <w10:anchorlock/>
          </v:shape>
          <o:OLEObject Type="Embed" ProgID="Equation.3" ShapeID="_x0000_i1053" DrawAspect="Content" ObjectID="_1468075753" r:id="rId53">
            <o:LockedField>false</o:LockedField>
          </o:OLEObject>
        </w:object>
      </w:r>
      <w:r>
        <w:rPr>
          <w:rFonts w:ascii="Times New Roman" w:hAnsi="Times New Roman" w:cs="Times New Roman"/>
          <w:sz w:val="24"/>
          <w:szCs w:val="24"/>
        </w:rPr>
        <w:t>=1640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第五步：计算整数求余函数</w:t>
      </w:r>
      <w:r>
        <w:rPr>
          <w:rFonts w:ascii="Times New Roman" w:hAnsi="Times New Roman" w:cs="Times New Roman"/>
          <w:position w:val="-6"/>
          <w:sz w:val="24"/>
          <w:szCs w:val="24"/>
        </w:rPr>
        <w:object>
          <v:shape id="_x0000_i1054" o:spt="75" type="#_x0000_t75" style="height:13.95pt;width:31pt;" o:ole="t" filled="f" o:preferrelative="t" stroked="f" coordsize="21600,21600">
            <v:path/>
            <v:fill on="f" alignshape="1" focussize="0,0"/>
            <v:stroke on="f"/>
            <v:imagedata r:id="rId30" o:title=""/>
            <o:lock v:ext="edit" aspectratio="t"/>
            <w10:wrap type="none"/>
            <w10:anchorlock/>
          </v:shape>
          <o:OLEObject Type="Embed" ProgID="Equation.3" ShapeID="_x0000_i1054" DrawAspect="Content" ObjectID="_1468075754" r:id="rId55">
            <o:LockedField>false</o:LockedField>
          </o:OLEObject>
        </w:objec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级数之和1640模31余28，即</w:t>
      </w:r>
      <w:r>
        <w:rPr>
          <w:rFonts w:ascii="Times New Roman" w:hAnsi="Times New Roman" w:cs="Times New Roman"/>
          <w:position w:val="-28"/>
          <w:sz w:val="24"/>
          <w:szCs w:val="24"/>
        </w:rPr>
        <w:object>
          <v:shape id="_x0000_i1055" o:spt="75" type="#_x0000_t75" style="height:34pt;width:101pt;" o:ole="t" filled="f" o:preferrelative="t" stroked="f" coordsize="21600,21600">
            <v:path/>
            <v:fill on="f" alignshape="1" focussize="0,0"/>
            <v:stroke on="f"/>
            <v:imagedata r:id="rId57" o:title=""/>
            <o:lock v:ext="edit" aspectratio="t"/>
            <w10:wrap type="none"/>
            <w10:anchorlock/>
          </v:shape>
          <o:OLEObject Type="Embed" ProgID="Equation.3" ShapeID="_x0000_i1055" DrawAspect="Content" ObjectID="_1468075755" r:id="rId56">
            <o:LockedField>false</o:LockedField>
          </o:OLEObject>
        </w:object>
      </w:r>
      <w:r>
        <w:rPr>
          <w:rFonts w:ascii="Times New Roman" w:hAnsi="Times New Roman" w:cs="Times New Roman"/>
          <w:sz w:val="24"/>
          <w:szCs w:val="24"/>
        </w:rPr>
        <w:t>值为28。</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第六步：求出校验码字符值。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position w:val="-28"/>
          <w:sz w:val="24"/>
          <w:szCs w:val="24"/>
        </w:rPr>
        <w:object>
          <v:shape id="_x0000_i1056" o:spt="75" type="#_x0000_t75" style="height:34pt;width:215pt;" o:ole="t" filled="f" o:preferrelative="t" stroked="f" coordsize="21600,21600">
            <v:path/>
            <v:fill on="f" alignshape="1" focussize="0,0"/>
            <v:stroke on="f"/>
            <v:imagedata r:id="rId59" o:title=""/>
            <o:lock v:ext="edit" aspectratio="t"/>
            <w10:wrap type="none"/>
            <w10:anchorlock/>
          </v:shape>
          <o:OLEObject Type="Embed" ProgID="Equation.3" ShapeID="_x0000_i1056" DrawAspect="Content" ObjectID="_1468075756" r:id="rId58">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第七步：查出校验码字符。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校验码字符值18对应的字符为3，该统一代码为91350100M000100Y43。</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Times New Roman" w:hAnsi="Times New Roman" w:cs="Times New Roman"/>
        </w:rPr>
      </w:pPr>
      <w:r>
        <w:rPr>
          <w:rFonts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0"/>
          <w:sz w:val="30"/>
          <w:szCs w:val="30"/>
        </w:rPr>
      </w:pP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11"/>
          <w:sz w:val="30"/>
          <w:szCs w:val="30"/>
        </w:rPr>
      </w:pPr>
      <w:r>
        <w:rPr>
          <w:rFonts w:hint="eastAsia" w:ascii="黑体" w:hAnsi="黑体" w:eastAsia="黑体" w:cs="黑体"/>
          <w:bCs/>
          <w:spacing w:val="-11"/>
          <w:sz w:val="30"/>
          <w:szCs w:val="30"/>
        </w:rPr>
        <w:t>GB 32100-2015《法人和其他组织统一社会信用代码编码规则》</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0"/>
          <w:sz w:val="30"/>
          <w:szCs w:val="30"/>
        </w:rPr>
      </w:pPr>
      <w:r>
        <w:rPr>
          <w:rFonts w:hint="eastAsia" w:ascii="黑体" w:hAnsi="黑体" w:eastAsia="黑体" w:cs="黑体"/>
          <w:bCs/>
          <w:spacing w:val="0"/>
          <w:sz w:val="30"/>
          <w:szCs w:val="30"/>
        </w:rPr>
        <w:t>国家标准第1号修改单</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本修改单经国家标准化管理委员会于2016年4月15日批准，自2016年4月18日起实施。</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一、本表2中增加登记管理部门代码标识，调整后表2形式如下：</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登记管理部门</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外交</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司法行政</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文化</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旅游</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宗教</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工会</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中央军委改革和编制办公室</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农业</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Y</w:t>
            </w:r>
          </w:p>
        </w:tc>
      </w:tr>
    </w:tbl>
    <w:p>
      <w:pPr>
        <w:keepNext w:val="0"/>
        <w:keepLines w:val="0"/>
        <w:pageBreakBefore w:val="0"/>
        <w:widowControl w:val="0"/>
        <w:kinsoku/>
        <w:wordWrap/>
        <w:overflowPunct/>
        <w:topLinePunct w:val="0"/>
        <w:autoSpaceDE/>
        <w:autoSpaceDN/>
        <w:bidi w:val="0"/>
        <w:adjustRightInd/>
        <w:snapToGrid/>
        <w:spacing w:line="240" w:lineRule="exact"/>
        <w:ind w:right="0" w:firstLine="480" w:firstLineChars="200"/>
        <w:jc w:val="both"/>
        <w:textAlignment w:val="auto"/>
        <w:rPr>
          <w:rFonts w:hint="eastAsia" w:ascii="Calibri"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二、在表3中增加登记管理部门的机构类别代码标识，调整后表3形式如下：</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4396"/>
        <w:gridCol w:w="2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43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登记管理部门</w:t>
            </w:r>
          </w:p>
        </w:tc>
        <w:tc>
          <w:tcPr>
            <w:tcW w:w="242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机构类别</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机关</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事业单位</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编办直接管理机构编制的群众团体</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外交</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外国常驻新闻机构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司法行政</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律师执业机构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公证处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基层法律服务所</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司法鉴定机构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仲裁委员会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文化</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外国在华文化中心</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社会团体</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民办非企业单位</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基金会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旅游</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外国旅游部门常驻代表机构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港澳台地区旅游部门常驻内地（大陆）代表机构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宗教</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宗教活动场所</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宗教院校</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工会</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基层工会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企业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个体工商户</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农民专业合作社</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中央军委改革和</w:t>
            </w:r>
          </w:p>
          <w:p>
            <w:pPr>
              <w:jc w:val="center"/>
              <w:rPr>
                <w:rFonts w:hint="eastAsia" w:ascii="宋体" w:hAnsi="宋体" w:eastAsia="宋体" w:cs="宋体"/>
                <w:sz w:val="20"/>
                <w:szCs w:val="20"/>
              </w:rPr>
            </w:pPr>
            <w:r>
              <w:rPr>
                <w:rFonts w:hint="eastAsia" w:ascii="宋体" w:hAnsi="宋体" w:eastAsia="宋体" w:cs="宋体"/>
                <w:sz w:val="20"/>
                <w:szCs w:val="20"/>
              </w:rPr>
              <w:t>编制办公室</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军队事业单位</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农业</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组级集体经济组织</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村级集体经济组织</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乡镇级集体经济组织</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425" w:type="pct"/>
            <w:tcBorders>
              <w:tl2br w:val="nil"/>
              <w:tr2bl w:val="nil"/>
            </w:tcBorders>
            <w:noWrap w:val="0"/>
            <w:vAlign w:val="center"/>
          </w:tcPr>
          <w:p>
            <w:pPr>
              <w:rPr>
                <w:rFonts w:hint="eastAsia" w:ascii="宋体" w:hAnsi="宋体" w:eastAsia="宋体" w:cs="宋体"/>
                <w:sz w:val="20"/>
                <w:szCs w:val="20"/>
              </w:rPr>
            </w:pP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bl>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三、修改第3章术语和定义中的“3.5 统一社会信用代码”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增加许用术语，“统一代码  unified identifier”。</w:t>
      </w:r>
    </w:p>
    <w:p>
      <w:pPr>
        <w:rPr>
          <w:rFonts w:ascii="Times New Roman" w:hAnsi="Times New Roman" w:cs="Times New Roman"/>
          <w:sz w:val="18"/>
          <w:szCs w:val="18"/>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Times New Roman" w:hAnsi="Times New Roman" w:eastAsia="楷体_GB2312" w:cs="Times New Roman"/>
          <w:szCs w:val="21"/>
        </w:rPr>
      </w:pPr>
      <w:r>
        <w:rPr>
          <w:rFonts w:ascii="Times New Roman" w:hAnsi="Times New Roman" w:eastAsia="楷体_GB2312" w:cs="Times New Roman"/>
          <w:szCs w:val="21"/>
        </w:rPr>
        <w:br w:type="page"/>
      </w:r>
      <w:bookmarkStart w:id="76" w:name="_Toc1981_WPSOffice_Level1"/>
      <w:bookmarkStart w:id="77" w:name="_Toc509998937"/>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78" w:name="_Toc19278"/>
      <w:bookmarkStart w:id="79" w:name="_Toc5927"/>
      <w:bookmarkStart w:id="80" w:name="_Toc24561"/>
      <w:r>
        <w:rPr>
          <w:rFonts w:hint="eastAsia" w:ascii="方正小标宋简体" w:hAnsi="方正小标宋简体" w:eastAsia="方正小标宋简体" w:cs="方正小标宋简体"/>
          <w:b w:val="0"/>
          <w:bCs/>
          <w:kern w:val="2"/>
          <w:sz w:val="36"/>
          <w:szCs w:val="36"/>
          <w:lang w:eastAsia="zh-CN"/>
        </w:rPr>
        <w:t>第八部分</w:t>
      </w:r>
      <w:bookmarkEnd w:id="76"/>
      <w:bookmarkEnd w:id="77"/>
      <w:bookmarkStart w:id="81" w:name="_Toc25916_WPSOffice_Level1"/>
      <w:bookmarkStart w:id="82" w:name="_Toc509998938"/>
      <w:r>
        <w:rPr>
          <w:rFonts w:hint="eastAsia" w:ascii="方正小标宋简体" w:hAnsi="方正小标宋简体" w:eastAsia="方正小标宋简体" w:cs="方正小标宋简体"/>
          <w:b w:val="0"/>
          <w:bCs/>
          <w:kern w:val="2"/>
          <w:sz w:val="36"/>
          <w:szCs w:val="36"/>
          <w:lang w:eastAsia="zh-CN"/>
        </w:rPr>
        <w:t xml:space="preserve">  经济普查单位临时代码管理办法</w:t>
      </w:r>
      <w:bookmarkEnd w:id="78"/>
      <w:bookmarkEnd w:id="79"/>
      <w:bookmarkEnd w:id="80"/>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参考文献：《统计单位临时代码管理办法》（国统办普查字〔2022〕16号）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黑体" w:hAnsi="黑体" w:eastAsia="黑体" w:cs="黑体"/>
          <w:b w:val="0"/>
          <w:bCs/>
          <w:color w:val="auto"/>
          <w:spacing w:val="0"/>
          <w:sz w:val="24"/>
          <w:szCs w:val="24"/>
        </w:rPr>
        <w:t>一、临时代码的赋码对象</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宋体" w:hAnsi="宋体" w:eastAsia="宋体" w:cs="宋体"/>
          <w:color w:val="auto"/>
          <w:spacing w:val="0"/>
          <w:sz w:val="24"/>
          <w:szCs w:val="24"/>
        </w:rPr>
        <w:t>经济普查工作中，未领取统一社会信用代码的法人单位和产业活动单位。</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黑体" w:hAnsi="黑体" w:eastAsia="黑体" w:cs="黑体"/>
          <w:b w:val="0"/>
          <w:bCs/>
          <w:color w:val="auto"/>
          <w:spacing w:val="0"/>
          <w:sz w:val="24"/>
          <w:szCs w:val="24"/>
        </w:rPr>
        <w:t>二、临时代码的赋码原则</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各地经济普查机构按照本办法，统一管理辖区内符合条件的单位的临时代码。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宋体" w:hAnsi="宋体" w:eastAsia="宋体" w:cs="宋体"/>
          <w:color w:val="auto"/>
          <w:spacing w:val="0"/>
          <w:kern w:val="0"/>
          <w:sz w:val="24"/>
          <w:szCs w:val="24"/>
          <w:lang w:val="zh-CN"/>
        </w:rPr>
        <w:t>一个临时代码只能赋予一个统计单位，一个统计单位只能拥有一个临时代码。已在既有统计调查结果中使用的临时代码，原则上要沿用，不再另赋新码。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黑体" w:hAnsi="黑体" w:eastAsia="黑体" w:cs="黑体"/>
          <w:b w:val="0"/>
          <w:bCs/>
          <w:color w:val="auto"/>
          <w:spacing w:val="0"/>
          <w:sz w:val="24"/>
          <w:szCs w:val="24"/>
        </w:rPr>
        <w:t>三、临时代码结构和编制规则</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2" w:firstLineChars="200"/>
        <w:jc w:val="both"/>
        <w:textAlignment w:val="auto"/>
        <w:outlineLvl w:val="9"/>
        <w:rPr>
          <w:rFonts w:hint="eastAsia" w:ascii="楷体_GB2312" w:hAnsi="楷体_GB2312" w:eastAsia="楷体_GB2312" w:cs="楷体_GB2312"/>
          <w:b/>
          <w:bCs/>
          <w:color w:val="auto"/>
          <w:spacing w:val="0"/>
          <w:kern w:val="0"/>
          <w:sz w:val="24"/>
          <w:szCs w:val="24"/>
          <w:lang w:val="zh-CN"/>
        </w:rPr>
      </w:pPr>
      <w:r>
        <w:rPr>
          <w:rFonts w:hint="eastAsia" w:ascii="楷体_GB2312" w:hAnsi="楷体_GB2312" w:eastAsia="楷体_GB2312" w:cs="楷体_GB2312"/>
          <w:b/>
          <w:bCs/>
          <w:color w:val="auto"/>
          <w:spacing w:val="0"/>
          <w:kern w:val="0"/>
          <w:sz w:val="24"/>
          <w:szCs w:val="24"/>
          <w:lang w:val="zh-CN"/>
        </w:rPr>
        <w:t>（一）临时代码结构</w:t>
      </w:r>
    </w:p>
    <w:tbl>
      <w:tblPr>
        <w:tblStyle w:val="18"/>
        <w:tblW w:w="484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437"/>
        <w:gridCol w:w="448"/>
        <w:gridCol w:w="437"/>
        <w:gridCol w:w="437"/>
        <w:gridCol w:w="437"/>
        <w:gridCol w:w="437"/>
        <w:gridCol w:w="437"/>
        <w:gridCol w:w="474"/>
        <w:gridCol w:w="437"/>
        <w:gridCol w:w="462"/>
        <w:gridCol w:w="462"/>
        <w:gridCol w:w="462"/>
        <w:gridCol w:w="462"/>
        <w:gridCol w:w="462"/>
        <w:gridCol w:w="462"/>
        <w:gridCol w:w="462"/>
        <w:gridCol w:w="474"/>
        <w:gridCol w:w="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rPr>
            </w:pPr>
            <w:r>
              <w:rPr>
                <w:rFonts w:hint="eastAsia" w:ascii="宋体" w:hAnsi="宋体" w:eastAsia="宋体" w:cs="宋体"/>
                <w:b/>
                <w:bCs/>
                <w:color w:val="auto"/>
                <w:spacing w:val="-20"/>
                <w:sz w:val="20"/>
                <w:szCs w:val="20"/>
                <w:lang w:val="en-US" w:eastAsia="zh-CN"/>
              </w:rPr>
              <w:t>序号</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w:t>
            </w:r>
          </w:p>
        </w:tc>
        <w:tc>
          <w:tcPr>
            <w:tcW w:w="26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rPr>
            </w:pPr>
            <w:r>
              <w:rPr>
                <w:rFonts w:hint="eastAsia" w:ascii="宋体" w:hAnsi="宋体" w:eastAsia="宋体" w:cs="宋体"/>
                <w:b/>
                <w:bCs/>
                <w:color w:val="auto"/>
                <w:spacing w:val="-20"/>
                <w:sz w:val="20"/>
                <w:szCs w:val="20"/>
                <w:lang w:val="en-US" w:eastAsia="zh-CN"/>
              </w:rPr>
              <w:t>代码</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rPr>
            </w:pPr>
            <w:r>
              <w:rPr>
                <w:rFonts w:hint="eastAsia" w:ascii="宋体" w:hAnsi="宋体" w:eastAsia="宋体" w:cs="宋体"/>
                <w:b/>
                <w:bCs/>
                <w:color w:val="auto"/>
                <w:spacing w:val="-20"/>
                <w:sz w:val="20"/>
                <w:szCs w:val="20"/>
                <w:lang w:val="en-US" w:eastAsia="zh-CN"/>
              </w:rPr>
              <w:t>说明</w:t>
            </w:r>
          </w:p>
        </w:tc>
        <w:tc>
          <w:tcPr>
            <w:tcW w:w="504"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类型属性代码2位</w:t>
            </w:r>
          </w:p>
        </w:tc>
        <w:tc>
          <w:tcPr>
            <w:tcW w:w="1515"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0"/>
                <w:sz w:val="20"/>
                <w:szCs w:val="20"/>
                <w:lang w:val="en-US" w:eastAsia="zh-CN"/>
              </w:rPr>
              <w:t>统计用区划代码6位</w:t>
            </w:r>
          </w:p>
        </w:tc>
        <w:tc>
          <w:tcPr>
            <w:tcW w:w="512"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rPr>
            </w:pPr>
            <w:r>
              <w:rPr>
                <w:rFonts w:hint="eastAsia" w:ascii="宋体" w:hAnsi="宋体" w:eastAsia="宋体" w:cs="宋体"/>
                <w:color w:val="auto"/>
                <w:spacing w:val="-20"/>
                <w:sz w:val="20"/>
                <w:szCs w:val="20"/>
                <w:lang w:val="en-US" w:eastAsia="zh-CN"/>
              </w:rPr>
              <w:t>临时代码标识码2位</w:t>
            </w:r>
          </w:p>
        </w:tc>
        <w:tc>
          <w:tcPr>
            <w:tcW w:w="1848" w:type="pct"/>
            <w:gridSpan w:val="7"/>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rPr>
            </w:pPr>
            <w:r>
              <w:rPr>
                <w:rFonts w:hint="eastAsia" w:ascii="宋体" w:hAnsi="宋体" w:eastAsia="宋体" w:cs="宋体"/>
                <w:color w:val="auto"/>
                <w:spacing w:val="0"/>
                <w:sz w:val="20"/>
                <w:szCs w:val="20"/>
                <w:lang w:val="en-US" w:eastAsia="zh-CN"/>
              </w:rPr>
              <w:t>数字标识码7位</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校验码</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1</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rPr>
            </w:pPr>
            <w:r>
              <w:rPr>
                <w:rFonts w:hint="eastAsia" w:ascii="宋体" w:hAnsi="宋体" w:eastAsia="宋体" w:cs="宋体"/>
                <w:color w:val="auto"/>
                <w:spacing w:val="-20"/>
                <w:sz w:val="20"/>
                <w:szCs w:val="20"/>
                <w:lang w:val="en-US" w:eastAsia="zh-CN"/>
              </w:rPr>
              <w:t>位</w:t>
            </w:r>
          </w:p>
        </w:tc>
      </w:tr>
    </w:tbl>
    <w:p>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2" w:firstLineChars="200"/>
        <w:jc w:val="both"/>
        <w:textAlignment w:val="auto"/>
        <w:outlineLvl w:val="9"/>
        <w:rPr>
          <w:rFonts w:hint="eastAsia" w:ascii="楷体_GB2312" w:hAnsi="楷体_GB2312" w:eastAsia="楷体_GB2312" w:cs="楷体_GB2312"/>
          <w:b/>
          <w:bCs/>
          <w:color w:val="auto"/>
          <w:spacing w:val="0"/>
          <w:kern w:val="0"/>
          <w:sz w:val="24"/>
          <w:szCs w:val="24"/>
          <w:lang w:val="zh-CN"/>
        </w:rPr>
      </w:pPr>
      <w:r>
        <w:rPr>
          <w:rFonts w:hint="eastAsia" w:ascii="楷体_GB2312" w:hAnsi="楷体_GB2312" w:eastAsia="楷体_GB2312" w:cs="楷体_GB2312"/>
          <w:b/>
          <w:bCs/>
          <w:color w:val="auto"/>
          <w:spacing w:val="0"/>
          <w:kern w:val="0"/>
          <w:sz w:val="24"/>
          <w:szCs w:val="24"/>
          <w:lang w:val="zh-CN" w:eastAsia="zh-CN"/>
        </w:rPr>
        <w:t>（二）代码及说明</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1.第1-2位：类型属性代码。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使用阿拉伯数字或大写英文字母表示。参照《法人和其他组织统一社会信用代码编码规则》（GB32100-2015）及其修改单中对统一社会信用代码第1-2位的编码规则编制。</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2.第3-8位：统计用区划代码。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使用阿拉伯数字表示。</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3.第9-10位：临时代码标识码。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使用大写英文字母LS表示。</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4.第11-17位：数字标识码。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使用阿拉伯数字表示。在0000001 - 9999999中按顺序编制。</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5.第18位：校验码。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使用阿拉伯数字或大写英文字母表示，计算方法参照GB 32100-2015。</w:t>
      </w:r>
    </w:p>
    <w:p>
      <w:pPr>
        <w:spacing w:line="288" w:lineRule="auto"/>
        <w:ind w:firstLine="420" w:firstLineChars="200"/>
        <w:rPr>
          <w:rFonts w:hint="eastAsia" w:ascii="宋体" w:hAnsi="宋体" w:cs="宋体"/>
        </w:rPr>
      </w:pPr>
    </w:p>
    <w:p>
      <w:pPr>
        <w:pStyle w:val="17"/>
        <w:spacing w:before="0" w:after="0" w:line="288" w:lineRule="auto"/>
        <w:rPr>
          <w:rFonts w:hint="eastAsia" w:ascii="宋体" w:hAnsi="宋体" w:cs="宋体"/>
          <w:b w:val="0"/>
          <w:sz w:val="21"/>
          <w:szCs w:val="21"/>
        </w:rPr>
      </w:pPr>
      <w:r>
        <w:rPr>
          <w:rFonts w:ascii="宋体" w:hAnsi="宋体" w:cs="宋体"/>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83" w:name="_Toc18692"/>
      <w:bookmarkStart w:id="84" w:name="_Toc13442"/>
      <w:bookmarkStart w:id="85" w:name="_Toc8302"/>
      <w:r>
        <w:rPr>
          <w:rFonts w:hint="eastAsia" w:ascii="方正小标宋简体" w:hAnsi="方正小标宋简体" w:eastAsia="方正小标宋简体" w:cs="方正小标宋简体"/>
          <w:b w:val="0"/>
          <w:bCs/>
          <w:kern w:val="2"/>
          <w:sz w:val="36"/>
          <w:szCs w:val="36"/>
          <w:lang w:eastAsia="zh-CN"/>
        </w:rPr>
        <w:t>第九部分  组织机构类型</w:t>
      </w:r>
      <w:bookmarkEnd w:id="81"/>
      <w:bookmarkEnd w:id="82"/>
      <w:bookmarkEnd w:id="83"/>
      <w:bookmarkEnd w:id="84"/>
      <w:bookmarkEnd w:id="85"/>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准</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号：GB/T 20091-2006</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发布时间：2006年1月5日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实施时间：2006年5月1日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bookmarkStart w:id="86" w:name="_Toc13666_WPSOffice_Level2"/>
      <w:r>
        <w:rPr>
          <w:rFonts w:hint="eastAsia" w:ascii="黑体" w:hAnsi="Calibri" w:eastAsia="黑体"/>
          <w:b w:val="0"/>
          <w:bCs/>
          <w:sz w:val="24"/>
          <w:szCs w:val="24"/>
        </w:rPr>
        <w:t>1  范围</w:t>
      </w:r>
      <w:bookmarkEnd w:id="86"/>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本标准规定了组织机构分类原则和划分组织机构类型的编码方法及代码。</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本标准适用于国家各部门、各系统划分组织机构类型使用。</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bookmarkStart w:id="87" w:name="_Toc29736_WPSOffice_Level2"/>
      <w:r>
        <w:rPr>
          <w:rFonts w:hint="eastAsia" w:ascii="黑体" w:hAnsi="Calibri" w:eastAsia="黑体"/>
          <w:b w:val="0"/>
          <w:bCs/>
          <w:sz w:val="24"/>
          <w:szCs w:val="24"/>
        </w:rPr>
        <w:t>2  术语和定义</w:t>
      </w:r>
      <w:bookmarkEnd w:id="87"/>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2.1  法人  legal person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是具有民事权利能力和民事行为能力，依法独立享有民事权利和承担民事义务的组织。</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2.2   组织机构  organization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企业、事业单位、机关、社会团体及其他依法成立的单位的通称。</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2.3  企业  enterprise</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在工商行政管理机关登记注册的营利性经济组织。</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2.4  机关  official organ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国家权力机关、国家行政机关、国家司法机关、政党机关、人民解放军、武警部队、政协组织等。</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2.5  事业单位  institution organization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经机构编制部门批准成立和登记或备案，领取《事业单位法人证书》，取得法人资格的单位；或者是上述法人单位的分支机构或派出机构。</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2.6  政协组织 political consultative conference</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中国人民政治协商会议全国委员会和地方各级别委员会及其办事机构。</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2.7  社会团体</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中国公民自愿组成，为实现会员共同意愿，按照其章程开展活动的非营利性社会组织。</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2.8  民办非企业单位  private non-profitable organization</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企业事业单位、社会团体和其他社会力量以及公民个人利用非国有资产举办的，从事非营利性社会服务活动的社会组织。</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2.9  基金会  foundation</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利用自然人、法人或者其他组织捐赠的财产，以从事公益事业为目的，按照《基金会管理条例》的规定成立的非营利性法人。</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bookmarkStart w:id="88" w:name="_Toc23059_WPSOffice_Level2"/>
      <w:r>
        <w:rPr>
          <w:rFonts w:hint="eastAsia" w:ascii="黑体" w:hAnsi="Calibri" w:eastAsia="黑体"/>
          <w:b w:val="0"/>
          <w:bCs/>
          <w:sz w:val="24"/>
          <w:szCs w:val="24"/>
        </w:rPr>
        <w:t>3  分类原则</w:t>
      </w:r>
      <w:bookmarkEnd w:id="88"/>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主要按照组织机构的功能和性质，依据国家现行法律法规，将组织机构类型的大类确定为企业、机关、事业单位、社会团体，上述四类不能包括的组织机构暂时归入其他组织机构。根据这五类组织机构的类型再划分具体类型。</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bookmarkStart w:id="89" w:name="_Toc6670_WPSOffice_Level2"/>
      <w:r>
        <w:rPr>
          <w:rFonts w:hint="eastAsia" w:ascii="黑体" w:hAnsi="Calibri" w:eastAsia="黑体"/>
          <w:b w:val="0"/>
          <w:bCs/>
          <w:sz w:val="24"/>
          <w:szCs w:val="24"/>
        </w:rPr>
        <w:t>4  编码方法</w:t>
      </w:r>
      <w:bookmarkEnd w:id="89"/>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本标准对组织机构类型的划分采用线分类法，将组织机构划分为大类和小类。编码采用层次编码方法，大类、小类各用1位数字表示，9表示其他，为收容类。</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bookmarkStart w:id="90" w:name="_Toc15251_WPSOffice_Level2"/>
      <w:r>
        <w:rPr>
          <w:rFonts w:hint="eastAsia" w:ascii="黑体" w:hAnsi="Calibri" w:eastAsia="黑体"/>
          <w:b w:val="0"/>
          <w:bCs/>
          <w:sz w:val="24"/>
          <w:szCs w:val="24"/>
        </w:rPr>
        <w:t>5  组织机构类型与代码表</w:t>
      </w:r>
      <w:bookmarkEnd w:id="90"/>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rPr>
      </w:pPr>
      <w:r>
        <w:rPr>
          <w:rFonts w:hint="eastAsia" w:ascii="黑体" w:hAnsi="Calibri" w:eastAsia="黑体"/>
          <w:b w:val="0"/>
          <w:bCs/>
          <w:sz w:val="28"/>
          <w:szCs w:val="28"/>
        </w:rPr>
        <w:t>组织机构类型</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056"/>
        <w:gridCol w:w="2506"/>
        <w:gridCol w:w="60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644" w:hRule="atLeast"/>
          <w:tblHeader/>
          <w:jc w:val="center"/>
        </w:trPr>
        <w:tc>
          <w:tcPr>
            <w:tcW w:w="1056" w:type="dxa"/>
            <w:tcBorders>
              <w:tl2br w:val="nil"/>
              <w:tr2bl w:val="nil"/>
            </w:tcBorders>
            <w:noWrap w:val="0"/>
            <w:vAlign w:val="center"/>
          </w:tcPr>
          <w:p>
            <w:pPr>
              <w:widowControl/>
              <w:jc w:val="center"/>
              <w:rPr>
                <w:rFonts w:hint="eastAsia" w:ascii="宋体" w:hAnsi="宋体" w:eastAsia="宋体" w:cs="宋体"/>
                <w:b/>
                <w:bCs w:val="0"/>
                <w:kern w:val="0"/>
                <w:sz w:val="20"/>
                <w:szCs w:val="20"/>
              </w:rPr>
            </w:pPr>
            <w:bookmarkStart w:id="91" w:name="_Toc359411015"/>
            <w:bookmarkStart w:id="92" w:name="_Toc20114_WPSOffice_Level2"/>
            <w:r>
              <w:rPr>
                <w:rFonts w:hint="eastAsia" w:ascii="宋体" w:hAnsi="宋体" w:eastAsia="宋体" w:cs="宋体"/>
                <w:b/>
                <w:bCs w:val="0"/>
                <w:kern w:val="0"/>
                <w:sz w:val="20"/>
                <w:szCs w:val="20"/>
              </w:rPr>
              <w:t>代 码</w:t>
            </w:r>
          </w:p>
        </w:tc>
        <w:tc>
          <w:tcPr>
            <w:tcW w:w="2506" w:type="dxa"/>
            <w:tcBorders>
              <w:tl2br w:val="nil"/>
              <w:tr2bl w:val="nil"/>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类 型</w:t>
            </w:r>
          </w:p>
        </w:tc>
        <w:tc>
          <w:tcPr>
            <w:tcW w:w="6066" w:type="dxa"/>
            <w:tcBorders>
              <w:tl2br w:val="nil"/>
              <w:tr2bl w:val="nil"/>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具体内容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80" w:hRule="atLeast"/>
          <w:jc w:val="center"/>
        </w:trPr>
        <w:tc>
          <w:tcPr>
            <w:tcW w:w="1056" w:type="dxa"/>
            <w:tcBorders>
              <w:tl2br w:val="nil"/>
              <w:tr2bl w:val="nil"/>
            </w:tcBorders>
            <w:noWrap w:val="0"/>
            <w:vAlign w:val="top"/>
          </w:tcPr>
          <w:p>
            <w:pPr>
              <w:spacing w:before="120" w:beforeLines="50" w:line="288" w:lineRule="auto"/>
              <w:rPr>
                <w:rFonts w:hint="eastAsia" w:ascii="宋体" w:hAnsi="宋体" w:eastAsia="宋体" w:cs="宋体"/>
                <w:b/>
                <w:sz w:val="20"/>
                <w:szCs w:val="20"/>
              </w:rPr>
            </w:pPr>
            <w:bookmarkStart w:id="93" w:name="_Toc359411016"/>
            <w:r>
              <w:rPr>
                <w:rFonts w:hint="eastAsia" w:ascii="宋体" w:hAnsi="宋体" w:eastAsia="宋体" w:cs="宋体"/>
                <w:b/>
                <w:sz w:val="20"/>
                <w:szCs w:val="20"/>
              </w:rPr>
              <w:t>1</w:t>
            </w:r>
            <w:bookmarkEnd w:id="93"/>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11</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13</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15</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17</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19</w:t>
            </w:r>
          </w:p>
        </w:tc>
        <w:tc>
          <w:tcPr>
            <w:tcW w:w="2506" w:type="dxa"/>
            <w:tcBorders>
              <w:tl2br w:val="nil"/>
              <w:tr2bl w:val="nil"/>
            </w:tcBorders>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企业</w:t>
            </w:r>
          </w:p>
          <w:p>
            <w:pPr>
              <w:spacing w:line="288" w:lineRule="auto"/>
              <w:rPr>
                <w:rFonts w:hint="eastAsia" w:ascii="宋体" w:hAnsi="宋体" w:eastAsia="宋体" w:cs="宋体"/>
                <w:sz w:val="20"/>
                <w:szCs w:val="20"/>
              </w:rPr>
            </w:pPr>
            <w:r>
              <w:rPr>
                <w:rFonts w:hint="eastAsia" w:ascii="宋体" w:hAnsi="宋体" w:eastAsia="宋体" w:cs="宋体"/>
                <w:sz w:val="20"/>
                <w:szCs w:val="20"/>
              </w:rPr>
              <w:t>公司</w:t>
            </w:r>
          </w:p>
          <w:p>
            <w:pPr>
              <w:spacing w:line="288" w:lineRule="auto"/>
              <w:rPr>
                <w:rFonts w:hint="eastAsia" w:ascii="宋体" w:hAnsi="宋体" w:eastAsia="宋体" w:cs="宋体"/>
                <w:sz w:val="20"/>
                <w:szCs w:val="20"/>
              </w:rPr>
            </w:pPr>
            <w:r>
              <w:rPr>
                <w:rFonts w:hint="eastAsia" w:ascii="宋体" w:hAnsi="宋体" w:eastAsia="宋体" w:cs="宋体"/>
                <w:sz w:val="20"/>
                <w:szCs w:val="20"/>
              </w:rPr>
              <w:t>非公司制企业法人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企业分支机构</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个人独资企业、合伙企业</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其他企业</w:t>
            </w:r>
          </w:p>
        </w:tc>
        <w:tc>
          <w:tcPr>
            <w:tcW w:w="6066" w:type="dxa"/>
            <w:tcBorders>
              <w:tl2br w:val="nil"/>
              <w:tr2bl w:val="nil"/>
            </w:tcBorders>
            <w:noWrap w:val="0"/>
            <w:vAlign w:val="top"/>
          </w:tcPr>
          <w:p>
            <w:pPr>
              <w:spacing w:before="120" w:beforeLines="50" w:line="288" w:lineRule="auto"/>
              <w:rPr>
                <w:rFonts w:hint="eastAsia" w:ascii="宋体" w:hAnsi="宋体" w:eastAsia="宋体" w:cs="宋体"/>
                <w:sz w:val="20"/>
                <w:szCs w:val="20"/>
              </w:rPr>
            </w:pP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在我国境内设立的股份有限公司和有限责任公司</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除公司之外的，经国家和地方工商行政管理局核准登记，颁发《企业法人营业执照》的各类企业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经国家和地方工商行政管理局核准登记，颁发《营业执照》的各类企业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经国家和地方工商行政管理局核准登记，颁发《个人独资企业营业执照》和《合伙企业营业执照》的各类企业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经国家和地方工商行政管理局核准登记的外国公司常驻代表机构、办事机构等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992" w:hRule="atLeast"/>
          <w:jc w:val="center"/>
        </w:trPr>
        <w:tc>
          <w:tcPr>
            <w:tcW w:w="1056" w:type="dxa"/>
            <w:tcBorders>
              <w:tl2br w:val="nil"/>
              <w:tr2bl w:val="nil"/>
            </w:tcBorders>
            <w:shd w:val="clear" w:color="auto" w:fill="auto"/>
            <w:noWrap w:val="0"/>
            <w:vAlign w:val="top"/>
          </w:tcPr>
          <w:p>
            <w:pPr>
              <w:spacing w:before="120" w:beforeLines="50" w:line="288" w:lineRule="auto"/>
              <w:rPr>
                <w:rFonts w:hint="eastAsia" w:ascii="宋体" w:hAnsi="宋体" w:eastAsia="宋体" w:cs="宋体"/>
                <w:b/>
                <w:sz w:val="20"/>
                <w:szCs w:val="20"/>
              </w:rPr>
            </w:pPr>
            <w:r>
              <w:rPr>
                <w:rFonts w:hint="eastAsia" w:ascii="宋体" w:hAnsi="宋体" w:eastAsia="宋体" w:cs="宋体"/>
                <w:b/>
                <w:sz w:val="20"/>
                <w:szCs w:val="20"/>
              </w:rPr>
              <w:t>3</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31</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32</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33</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34</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35</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36</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37</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39</w:t>
            </w:r>
          </w:p>
        </w:tc>
        <w:tc>
          <w:tcPr>
            <w:tcW w:w="2506" w:type="dxa"/>
            <w:tcBorders>
              <w:tl2br w:val="nil"/>
              <w:tr2bl w:val="nil"/>
            </w:tcBorders>
            <w:shd w:val="clear" w:color="auto" w:fill="FFFFFF"/>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机关</w:t>
            </w:r>
          </w:p>
          <w:p>
            <w:pPr>
              <w:spacing w:line="288" w:lineRule="auto"/>
              <w:rPr>
                <w:rFonts w:hint="eastAsia" w:ascii="宋体" w:hAnsi="宋体" w:eastAsia="宋体" w:cs="宋体"/>
                <w:sz w:val="20"/>
                <w:szCs w:val="20"/>
              </w:rPr>
            </w:pPr>
            <w:r>
              <w:rPr>
                <w:rFonts w:hint="eastAsia" w:ascii="宋体" w:hAnsi="宋体" w:eastAsia="宋体" w:cs="宋体"/>
                <w:sz w:val="20"/>
                <w:szCs w:val="20"/>
              </w:rPr>
              <w:t>中国共产党</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国家权力机关法人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国家行政机关法人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国家司法机关法人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政协组织</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民主党派</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人民解放军、武警部队</w:t>
            </w:r>
          </w:p>
          <w:p>
            <w:pPr>
              <w:spacing w:line="288" w:lineRule="auto"/>
              <w:rPr>
                <w:rFonts w:hint="eastAsia" w:ascii="宋体" w:hAnsi="宋体" w:eastAsia="宋体" w:cs="宋体"/>
                <w:sz w:val="20"/>
                <w:szCs w:val="20"/>
              </w:rPr>
            </w:pPr>
            <w:r>
              <w:rPr>
                <w:rFonts w:hint="eastAsia" w:ascii="宋体" w:hAnsi="宋体" w:eastAsia="宋体" w:cs="宋体"/>
                <w:sz w:val="20"/>
                <w:szCs w:val="20"/>
              </w:rPr>
              <w:t>其他机关</w:t>
            </w:r>
          </w:p>
        </w:tc>
        <w:tc>
          <w:tcPr>
            <w:tcW w:w="6066" w:type="dxa"/>
            <w:tcBorders>
              <w:tl2br w:val="nil"/>
              <w:tr2bl w:val="nil"/>
            </w:tcBorders>
            <w:shd w:val="clear" w:color="auto" w:fill="FFFFFF"/>
            <w:noWrap w:val="0"/>
            <w:vAlign w:val="top"/>
          </w:tcPr>
          <w:p>
            <w:pPr>
              <w:spacing w:before="120" w:beforeLines="50" w:line="288" w:lineRule="auto"/>
              <w:rPr>
                <w:rFonts w:hint="eastAsia" w:ascii="宋体" w:hAnsi="宋体" w:eastAsia="宋体" w:cs="宋体"/>
                <w:sz w:val="20"/>
                <w:szCs w:val="20"/>
              </w:rPr>
            </w:pP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中国共产党中央委员会及中央各部门，地方各级委员会及其工作机构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全国人民代表大会及其常务委员会、地方各级人民代表大会及其常务委员会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国务院和地方各级人民政府及其工作部门，以及地区行政行署</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最高人民法院、地方各级人民法院和专门人民法院，最高人民检察院、地方各级人民检察院和专门人民检察院</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中国人民政治协商会议全国委员会和地方各级委员会及其办事机构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民革、民盟、民建、民进、农工党、致公党、九三学社、台盟等中央和地方各级工作机构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略</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国家权力机关、国家行政机关、国家司法机关的分支机构和派出机构，以及其他依法成立的机关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1056" w:type="dxa"/>
            <w:tcBorders>
              <w:tl2br w:val="nil"/>
              <w:tr2bl w:val="nil"/>
            </w:tcBorders>
            <w:noWrap w:val="0"/>
            <w:vAlign w:val="top"/>
          </w:tcPr>
          <w:p>
            <w:pPr>
              <w:spacing w:before="120" w:beforeLines="50" w:line="288" w:lineRule="auto"/>
              <w:rPr>
                <w:rFonts w:hint="eastAsia" w:ascii="宋体" w:hAnsi="宋体" w:eastAsia="宋体" w:cs="宋体"/>
                <w:b/>
                <w:sz w:val="20"/>
                <w:szCs w:val="20"/>
              </w:rPr>
            </w:pPr>
            <w:r>
              <w:rPr>
                <w:rFonts w:hint="eastAsia" w:ascii="宋体" w:hAnsi="宋体" w:eastAsia="宋体" w:cs="宋体"/>
                <w:b/>
                <w:sz w:val="20"/>
                <w:szCs w:val="20"/>
              </w:rPr>
              <w:t>5</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51</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53</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59</w:t>
            </w:r>
          </w:p>
        </w:tc>
        <w:tc>
          <w:tcPr>
            <w:tcW w:w="2506" w:type="dxa"/>
            <w:tcBorders>
              <w:tl2br w:val="nil"/>
              <w:tr2bl w:val="nil"/>
            </w:tcBorders>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事业单位</w:t>
            </w:r>
          </w:p>
          <w:p>
            <w:pPr>
              <w:spacing w:line="288" w:lineRule="auto"/>
              <w:rPr>
                <w:rFonts w:hint="eastAsia" w:ascii="宋体" w:hAnsi="宋体" w:eastAsia="宋体" w:cs="宋体"/>
                <w:sz w:val="20"/>
                <w:szCs w:val="20"/>
              </w:rPr>
            </w:pPr>
            <w:r>
              <w:rPr>
                <w:rFonts w:hint="eastAsia" w:ascii="宋体" w:hAnsi="宋体" w:eastAsia="宋体" w:cs="宋体"/>
                <w:sz w:val="20"/>
                <w:szCs w:val="20"/>
              </w:rPr>
              <w:t>事业单位法人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事业单位分支、派出机构</w:t>
            </w:r>
          </w:p>
          <w:p>
            <w:pPr>
              <w:spacing w:line="288" w:lineRule="auto"/>
              <w:rPr>
                <w:rFonts w:hint="eastAsia" w:ascii="宋体" w:hAnsi="宋体" w:eastAsia="宋体" w:cs="宋体"/>
                <w:sz w:val="20"/>
                <w:szCs w:val="20"/>
              </w:rPr>
            </w:pPr>
            <w:r>
              <w:rPr>
                <w:rFonts w:hint="eastAsia" w:ascii="宋体" w:hAnsi="宋体" w:eastAsia="宋体" w:cs="宋体"/>
                <w:sz w:val="20"/>
                <w:szCs w:val="20"/>
              </w:rPr>
              <w:t>其他事业单位</w:t>
            </w:r>
          </w:p>
        </w:tc>
        <w:tc>
          <w:tcPr>
            <w:tcW w:w="6066" w:type="dxa"/>
            <w:tcBorders>
              <w:tl2br w:val="nil"/>
              <w:tr2bl w:val="nil"/>
            </w:tcBorders>
            <w:noWrap w:val="0"/>
            <w:vAlign w:val="top"/>
          </w:tcPr>
          <w:p>
            <w:pPr>
              <w:spacing w:before="120" w:beforeLines="50" w:line="288" w:lineRule="auto"/>
              <w:rPr>
                <w:rFonts w:hint="eastAsia" w:ascii="宋体" w:hAnsi="宋体" w:eastAsia="宋体" w:cs="宋体"/>
                <w:sz w:val="20"/>
                <w:szCs w:val="20"/>
              </w:rPr>
            </w:pP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经机构编制部门批准成立和登记或备案，领取《事业单位法人证书》，取得法人资格的事业单位</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上述事业单位法人的分支机构或派出机构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其他未列明的依法成立的事业单位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309" w:hRule="atLeast"/>
          <w:jc w:val="center"/>
        </w:trPr>
        <w:tc>
          <w:tcPr>
            <w:tcW w:w="1056" w:type="dxa"/>
            <w:tcBorders>
              <w:tl2br w:val="nil"/>
              <w:tr2bl w:val="nil"/>
            </w:tcBorders>
            <w:noWrap w:val="0"/>
            <w:vAlign w:val="top"/>
          </w:tcPr>
          <w:p>
            <w:pPr>
              <w:spacing w:before="120" w:beforeLines="50" w:line="288" w:lineRule="auto"/>
              <w:rPr>
                <w:rFonts w:hint="eastAsia" w:ascii="宋体" w:hAnsi="宋体" w:eastAsia="宋体" w:cs="宋体"/>
                <w:b/>
                <w:sz w:val="20"/>
                <w:szCs w:val="20"/>
              </w:rPr>
            </w:pPr>
            <w:r>
              <w:rPr>
                <w:rFonts w:hint="eastAsia" w:ascii="宋体" w:hAnsi="宋体" w:eastAsia="宋体" w:cs="宋体"/>
                <w:b/>
                <w:sz w:val="20"/>
                <w:szCs w:val="20"/>
              </w:rPr>
              <w:t>7</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71</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73</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79</w:t>
            </w:r>
          </w:p>
        </w:tc>
        <w:tc>
          <w:tcPr>
            <w:tcW w:w="2506" w:type="dxa"/>
            <w:tcBorders>
              <w:tl2br w:val="nil"/>
              <w:tr2bl w:val="nil"/>
            </w:tcBorders>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社会团体</w:t>
            </w:r>
          </w:p>
          <w:p>
            <w:pPr>
              <w:spacing w:line="288" w:lineRule="auto"/>
              <w:rPr>
                <w:rFonts w:hint="eastAsia" w:ascii="宋体" w:hAnsi="宋体" w:eastAsia="宋体" w:cs="宋体"/>
                <w:sz w:val="20"/>
                <w:szCs w:val="20"/>
              </w:rPr>
            </w:pPr>
            <w:r>
              <w:rPr>
                <w:rFonts w:hint="eastAsia" w:ascii="宋体" w:hAnsi="宋体" w:eastAsia="宋体" w:cs="宋体"/>
                <w:sz w:val="20"/>
                <w:szCs w:val="20"/>
              </w:rPr>
              <w:t>社会团体法人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社会团体分支、代表机构</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其他社会团体</w:t>
            </w:r>
          </w:p>
        </w:tc>
        <w:tc>
          <w:tcPr>
            <w:tcW w:w="6066" w:type="dxa"/>
            <w:tcBorders>
              <w:tl2br w:val="nil"/>
              <w:tr2bl w:val="nil"/>
            </w:tcBorders>
            <w:noWrap w:val="0"/>
            <w:vAlign w:val="top"/>
          </w:tcPr>
          <w:p>
            <w:pPr>
              <w:spacing w:before="120" w:beforeLines="50"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中央机构编制管理部门直接管理的21个群众团体，包括中华全国总工会、中国共产主义青年团中央委员会、中华全国妇女联合会、中国文学艺术界联合会、中国作家协会、中国科学技术协会、中国全国归国华侨联合会、中国法学会、中国人民对外友好协会、中国全国新闻工作者协会、中华全国台湾同胞联谊会、中国国际贸易促进委员会、中国残疾人联合会、中国红十字总会、中国人民外交学会、宋庆龄基金会、黄埔军校同学会、欧美同学会、中国思想政治工作研究会、中华职业教育社、中华全国工商业联合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2.经民政部和地方民政部门核准登记，颁发《社会团体法人证书》的各类社会团体</w:t>
            </w:r>
          </w:p>
          <w:p>
            <w:pPr>
              <w:spacing w:line="288" w:lineRule="auto"/>
              <w:rPr>
                <w:rFonts w:hint="eastAsia" w:ascii="宋体" w:hAnsi="宋体" w:eastAsia="宋体" w:cs="宋体"/>
                <w:sz w:val="20"/>
                <w:szCs w:val="20"/>
              </w:rPr>
            </w:pPr>
            <w:r>
              <w:rPr>
                <w:rFonts w:hint="eastAsia" w:ascii="宋体" w:hAnsi="宋体" w:eastAsia="宋体" w:cs="宋体"/>
                <w:sz w:val="20"/>
                <w:szCs w:val="20"/>
              </w:rPr>
              <w:t>经民政部和地方民政部门核准登记，颁发《社会团体分支机构登记证书》或《社会团体代表机构登记证书》的社会团体分支机构或代表机构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其他未列明的依法成立的社会团体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15" w:hRule="atLeast"/>
          <w:jc w:val="center"/>
        </w:trPr>
        <w:tc>
          <w:tcPr>
            <w:tcW w:w="1056" w:type="dxa"/>
            <w:tcBorders>
              <w:tl2br w:val="nil"/>
              <w:tr2bl w:val="nil"/>
            </w:tcBorders>
            <w:noWrap w:val="0"/>
            <w:vAlign w:val="top"/>
          </w:tcPr>
          <w:p>
            <w:pPr>
              <w:spacing w:before="120" w:beforeLines="50" w:line="312" w:lineRule="auto"/>
              <w:rPr>
                <w:rFonts w:hint="eastAsia" w:ascii="宋体" w:hAnsi="宋体" w:eastAsia="宋体" w:cs="宋体"/>
                <w:b/>
                <w:sz w:val="20"/>
                <w:szCs w:val="20"/>
              </w:rPr>
            </w:pPr>
            <w:r>
              <w:rPr>
                <w:rFonts w:hint="eastAsia" w:ascii="宋体" w:hAnsi="宋体" w:eastAsia="宋体" w:cs="宋体"/>
                <w:b/>
                <w:sz w:val="20"/>
                <w:szCs w:val="20"/>
              </w:rPr>
              <w:t>9</w:t>
            </w: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91</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93</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94</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95</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96</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97</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99</w:t>
            </w:r>
          </w:p>
        </w:tc>
        <w:tc>
          <w:tcPr>
            <w:tcW w:w="2506" w:type="dxa"/>
            <w:tcBorders>
              <w:tl2br w:val="nil"/>
              <w:tr2bl w:val="nil"/>
            </w:tcBorders>
            <w:noWrap w:val="0"/>
            <w:vAlign w:val="top"/>
          </w:tcPr>
          <w:p>
            <w:pPr>
              <w:spacing w:before="120" w:beforeLines="50" w:line="312" w:lineRule="auto"/>
              <w:rPr>
                <w:rFonts w:hint="eastAsia" w:ascii="宋体" w:hAnsi="宋体" w:eastAsia="宋体" w:cs="宋体"/>
                <w:sz w:val="20"/>
                <w:szCs w:val="20"/>
              </w:rPr>
            </w:pPr>
            <w:r>
              <w:rPr>
                <w:rFonts w:hint="eastAsia" w:ascii="宋体" w:hAnsi="宋体" w:eastAsia="宋体" w:cs="宋体"/>
                <w:sz w:val="20"/>
                <w:szCs w:val="20"/>
              </w:rPr>
              <w:t>其他组织机构</w:t>
            </w:r>
          </w:p>
          <w:p>
            <w:pPr>
              <w:spacing w:line="312" w:lineRule="auto"/>
              <w:rPr>
                <w:rFonts w:hint="eastAsia" w:ascii="宋体" w:hAnsi="宋体" w:eastAsia="宋体" w:cs="宋体"/>
                <w:sz w:val="20"/>
                <w:szCs w:val="20"/>
              </w:rPr>
            </w:pPr>
            <w:r>
              <w:rPr>
                <w:rFonts w:hint="eastAsia" w:ascii="宋体" w:hAnsi="宋体" w:eastAsia="宋体" w:cs="宋体"/>
                <w:sz w:val="20"/>
                <w:szCs w:val="20"/>
              </w:rPr>
              <w:t>民办非企业单位</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基金会</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宗教活动场所</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农村村民委员会</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城市居民委员会</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自定义区</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其他未列明的组织机构</w:t>
            </w:r>
          </w:p>
        </w:tc>
        <w:tc>
          <w:tcPr>
            <w:tcW w:w="6066" w:type="dxa"/>
            <w:tcBorders>
              <w:tl2br w:val="nil"/>
              <w:tr2bl w:val="nil"/>
            </w:tcBorders>
            <w:noWrap w:val="0"/>
            <w:vAlign w:val="top"/>
          </w:tcPr>
          <w:p>
            <w:pPr>
              <w:spacing w:before="120" w:beforeLines="50" w:line="312" w:lineRule="auto"/>
              <w:rPr>
                <w:rFonts w:hint="eastAsia" w:ascii="宋体" w:hAnsi="宋体" w:eastAsia="宋体" w:cs="宋体"/>
                <w:sz w:val="20"/>
                <w:szCs w:val="20"/>
              </w:rPr>
            </w:pP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民政部和各级民政部门核准登记的，颁发《民办非企业单位（法人）登记证书》、《民办非企业单位（合伙）登记证书》、《民办非企业单位（个体）登记证书》的民办非企业单位</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民政部和各级民政部门核准登记的，颁发《基金会法人登记证书》的基金会</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国家和地方各级人民政府宗教事务部门登记，颁发登记证书的各类宗教活动场所</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由乡、民族乡、镇的人民政府提出，经村民会议讨论同意后，报县级人民政府批准，设立的村民委员会</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由不设区的市、市辖区的人民政府决定居民委员会的设立</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由各应用部门自行确定的组织机构类型，不作为交换使用</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包括联合国和其他国际组织驻我国境内机构</w:t>
            </w:r>
          </w:p>
        </w:tc>
      </w:tr>
      <w:bookmarkEnd w:id="91"/>
      <w:bookmarkEnd w:id="92"/>
    </w:tbl>
    <w:p>
      <w:pPr>
        <w:pStyle w:val="17"/>
        <w:rPr>
          <w:rFonts w:hint="eastAsia" w:ascii="黑体" w:hAnsi="黑体" w:eastAsia="黑体"/>
          <w:b w:val="0"/>
        </w:rPr>
      </w:pPr>
      <w:bookmarkStart w:id="94" w:name="_Toc11810_WPSOffice_Level1"/>
      <w:bookmarkStart w:id="95" w:name="_Toc509998939"/>
      <w:r>
        <w:rPr>
          <w:rFonts w:hint="eastAsia" w:ascii="黑体" w:hAnsi="黑体" w:eastAsia="黑体"/>
          <w:b w:val="0"/>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val="en-US" w:eastAsia="zh-CN"/>
        </w:rPr>
      </w:pPr>
      <w:bookmarkStart w:id="96" w:name="_Toc28784"/>
      <w:bookmarkStart w:id="97" w:name="_Toc29270"/>
      <w:bookmarkStart w:id="98" w:name="_Toc24795"/>
      <w:r>
        <w:rPr>
          <w:rFonts w:hint="eastAsia" w:ascii="方正小标宋简体" w:hAnsi="方正小标宋简体" w:eastAsia="方正小标宋简体" w:cs="方正小标宋简体"/>
          <w:b w:val="0"/>
          <w:bCs/>
          <w:kern w:val="2"/>
          <w:sz w:val="36"/>
          <w:szCs w:val="36"/>
          <w:lang w:eastAsia="zh-CN"/>
        </w:rPr>
        <w:t xml:space="preserve">第十部分  </w:t>
      </w:r>
      <w:bookmarkEnd w:id="94"/>
      <w:bookmarkEnd w:id="95"/>
      <w:r>
        <w:rPr>
          <w:rFonts w:hint="eastAsia" w:ascii="方正小标宋简体" w:hAnsi="方正小标宋简体" w:eastAsia="方正小标宋简体" w:cs="方正小标宋简体"/>
          <w:b w:val="0"/>
          <w:bCs/>
          <w:kern w:val="2"/>
          <w:sz w:val="36"/>
          <w:szCs w:val="36"/>
          <w:lang w:val="en-US" w:eastAsia="zh-CN"/>
        </w:rPr>
        <w:t>关于市场主体统计分类的划分规定</w:t>
      </w:r>
      <w:bookmarkEnd w:id="96"/>
      <w:bookmarkEnd w:id="97"/>
      <w:bookmarkEnd w:id="98"/>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号：国统字〔2023〕14号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w:t>
      </w:r>
      <w:r>
        <w:rPr>
          <w:rFonts w:hint="eastAsia" w:ascii="楷体_GB2312" w:hAnsi="Times New Roman" w:eastAsia="楷体_GB2312" w:cs="Times New Roman"/>
          <w:color w:val="auto"/>
          <w:sz w:val="24"/>
          <w:szCs w:val="24"/>
          <w:lang w:val="en-US" w:eastAsia="zh-CN"/>
        </w:rPr>
        <w:t>23</w:t>
      </w:r>
      <w:r>
        <w:rPr>
          <w:rFonts w:hint="eastAsia" w:ascii="楷体_GB2312" w:hAnsi="Times New Roman" w:eastAsia="楷体_GB2312" w:cs="Times New Roman"/>
          <w:color w:val="auto"/>
          <w:sz w:val="24"/>
          <w:szCs w:val="24"/>
        </w:rPr>
        <w:t>年</w:t>
      </w:r>
      <w:r>
        <w:rPr>
          <w:rFonts w:hint="eastAsia" w:ascii="楷体_GB2312" w:hAnsi="Times New Roman" w:eastAsia="楷体_GB2312" w:cs="Times New Roman"/>
          <w:color w:val="auto"/>
          <w:sz w:val="24"/>
          <w:szCs w:val="24"/>
          <w:lang w:val="en-US" w:eastAsia="zh-CN"/>
        </w:rPr>
        <w:t>1</w:t>
      </w:r>
      <w:r>
        <w:rPr>
          <w:rFonts w:hint="eastAsia" w:ascii="楷体_GB2312" w:hAnsi="Times New Roman" w:eastAsia="楷体_GB2312" w:cs="Times New Roman"/>
          <w:color w:val="auto"/>
          <w:sz w:val="24"/>
          <w:szCs w:val="24"/>
        </w:rPr>
        <w:t>月</w:t>
      </w:r>
      <w:r>
        <w:rPr>
          <w:rFonts w:hint="eastAsia" w:ascii="楷体_GB2312" w:hAnsi="Times New Roman" w:eastAsia="楷体_GB2312" w:cs="Times New Roman"/>
          <w:color w:val="auto"/>
          <w:sz w:val="24"/>
          <w:szCs w:val="24"/>
          <w:lang w:val="en-US" w:eastAsia="zh-CN"/>
        </w:rPr>
        <w:t>31</w:t>
      </w:r>
      <w:r>
        <w:rPr>
          <w:rFonts w:hint="eastAsia" w:ascii="楷体_GB2312" w:hAnsi="Times New Roman" w:eastAsia="楷体_GB2312"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pacing w:val="-6"/>
          <w:sz w:val="24"/>
          <w:szCs w:val="24"/>
        </w:rPr>
      </w:pPr>
      <w:r>
        <w:rPr>
          <w:rFonts w:hint="eastAsia" w:ascii="楷体_GB2312" w:hAnsi="Times New Roman" w:eastAsia="楷体_GB2312" w:cs="Times New Roman"/>
          <w:color w:val="auto"/>
          <w:sz w:val="24"/>
          <w:szCs w:val="24"/>
        </w:rPr>
        <w:t>前续版本：</w:t>
      </w:r>
      <w:r>
        <w:rPr>
          <w:rFonts w:hint="eastAsia" w:ascii="楷体_GB2312" w:hAnsi="Times New Roman" w:eastAsia="楷体_GB2312" w:cs="Times New Roman"/>
          <w:color w:val="auto"/>
          <w:spacing w:val="-6"/>
          <w:sz w:val="24"/>
          <w:szCs w:val="24"/>
        </w:rPr>
        <w:t>《关于划分企业登记注册类型的规定调整的通知》（国统字〔2011〕86号）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2"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第一条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本规定以市场主体登记注册类型为基础，根据统计工作的需要，对各</w:t>
      </w:r>
      <w:r>
        <w:rPr>
          <w:rFonts w:hint="eastAsia" w:ascii="宋体" w:hAnsi="宋体" w:eastAsia="宋体" w:cs="宋体"/>
          <w:spacing w:val="0"/>
          <w:position w:val="0"/>
          <w:sz w:val="24"/>
          <w:szCs w:val="24"/>
          <w:lang w:val="en"/>
        </w:rPr>
        <w:t>种</w:t>
      </w:r>
      <w:r>
        <w:rPr>
          <w:rFonts w:hint="eastAsia" w:ascii="宋体" w:hAnsi="宋体" w:eastAsia="宋体" w:cs="宋体"/>
          <w:spacing w:val="0"/>
          <w:position w:val="0"/>
          <w:sz w:val="24"/>
          <w:szCs w:val="24"/>
        </w:rPr>
        <w:t>市场主体进行再分类。具体划分为以下类别：</w:t>
      </w:r>
    </w:p>
    <w:tbl>
      <w:tblPr>
        <w:tblStyle w:val="18"/>
        <w:tblpPr w:leftFromText="180" w:rightFromText="180" w:vertAnchor="text" w:horzAnchor="page" w:tblpX="1770" w:tblpY="235"/>
        <w:tblOverlap w:val="never"/>
        <w:tblW w:w="4998" w:type="pct"/>
        <w:tblInd w:w="0"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autofit"/>
        <w:tblCellMar>
          <w:top w:w="0" w:type="dxa"/>
          <w:left w:w="108" w:type="dxa"/>
          <w:bottom w:w="0" w:type="dxa"/>
          <w:right w:w="108" w:type="dxa"/>
        </w:tblCellMar>
      </w:tblPr>
      <w:tblGrid>
        <w:gridCol w:w="904"/>
        <w:gridCol w:w="3624"/>
        <w:gridCol w:w="904"/>
        <w:gridCol w:w="362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504" w:hRule="atLeast"/>
        </w:trPr>
        <w:tc>
          <w:tcPr>
            <w:tcW w:w="49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代码</w:t>
            </w:r>
          </w:p>
        </w:tc>
        <w:tc>
          <w:tcPr>
            <w:tcW w:w="2000"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市场主体统计类别</w:t>
            </w:r>
          </w:p>
        </w:tc>
        <w:tc>
          <w:tcPr>
            <w:tcW w:w="49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代码</w:t>
            </w:r>
          </w:p>
        </w:tc>
        <w:tc>
          <w:tcPr>
            <w:tcW w:w="2000"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市场主体统计类别</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100</w:t>
            </w:r>
          </w:p>
        </w:tc>
        <w:tc>
          <w:tcPr>
            <w:tcW w:w="2000"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内资企业</w:t>
            </w:r>
          </w:p>
        </w:tc>
        <w:tc>
          <w:tcPr>
            <w:tcW w:w="49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200</w:t>
            </w:r>
          </w:p>
        </w:tc>
        <w:tc>
          <w:tcPr>
            <w:tcW w:w="2000"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港澳台投资企业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有限责任公司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210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港澳台投资有限责任公司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111</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国有独资公司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220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港澳台投资股份有限公司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112</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私营有限责任公司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230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港澳台投资合伙企业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119</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其他有限责任公司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290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其他港澳台投资企业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股份有限公司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300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外商投资企业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121</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私营股份有限公司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310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外商投资有限责任公司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129</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其他股份有限公司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320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外商投资股份有限公司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非公司企业法人</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330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外商投资合伙企业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131</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全民所有制企业（国有企业）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390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其他外商投资企业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132</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集体所有制企业（集体企业）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400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农民专业合作社（联合社）</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133</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股份合作企业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500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个体工商户</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134</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联营企业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900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其他市场主体</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140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个人独资企业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150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合伙企业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190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其他内资企业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p>
        </w:tc>
      </w:tr>
    </w:tbl>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宋体" w:cs="仿宋_GB2312"/>
          <w:b/>
          <w:bCs/>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w:t>
      </w:r>
      <w:r>
        <w:rPr>
          <w:rFonts w:hint="eastAsia" w:ascii="宋体" w:hAnsi="宋体" w:eastAsia="宋体" w:cs="宋体"/>
          <w:b/>
          <w:bCs/>
          <w:spacing w:val="0"/>
          <w:position w:val="0"/>
          <w:sz w:val="24"/>
          <w:szCs w:val="24"/>
          <w:lang w:val="en"/>
        </w:rPr>
        <w:t>二</w:t>
      </w:r>
      <w:r>
        <w:rPr>
          <w:rFonts w:hint="eastAsia" w:ascii="宋体" w:hAnsi="宋体" w:eastAsia="宋体" w:cs="宋体"/>
          <w:b/>
          <w:bCs/>
          <w:spacing w:val="0"/>
          <w:position w:val="0"/>
          <w:sz w:val="24"/>
          <w:szCs w:val="24"/>
        </w:rPr>
        <w:t xml:space="preserve">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b/>
          <w:bCs/>
          <w:spacing w:val="0"/>
          <w:position w:val="0"/>
          <w:sz w:val="24"/>
          <w:szCs w:val="24"/>
        </w:rPr>
        <w:t>内资企业</w:t>
      </w:r>
      <w:r>
        <w:rPr>
          <w:rFonts w:hint="eastAsia" w:ascii="宋体" w:hAnsi="宋体" w:eastAsia="宋体" w:cs="宋体"/>
          <w:spacing w:val="0"/>
          <w:position w:val="0"/>
          <w:sz w:val="24"/>
          <w:szCs w:val="24"/>
        </w:rPr>
        <w:t>分为有限责任公司、股份有限公司、非公司企业法人、个人独资企业、合伙企业和其他内资企业。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有限责任公司包括登记注册为“内资公司有限责任公司（国有</w:t>
      </w:r>
      <w:r>
        <w:rPr>
          <w:rFonts w:hint="eastAsia" w:ascii="宋体" w:hAnsi="宋体" w:eastAsia="宋体" w:cs="宋体"/>
          <w:spacing w:val="0"/>
          <w:position w:val="0"/>
          <w:sz w:val="24"/>
          <w:szCs w:val="24"/>
          <w:lang w:val="en"/>
        </w:rPr>
        <w:t>独资</w:t>
      </w:r>
      <w:r>
        <w:rPr>
          <w:rFonts w:hint="eastAsia" w:ascii="宋体" w:hAnsi="宋体" w:eastAsia="宋体" w:cs="宋体"/>
          <w:spacing w:val="0"/>
          <w:position w:val="0"/>
          <w:sz w:val="24"/>
          <w:szCs w:val="24"/>
        </w:rPr>
        <w:t>）”、“内资公司</w:t>
      </w:r>
      <w:r>
        <w:rPr>
          <w:rFonts w:hint="eastAsia" w:ascii="宋体" w:hAnsi="宋体" w:eastAsia="宋体" w:cs="宋体"/>
          <w:spacing w:val="0"/>
          <w:position w:val="0"/>
          <w:sz w:val="24"/>
          <w:szCs w:val="24"/>
          <w:lang w:val="en"/>
        </w:rPr>
        <w:t>有限责任公司（外商投资企业投资）</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val="en"/>
        </w:rPr>
        <w:t>、“内资公司有限责任公司（自然人投资或控股）”和“内资分公司有限责任公司分公司（国有独资）”等类型的</w:t>
      </w:r>
      <w:r>
        <w:rPr>
          <w:rFonts w:hint="eastAsia" w:ascii="宋体" w:hAnsi="宋体" w:eastAsia="宋体" w:cs="宋体"/>
          <w:spacing w:val="0"/>
          <w:position w:val="0"/>
          <w:sz w:val="24"/>
          <w:szCs w:val="24"/>
        </w:rPr>
        <w:t>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，将有限责任公司</w:t>
      </w:r>
      <w:r>
        <w:rPr>
          <w:rFonts w:hint="eastAsia" w:ascii="宋体" w:hAnsi="宋体" w:eastAsia="宋体" w:cs="宋体"/>
          <w:spacing w:val="0"/>
          <w:position w:val="0"/>
          <w:sz w:val="24"/>
          <w:szCs w:val="24"/>
        </w:rPr>
        <w:t>进一步划分为国有独资公司、私营有限责任公司和其他有限责任公司。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股份有限公司包括登记注册为“内资公司股份有限公司（上市）”、“内资公司股份有限公司（非上市</w:t>
      </w:r>
      <w:r>
        <w:rPr>
          <w:rFonts w:hint="eastAsia" w:ascii="宋体" w:hAnsi="宋体" w:eastAsia="宋体" w:cs="宋体"/>
          <w:spacing w:val="0"/>
          <w:position w:val="0"/>
          <w:sz w:val="24"/>
          <w:szCs w:val="24"/>
          <w:lang w:val="en"/>
        </w:rPr>
        <w:t>）和“内资分公司股份有限公司分公司（上市）”等类型</w:t>
      </w:r>
      <w:r>
        <w:rPr>
          <w:rFonts w:hint="eastAsia" w:ascii="宋体" w:hAnsi="宋体" w:eastAsia="宋体" w:cs="宋体"/>
          <w:spacing w:val="0"/>
          <w:position w:val="0"/>
          <w:sz w:val="24"/>
          <w:szCs w:val="24"/>
        </w:rPr>
        <w:t>的市场主体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，将股份有限公司</w:t>
      </w:r>
      <w:r>
        <w:rPr>
          <w:rFonts w:hint="eastAsia" w:ascii="宋体" w:hAnsi="宋体" w:eastAsia="宋体" w:cs="宋体"/>
          <w:spacing w:val="0"/>
          <w:position w:val="0"/>
          <w:sz w:val="24"/>
          <w:szCs w:val="24"/>
        </w:rPr>
        <w:t>进一步划分为私营股份有限公司和其他股份有限公司。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非公司企业法人包括登记注册为“全民所有制”、“集体所有制”、“股份合作制”和“联营”</w:t>
      </w:r>
      <w:r>
        <w:rPr>
          <w:rFonts w:hint="eastAsia" w:ascii="宋体" w:hAnsi="宋体" w:eastAsia="宋体" w:cs="宋体"/>
          <w:spacing w:val="0"/>
          <w:kern w:val="0"/>
          <w:position w:val="0"/>
          <w:sz w:val="24"/>
          <w:szCs w:val="24"/>
          <w:shd w:val="clear" w:color="auto" w:fill="FFFFFF"/>
          <w:lang w:bidi="ar"/>
        </w:rPr>
        <w:t>等类型</w:t>
      </w:r>
      <w:r>
        <w:rPr>
          <w:rFonts w:hint="eastAsia" w:ascii="宋体" w:hAnsi="宋体" w:eastAsia="宋体" w:cs="宋体"/>
          <w:spacing w:val="0"/>
          <w:position w:val="0"/>
          <w:sz w:val="24"/>
          <w:szCs w:val="24"/>
        </w:rPr>
        <w:t>的市场主体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，将非公司企业法人</w:t>
      </w:r>
      <w:r>
        <w:rPr>
          <w:rFonts w:hint="eastAsia" w:ascii="宋体" w:hAnsi="宋体" w:eastAsia="宋体" w:cs="宋体"/>
          <w:spacing w:val="0"/>
          <w:position w:val="0"/>
          <w:sz w:val="24"/>
          <w:szCs w:val="24"/>
        </w:rPr>
        <w:t>进一步划分为全民所有制企业（国有企业）、集体所有制企业（集体企业）、股份合作企业和联营企业。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个人独资企业包括登记注册为“个人独资企业”和“个人独资企业分支机构”的市场主体。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合伙企业包括登记注册为“合伙企业”和“合伙企业分支机构”的市场主体。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kern w:val="0"/>
          <w:position w:val="0"/>
          <w:sz w:val="24"/>
          <w:szCs w:val="24"/>
          <w:shd w:val="clear" w:color="auto" w:fill="FFFFFF"/>
          <w:lang w:bidi="ar"/>
        </w:rPr>
      </w:pPr>
      <w:r>
        <w:rPr>
          <w:rFonts w:hint="eastAsia" w:ascii="宋体" w:hAnsi="宋体" w:eastAsia="宋体" w:cs="宋体"/>
          <w:spacing w:val="0"/>
          <w:kern w:val="0"/>
          <w:position w:val="0"/>
          <w:sz w:val="24"/>
          <w:szCs w:val="24"/>
          <w:shd w:val="clear" w:color="auto" w:fill="FFFFFF"/>
          <w:lang w:bidi="ar"/>
        </w:rPr>
        <w:t>其他内资企业包括除上述之外，</w:t>
      </w:r>
      <w:r>
        <w:rPr>
          <w:rFonts w:hint="eastAsia" w:ascii="宋体" w:hAnsi="宋体" w:eastAsia="宋体" w:cs="宋体"/>
          <w:spacing w:val="0"/>
          <w:position w:val="0"/>
          <w:sz w:val="24"/>
          <w:szCs w:val="24"/>
        </w:rPr>
        <w:t>登记注册为“</w:t>
      </w:r>
      <w:r>
        <w:rPr>
          <w:rFonts w:hint="eastAsia" w:ascii="宋体" w:hAnsi="宋体" w:eastAsia="宋体" w:cs="宋体"/>
          <w:spacing w:val="0"/>
          <w:kern w:val="0"/>
          <w:position w:val="0"/>
          <w:sz w:val="24"/>
          <w:szCs w:val="24"/>
          <w:shd w:val="clear" w:color="auto" w:fill="FFFFFF"/>
          <w:lang w:bidi="ar"/>
        </w:rPr>
        <w:t>内资企业法人</w:t>
      </w:r>
      <w:r>
        <w:rPr>
          <w:rFonts w:hint="eastAsia" w:ascii="宋体" w:hAnsi="宋体" w:eastAsia="宋体" w:cs="宋体"/>
          <w:spacing w:val="0"/>
          <w:position w:val="0"/>
          <w:sz w:val="24"/>
          <w:szCs w:val="24"/>
        </w:rPr>
        <w:t>”和“</w:t>
      </w:r>
      <w:r>
        <w:rPr>
          <w:rFonts w:hint="eastAsia" w:ascii="宋体" w:hAnsi="宋体" w:eastAsia="宋体" w:cs="宋体"/>
          <w:spacing w:val="0"/>
          <w:kern w:val="0"/>
          <w:position w:val="0"/>
          <w:sz w:val="24"/>
          <w:szCs w:val="24"/>
          <w:shd w:val="clear" w:color="auto" w:fill="FFFFFF"/>
          <w:lang w:val="en" w:bidi="ar"/>
        </w:rPr>
        <w:t>内资集团</w:t>
      </w:r>
      <w:r>
        <w:rPr>
          <w:rFonts w:hint="eastAsia" w:ascii="宋体" w:hAnsi="宋体" w:eastAsia="宋体" w:cs="宋体"/>
          <w:spacing w:val="0"/>
          <w:kern w:val="0"/>
          <w:position w:val="0"/>
          <w:sz w:val="24"/>
          <w:szCs w:val="24"/>
          <w:shd w:val="clear" w:color="auto" w:fill="FFFFFF"/>
          <w:lang w:bidi="ar"/>
        </w:rPr>
        <w:t>”等类型的市场主体。</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 xml:space="preserve">第三条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b/>
          <w:bCs/>
          <w:spacing w:val="0"/>
          <w:position w:val="0"/>
          <w:sz w:val="24"/>
          <w:szCs w:val="24"/>
        </w:rPr>
        <w:t>港澳台投资企业</w:t>
      </w:r>
      <w:r>
        <w:rPr>
          <w:rFonts w:hint="eastAsia" w:ascii="宋体" w:hAnsi="宋体" w:eastAsia="宋体" w:cs="宋体"/>
          <w:spacing w:val="0"/>
          <w:position w:val="0"/>
          <w:sz w:val="24"/>
          <w:szCs w:val="24"/>
        </w:rPr>
        <w:t>包括登记注册为“港、澳、台投资企业有限责任公司”、“港、澳、台投资企业</w:t>
      </w:r>
      <w:r>
        <w:rPr>
          <w:rFonts w:hint="eastAsia" w:ascii="宋体" w:hAnsi="宋体" w:eastAsia="宋体" w:cs="宋体"/>
          <w:spacing w:val="0"/>
          <w:kern w:val="0"/>
          <w:position w:val="0"/>
          <w:sz w:val="24"/>
          <w:szCs w:val="24"/>
          <w:shd w:val="clear" w:color="auto" w:fill="FFFFFF"/>
          <w:lang w:bidi="ar"/>
        </w:rPr>
        <w:t>股份有限公司”</w:t>
      </w:r>
      <w:r>
        <w:rPr>
          <w:rFonts w:hint="eastAsia" w:ascii="宋体" w:hAnsi="宋体" w:eastAsia="宋体" w:cs="宋体"/>
          <w:spacing w:val="0"/>
          <w:kern w:val="0"/>
          <w:position w:val="0"/>
          <w:sz w:val="24"/>
          <w:szCs w:val="24"/>
          <w:shd w:val="clear" w:color="auto" w:fill="FFFFFF"/>
          <w:lang w:val="en" w:bidi="ar"/>
        </w:rPr>
        <w:t>和“</w:t>
      </w:r>
      <w:r>
        <w:rPr>
          <w:rFonts w:hint="eastAsia" w:ascii="宋体" w:hAnsi="宋体" w:eastAsia="宋体" w:cs="宋体"/>
          <w:spacing w:val="0"/>
          <w:position w:val="0"/>
          <w:sz w:val="24"/>
          <w:szCs w:val="24"/>
        </w:rPr>
        <w:t>港、澳、台投资企业</w:t>
      </w:r>
      <w:r>
        <w:rPr>
          <w:rFonts w:hint="eastAsia" w:ascii="宋体" w:hAnsi="宋体" w:eastAsia="宋体" w:cs="宋体"/>
          <w:spacing w:val="0"/>
          <w:position w:val="0"/>
          <w:sz w:val="24"/>
          <w:szCs w:val="24"/>
          <w:lang w:val="en"/>
        </w:rPr>
        <w:t>非公司</w:t>
      </w:r>
      <w:r>
        <w:rPr>
          <w:rFonts w:hint="eastAsia" w:ascii="宋体" w:hAnsi="宋体" w:eastAsia="宋体" w:cs="宋体"/>
          <w:spacing w:val="0"/>
          <w:kern w:val="0"/>
          <w:position w:val="0"/>
          <w:sz w:val="24"/>
          <w:szCs w:val="24"/>
          <w:shd w:val="clear" w:color="auto" w:fill="FFFFFF"/>
          <w:lang w:val="en" w:bidi="ar"/>
        </w:rPr>
        <w:t>”等类型</w:t>
      </w:r>
      <w:r>
        <w:rPr>
          <w:rFonts w:hint="eastAsia" w:ascii="宋体" w:hAnsi="宋体" w:eastAsia="宋体" w:cs="宋体"/>
          <w:spacing w:val="0"/>
          <w:position w:val="0"/>
          <w:sz w:val="24"/>
          <w:szCs w:val="24"/>
        </w:rPr>
        <w:t>的市场主体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，将港澳台投资企业</w:t>
      </w:r>
      <w:r>
        <w:rPr>
          <w:rFonts w:hint="eastAsia" w:ascii="宋体" w:hAnsi="宋体" w:eastAsia="宋体" w:cs="宋体"/>
          <w:spacing w:val="0"/>
          <w:position w:val="0"/>
          <w:sz w:val="24"/>
          <w:szCs w:val="24"/>
        </w:rPr>
        <w:t>进一步划分为港澳台投资有限责任公司、港澳台投资</w:t>
      </w:r>
      <w:r>
        <w:rPr>
          <w:rFonts w:hint="eastAsia" w:ascii="宋体" w:hAnsi="宋体" w:eastAsia="宋体" w:cs="宋体"/>
          <w:spacing w:val="0"/>
          <w:kern w:val="0"/>
          <w:position w:val="0"/>
          <w:sz w:val="24"/>
          <w:szCs w:val="24"/>
          <w:shd w:val="clear" w:color="auto" w:fill="FFFFFF"/>
          <w:lang w:bidi="ar"/>
        </w:rPr>
        <w:t>股份有限公司、</w:t>
      </w:r>
      <w:r>
        <w:rPr>
          <w:rFonts w:hint="eastAsia" w:ascii="宋体" w:hAnsi="宋体" w:eastAsia="宋体" w:cs="宋体"/>
          <w:spacing w:val="0"/>
          <w:position w:val="0"/>
          <w:sz w:val="24"/>
          <w:szCs w:val="24"/>
        </w:rPr>
        <w:t>港澳台投资合伙企业和其他港澳台投资企业。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kern w:val="0"/>
          <w:position w:val="0"/>
          <w:sz w:val="24"/>
          <w:szCs w:val="24"/>
          <w:lang w:val="en-US" w:eastAsia="zh-CN" w:bidi="ar-SA"/>
        </w:rPr>
      </w:pPr>
      <w:r>
        <w:rPr>
          <w:rFonts w:hint="eastAsia" w:ascii="宋体" w:hAnsi="宋体" w:eastAsia="宋体" w:cs="宋体"/>
          <w:b/>
          <w:bCs/>
          <w:spacing w:val="0"/>
          <w:kern w:val="0"/>
          <w:position w:val="0"/>
          <w:sz w:val="24"/>
          <w:szCs w:val="24"/>
          <w:lang w:val="en-US" w:eastAsia="zh-CN" w:bidi="ar-SA"/>
        </w:rPr>
        <w:t xml:space="preserve">第四条 </w:t>
      </w:r>
      <w:r>
        <w:rPr>
          <w:rFonts w:hint="eastAsia" w:ascii="宋体" w:hAnsi="宋体" w:eastAsia="宋体" w:cs="宋体"/>
          <w:b/>
          <w:bCs/>
          <w:spacing w:val="0"/>
          <w:kern w:val="0"/>
          <w:position w:val="0"/>
          <w:sz w:val="24"/>
          <w:szCs w:val="24"/>
          <w:lang w:val="en" w:eastAsia="zh-CN" w:bidi="ar-SA"/>
        </w:rPr>
        <w:t xml:space="preserve"> </w:t>
      </w:r>
      <w:r>
        <w:rPr>
          <w:rFonts w:hint="eastAsia" w:ascii="宋体" w:hAnsi="宋体" w:eastAsia="宋体" w:cs="宋体"/>
          <w:b/>
          <w:bCs/>
          <w:spacing w:val="0"/>
          <w:kern w:val="0"/>
          <w:position w:val="0"/>
          <w:sz w:val="24"/>
          <w:szCs w:val="24"/>
          <w:lang w:val="en-US" w:eastAsia="zh-CN" w:bidi="ar-SA"/>
        </w:rPr>
        <w:t>外商投资企业</w:t>
      </w:r>
      <w:r>
        <w:rPr>
          <w:rFonts w:hint="eastAsia" w:ascii="宋体" w:hAnsi="宋体" w:eastAsia="宋体" w:cs="宋体"/>
          <w:spacing w:val="0"/>
          <w:kern w:val="0"/>
          <w:position w:val="0"/>
          <w:sz w:val="24"/>
          <w:szCs w:val="24"/>
          <w:lang w:val="en-US" w:eastAsia="zh-CN" w:bidi="ar-SA"/>
        </w:rPr>
        <w:t>包括登记注册为“外商投资企业有限责任公司”、“外商投资企业</w:t>
      </w:r>
      <w:r>
        <w:rPr>
          <w:rFonts w:hint="eastAsia" w:ascii="宋体" w:hAnsi="宋体" w:eastAsia="宋体" w:cs="宋体"/>
          <w:spacing w:val="0"/>
          <w:kern w:val="0"/>
          <w:position w:val="0"/>
          <w:sz w:val="24"/>
          <w:szCs w:val="24"/>
          <w:shd w:val="clear" w:color="auto" w:fill="FFFFFF"/>
          <w:lang w:val="en-US" w:eastAsia="zh-CN" w:bidi="ar"/>
        </w:rPr>
        <w:t>股份有限公司”</w:t>
      </w:r>
      <w:r>
        <w:rPr>
          <w:rFonts w:hint="eastAsia" w:ascii="宋体" w:hAnsi="宋体" w:eastAsia="宋体" w:cs="宋体"/>
          <w:spacing w:val="0"/>
          <w:kern w:val="0"/>
          <w:position w:val="0"/>
          <w:sz w:val="24"/>
          <w:szCs w:val="24"/>
          <w:lang w:val="en-US" w:eastAsia="zh-CN" w:bidi="ar-SA"/>
        </w:rPr>
        <w:t>、“</w:t>
      </w:r>
      <w:r>
        <w:rPr>
          <w:rFonts w:hint="eastAsia" w:ascii="宋体" w:hAnsi="宋体" w:eastAsia="宋体" w:cs="宋体"/>
          <w:spacing w:val="0"/>
          <w:kern w:val="0"/>
          <w:position w:val="0"/>
          <w:sz w:val="24"/>
          <w:szCs w:val="24"/>
          <w:lang w:val="en" w:eastAsia="zh-CN" w:bidi="ar-SA"/>
        </w:rPr>
        <w:t>外国（地区）公司分支机构</w:t>
      </w:r>
      <w:r>
        <w:rPr>
          <w:rFonts w:hint="eastAsia" w:ascii="宋体" w:hAnsi="宋体" w:eastAsia="宋体" w:cs="宋体"/>
          <w:spacing w:val="0"/>
          <w:kern w:val="0"/>
          <w:position w:val="0"/>
          <w:sz w:val="24"/>
          <w:szCs w:val="24"/>
          <w:lang w:val="en-US" w:eastAsia="zh-CN" w:bidi="ar-SA"/>
        </w:rPr>
        <w:t>”</w:t>
      </w:r>
      <w:r>
        <w:rPr>
          <w:rFonts w:hint="eastAsia" w:ascii="宋体" w:hAnsi="宋体" w:eastAsia="宋体" w:cs="宋体"/>
          <w:spacing w:val="0"/>
          <w:kern w:val="0"/>
          <w:position w:val="0"/>
          <w:sz w:val="24"/>
          <w:szCs w:val="24"/>
          <w:lang w:val="en" w:eastAsia="zh-CN" w:bidi="ar-SA"/>
        </w:rPr>
        <w:t>和</w:t>
      </w:r>
      <w:r>
        <w:rPr>
          <w:rFonts w:hint="eastAsia" w:ascii="宋体" w:hAnsi="宋体" w:eastAsia="宋体" w:cs="宋体"/>
          <w:spacing w:val="0"/>
          <w:kern w:val="0"/>
          <w:position w:val="0"/>
          <w:sz w:val="24"/>
          <w:szCs w:val="24"/>
          <w:lang w:val="en-US" w:eastAsia="zh-CN" w:bidi="ar-SA"/>
        </w:rPr>
        <w:t>“外资集团”</w:t>
      </w:r>
      <w:r>
        <w:rPr>
          <w:rFonts w:hint="eastAsia" w:ascii="宋体" w:hAnsi="宋体" w:eastAsia="宋体" w:cs="宋体"/>
          <w:spacing w:val="0"/>
          <w:kern w:val="0"/>
          <w:position w:val="0"/>
          <w:sz w:val="24"/>
          <w:szCs w:val="24"/>
          <w:lang w:val="en" w:eastAsia="zh-CN" w:bidi="ar-SA"/>
        </w:rPr>
        <w:t>等类型</w:t>
      </w:r>
      <w:r>
        <w:rPr>
          <w:rFonts w:hint="eastAsia" w:ascii="宋体" w:hAnsi="宋体" w:eastAsia="宋体" w:cs="宋体"/>
          <w:spacing w:val="0"/>
          <w:kern w:val="0"/>
          <w:position w:val="0"/>
          <w:sz w:val="24"/>
          <w:szCs w:val="24"/>
          <w:lang w:val="en-US" w:eastAsia="zh-CN" w:bidi="ar-SA"/>
        </w:rPr>
        <w:t>的市场主体</w:t>
      </w:r>
      <w:r>
        <w:rPr>
          <w:rFonts w:hint="eastAsia" w:ascii="宋体" w:hAnsi="宋体" w:eastAsia="宋体" w:cs="宋体"/>
          <w:spacing w:val="0"/>
          <w:kern w:val="0"/>
          <w:position w:val="0"/>
          <w:sz w:val="24"/>
          <w:szCs w:val="24"/>
          <w:lang w:val="en" w:eastAsia="zh-CN" w:bidi="ar-SA"/>
        </w:rPr>
        <w:t>。</w:t>
      </w:r>
      <w:r>
        <w:rPr>
          <w:rFonts w:hint="eastAsia" w:ascii="宋体" w:hAnsi="宋体" w:eastAsia="宋体" w:cs="宋体"/>
          <w:spacing w:val="0"/>
          <w:kern w:val="0"/>
          <w:position w:val="0"/>
          <w:sz w:val="24"/>
          <w:szCs w:val="24"/>
          <w:lang w:val="en-US" w:eastAsia="zh-CN" w:bidi="ar-SA"/>
        </w:rPr>
        <w:t>根据相关属性</w:t>
      </w:r>
      <w:r>
        <w:rPr>
          <w:rFonts w:hint="eastAsia" w:ascii="宋体" w:hAnsi="宋体" w:eastAsia="宋体" w:cs="宋体"/>
          <w:spacing w:val="0"/>
          <w:kern w:val="0"/>
          <w:position w:val="0"/>
          <w:sz w:val="24"/>
          <w:szCs w:val="24"/>
          <w:lang w:val="en" w:eastAsia="zh-CN" w:bidi="ar-SA"/>
        </w:rPr>
        <w:t>，将外商投资企业</w:t>
      </w:r>
      <w:r>
        <w:rPr>
          <w:rFonts w:hint="eastAsia" w:ascii="宋体" w:hAnsi="宋体" w:eastAsia="宋体" w:cs="宋体"/>
          <w:spacing w:val="0"/>
          <w:kern w:val="0"/>
          <w:position w:val="0"/>
          <w:sz w:val="24"/>
          <w:szCs w:val="24"/>
          <w:lang w:val="en-US" w:eastAsia="zh-CN" w:bidi="ar-SA"/>
        </w:rPr>
        <w:t>进一步划分为外商投资有限责任公司、外商投资</w:t>
      </w:r>
      <w:r>
        <w:rPr>
          <w:rFonts w:hint="eastAsia" w:ascii="宋体" w:hAnsi="宋体" w:eastAsia="宋体" w:cs="宋体"/>
          <w:spacing w:val="0"/>
          <w:kern w:val="0"/>
          <w:position w:val="0"/>
          <w:sz w:val="24"/>
          <w:szCs w:val="24"/>
          <w:shd w:val="clear" w:color="auto" w:fill="FFFFFF"/>
          <w:lang w:val="en-US" w:eastAsia="zh-CN" w:bidi="ar"/>
        </w:rPr>
        <w:t>股份有限公司、</w:t>
      </w:r>
      <w:r>
        <w:rPr>
          <w:rFonts w:hint="eastAsia" w:ascii="宋体" w:hAnsi="宋体" w:eastAsia="宋体" w:cs="宋体"/>
          <w:spacing w:val="0"/>
          <w:kern w:val="0"/>
          <w:position w:val="0"/>
          <w:sz w:val="24"/>
          <w:szCs w:val="24"/>
          <w:lang w:val="en-US" w:eastAsia="zh-CN" w:bidi="ar-SA"/>
        </w:rPr>
        <w:t>外商投资合伙企业和其他外商投资企业。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kern w:val="0"/>
          <w:position w:val="0"/>
          <w:sz w:val="24"/>
          <w:szCs w:val="24"/>
          <w:lang w:val="en-US" w:eastAsia="zh-CN" w:bidi="ar-SA"/>
        </w:rPr>
      </w:pPr>
      <w:r>
        <w:rPr>
          <w:rFonts w:hint="eastAsia" w:ascii="宋体" w:hAnsi="宋体" w:eastAsia="宋体" w:cs="宋体"/>
          <w:b/>
          <w:bCs/>
          <w:spacing w:val="0"/>
          <w:kern w:val="0"/>
          <w:position w:val="0"/>
          <w:sz w:val="24"/>
          <w:szCs w:val="24"/>
          <w:lang w:val="en-US" w:eastAsia="zh-CN" w:bidi="ar-SA"/>
        </w:rPr>
        <w:t xml:space="preserve">第五条 </w:t>
      </w:r>
      <w:r>
        <w:rPr>
          <w:rFonts w:hint="eastAsia" w:ascii="宋体" w:hAnsi="宋体" w:eastAsia="宋体" w:cs="宋体"/>
          <w:b/>
          <w:bCs/>
          <w:spacing w:val="0"/>
          <w:kern w:val="0"/>
          <w:position w:val="0"/>
          <w:sz w:val="24"/>
          <w:szCs w:val="24"/>
          <w:lang w:val="en" w:eastAsia="zh-CN" w:bidi="ar-SA"/>
        </w:rPr>
        <w:t xml:space="preserve"> </w:t>
      </w:r>
      <w:r>
        <w:rPr>
          <w:rFonts w:hint="eastAsia" w:ascii="宋体" w:hAnsi="宋体" w:eastAsia="宋体" w:cs="宋体"/>
          <w:b/>
          <w:bCs/>
          <w:spacing w:val="0"/>
          <w:kern w:val="0"/>
          <w:position w:val="0"/>
          <w:sz w:val="24"/>
          <w:szCs w:val="24"/>
          <w:lang w:val="en-US" w:eastAsia="zh-CN" w:bidi="ar-SA"/>
        </w:rPr>
        <w:t>农民专业合作社（联合社）</w:t>
      </w:r>
      <w:r>
        <w:rPr>
          <w:rFonts w:hint="eastAsia" w:ascii="宋体" w:hAnsi="宋体" w:eastAsia="宋体" w:cs="宋体"/>
          <w:spacing w:val="0"/>
          <w:kern w:val="0"/>
          <w:position w:val="0"/>
          <w:sz w:val="24"/>
          <w:szCs w:val="24"/>
          <w:lang w:val="en-US" w:eastAsia="zh-CN" w:bidi="ar-SA"/>
        </w:rPr>
        <w:t>包括登记注册为“农民专业合作社”和“农民专业合作社分支机构”的市场主体。</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kern w:val="0"/>
          <w:position w:val="0"/>
          <w:sz w:val="24"/>
          <w:szCs w:val="24"/>
          <w:lang w:val="en-US" w:eastAsia="zh-CN" w:bidi="ar-SA"/>
        </w:rPr>
      </w:pPr>
      <w:r>
        <w:rPr>
          <w:rFonts w:hint="eastAsia" w:ascii="宋体" w:hAnsi="宋体" w:eastAsia="宋体" w:cs="宋体"/>
          <w:b/>
          <w:bCs/>
          <w:spacing w:val="0"/>
          <w:kern w:val="0"/>
          <w:position w:val="0"/>
          <w:sz w:val="24"/>
          <w:szCs w:val="24"/>
          <w:lang w:val="en-US" w:eastAsia="zh-CN" w:bidi="ar-SA"/>
        </w:rPr>
        <w:t xml:space="preserve">第六条 </w:t>
      </w:r>
      <w:r>
        <w:rPr>
          <w:rFonts w:hint="eastAsia" w:ascii="宋体" w:hAnsi="宋体" w:eastAsia="宋体" w:cs="宋体"/>
          <w:b/>
          <w:bCs/>
          <w:spacing w:val="0"/>
          <w:kern w:val="0"/>
          <w:position w:val="0"/>
          <w:sz w:val="24"/>
          <w:szCs w:val="24"/>
          <w:lang w:val="en" w:eastAsia="zh-CN" w:bidi="ar-SA"/>
        </w:rPr>
        <w:t xml:space="preserve"> </w:t>
      </w:r>
      <w:r>
        <w:rPr>
          <w:rFonts w:hint="eastAsia" w:ascii="宋体" w:hAnsi="宋体" w:eastAsia="宋体" w:cs="宋体"/>
          <w:b/>
          <w:bCs/>
          <w:spacing w:val="0"/>
          <w:kern w:val="0"/>
          <w:position w:val="0"/>
          <w:sz w:val="24"/>
          <w:szCs w:val="24"/>
          <w:lang w:val="en-US" w:eastAsia="zh-CN" w:bidi="ar-SA"/>
        </w:rPr>
        <w:t>个体工商户</w:t>
      </w:r>
      <w:r>
        <w:rPr>
          <w:rFonts w:hint="eastAsia" w:ascii="宋体" w:hAnsi="宋体" w:eastAsia="宋体" w:cs="宋体"/>
          <w:spacing w:val="0"/>
          <w:kern w:val="0"/>
          <w:position w:val="0"/>
          <w:sz w:val="24"/>
          <w:szCs w:val="24"/>
          <w:lang w:val="en-US" w:eastAsia="zh-CN" w:bidi="ar-SA"/>
        </w:rPr>
        <w:t>是指登记注册为“个体工商户”的市场主体。</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第七条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b/>
          <w:bCs/>
          <w:spacing w:val="0"/>
          <w:position w:val="0"/>
          <w:sz w:val="24"/>
          <w:szCs w:val="24"/>
        </w:rPr>
        <w:t>其他市场主体</w:t>
      </w:r>
      <w:r>
        <w:rPr>
          <w:rFonts w:hint="eastAsia" w:ascii="宋体" w:hAnsi="宋体" w:eastAsia="宋体" w:cs="宋体"/>
          <w:spacing w:val="0"/>
          <w:position w:val="0"/>
          <w:sz w:val="24"/>
          <w:szCs w:val="24"/>
        </w:rPr>
        <w:t>包括除上述第二条至第六条之外的市场主体。</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第八条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本规定由国家统计局会同国家市场监督管理总局负责解释。</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第九条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本规定自发布之日起施行。其他组织机构的统计分类参照本规定划分。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第十条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国家统计局和原国家工商行政管理总局2011年制定的《关于划分企业登记注册类型的规定调整的通知》，以及国家统计局1999年制定的《个体经营分类与代码》同时废止。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lang w:bidi="ar"/>
        </w:rPr>
      </w:pPr>
      <w:r>
        <w:rPr>
          <w:rFonts w:hint="eastAsia" w:ascii="宋体" w:hAnsi="宋体" w:eastAsia="宋体" w:cs="宋体"/>
          <w:spacing w:val="0"/>
          <w:position w:val="0"/>
          <w:sz w:val="24"/>
          <w:szCs w:val="24"/>
        </w:rPr>
        <w:t>附表：</w:t>
      </w:r>
      <w:r>
        <w:rPr>
          <w:rFonts w:hint="eastAsia" w:ascii="宋体" w:hAnsi="宋体" w:eastAsia="宋体" w:cs="宋体"/>
          <w:spacing w:val="0"/>
          <w:position w:val="0"/>
          <w:sz w:val="24"/>
          <w:szCs w:val="24"/>
          <w:lang w:bidi="ar"/>
        </w:rPr>
        <w:t>市场主体登记注册类型与统计类别对照表</w:t>
      </w:r>
    </w:p>
    <w:p>
      <w:pPr>
        <w:widowControl/>
        <w:spacing w:before="120" w:beforeLines="50"/>
        <w:jc w:val="left"/>
        <w:rPr>
          <w:rFonts w:ascii="宋体" w:hAnsi="Times New Roman" w:eastAsia="宋体" w:cs="宋体"/>
          <w:color w:val="auto"/>
          <w:kern w:val="0"/>
          <w:szCs w:val="21"/>
        </w:rPr>
      </w:pPr>
    </w:p>
    <w:p>
      <w:pPr>
        <w:widowControl/>
        <w:spacing w:before="120" w:beforeLines="50"/>
        <w:jc w:val="left"/>
        <w:rPr>
          <w:rFonts w:ascii="宋体" w:hAnsi="Times New Roman" w:eastAsia="宋体" w:cs="宋体"/>
          <w:color w:val="auto"/>
          <w:kern w:val="0"/>
          <w:szCs w:val="21"/>
        </w:rPr>
      </w:pPr>
    </w:p>
    <w:p>
      <w:pPr>
        <w:widowControl/>
        <w:spacing w:before="120" w:beforeLines="50"/>
        <w:jc w:val="left"/>
        <w:rPr>
          <w:rFonts w:ascii="宋体" w:hAnsi="Times New Roman" w:eastAsia="宋体" w:cs="宋体"/>
          <w:color w:val="auto"/>
          <w:kern w:val="0"/>
          <w:szCs w:val="21"/>
        </w:rPr>
      </w:pPr>
    </w:p>
    <w:p>
      <w:pPr>
        <w:widowControl/>
        <w:spacing w:before="120" w:beforeLines="50"/>
        <w:jc w:val="left"/>
        <w:rPr>
          <w:rFonts w:ascii="宋体" w:hAnsi="Times New Roman" w:eastAsia="宋体" w:cs="宋体"/>
          <w:color w:val="auto"/>
          <w:kern w:val="0"/>
          <w:szCs w:val="21"/>
        </w:rPr>
      </w:pPr>
    </w:p>
    <w:p>
      <w:pPr>
        <w:keepNext w:val="0"/>
        <w:keepLines w:val="0"/>
        <w:pageBreakBefore w:val="0"/>
        <w:widowControl/>
        <w:kinsoku/>
        <w:wordWrap/>
        <w:overflowPunct/>
        <w:topLinePunct w:val="0"/>
        <w:autoSpaceDE/>
        <w:autoSpaceDN/>
        <w:bidi w:val="0"/>
        <w:adjustRightInd/>
        <w:snapToGrid/>
        <w:spacing w:before="0" w:after="0" w:line="400" w:lineRule="exact"/>
        <w:jc w:val="both"/>
        <w:textAlignment w:val="auto"/>
        <w:outlineLvl w:val="9"/>
        <w:rPr>
          <w:rFonts w:hint="eastAsia" w:ascii="黑体" w:hAnsi="Calibri" w:eastAsia="黑体"/>
          <w:b w:val="0"/>
          <w:bCs/>
          <w:sz w:val="24"/>
          <w:szCs w:val="24"/>
          <w:lang w:val="en-US" w:eastAsia="zh-CN"/>
        </w:rPr>
      </w:pPr>
      <w:r>
        <w:rPr>
          <w:rFonts w:ascii="宋体" w:hAnsi="Cambria" w:eastAsia="宋体" w:cs="宋体"/>
          <w:b/>
          <w:color w:val="auto"/>
          <w:kern w:val="0"/>
          <w:sz w:val="32"/>
          <w:szCs w:val="21"/>
          <w:lang w:val="en-US" w:eastAsia="zh-CN" w:bidi="ar-SA"/>
        </w:rPr>
        <w:br w:type="page"/>
      </w:r>
      <w:r>
        <w:rPr>
          <w:rFonts w:hint="eastAsia" w:ascii="黑体" w:hAnsi="Calibri" w:eastAsia="黑体"/>
          <w:b w:val="0"/>
          <w:bCs/>
          <w:sz w:val="24"/>
          <w:szCs w:val="24"/>
          <w:lang w:val="en-US" w:eastAsia="zh-CN"/>
        </w:rPr>
        <w:t>附  表</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lang w:val="en-US" w:eastAsia="zh-CN"/>
        </w:rPr>
      </w:pPr>
      <w:r>
        <w:rPr>
          <w:rFonts w:hint="eastAsia" w:ascii="黑体" w:hAnsi="Calibri" w:eastAsia="黑体"/>
          <w:b w:val="0"/>
          <w:bCs/>
          <w:sz w:val="28"/>
          <w:szCs w:val="28"/>
          <w:lang w:val="en-US" w:eastAsia="zh-CN"/>
        </w:rPr>
        <w:t>市场主体登记注册类型与统计类别对照表</w:t>
      </w:r>
    </w:p>
    <w:tbl>
      <w:tblPr>
        <w:tblStyle w:val="18"/>
        <w:tblW w:w="499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5119"/>
        <w:gridCol w:w="660"/>
        <w:gridCol w:w="26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88" w:hRule="atLeast"/>
          <w:tblHeader/>
          <w:jc w:val="center"/>
        </w:trPr>
        <w:tc>
          <w:tcPr>
            <w:tcW w:w="3178"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登记注册类型及代码</w:t>
            </w:r>
          </w:p>
        </w:tc>
        <w:tc>
          <w:tcPr>
            <w:tcW w:w="1821"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统计类别及代码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1000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内资公司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b/>
                <w:bCs/>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b/>
                <w:bCs/>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有限责任公司(国有独资)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国有独资公司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有限责任公司(外商投资企业与内资合资)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有限责任公司(外商投资企业法人独资)  </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一人有限责任公司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有限责任公司(自然人投资或控股的法人独资)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1153</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有限责任公司(非自然人投资或控股的法人独资）</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spacing w:val="-6"/>
                <w:sz w:val="20"/>
                <w:szCs w:val="20"/>
                <w:lang w:val="en"/>
              </w:rPr>
            </w:pPr>
            <w:r>
              <w:rPr>
                <w:rFonts w:hint="eastAsia" w:ascii="宋体" w:hAnsi="宋体" w:eastAsia="宋体" w:cs="宋体"/>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spacing w:val="-6"/>
                <w:sz w:val="20"/>
                <w:szCs w:val="20"/>
                <w:lang w:val="en"/>
              </w:rPr>
            </w:pPr>
            <w:r>
              <w:rPr>
                <w:rFonts w:hint="eastAsia" w:ascii="宋体" w:hAnsi="宋体" w:eastAsia="宋体" w:cs="宋体"/>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bCs/>
                <w:color w:val="000000"/>
                <w:spacing w:val="-6"/>
                <w:sz w:val="20"/>
                <w:szCs w:val="20"/>
              </w:rPr>
            </w:pPr>
            <w:r>
              <w:rPr>
                <w:rFonts w:hint="eastAsia" w:ascii="宋体" w:hAnsi="宋体" w:eastAsia="宋体" w:cs="宋体"/>
                <w:b/>
                <w:bCs/>
                <w:color w:val="000000"/>
                <w:spacing w:val="-6"/>
                <w:kern w:val="0"/>
                <w:sz w:val="20"/>
                <w:szCs w:val="20"/>
                <w:lang w:bidi="ar"/>
              </w:rPr>
              <w:t>2000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bCs/>
                <w:color w:val="000000"/>
                <w:spacing w:val="-6"/>
                <w:sz w:val="20"/>
                <w:szCs w:val="20"/>
              </w:rPr>
            </w:pPr>
            <w:r>
              <w:rPr>
                <w:rFonts w:hint="eastAsia" w:ascii="宋体" w:hAnsi="宋体" w:eastAsia="宋体" w:cs="宋体"/>
                <w:b/>
                <w:bCs/>
                <w:color w:val="000000"/>
                <w:spacing w:val="-6"/>
                <w:kern w:val="0"/>
                <w:sz w:val="20"/>
                <w:szCs w:val="20"/>
                <w:lang w:bidi="ar"/>
              </w:rPr>
              <w:t>内资分公司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有限责任公司分公司(国有独资)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国有独资公司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有限责任公司分公司(外商投资企业与内资合资)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一人有限责任公司分公司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有限责任公司分公司(自然人投资或控股的法人独资)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2153</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w:t>
            </w:r>
            <w:r>
              <w:rPr>
                <w:rFonts w:hint="eastAsia" w:ascii="宋体" w:hAnsi="宋体" w:eastAsia="宋体" w:cs="宋体"/>
                <w:color w:val="000000"/>
                <w:spacing w:val="0"/>
                <w:kern w:val="0"/>
                <w:sz w:val="20"/>
                <w:szCs w:val="20"/>
                <w:lang w:bidi="ar"/>
              </w:rPr>
              <w:t>限责任公司分公司(非自然人投资或控股的法人独资）</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其他有限责任公司分公司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其他股份有限公司分公司(上市)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股份有限公司分公司(非上市、外商投资企业投资)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股份有限公司分公司(非上市、自然人投资或控股)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其他股份有限公司分公司(非上市)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3000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内资企业法人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全民所有制</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集体所有制</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3300</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股份制</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股份合作制</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133</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股份合作企业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3500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 xml:space="preserve">  联营</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134</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联营企业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4000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11"/>
                <w:sz w:val="20"/>
                <w:szCs w:val="20"/>
              </w:rPr>
            </w:pPr>
            <w:r>
              <w:rPr>
                <w:rFonts w:hint="eastAsia" w:ascii="宋体" w:hAnsi="宋体" w:eastAsia="宋体" w:cs="宋体"/>
                <w:b/>
                <w:color w:val="000000"/>
                <w:spacing w:val="-11"/>
                <w:kern w:val="0"/>
                <w:sz w:val="20"/>
                <w:szCs w:val="20"/>
                <w:lang w:bidi="ar"/>
              </w:rPr>
              <w:t>内资非法人企业、非公司私营企业及内资非公司企业分支机构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事业单位营业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国有事业单位营业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集体事业单位营业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社团法人营业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国有社团法人营业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集体社团法人营业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内资企业法人分支机构(非法人)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全民所有制分支机构(非法人)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集体分支机构(非法人)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Cs/>
                <w:color w:val="000000"/>
                <w:spacing w:val="-6"/>
                <w:kern w:val="0"/>
                <w:sz w:val="20"/>
                <w:szCs w:val="20"/>
                <w:lang w:bidi="ar"/>
              </w:rPr>
            </w:pPr>
            <w:r>
              <w:rPr>
                <w:rFonts w:hint="eastAsia" w:ascii="宋体" w:hAnsi="宋体" w:eastAsia="宋体" w:cs="宋体"/>
                <w:bCs/>
                <w:color w:val="000000"/>
                <w:spacing w:val="-6"/>
                <w:kern w:val="0"/>
                <w:sz w:val="20"/>
                <w:szCs w:val="20"/>
                <w:lang w:bidi="ar"/>
              </w:rPr>
              <w:t>4330</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Cs/>
                <w:color w:val="000000"/>
                <w:spacing w:val="-6"/>
                <w:kern w:val="0"/>
                <w:sz w:val="20"/>
                <w:szCs w:val="20"/>
                <w:lang w:bidi="ar"/>
              </w:rPr>
            </w:pPr>
            <w:r>
              <w:rPr>
                <w:rFonts w:hint="eastAsia" w:ascii="宋体" w:hAnsi="宋体" w:eastAsia="宋体" w:cs="宋体"/>
                <w:bCs/>
                <w:color w:val="000000"/>
                <w:spacing w:val="-6"/>
                <w:kern w:val="0"/>
                <w:sz w:val="20"/>
                <w:szCs w:val="20"/>
                <w:lang w:bidi="ar"/>
              </w:rPr>
              <w:t xml:space="preserve">    股份制分支机构</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股份合作制分支机构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bidi="ar"/>
              </w:rPr>
              <w:t>133</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股份合作企业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经营单位(非法人)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4410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国有经营单位(非法人)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4420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集体经营单位(非法人)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非公司私营企业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个人独资企业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140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个人独资企业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个人独资企业分支机构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140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个人独资企业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4600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联营</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134</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联营企业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4700</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股份制企业(非法人)</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5000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外商投资企业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有限责任公司(中外合资)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有限责任公司(中外合作)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有限责任公司(外国自然人独资)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有限责任公司(外国法人独资)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有限责任公司(外国非法人经济组织独资)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5180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有限责任公司(外商投资、非独资)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股份有限公司(中外合资、未上市)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股份有限公司(中外合资、上市)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股份有限公司(外商投资、未上市)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股份有限公司(外商投资、上市)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非公司外商投资企业(中外合作)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非公司外商投资企业(外商合资)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外商投资合伙企业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外商投资企业分支机构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5810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非公司外商投资企业分支机构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5830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办事处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外商投资合伙企业分支机构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6000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港、澳、台投资企业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有限责任公司(港澳台与境内合资)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有限责任公司(港澳台与境内合作)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有限责任公司(港澳台非法人经济组织独资)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6170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有限责任公司(港澳台与外国投资者合资)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6180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有限责任公司(港澳台投资、非独资)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股份有限公司(港澳台与境内合资、未上市)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股份有限公司(港澳台与境内合资、上市)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股份有限公司(港澳台与外国投资者合资、未上市)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股份有限公司(港澳台与外国投资者合资、上市)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6270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股份有限公司(港澳台投资、未上市)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6280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股份有限公司(港澳台投资、上市)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非公司港、澳、台企业(港澳台与境内合作)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非公司港、澳、台企业(港澳台合资)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港、澳、台投资合伙企业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港、澳、台投资企业分支机构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6810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非公司港、澳、台投资企业分支机构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6830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办事处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港、澳、台投资合伙企业分支机构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7000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外国(地区）企业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外国(地区)无限责任公司分支机构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外国(地区)有限责任公司分支机构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外国(地区)股份有限责任公司分支机构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外国(地区)其他形式公司分支机构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外国(地区)企业常驻代表机构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外国(地区)企业在中国境内从事经营活动</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7390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8000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集团</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8100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内资集团</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8500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外资集团</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9000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其他类型</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农民专业合作社</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农民专业合作社（联合社）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农民专业合作社分支机构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农民专业合作社（联合社）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个体工商户</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个体工商户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9600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自然人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其他市场主体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9900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其他市场主体</w:t>
            </w:r>
          </w:p>
        </w:tc>
      </w:tr>
    </w:tbl>
    <w:p>
      <w:pPr>
        <w:widowControl/>
        <w:jc w:val="center"/>
        <w:outlineLvl w:val="0"/>
        <w:rPr>
          <w:sz w:val="30"/>
          <w:szCs w:val="30"/>
        </w:rPr>
      </w:pPr>
      <w:r>
        <w:rPr>
          <w:sz w:val="30"/>
          <w:szCs w:val="30"/>
        </w:rPr>
        <w:br w:type="page"/>
      </w:r>
      <w:bookmarkStart w:id="99" w:name="_Toc509998942"/>
      <w:bookmarkStart w:id="100" w:name="_Toc52150683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01" w:name="_Toc22326"/>
      <w:bookmarkStart w:id="102" w:name="_Toc6656"/>
      <w:bookmarkStart w:id="103" w:name="_Toc14200"/>
      <w:r>
        <w:rPr>
          <w:rFonts w:hint="eastAsia" w:ascii="方正小标宋简体" w:hAnsi="方正小标宋简体" w:eastAsia="方正小标宋简体" w:cs="方正小标宋简体"/>
          <w:b w:val="0"/>
          <w:bCs/>
          <w:kern w:val="2"/>
          <w:sz w:val="36"/>
          <w:szCs w:val="36"/>
          <w:lang w:eastAsia="zh-CN"/>
        </w:rPr>
        <w:t>第十一部分</w:t>
      </w:r>
      <w:r>
        <w:rPr>
          <w:rFonts w:hint="eastAsia" w:ascii="方正小标宋简体" w:hAnsi="方正小标宋简体" w:eastAsia="方正小标宋简体" w:cs="方正小标宋简体"/>
          <w:b w:val="0"/>
          <w:bCs/>
          <w:kern w:val="2"/>
          <w:sz w:val="36"/>
          <w:szCs w:val="36"/>
          <w:lang w:val="en-US" w:eastAsia="zh-CN"/>
        </w:rPr>
        <w:t xml:space="preserve">  </w:t>
      </w:r>
      <w:r>
        <w:rPr>
          <w:rFonts w:hint="eastAsia" w:ascii="方正小标宋简体" w:hAnsi="方正小标宋简体" w:eastAsia="方正小标宋简体" w:cs="方正小标宋简体"/>
          <w:b w:val="0"/>
          <w:bCs/>
          <w:kern w:val="2"/>
          <w:sz w:val="36"/>
          <w:szCs w:val="36"/>
          <w:lang w:eastAsia="zh-CN"/>
        </w:rPr>
        <w:t>金融业企业划型标准规定</w:t>
      </w:r>
      <w:bookmarkEnd w:id="99"/>
      <w:bookmarkEnd w:id="100"/>
      <w:bookmarkEnd w:id="101"/>
      <w:bookmarkEnd w:id="102"/>
      <w:bookmarkEnd w:id="103"/>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号：银发〔2015〕309号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印发时间：2015年9月28日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根据《中华人民共和国中小企业促进法》、《国务院关于进一步促进中小企业发展的若干意见》（国发〔2009〕36号）、《国务院办公厅关于金融支持小微企业发展的实施意见》（国办发〔2013〕87号），制定本规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二、适用范围。本规定适用于从事《国民经济行业分类》（GB/T 4754-2011）中J门类（金融业）活动的企业。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四、划型标准指标。采用一个完整会计年度中四个季度末法人并表口径的资产总额（信托公司为信托资产）平均值作为划型指标，该指标以监管部门数据为准。</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五、指标标准值。依据指标标准值，将各类金融业企业划分为大、中、小、微四个规模类型，中型企业标准上限及以上的为大型企业。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（一）银行业存款类金融机构。资产总额40000亿元以下的为中小微型企业。其中，资产总额5000亿元及以上的为中型企业，资产总额50亿元及以上的为小型企业，资产总额50亿元以下的为微型企业。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（二）银行业非存款类金融机构。资产总额1000亿元以下的为中小微企业。其中，资产总额200亿元及以上的为中型企业，资产总额50亿元及以上的为小型企业，资产总额50亿元以下的为微型企业。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（三）贷款公司、小额贷款公司及典当行。资产总额1000亿元以下的为中小微型企业。其中，资产总额200亿元及以上的为中型企业，资产总额50亿元及以上的为小型企业，资产总额50亿元以下的为微型企业。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（四）证券业金融机构。资产总额1000亿元以下的为中小微型企业。其中，资产总额100亿元及以上的为中型企业，资产总额10亿元及以上的为小型企业，资产总额10亿元以下的为微型企业。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（五）保险业金融机构。资产总额5000亿元以下的为中小微型企业。其中，资产总额400亿元及以上的为中型企业，资产总额20亿元及以上的为小型企业，资产总额20亿元以下的为微型企业。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（六）信托公司。信托资产1000亿元以下的为中小微型企业。其中，信托资产400亿元及以上的为中型企业，信托资产20亿元及以上的为小型企业，信托资产20亿元以下的为微型企业。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（七）金融控股公司。资产总额40000亿元以下的为中小微企业。其中，资产总额5000亿元及以上的为中型企业，资产总额50亿元及以上的为小型企业，资产总额50亿元以下的为微型企业。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六、组织实施。由人民银行会同银监会、证监会、保监会和统计局联合组成金融业企业划型标准工作组，负责金融业企业划型标准的实施、后期评估和调整工作，按年组织金融业企业规模认定，并在人民银行建立《金融业机构信息管理系统》中增加相应的字段模块。经过认定的金融业企业在系统中进行规模登记，方便政府部门和社会各界查询使用。</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七、标准值的评估和调整。金融业企业划型标准工作组每五年对划型标准值受经济发展与通货膨胀等因素的影响程度进行评估和调整。</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八、本规定的中型金融业企业标准上限即为大型金融业企业下限。国务院有关部门据此进行相关数据的统计分析，不得制定与本规定不一致的金融业企业划型标准。</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九、融资担保公司参照本规定中“除贷款公司、小额贷款公司、典当行以外的其他金融机构”标准划型。</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十、本规定由人民银行会同银监会、证监会、保监会和统计局负责解释。</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十一、本规定自发布之日起实施。</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附件：金融业企业划型标准</w:t>
      </w:r>
    </w:p>
    <w:p>
      <w:pPr>
        <w:rPr>
          <w:rFonts w:hint="eastAsia"/>
        </w:rPr>
      </w:pPr>
      <w:r>
        <w:rPr>
          <w:rFonts w:hint="eastAsia" w:ascii="Calibri" w:hAnsi="宋体" w:eastAsia="宋体"/>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黑体" w:hAnsi="Calibri" w:eastAsia="黑体"/>
          <w:b w:val="0"/>
          <w:bCs/>
          <w:sz w:val="24"/>
          <w:szCs w:val="24"/>
        </w:rPr>
      </w:pPr>
      <w:r>
        <w:rPr>
          <w:rFonts w:hint="eastAsia" w:ascii="黑体" w:hAnsi="Calibri" w:eastAsia="黑体"/>
          <w:b w:val="0"/>
          <w:bCs/>
          <w:sz w:val="24"/>
          <w:szCs w:val="24"/>
        </w:rPr>
        <w:t>附</w:t>
      </w:r>
      <w:r>
        <w:rPr>
          <w:rFonts w:hint="eastAsia" w:ascii="黑体" w:hAnsi="Calibri" w:eastAsia="黑体"/>
          <w:b w:val="0"/>
          <w:bCs/>
          <w:sz w:val="24"/>
          <w:szCs w:val="24"/>
          <w:lang w:val="en-US" w:eastAsia="zh-CN"/>
        </w:rPr>
        <w:t xml:space="preserve">  </w:t>
      </w:r>
      <w:r>
        <w:rPr>
          <w:rFonts w:hint="eastAsia" w:ascii="黑体" w:hAnsi="Calibri" w:eastAsia="黑体"/>
          <w:b w:val="0"/>
          <w:bCs/>
          <w:sz w:val="24"/>
          <w:szCs w:val="24"/>
        </w:rPr>
        <w:t>件</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rPr>
      </w:pPr>
      <w:r>
        <w:rPr>
          <w:rFonts w:hint="eastAsia" w:ascii="黑体" w:hAnsi="Calibri" w:eastAsia="黑体"/>
          <w:b w:val="0"/>
          <w:bCs/>
          <w:sz w:val="28"/>
          <w:szCs w:val="28"/>
        </w:rPr>
        <w:t>金融业企业划型标准</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35"/>
        <w:gridCol w:w="2197"/>
        <w:gridCol w:w="742"/>
        <w:gridCol w:w="2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行业</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类别</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类型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资产总额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货币金融服务</w:t>
            </w: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货币银行服务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kern w:val="0"/>
                <w:sz w:val="20"/>
                <w:szCs w:val="20"/>
              </w:rPr>
            </w:pPr>
            <w:r>
              <w:rPr>
                <w:rFonts w:hint="eastAsia" w:ascii="宋体" w:hAnsi="宋体" w:eastAsia="宋体" w:cs="宋体"/>
                <w:color w:val="auto"/>
                <w:spacing w:val="-6"/>
                <w:kern w:val="0"/>
                <w:sz w:val="20"/>
                <w:szCs w:val="20"/>
              </w:rPr>
              <w:t>银行业存款类金融机构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5000亿元（含）至40000亿元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50亿元（含）至5000亿元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非货币银行服务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0" w:rightChars="-100"/>
              <w:jc w:val="left"/>
              <w:textAlignment w:val="auto"/>
              <w:rPr>
                <w:rFonts w:hint="eastAsia" w:ascii="宋体" w:hAnsi="宋体" w:eastAsia="宋体" w:cs="宋体"/>
                <w:color w:val="auto"/>
                <w:spacing w:val="-6"/>
                <w:kern w:val="0"/>
                <w:sz w:val="20"/>
                <w:szCs w:val="20"/>
              </w:rPr>
            </w:pPr>
            <w:r>
              <w:rPr>
                <w:rFonts w:hint="eastAsia" w:ascii="宋体" w:hAnsi="宋体" w:eastAsia="宋体" w:cs="宋体"/>
                <w:color w:val="auto"/>
                <w:spacing w:val="-6"/>
                <w:kern w:val="0"/>
                <w:sz w:val="20"/>
                <w:szCs w:val="20"/>
              </w:rPr>
              <w:t>银行业非存款类金融机构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50亿元（含）至200亿元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贷款公司、小额贷款公司及典当行</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50亿元（含）至200亿元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资本市场服务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证券业金融机构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10亿元（含）至100亿元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保险业</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保险业金融机构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400亿元（含）至5000亿元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20亿元（含）至400亿元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其他金融业</w:t>
            </w: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金融信托与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管理服务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信托公司</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20亿元（含）至400亿元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控股公司服务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金融控股公司</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5000亿元（含）至40000亿元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50亿元（含）至5000亿元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其他未包括的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金融业</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除贷款公司、小额贷款公司、典当行以外的其他金融机构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50亿元（含）至200亿元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bl>
    <w:p>
      <w:pPr>
        <w:pStyle w:val="17"/>
        <w:rPr>
          <w:rFonts w:ascii="黑体" w:hAnsi="黑体" w:eastAsia="黑体"/>
          <w:color w:val="auto"/>
          <w:sz w:val="52"/>
          <w:szCs w:val="52"/>
        </w:rPr>
      </w:pPr>
      <w:r>
        <w:rPr>
          <w:rFonts w:ascii="黑体" w:hAnsi="黑体" w:eastAsia="黑体"/>
          <w:color w:val="auto"/>
          <w:sz w:val="52"/>
          <w:szCs w:val="52"/>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04" w:name="_Toc6847"/>
      <w:bookmarkStart w:id="105" w:name="_Toc3479"/>
      <w:bookmarkStart w:id="106" w:name="_Toc4553"/>
      <w:r>
        <w:rPr>
          <w:rFonts w:hint="eastAsia" w:ascii="方正小标宋简体" w:hAnsi="方正小标宋简体" w:eastAsia="方正小标宋简体" w:cs="方正小标宋简体"/>
          <w:b w:val="0"/>
          <w:bCs/>
          <w:kern w:val="2"/>
          <w:sz w:val="36"/>
          <w:szCs w:val="36"/>
          <w:lang w:eastAsia="zh-CN"/>
        </w:rPr>
        <w:t>第十二部分  全省县级以上区划名称及代码</w:t>
      </w:r>
      <w:bookmarkEnd w:id="104"/>
      <w:bookmarkEnd w:id="105"/>
      <w:bookmarkEnd w:id="106"/>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tbl>
      <w:tblPr>
        <w:tblStyle w:val="1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500"/>
        <w:gridCol w:w="1500"/>
        <w:gridCol w:w="4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828"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省码</w:t>
            </w:r>
          </w:p>
        </w:tc>
        <w:tc>
          <w:tcPr>
            <w:tcW w:w="828"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地市码</w:t>
            </w:r>
          </w:p>
        </w:tc>
        <w:tc>
          <w:tcPr>
            <w:tcW w:w="828"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县码</w:t>
            </w:r>
          </w:p>
        </w:tc>
        <w:tc>
          <w:tcPr>
            <w:tcW w:w="2515"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统计用区划名称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管城回族区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金水区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中牟县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郑州航空港经济综合实验区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巩义市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荥阳市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新密市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新郑市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登封市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顺河回族区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鼓楼区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禹王台区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祥符区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杞县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通许县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尉氏县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兰考县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西工区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瀍河回族区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涧西区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偃师区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孟津区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栾川县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嵩县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洛宁县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宝丰县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平顶山市城乡一体化示范区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舞钢市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殷都区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龙安区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汤阴县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内黄县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鹤山区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淇滨区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浚县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淇县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卫滨区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凤泉区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牧野区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延津县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封丘县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新乡市平原城乡一体化示范区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卫辉市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辉县市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解放区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修武县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清丰县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南乐县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台前县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河南濮阳工业园区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鄢陵县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源汇区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郾城区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召陵区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临颍县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湖滨区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陕州区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渑池县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河南三门峡经济开发区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义马市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灵宝市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宛城区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南召县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淅川县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社旗县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桐柏县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南阳市城乡一体化示范区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睢阳区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民权县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睢县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宁陵县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柘城县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豫东综合物流产业聚集区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河南商丘经济开发区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浉河区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平桥区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固始县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潢川县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淮滨县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息县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扶沟县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商水县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沈丘县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郸城县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太康县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周口临港开发区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驿城区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平舆县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汝南县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河南驻马店经济开发区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省直辖县级行政区划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济源市</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107" w:name="_Toc435_WPSOffice_Level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08" w:name="_Toc30344"/>
      <w:bookmarkStart w:id="109" w:name="_Toc4402"/>
      <w:bookmarkStart w:id="110" w:name="_Toc13274"/>
      <w:r>
        <w:rPr>
          <w:rFonts w:hint="eastAsia" w:ascii="方正小标宋简体" w:hAnsi="方正小标宋简体" w:eastAsia="方正小标宋简体" w:cs="方正小标宋简体"/>
          <w:b w:val="0"/>
          <w:bCs/>
          <w:kern w:val="2"/>
          <w:sz w:val="36"/>
          <w:szCs w:val="36"/>
          <w:lang w:eastAsia="zh-CN"/>
        </w:rPr>
        <w:t>第十三部分  河南省开发区基本情况</w:t>
      </w:r>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outlineLvl w:val="1"/>
        <w:rPr>
          <w:rFonts w:hint="eastAsia" w:ascii="黑体" w:hAnsi="Calibri" w:eastAsia="黑体"/>
          <w:b w:val="0"/>
          <w:bCs/>
          <w:sz w:val="28"/>
          <w:szCs w:val="28"/>
        </w:rPr>
      </w:pPr>
      <w:bookmarkStart w:id="111" w:name="_Toc20184"/>
      <w:r>
        <w:rPr>
          <w:rFonts w:hint="eastAsia" w:ascii="黑体" w:hAnsi="Calibri" w:eastAsia="黑体"/>
          <w:b w:val="0"/>
          <w:bCs/>
          <w:sz w:val="28"/>
          <w:szCs w:val="28"/>
          <w:lang w:val="en-US" w:eastAsia="zh-CN"/>
        </w:rPr>
        <w:t>河南省</w:t>
      </w:r>
      <w:r>
        <w:rPr>
          <w:rFonts w:hint="default" w:ascii="黑体" w:hAnsi="Calibri" w:eastAsia="黑体"/>
          <w:b w:val="0"/>
          <w:bCs/>
          <w:sz w:val="28"/>
          <w:szCs w:val="28"/>
          <w:lang w:val="en-US" w:eastAsia="zh-CN"/>
        </w:rPr>
        <w:t>开发区四至边界情况表</w:t>
      </w:r>
      <w:bookmarkEnd w:id="111"/>
    </w:p>
    <w:tbl>
      <w:tblPr>
        <w:tblStyle w:val="18"/>
        <w:tblW w:w="96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76"/>
        <w:gridCol w:w="1191"/>
        <w:gridCol w:w="1234"/>
        <w:gridCol w:w="825"/>
        <w:gridCol w:w="4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center"/>
              <w:textAlignment w:val="auto"/>
              <w:rPr>
                <w:rFonts w:hint="eastAsia" w:ascii="宋体" w:hAnsi="宋体" w:eastAsia="宋体" w:cs="宋体"/>
                <w:b/>
                <w:bCs/>
                <w:i w:val="0"/>
                <w:color w:val="000000"/>
                <w:spacing w:val="-6"/>
                <w:sz w:val="20"/>
                <w:szCs w:val="20"/>
                <w:u w:val="none"/>
              </w:rPr>
            </w:pPr>
            <w:r>
              <w:rPr>
                <w:rFonts w:hint="eastAsia" w:ascii="宋体" w:hAnsi="宋体" w:eastAsia="宋体" w:cs="宋体"/>
                <w:b/>
                <w:bCs/>
                <w:i w:val="0"/>
                <w:color w:val="000000"/>
                <w:spacing w:val="-6"/>
                <w:kern w:val="0"/>
                <w:sz w:val="20"/>
                <w:szCs w:val="20"/>
                <w:u w:val="none"/>
                <w:lang w:val="en-US" w:eastAsia="zh-CN" w:bidi="ar"/>
              </w:rPr>
              <w:t>序号</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开发区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新代码</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开发区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名称</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主导产业</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规划</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面积</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四至边界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一、郑州（17个）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410173Z001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郑州航空港先进制造业开发区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电子信息、现代物流、生物医药、装备制造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西至京港澳高速、北至洪泽湖大道、东至航空港实验区行政边界、南至南海大道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410171Z002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汽车及零部件、装备制造、现代食品制造、生物医药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东至新107国道（万三公路），南至福山路，西至机场高速，北至陇海铁路。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410172Z003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电子信息、超硬材料、装备制造、传感器</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东至西三环、北至连霍高速-索须河、西至西南绕城高速、南至陇海铁路的大部分地区以及西三环以东的五龙口区域。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410195Z004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郑州郑东新区先进制造业开发区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电子信息、信息服务、生命科学</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东至万三公路（新107），西至京港澳高速辅道，南至陇海铁路，北至科学大道。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410102FZ01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郑州中原区现代服务业开发区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1.郑州中原科技服务产业园，东至华山路、百花里，南至伊河路、洛河路、颍河西路、陇海路，西至能源路、天山路，北至中原路、市场西街。规划面积为1.52平方公里。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2.郑州市中央文化区，东至河清路、中原西路、凯旋路、陇海路、雪松路，南至星海路，西至站前大道、中原西路、西四环、文博大道、站前大道，北至郑上路合围区域。园区规划面积4.6平方公里。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410103Z005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二七经济技术开发区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现代食品、高端装备制造、电子信息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北至郑峪公路，南至郑少高速，东至西四环，西至马寨镇行政边界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410105FZ02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郑州金水高新技术产业开发区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新一代信息技术、生物医药、智能制造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东至经三街，南至金宝路，西至中州大道，北至金城北路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410104Z006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管城经济技术开发区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现代商贸服务、汽车及零部件、新一代信息技术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1.北至南三环，东至金岱路，南至中州大道、紫辰路及南四环，西至管城回族区行政边界及环翠路；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2.东至向阳街、塔湾路、硝滩北街，南至东大街、书院街，西至博爱街、北大街、北至城北路、硝滩街。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410108Z008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惠济经济开发区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智能制造、新一代信息技术、节能环保清洁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1.东南区块：东至107国道，南至贾鲁河，西至桂圆街，北至开元路。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2.西北区块：东至文化路，南至开元路，西至东风渠，北至大河路。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410106Z007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郑州上街区先进制造业开发区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高端装备、无机非金属新材料、现代物流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东至金华路，西至洛宁路，北至漓江路，南至万泉河路。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410181Z010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巩义市先进制造业开发区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有色金属冶炼及压延加工、装备制造、耐火材料、节能环保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1.回郭镇东西边界、人民路与伊洛河大堤围合的区域和郑西客运专线巩义南站站前服务区。东至回郭镇镇小訾殿村东边界，西至回郭镇干沟村西边界，南至人民路，北至伊洛河大堤。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2.东区北起七里铺、南至岳岭、西至站街镇原镇区、东至柏沟岭和西南侧黄冶岭用地；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3.西区东至唐三彩路、五里堡东路一线，西至石河路，南至河洛路、和谐路、伏羲路、五里堡南路一线，北至陇海铁路、五里堡北路一线。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410185Z014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登封市先进制造业开发区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装备制造、新型建材、无机非金属材料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北至郑少洛高速公路、西至焦河、南至寺里河、东至S237省道。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410183Z012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新密市先进制造业开发区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智能装备、环保装备、电子商务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西至郑风大道，东至规划东环路、北至迎宾大道、南至规划李庄街。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410182Z011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荥阳市先进制造业开发区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装备制造、超硬材料、电子信息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北至康泰路-荥泽大道-310国道一线、南至郑西高速铁路、西至荥泽大道-310国道-广武路一线、东至广贾路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410184Z013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新郑经济技术开发区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电子信息、现代食品、装备制造、商贸物流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1.新港产业集聚区南部片区东至石武高铁，南至炎黄大道，西至京广铁路，北至南水北调干渠；                                                                                                         2.新港产业集聚区北部片区东至京广铁路，南至莲花路，西至中华北路，北至薛店枣园路；                                                      3.郑州华南城服务业专业园区东至仰韶路，南至华南城三路，西至裴度路，北至华南城一路；                                                                                         4.新郑市传化物流小镇东至华恒路，西至求实路，南至汇通路，北至新老107连接线。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410122Z009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中牟高新技术产业开发区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汽车及零部件、装备制造、生物医药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东至解放路，南至郑民高速，西至文通路，北至官渡大街。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410122FZ03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中牟县现代服务业开发区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东至紫寰路，南至富贵七路-绿博大道，西至万三公路，北至金水大道-人文路-富贵二路-文通路-豫兴大道-文汇路-宝兴路。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二、开封（8个）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410211Z015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装备制造、汽车及汽车零部件、农副产品加工、新一代信息技术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东至夷山大街，西至二十三大街（陇海铁路南）和十二大街（陇海铁路北），南至陇海十路（运粮河绿地以西）和陇海七路（运粮河绿地以东），北至安顺路(十二大街以东)和陇海一路（十二大街以西）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410205Z017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开封精细化工开发区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精细化工、化工新材料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东至惠济河，西、南至外环路，北至汪屯集镇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410212Z018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开封祥符区先进制造业开发区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化工、农副产品加工、智能装备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1.北片区：东至东环路、西至经一路、南至中学路以南245米、北至2020规划边界；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2.南片区：东至东环路、西至经一路、南至惠济河、北至纬三路。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410203Z016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开封汴东先进制造业开发区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储能炭新材料、智能装备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北至苹果园中路东段、苹果园北路东段；东至福安路；南至陇海铁路；西至工农路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410221Z019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杞县先进制造业开发区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农副产品加工、铝制品加工、单晶硅材料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1.东片区：东至213省道，西至张庄、黄楼村东，南至林庄、官刘寨村南，北至327省道；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2.西片区：东至幸福干渠，西至跃进干渠，南至西空桑村北部，北至S327线以北0.3公里。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410222Z020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通许高新技术产业开发区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农副产品加工、家居建材、智能装备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1.西片区：东至解放路北段，西至迎宾大道，南至咸平大道，北至裕丰路；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2.东片区，东至大广高速、西至涡河故道，南至宏达大道，北至北环路；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3.南片区：东至涡河故道、西至金邢路、南至宏达大道、北至咸平大道。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410223Z021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尉氏县先进制造业开发区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节能环保、生物医药、纤维复合材料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1.东片区：东至三干渠、西至马庄－楼宋村一线、南至席苏－河湾要—七里河－老鸭刘一线，北至人民路；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2.西区东至岗陆村－赵存村以西一线，西至机西高速，南至东凡村以北一线，北至吕家村－祥符张村以南一线。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410225Z022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兰考经济技术开发区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现代家居、节能环保、智能装备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东至东环路、西至西环路、南至连霍高速、北至陇海铁路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三、洛阳（13个）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410311Z023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先进装备制造、铝钛新材料、生物医药、互联网和相关服务业</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1.东至二广高速，西至龙门大道，南至焦柳铁路，北至古城路（原规划快速路）。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2.东至瀛洲路，西至槐南路，南至伊洛路，北至洛河。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410371Z024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智能装备、新能源材料、电子信息、生物医药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1.东至南昌路，西至西环路，南至滨河北路，北至炎黄路-周王陵路-周山路一线。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2.东至汉口路，西至规划经一路，南至孙石路，北至涧河。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410372Z025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洛阳伊滨区先进制造业开发区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智能装备制造、电子信息、科技服务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东至中原大道，西至二广高速、南至规划郑洛第三高速、北至伊河南岸。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410308Z028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洛阳孟津区先进制造业开发区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石油化工、化工新材料、装备制造、氢能新能源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1.东至光武路，西至西环路，南至南环路-焦柳大道，北至鹤飞大道（会小路）。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2.东至洛常路，西至送庄镇旺程大道，南至送庄镇护庄村道，北至焦柳铁路。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3.东至吉利区东边界，西至世纪大道，南至石化总厂南边界及滨河路以南，北至北环路以北570米。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4.南区东至华山北路，西至麻屯镇龙泉路，南至洛阳市区北外环路，北至机场路。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5.东至常袋镇建设路和麻屯镇东环路，西至常袋镇安顺街和麻屯镇滨湖大道，南至机场路，北至常袋镇横一路、鹏兴路。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410303Z026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洛阳西工经济技术开发区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智能装备制造、现代物流、生物医药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东至华山路，西至洛阳市西南环绕城高速，南至涧河，北至洛阳城市北外环路。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410307Z027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洛阳偃师区先进制造业开发区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装备制造、无机及有色金属新材料、节能环保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1.东至经一路、连霍高速公路引线，西至一高路、潘屯西路，南至华夏路，北至北环路以北约300米。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2.东至连霍高速引线，西至规划310国道，南至规划创业路，北至科创路。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410328Z034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洛宁县先进制造业开发区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轻工制造、矿产品精深加工、生物医药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1.东至城郊乡溪村，西至中扩西路，南至洛河北岸，北至崛山电站饮水渠。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2.东至宜阳县边界，西至陈吴乡金门涧，南至宜故路，北至洛河南岸。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410329Z035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伊川县先进制造业开发区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先进装备制造、铝及铝精深加工、绿色耐火新材料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1.东至白沙镇范村-三管凹-王庄村西边界，西至铝厂路，南至道北路，北至豫港大道及一铝厂。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2.东至洛栾快速通道，西至老洛栾路，南至志远路，北至五桥大道。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410327Z033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装备制造、食品加工、有色金属新材料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1.东至宜阳县界，西至龙羽西路以西500米，南至滨河一路，北至北环路-纬四路一线。 2.东至宜阳县界，西至创业大道-南环路，南至锦屏山及洛宜铁路，北至环城北路及洛宜快速通道。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410325Z031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嵩县先进制造业开发区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装备制造、矿产品精深加工、生物医药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1.东至王家岭村西沟，西至饭坡村南沟，南至陆车路西时坪岭山脊线，北至嵩汝路。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2.东至伊河，西至老洛卢公路，南至田湖村北2号生产路，北至嵩县县界。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410326Z032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新型建材、智能装备制造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1.东至洛界公路-东环大道-经一路-二广高速，西至二广高速-酒祖大道-西环路，南至罗葛路，北至西环路。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410323Z029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新安经济技术开发区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装备制造、铝钛新材料、现代物流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1.东至城关镇寨湾城市绿化隔离带-新安县城市生态防护带、西至韩都村村界，南至郁山山脚，北至庙头村北边界-连霍高速。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2.东至新安县东边界，西至磁涧镇八里村-奎门村西边界，南至寒鸦何庄村南边界，北至老井村-龙渠村北边界。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410324Z030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栾川县先进制造业开发区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钨钼氟新材料、商务服务、电子信息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1.东至育人南路，西至伏牛路，南至新南环路，北至新北环路。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四、平顶山（13个）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410471Z036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装备制造、尼龙新材料、新能源装备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北至孟宝铁路、南至沙河路、东至许南公路、西至金标路。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410422Z037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平顶山尼龙新材料开发区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化工、医药、尼龙新材料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东至龚店乡楼马、余营一线（竹园七路），西至龚店乡叶寨村东（竹园一路），北至白龟湖水库南干渠七支渠（沙河一路），南至徐龚路、叶邓路（沙河七路）。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410402Z038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平顶山平新先进制造业开发区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高端装备制造、生物制药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片区1：东至崇文路-育英路一线，西至花山路-秋实路一线，北至平宝大道，南至长安大道。片区2：东至菊香路、祥云路、兰馨路，南至长安大道，西至新月路、龙翔大道、夏耘路，北至滍阳路、复兴路。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410402FZ04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平顶山新华区现代服务业开发区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东至长青路，西至稻香路，南至建设路，北至纬二路。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410411FZ05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平顶山湛河区现代服务业开发区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51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东至城乡路，南至规划路，西至亚兴路、开源路，北至神马大道、黄河路。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410403FW14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平顶山卫东区现代服务业开发区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w:t>
            </w:r>
          </w:p>
        </w:tc>
        <w:tc>
          <w:tcPr>
            <w:tcW w:w="451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东至易成公司，西至郊铁货场，南至平顶山东站，北至规划路。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410404Z039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平顶山石龙区先进制造业开发区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煤化工、新型建材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东至宝丰县界，西至捞饭店村西，北至宝丰县界，南至赵岭村北。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410481Z044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舞钢经济技术开发区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特钢及特种装备制造、纺织服装</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南区北至舞阳钢铁有限责任公司用地北边界、南到龙山路、东至舞泌路、西至龙山西路，规划面积1.9平方公里；北区东至经二路-矿建路一线、西至杨八路、南至纬一路、北至矿山路，规划面积14平方公里。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410482Z045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汝州经济技术开发区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新型环保建材、装备制造、机绣</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东至新207国道、经四路一线，西至发展大道、经一路一临蟒路、经三路、经二路一线，北至焦柳铁路、滨河南路一线，南至纬九路。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410422Z041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装备制造、化工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东至廉村镇后王新村东部规划东外环路（原未来路），南至蓝光电厂及平煤神马工业园南边界和城关乡徐庄村北部，西至程寨村东北部、广场西路、叶公大道，北至南京至洛阳高速。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410421Z040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宝丰高新技术产业开发区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不锈钢、装备制造、碳基新材料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区东至柳沟营村西边界，南至应河大道-豫02线-园区三号路，西至龙兴路，北至孟宝铁路，规划面积4.1平方公里；西区东至大地水泥东侧，南至洁石焦化厂南侧，西至商杨公路，北至宝苗公路，规划面积7.1平方公里。片区2：北至宝州路、东至东五环、西至文化路、南至人民路东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410423Z042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新型建材、专用设备制造、轻纺</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南区东至牛郎路，南至鲁平大道-南水北调渡槽200米控制线，西至鲁兴路，北至人民路，面积7.41平方公里；北区东至建设路，南至同盟路，西至青年路，北至福海路—建工路，面积8.92平方公里。片区2：东至梁张路，南至故子事，西至振兴路，北至北二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410425Z043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郏县经济技术开发区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装备制造、医药、食品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片区1：东至祥云路、西至紫云路、北至青龙东路、南至和平路－南五环。片区2：东至迎宾大道、建业路，西至广场西路、张良路，南至龙山大道，北至北环路。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五、安阳（8个）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410571Z046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装备制造、先进钢铁材料、电子信息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片区1：东至商颂大街东侧524米，南至弦歌大道北侧163米，西至相西路，北至文昌大道；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片区2.：西至彰德路、东至平原路、北至弦歌大道、南至南外环路；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片区3：西至永明路、东至光明路、北至长江大道北侧城市支路、南至南外环路；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片区4：西至彰德路、东至光明路、北至NC1号路、南至胡鹤公路。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410503Z048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安阳中原高新技术产业开发区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片区1：西至东风路、东至中华路、北至邺城大道、南至漳河大道，规划面积2.41平方公里；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片区2：西至平原路、东至光明路、北至北环路、南至南环路，规划面积6.82平方公里。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410522Z049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安阳殷都区先进制造业开发区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钢铁及精深加工、装备制造、节能环保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片区1：东至东环路、西至华安煤业东边界、南至金光大道-园四路-粉红江、北至安姚路-西石村，规划面积11平方公里；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片区2：东至姬红线、西至红塔路、南至北环路-辅岩路、北至珠泉河，规划面积4.16平方公里。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410500Z047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安阳龙安区先进制造业开发区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装备制造、节能环保、先进无机非金属材料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东至华隆路东206米、西至西外环路、南至工业南路—宝贺路、北至北外环路南90米。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410526Z051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农副产品深加工、纺织服装、智能装备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东至东环路、西至大功河、南至大广高速快速通道（现更名为长虹大道）、北至华康路(现更名为新鑫路)。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410527Z052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内黄县先进制造业开发区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陶瓷、农副产品加工、智能装备制造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片区1：东至经二路、西至西外环路、南至西大街、北至繁阳四路；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片区2：东至东环路，西至经七路，南至城墙路，北至人民路；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片区3：东至陶一路、西至陶四路、南至瓷一路、北至瓷六路。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410523Z050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汤阴县高新技术产业开发区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食品、精品钢及深加工、医药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东至徐伏路-汤伏路一线，西至107国道，南至制造四路向东至1.5公里向北取直接晋冀鲁豫大通道，北至工横三街-精忠路-302省道一线。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410581Z053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红旗渠经济技术开发区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装备制造、精品钢及深加工、先进无机非金属材料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片区1：东至翟阳公路、西至东南公路、南至鲁班大道向南500米、北至林长高速，规划面积27.05平方公里（扣除区内河流、山地等不可利用面积3.8平方公里）；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片区2：南临红旗渠大道，北临黄华河，西临杨水洼路（黄华路向东约300米），东临西环路（现为天河路），规划面积0.12平方公里。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六、鹤壁（6个）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410671Z054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电子电器、镁基新材料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安平线，西至京广铁路、嵩山路，南至黄河路、淇滨大道、鹤濮高速，北至嫩江路、牡丹江路、松江东路，规划面积29.18平方公里；片区2,东、北至鹤壁与汤阴的市域边界，西至新大白线，南至滨河路，规划面积3.22平方公里；片区3,东至泰山路，西至107国道，北至滨河路、南海路，南至纬九路、金沙江路，规划面积约11.96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410603Z055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鹤壁宝山经济技术开发区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现代化工及功能性新材料、装备制造、生物医药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东大线、西至淇滨区大河涧乡、南至山城区鹿楼乡南窑村庄南边界、北至鹤山区姬家山乡姬家山村，规划面积24.16平方公里；片区2，规划范围东至汤阴地界、西至南北唐宋村、南至葛嘴线、北至山西中南部铁路通道，规划面积6.4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410611FZ06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鹤壁市中介服务开发区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片区1,东至天赉渠-淇水关路，南至泰山路，西至淇水大道，北至湘江路，规划面积4.4平方公里；片区2,东至天赉大街、西至子张大街、南至漓江东路、北至湘江东路，规划面积1.0平方公里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410602FW15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鹤壁市现代物流开发区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片区1,北至鹤壁市界，东至马赵线、鹤山区界，南至汤鹤铁路、</w:t>
            </w:r>
            <w:r>
              <w:rPr>
                <w:rStyle w:val="32"/>
                <w:rFonts w:hint="eastAsia" w:ascii="宋体" w:hAnsi="宋体" w:eastAsia="宋体" w:cs="宋体"/>
                <w:sz w:val="20"/>
                <w:szCs w:val="20"/>
                <w:lang w:val="en-US" w:eastAsia="zh-CN" w:bidi="ar"/>
              </w:rPr>
              <w:t>羑</w:t>
            </w:r>
            <w:r>
              <w:rPr>
                <w:rFonts w:hint="eastAsia" w:ascii="宋体" w:hAnsi="宋体" w:eastAsia="宋体" w:cs="宋体"/>
                <w:i w:val="0"/>
                <w:color w:val="000000"/>
                <w:kern w:val="0"/>
                <w:sz w:val="20"/>
                <w:szCs w:val="20"/>
                <w:u w:val="none"/>
                <w:lang w:val="en-US" w:eastAsia="zh-CN" w:bidi="ar"/>
              </w:rPr>
              <w:t>河和军鹤线，西至总库路、王东线，规划面积1.52平方公里；片区2,东至浚县经三路、规划107国道，南至305省道、横四路，西至经一路、经二路，北至支三路、横五路，规划面积3.0平方公里。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410622Z057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食品加工、纺织服装、尼龙新材料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京广铁路以东区域，东至高铁西路、西至107国道和京广铁路、南至纬二路和纬四路、北至纬六路和纬九路，约7.72平方公里；片区2,京广铁路以西区域，东至京广铁路和永达路、西至振兴路、南至新安路、北至中华路和纬二路，约4.99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410621Z056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浚县先进制造业开发区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食品加工、智能家居、生物医药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东至经四路，西至民生路，南至兴工路、金城路、黎阳路，北至纬十路。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七、新乡（13个）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410771Z058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装备制造、生物技术和医药、电子信息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北起向阳路-南环路一线，南至新荷铁路，西起振中路-新原路一线，东至关堤乡界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410772Z059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纺织服装、装备制造、信息通信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北至纬九路、南至新延北线-太行路一线、东至边界路、西至经一路-东三干渠一线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410773FZ07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新乡市平原现代服务业开发区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东至尧山路，西至嵩山大道，南至红旗渠路，北至海河大道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410702Z060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新乡红旗区先进制造业开发区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信息服务、装备制造、电子信息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东至新正街-镇中路-新睿街一线，西至新清街-经一路一线，南至东化路，北至东崇路-平原路一线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410711Z061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新乡电源产业开发区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电池及延伸产业</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北至创业路、南至前进东路、东至东外环路、西至新中大道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410783Z069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长垣经济技术开发区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起重装备、医疗器械及医用卫材、铝基新材料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起重工业园区组团：东至经五路，西至博爱路，南至纬十八路，北至纬一路。蒲西组团：东起工业路，西至蒲西路，南接南蒲路，北至长城大道。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410781Z067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卫辉市先进制造业开发区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食品、建材、包装膜新材料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东至八里屯村西、西至致富路、南至107国道、北至大岗路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410782Z068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辉县经济技术开发区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城西工业园：东至西外环路（学院路）东侧规划城市支路、西至工业区西路（金河路），南至辉薄路、北至辉上公路。洪洲工业园：东起新晋高速公路、西至茅草庄东河、南接辉上公路、北至洪洲乡行政边界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410721Z062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装备制造、医药及化工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东至文化路、南至青龙路、西至化工二路（原心连心西路）、北至化工一路（原新荷铁路南侧规划路）；中区东至阳光西路-中央大道-青年路、南至二支排路、西至胡韦线-青年路、北至金融大道-七里营南环路；南区东至经五路（原壮年路）、南至胡韦线南段、西至经一路（原印海西路）、北至纬二路（原府庄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410724Z063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获嘉县先进制造业开发区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现代化工、装备制造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北区东至东二路、西至信义路、南至仁爱路、北至新焦公路；南区东至东外环、西至西外环、南至纬九路、北至京广铁路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410725Z064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东至黄河路，西至西二环，南至工业大道，北至南干道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410726Z065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延津县先进制造业开发区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食品加工、化工、节能环保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南区东至纺织路、西至堤中路、南至文岩三支渠、北至北环路；北区东至经十八路、西至经十一路、南至南环路、北至济东高速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410727Z066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封丘县先进制造业开发区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农副产品深加工、装备制造、氢能源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北至北二环、南至世纪大道、西至西二环、东至封黄路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八、焦作（9个）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410811Z071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装备制造、食品加工、功能性新材料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东至东海大道、西至龙泉路-金沙路、南至黄河大道、北至滨河路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410803Z070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装备制造、现代化工及化工新材料、医药制造、铝及铝精深加工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西部园区，规划面积17.08平方公里：东至郑焦晋高速公路、西至大沙河、南至丰收路、北至潜山区。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东部园区,规划面积10.88平方公里：东至生产路、西至山门河、南至待王路—万方铝业公司南边界、北至解放大道—建设路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410804FJ19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焦作马村区现代服务业开发区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市场交易</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0.798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焦作市马村区文昌路以东，区界以西，人民路以南，文博路以北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410883Z077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装备制造，皮革、皮毛及制品制造，生物及化工制造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分为东西两区。其中，东区规划面积 25.63 平方公里，东至城西大道（规划），西至二广高速公路，南至珠江大道、龙腾路（规划）、龙蟠大道（规划）、横八路（规划），北至黄河西路；西区规划面积 3.97 平方公里，东至顺涧村西边界，西至小石庄村西边界、南至洛阳石化，北至油坊头村南边界、 上河水库北、石庄村南边界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410882Z076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能源化工、先进金属材料、光电信息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为沁北和沁南两个产区。其中，沁北片区规划面积为17.81平方公里，东至西万镇边界，西至沁阳—济源边界，南至老焦克公路，北至神农山景区边界；沁南片区规划面积9.53平方公里，东至东外环，西至宋学义大街，南至未来路，北至长城路、中州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410823Z074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装备制造、现代纸品及印刷包装、生物医药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分东西两个片区。其中，西区为城区片区，规划面积 18.75 平方公里,东至郑焦城际铁路—武西(郑云)高速，西至迎宾大道—木栾大道—西外环路，南至南环路（规划），北至朝阳二路；东区为詹店片区，规划面积为 4.4 平方公里，东至武陟县与原阳县交界处、西至泰安路、南至詹泗路、北至郑焦晋高速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410825Z075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温县经济技术开发区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食品加工、装备制造、功能性新材料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东至经二十路、防护堤，西至经一路、祥云镇石渠村北王坟村西基本农田和滩涂地交界处，南至纬一路、王园线，北至纬四路、新蟒河堤南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410822Z073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博爱经济技术开发区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装备制造、食品加工、先进无机非金属及前沿新材料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城东、城南两个片区。其中，城东片区规划面积7.07平方公里,东至贵屯村、倒槐树村和义沟村东边界，西至海华路、园西路，南至玉祥路，北至新月铁路二线南侧控制线；城南片区规划面积18.35平方公里,东至迎宾路，西至泉组河东600米，南至开源大道，北至鸿昌路、新济公路(S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410821Z072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修武经济技术开发区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装备制造、铝及铝加工、信息技术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13.48</w:t>
            </w:r>
          </w:p>
        </w:tc>
        <w:tc>
          <w:tcPr>
            <w:tcW w:w="451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分为南片区和西片区。其中，南片区规划面积 7.68平方公里，东至茱萸大道、西至郑焦城际轻轨、南至纬二路、北至长济高速；西片区规划面积5.8平方公里，东至东周大道—小郜路—经三路、西至东海大道—经一路—经二路—金源路、南至纬三路—人民路—纬一东路、北至纬二路—纬一西路—纬一中路—新焦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九、濮阳（9个）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410972Z079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化工、装备制造、新一代信息技术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东至华安路（原化工一路）、西至幸福路（原货栈路）、南至濮西路（铁丘路南）、北至中原路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410971Z078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濮阳工业园区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化工、装备制造、新型功能材料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东至209省道，西至濮工路（原经一路）、南至晋豫鲁铁路北部绿化隔离带、北至中原路（原纬一路）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410902FZ08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东至扶余路-黄河中路-长庆中路，南至南海路，西至马颊河东路，北至中原西路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410902Z080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装备制造及工程服务、新能源装备、新一代信息技术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东至经四路、西至文化路、南至黄河路、北至外环路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410928Z085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装备制造、化工、非金属新材料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1.县城片区：东至金堤、西至大庆路、南至金堤、北至晋豫鲁铁路南300米；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2.文留片区：东至文兴路，西至勘探路以东，南至林庄以北，北至房刘庄以南；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3.户部寨镇片区：东至濮范边界和紫东大道（原东环路）、青碱沟，西至孙庄以西、发展路，南至工业大道、绿洲路（原南环路），北至晋豫鲁铁路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410922Z081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清丰县先进制造业开发区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家具制造及贸易、食品加工及贸易、节能环保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1.制造业园区：东至东环路、西至晓月路、南至南环路、北至北环路；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2.服务业园区：东至G106、西至文明路、南至腾飞路、北至G342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410923Z082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南乐县先进制造业开发区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食品加工、装备制造、可降解材料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东至东外环路、西至谷杨路、，南至南外环路、北至北外环路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410926Z083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化工、纺织服装、智能装备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1.濮王产业园：东至王楼镇驻地葛彭路、南至汤台铁路、北至台辉高速公路（原濮范高速公路）、西至引黄入鲁灌溉干渠东200米；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2.新区产业园：东至东环路（原滨河路）、西至英才路（原龙泉路）、南至金堤大道（原金堤路）、北至纬四路（原金水路）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410927Z084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台前县先进制造业开发区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羽绒及服饰加工、化工、新能源装备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东至京九铁路，西至后马公路和晋豫鲁铁路以西360米规划路，南至黄河大堤向北200米和濮台铁路，北至百顺路和101省道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十、许昌（9个）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411071Z086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装备制造、发制品、生物医药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西外环以东，南外环以北，五里岗路以西，许由路及新兴路以南。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411003Z087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装备制造、电子信息、食品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东区东至忠武路，南至昌晖路，西至宏达路，北至昌盛路，规划面积7.04平方公里；西区东至许州路，南至永昌东路，西至魏文路，北至龙泉街，规划面积11.59平方公里。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411003FZ09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东起魏文路，西到文峰路、宏腾路、兰亭路，南起心怡路，北至尚德路。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411002Z088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许昌魏都区先进制造业开发区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装备制造、资源循环利用、先进无机非金属材料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北区东至延安路，南至天宝路，西至西外环路，北至永昌西路，规划面积3.38平方公里；南区东至西外环路，南至阳光大道，西至S227，北至长店沟，规划面积2.29平方公里。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411003Z089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许昌建安区先进制造业开发区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装备制造、发制品、电子信息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东区：东至中原路、西至忠武路、南至聚贤街、北至许昌县与长葛交界，面积10.08平方公里；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西区：东至双楼路、西至汉风路、南至永兴西路-尚集街、北至昌盛路，面积2.75平方公里。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411081Z092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禹州市高新技术产业开发区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装备制造、医药健康、先进无机非金属材料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区：东至韩城路，南至阳翟大道，西至腾飞路，北至规划道路；东区南片：东至颍河；西至府东路，S103省道；南至南环路;北至颍河、禹王大道、禹亳铁路;东区北片：东至郑万高铁西侧控制线，西至S103省道；南至颍北大道、永兴路，北至城市规划边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411082Z093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装备制造、先进无机非金属材料、再生金属及制品、生物医药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市产业集聚区（长葛经济技术开发区）：分为四部分，面积20平方公里。北部区域东至外一路-外三路沿线、西至京广铁路、南至靶南路、北至长兴路，规划面积2.6平方公里；东北区域东至双洎河西岸-京港澳高速公路沿线、西至魏武路支一路-魏武路、南至颍川大道、北至三号公路北200米处，规划面积6平方公里；东南区域东至石武客专、西至创业园外八路-魏武路-经三路-经二路沿线、南至许昌县界、北至颍川大道，规划面积8.3平方公里；西南区域东至清</w:t>
            </w:r>
            <w:r>
              <w:rPr>
                <w:rStyle w:val="32"/>
                <w:rFonts w:hint="eastAsia" w:ascii="宋体" w:hAnsi="宋体" w:eastAsia="宋体" w:cs="宋体"/>
                <w:sz w:val="20"/>
                <w:szCs w:val="20"/>
                <w:lang w:val="en-US" w:eastAsia="zh-CN" w:bidi="ar"/>
              </w:rPr>
              <w:t>潩</w:t>
            </w:r>
            <w:r>
              <w:rPr>
                <w:rFonts w:hint="eastAsia" w:ascii="宋体" w:hAnsi="宋体" w:eastAsia="宋体" w:cs="宋体"/>
                <w:i w:val="0"/>
                <w:color w:val="000000"/>
                <w:kern w:val="0"/>
                <w:sz w:val="20"/>
                <w:szCs w:val="20"/>
                <w:u w:val="none"/>
                <w:lang w:val="en-US" w:eastAsia="zh-CN" w:bidi="ar"/>
              </w:rPr>
              <w:t>河西岸、西至京广铁路、南至许昌县界、北至彭花公路，规划面积3.1平方公里。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长葛市大周再生金属循环产业集聚区：东至西昌路，西至青浦大道和滨河路，南至滨河路、园林路，北至一支渠路，规划面积9.34平方公里。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411024Z090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鄢陵县先进制造业开发区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装备制造、现代家居、卫生材料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东至百花路-汶河-规划S219一线、西至金祥路-建设街-花博大道南段、南至规划311国道、北至高唐路-汶河-东大街。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411025Z091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煤化工、硅碳新材料、装备制造、光伏新能源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襄城县产业集聚区：东至G311,西至S103，南至文化路，北至</w:t>
            </w:r>
            <w:r>
              <w:rPr>
                <w:rStyle w:val="32"/>
                <w:rFonts w:hint="eastAsia" w:ascii="宋体" w:hAnsi="宋体" w:eastAsia="宋体" w:cs="宋体"/>
                <w:sz w:val="20"/>
                <w:szCs w:val="20"/>
                <w:lang w:val="en-US" w:eastAsia="zh-CN" w:bidi="ar"/>
              </w:rPr>
              <w:t>氾</w:t>
            </w:r>
            <w:r>
              <w:rPr>
                <w:rFonts w:hint="eastAsia" w:ascii="宋体" w:hAnsi="宋体" w:eastAsia="宋体" w:cs="宋体"/>
                <w:i w:val="0"/>
                <w:color w:val="000000"/>
                <w:kern w:val="0"/>
                <w:sz w:val="20"/>
                <w:szCs w:val="20"/>
                <w:u w:val="none"/>
                <w:lang w:val="en-US" w:eastAsia="zh-CN" w:bidi="ar"/>
              </w:rPr>
              <w:t>城大道，面积13.07平方公里。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襄城县循环经济产业集聚区：东至311国道，西至紫云镇刘庄村，南至S329省道，北至襄城县南环路，面积13.5平方公里。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十一、漯河（8个）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411171Z094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食品、智能装备制造、高分子材料制品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东至京港澳高速-经八路一线，西至金山路，南至漯上公路，北至人民路-双汇路一线。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411103FW16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片区1：北至云港路、南至沙河路、西至邙山路、东至沙河；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 北至沙河路、南至龙江路、西至阿里山路、东至祝山路；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片区3：北至杨帆路、南至起航路、西至兴业路、东至金山路。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411102FZ10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漯河西城区现代服务业开发区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东至九宝塔山路，南至芙蓉江东路，西至青城山路，北至丹江路。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411103Z096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漯河郾城区先进制造业开发区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生物医药、健康食品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片区1：北至昌泰路、纬十路，南至昌兴路、颖河路，东至昌盛路、白云山路，西至天龙山路、昌盛路。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片区2：东至祁山路、西至六支渠、南至辽河路、北至纬八路。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411102Z095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漯河沙澧高新技术产业开发区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装备制造、生物医药、商贸物流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东至107国道、西至安信快速通道、南至南环路、北至澧河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411104Z097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漯河召陵区先进制造业开发区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食品加工、装备制造、电商物流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西起京港澳高速公路，东至召陵镇黄庄村，北至新北环路，南至洛南高速公路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411122Z099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临颍经济技术开发区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片区1：东至京港澳高速公路、北至巨陵镇孟庄村、西至新瑞路-京广铁路-107国道一线、南至黄龙渠-纬二路一线。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片区2：南至黄龙渠、北至北环路、东至京广铁路、西至铁西路。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片区3：北至五里河，南至纬四路、颍川东路，西至京港澳高速，东至经五路、006乡道。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411121Z098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盐及化工、食品制造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北至北四环、南至南环路、西至海南路-深圳路-浦东路一线、东至东八号路-东三号路一线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十二、三门峡（8个）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411292Z101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有色金属冶炼及精深加工、装备制造、有色金属新材料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东起世纪大道-禹王路，南至陇海铁路，西至连霍高速公路和规划经十二路，北至连霍高速公路。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411271Z100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汽车及零部件、生物医药、新一代信息技术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东区：东至环区东路、西至东环路——慧明路——政通路、南至高新三路——环区东路、北至高新大道——人和路；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西区：东至甘棠路，西、北至黄河滩地，南至310国道。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411203FZ11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东至甘棠南路，西至甘山路，北至召公路，南至郑西高铁。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411203Z102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三门峡陕州区先进制造业开发区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化工、有色金属冶炼及精深加工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南区东至春丽沟、西至滹沱河、南至规划大纬一路、北至鸿腾路;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北区东至平安路、西至化工路、南至观音大道、北至崤凌路。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411281Z105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义马市先进制造业开发区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煤化工、化工新材料、电子信息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区块一：北至银杏东路、银杏西路一线，东至香山街，南至和平路、陇海铁路一线，西至振兴化工厂及兴邦制药厂西厂界；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区块二：以涧河为界，北至义马、渑池行政界，东至石佛北沟村东村界，南至规划纬六路，西至南坡村西村界；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区块三：北至规划纬七路，东至规划经十四路，南至湾子村南界，西至规划经一路。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411221Z103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渑池县先进制造业开发区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有色金属冶炼及精深加工、装备制造、有色金属新材料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东区：东至渑垣高速——张沟河、西至管庄沟、南至连霍高速、北至渑垣高速。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西区：东至英张工业大道、西至杨家新村、南至连霍高速、北至曹窑煤矿渑池铁路专线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411282Z106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灵宝市先进制造业开发区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有色金属及金属制品加工、电子设备制造、非金属矿物制品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城东园区：北至北环路、东至陇海铁路、西至G209线、南至南环路；豫灵园区：东至彩虹路、西至河滨路、南至朝阳路-秦岭路一线、北至民安路乐业路一线。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411224Z104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卢氏县先进制造业开发区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食品、生物医药、节能环保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洛河北组团东到火炎北路东500米、西至卢傲北路、南到滨河东路、北至龙山东路；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洛河南组团东到火炎南路、西至燕居路，南到长征东路，北到熊耳东路。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十三、南阳（16个）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411371Z107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光电信息、装备制造、生物医药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1.北区：区块一：东至康元路，南至枣庄路，西至沙庄路，北至光武西路；区块二：东至规划独山路，南至张衡路，西至规划车站路、高新路、人民北路，北至规划外环路。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2.南区：东至经十三路、南至沪陕高速公路和许平南高速公路、西至规划的城南大道、北至规划的黄河路。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411393Z108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南阳官庄先进制造业开发区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石油化工、医药制造、新能源材料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东至东环路、桐柏山路、遮山路，南至油田路，西至遮山路、黄山路、西环路、涧河东路，北至五一路、辽河路、恒山南路及精蜡厂以北道路。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411372FZ12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东南至黄河西一路，东北至黄河西五路，西南至机场南四路，东北至机场北四路。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411302Z109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装备制造、生物质能源、光电新材料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东至城南大道、西至白河大道、南至宁西铁路-二广高速、北至黄河路。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411303Z110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南阳卧龙区先进制造业开发区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西至宁西铁路，东至兰营水库风景区生态控制区西界线，北至张皮沟村，南至中州路。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411381Z121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邓州市先进制造业开发区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纺织服装、装备制造、生物基合成材料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1.城南片区东至东方大道-207国道西600米处、西至滨河路-运粮河-三贤南路-邓襄南路、南至207国道北侧、北至纺织路-纬一路，规划面积19.31平方公里；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湍北片区东至北京大道北段西侧150米处、西至礓石河以西600米、南至湍河、北至灵山大道，规划面积3.29平方公里（河南省机构编制委员会办公室关于设立邓州市统筹城乡发展实验区管理委员会的通知（豫编办〔2016〕298号）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411323Z113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装备制造、特钢及冶金辅料、农副产品加工、生物医药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东至新规划的312国道，西至县城莲花路，南至回车镇花园村 ，北至五眼泉河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411328Z118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装备制造、农副产品加工、电子信息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东至镍都路-友兰大道、西至滨河南路、南至澧水路-三夹河-澧水路、北至宁西铁路控制线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411326Z116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淅川县先进制造业开发区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装备制造、非金属矿物制品、生物医药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1.城区工业园：东至淅河西300米处、西至上中路-商圣社区-刘营社区，南至南环路、北至范蠡公园-工业大道，规划面积8.2平方公里；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2.香九厚工业园：东至太行路、西至西环路-秦岭路、南至丹阳大道、北至北环路，规划面积17.1平方公里。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411324Z114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非金属矿物制品、绿色食品、高端装备制造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东至大刘营村张庄村界-航天路-紫禁城路-花坊路，西至镇龙路东侧134米处-石雕城路-玉源大道，南至南环路-建设路，北至规划207国道沿线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411325Z115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装备制造、农副食品加工、新型建材、包装印刷新材料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东至默河林带、西至内余公路-长信路-湍河、南至盆窑村、北至沪陕高速北930米处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411322Z112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装备制造、医药制造、超硬及硬质合金新材料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1.东区东至潘河，南至规划南环路，西至规划西外环路，北至龙城路；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2.西区北至高沙河，东至李文学庄-上庄-大连山一线，西至钻石大道-高沙河一线，南到新集-汤庄一线。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411329Z119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纺织服装、玩具制造、光电电子信息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1.西区：东至果园路—运粮路、西至西外环路、南至纬一路、北至汉霄路，规划面积：11.99平方公里。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2.东区：东至三分干渠东300米、西至军民渠西100米、南至以齐岗村北500米、北至大桥路，规划面积：3.6平方公里。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411327Z117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社旗县先进制造业开发区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1.主体区域东至唐河、西至规划西环路、南至规划周南高速以南460米处、北至长江路，规划面积17.05平方公里；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2.赊店老酒生态产业园：东至西环路、西至重庆路、南至赊店路以南100米处、北至香山路，规划面积0.53平方公里。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411321Z111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南召县先进制造业开发区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非金属新材料、装备制造、生物医药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1.北区为起步区，西至东滨河路、东至省道s333与辛夷路交叉口、南至辛夷路、北至省道s333以北100米；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2.南区东至朝阳路、西至玉兰路-人民南路、南至白河东路-商业路-丰收路、北至现代路-吉祥路。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411330Z120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桐柏县先进制造业开发区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化学原料和化学制品、农副食品加工、生物医药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1.西区：东至明星路，南至物流路南侧，西至22号路，北至安碱大道、5号路，规划面积10.41平方公里；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2.东区：东区北部东至规划的经九路、西至桐银路、南至宁西铁路—三源大道、北至312国道，东区南部东至经十四路、西至盘古大道、南至纬十一路—乙八街—乙九街、北至三源大道。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十四、商丘（11个）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411472Z122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装备制造、电子信息、碳纤维材料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原产业集聚区：东起帝喾路、西至中州路-睢阳路一线、北至周商永运河、南至迎宾路。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原服务业：东至睢阳南路、宋城路、豫苑路、帝喾路、睢阳路，南至华商大道，西至学院路、宋城路、中水渠、春华路、中州路，北至北海东路。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411471FW17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东至晨风大道、西至中州北路、南至民主路-胜利东路一线、北至农贸路。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411402Z123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健康产业（医药制造和体育用品制造）、食品、人工智能</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北片区东至万堤沟往北延长线和君台路、西至商周绕城高速、南至建设路、北至双李路。南片区东至忠民河和金桥路、西至商周绕城高速、南至文化路和八一路、北至陇海铁路。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411403Z124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商丘睢阳高新技术产业开发区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纺织服装、光电新材料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东至经一路、西至紫荆南路、南至城南大道、北至纬一路。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411481Z131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永城经济技术开发区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化工、装备制造、食品加工、新型铝材料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原产业集聚区：西片区：东至济祁高速，西至西环路，南至规划路，北至沱河。东片区：北至永淮路，南至沱河北岸，西至经一路，东至经四路。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原服务业：东至中原路，南至商业路、永盛路、团结路，西至雪枫路，北至淮海大道。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411426Z130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夏邑高新技术产业开发区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纺织服装、装备制造、医药制造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原产业集聚区：南区东至胡桥二中南北一线、西至沱河、南至吴寨庄东西一线、北至腾飞大道。西区东至西环路、西至毛河、南至中和街、北至雪枫西路。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原服务业：东至孔祖大道、夏业路，南至华夏大道、工业路，西至滨河大道、和谐大道，北至县府路。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411425Z129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虞城高新技术产业开发区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装备制造、食品加工、医药制造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原产业集聚区：东至203省道、西至县界、南至南环路、北至木兰大道。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原服务业：东至至诚四路，南至至信二路，西至科迪大道，北至木兰大道。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411421Z125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民权高新技术产业开发区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装备制造、食品加工、电子制造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原产业集聚区：东至中山大道、西至西环路、南至科技大道、北至陇海铁路。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原服务业：东至博爱路、江山大道，南至冰熊大道，西至中山大道，北至和平路、淮海路、陇海南路。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411422Z126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睢县先进制造业开发区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纺织服装（制鞋）、电子信息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原产业集聚区：东至新东环路（东环路东500米）、西至西环北路、南至纬一路、北至皇台南路。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原服务业：东至海河路，南至锦绣大道，西至睢水路，北至泰山路。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411423Z127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宁陵县先进制造业开发区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化工、农产品加工、电子制造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原产业集聚区：东至规划东环路、西至长江路-葛天大道-珠江路一线、南至人民路-路岭路-微山路-漓江路-金山路一线、北至天山路-人民路一线。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原服务业：东至珠江路，南至纬十路，西至滨河大道，北至信陵路。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411424Z128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柘城高新技术产业开发区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超硬材料、医药制造、电子制造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西区东至工业大道中心线、西至惠济河东岸红线向东60米处、南至伊科皮业厂区南、北至商周高速南侧红线向南50米处。东区东至永安支沟西侧、西至中心城区规模控制线、南至S326省道、北至商周公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原服务业：东至上海路、南至北湖路、西至迎宾大道、北至商柘快速路。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十五、信阳（10个）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411571Z132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装备制造、电子信息、绿色建材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1.信阳市产业集聚区高新区片区（信阳高新技术产业开发区）：东至工三十路、北至海营水库支流防护林南侧边界、西至京广高速铁路、南至312国道，规划面积20.41平方公里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桥产业集聚区：规划面积12.4平方公里，其中：东片区东至平桥与罗山交界，西至工业城交界线，南至宁西铁路，北至312国道以北1000米，规划面积6.9平方公里；西片区东至京港澳高速，西至平三路，南至南环路，北至312国道，规划面积5.5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3.上天梯产业集聚区：西起栗子园、东至</w:t>
            </w:r>
            <w:r>
              <w:rPr>
                <w:rStyle w:val="32"/>
                <w:rFonts w:hint="eastAsia" w:ascii="宋体" w:hAnsi="宋体" w:eastAsia="宋体" w:cs="宋体"/>
                <w:sz w:val="20"/>
                <w:szCs w:val="20"/>
                <w:lang w:val="en-US" w:eastAsia="zh-CN" w:bidi="ar"/>
              </w:rPr>
              <w:t>浉</w:t>
            </w:r>
            <w:r>
              <w:rPr>
                <w:rFonts w:hint="eastAsia" w:ascii="宋体" w:hAnsi="宋体" w:eastAsia="宋体" w:cs="宋体"/>
                <w:i w:val="0"/>
                <w:color w:val="000000"/>
                <w:kern w:val="0"/>
                <w:sz w:val="20"/>
                <w:szCs w:val="20"/>
                <w:u w:val="none"/>
                <w:lang w:val="en-US" w:eastAsia="zh-CN" w:bidi="ar"/>
              </w:rPr>
              <w:t>河南灌渠、南起马家湾、北至</w:t>
            </w:r>
            <w:r>
              <w:rPr>
                <w:rStyle w:val="32"/>
                <w:rFonts w:hint="eastAsia" w:ascii="宋体" w:hAnsi="宋体" w:eastAsia="宋体" w:cs="宋体"/>
                <w:sz w:val="20"/>
                <w:szCs w:val="20"/>
                <w:lang w:val="en-US" w:eastAsia="zh-CN" w:bidi="ar"/>
              </w:rPr>
              <w:t>浉</w:t>
            </w:r>
            <w:r>
              <w:rPr>
                <w:rFonts w:hint="eastAsia" w:ascii="宋体" w:hAnsi="宋体" w:eastAsia="宋体" w:cs="宋体"/>
                <w:i w:val="0"/>
                <w:color w:val="000000"/>
                <w:kern w:val="0"/>
                <w:sz w:val="20"/>
                <w:szCs w:val="20"/>
                <w:u w:val="none"/>
                <w:lang w:val="en-US" w:eastAsia="zh-CN" w:bidi="ar"/>
              </w:rPr>
              <w:t>河，规划面积9.6平方公里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4.明港产业集聚区：北至明河以南300米，东至京广铁路、西至部队军营、南至镇区军民路，规划面积8.7平方公里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411502Z133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电子信息、中介服务、市场交易</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1.河南省信阳经济技术开发区：东至石武高铁客运专线、西至京广大道、南至新十一大街、北至信阳国际家居产业小镇北规划路，规划面积30.01平方公里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2.信阳金牛物流产业集聚区：东至京广铁路以西50米、南至南湖路、西至新规划的107国道，北至宁西铁路南侧350米，规划面积14.36平方公里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411525Z138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固始县先进制造业开发区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1.固始县产业集聚区：东至百川路、西至西二环路、南至中山大街、北至番国大道北600米，规划面积19.1平方公里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2.固始县史河湾产业集聚区：北至沪陕高速南1.7千米、西至工业大道、南至宁西铁路南600米、东至滨河大道，规划面积4.39平方公里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411522Z135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东至京九铁路、西至西环路、南至南环路、北至小潢河，规划面积13.1平方公里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411523Z136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生物医药、装备制造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九龙岭、康畈、羚锐（含羚锐Ⅰ、羚锐Ⅱ）三个分区，其中：九龙岭分区东至小潢河、西至SS9线与吴陈河镇邱店村交界的渡槽、南至华湾四面山、北至胡山寨，规划面积8.75平方公里；康畈分区东至小潢河、西至白果树居委会对面山、南至朝阳路、北至四面山，规划面积4.63平方公里；羚锐分区（Ⅰ）东至和尚头山、西至连康山、南至巴棚居委会村部、北至下裴河，规划面积1.14平方公里；羚锐分区（Ⅱ）东至京九铁路线、西至将军路、南至新集镇董店居委会小河、北至艾洼村，规划面积0.66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411521Z134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电子信息、纺织服装</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片区北至新312国道以南（北环路）、南至沪陕高速公路、西至开武路、东至振兴大道，规划面积11.24平方公里。西区北至龙山大道（老312国道）、南至环城南路以南500米、西至龙山大道与环城南路交叉口、东至规划路，规划面积1.194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411527Z140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淮滨县先进制造业开发区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纺织服装、食品加工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东至东外环路，北至北外环路，南至东湖北路（金谷春大道东段），西至红云路（金枣路），规划面积14.86平方公里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411524Z137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东至双竹园村和杨堰村东边界、西至灌河东岸、南至南司村南边界、北至太平村北边界，规划面积11.7平方公里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411526Z139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潢川经济开发区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食品加工、纺织服装、商贸物流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西区东至创业大道、西至西外环路、南至南八路、北至312国道，规划面积16.1平方公里；东区东至货场路东1000米、西至蔡氏河、南至广纬二路、北至外环路，规划面积15.83平方公里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411528Z141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息县先进制造业开发区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食品加工、纺织服装</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西至息寨路东侧、东至农科所良种繁育场、南至息州大道、北至北外环路（城郊乡八里棚村），规划面积11平方公里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十六、周口（12个）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411671Z142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周口临港开发区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食品加工、现代临港物流、生物医药、电子信息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经开和临港两个片区。1.经开片区：东部分东至刘庄村、西至工农路、南至宁洛高速、北至周项路。西部分东至周商大道、西至西环路-永丰路、南至漯阜铁路、北至黄河路南100米。规划面积27.53平方公里；临港片区：东至项城市边界，西至武盛大道，北至沙颍河及码头对面部分区域（沙颍河以北，七一路东段以南，郑合高铁以西，大广高速以东）。南至李埠口街道办事处行政区划边界。规划面积74.94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411692FZ13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部边界：周口大道。北部边界：光明路-政通路-文昌大道-人和路-光明路-腾飞路-文昌大道-太行山路-纬十三路-高铁大道-文昌大道。东部边界：长白山路。南部边界：环湖南路-政通路-庆丰东路-人和路-环湖南路-腾飞路-环湖北路-庆丰东路-武盛大道-纬十六路-太行山路-环湖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411603Z144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塑料制品、装备制造、节能环保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位于淮阳县城西南部，北至弦歌路、南至规划南三环、东至羲皇路-106国道一线、西到规划西三环路。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411602Z143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电子信息、新型建材、装备制造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东至周口大道、西至中州路、南至太清路、北至北二环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411681Z152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项城市先进制造业开发区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纺织服装、食品加工、生物医药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东至沙颍河西岸、西至车站路、南至漯阜铁路以南1公里、北至东大街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411622Z146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西华经济技术开发区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电子信息、食品加工、装备制造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东至中州大道、西至工业一路和吴黄路南延伸线、南至安康大道向东延伸线、北至华兴大道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411625Z149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郸城高新技术产业开发区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食品加工、生物医药、生物可降解新材料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北至郸淮一级公路、南至南二环路、西至东环路、东至杨白沟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411624Z148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沈丘县先进制造业开发区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钢铁、食品加工、装备制造、节能环保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南北两个片区。1.南片区：东至石槽乡刘腰庄村、西至兆丰大道、南至漯阜铁路、北至沙颍河，规划面积12.79平方公里。2.北片区：东至兆丰大道，西至北城办事处大辛营村东耕地，南至S207省道，北至崔楼村规划面积4.5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411627Z150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太康县先进制造业开发区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纺织服装、装备制造、节能环保、食品加工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东西两个片区。1.东片区：东至海庄村，西至东张庄村、前端庄村，南至谢庄村北，北至兰河南岸，规划面积10.34平方公里；2.西片区：东至阳夏路、西至西三环、南至张楼村、北至东西方向许郸铁路（现状），规划面积13.01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411623Z147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商水经济技术开发区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纺织服装、食品加工、节能环保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东至周商大道、西至汤庄乡西路、南至城巴路、北至洛宁高速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411621Z145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扶沟县先进制造业开发区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东起东三环、西至西侧外路、南起许亳铁路、北至北三环。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411628Z151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鹿邑县先进制造业开发区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食品加工、美妆彩妆、生物医药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东至迎宾大道、西至王圪针园村北、南至王张路、北至永登高速南侧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十七、驻马店（11个）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411702Z153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精细化工、医药、复合新材料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北至中华大道、西至丰华路、驿城大道（现更名为兴业大道）、南至滨河北路（现更名为滨河东路）、东至建设路；南区北至滨河南路（现更名为工业一路）、南至工业四路（现更名为靖宇大道）、西至兴工路（现更名为和顺路）、东至迎宾路（现更名为迎宾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411771Z154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片1：原驻马店装备：北至古吕路、东至迎宾大道、南至中华大道、西至京广铁路。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片2：原驻马店经济技术开发区：前进西路（现更名为农业路）以东、魏庄路以南、迎宾大道以西、古吕路以北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411724Z158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南区东至正陡路，西至创业一路，南至产业南路，北至真阳大道；北区东至闾河路，西至西四环路，南至董楼路，北至江国大道。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411723Z157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平舆县先进制造业开发区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皮革皮具、现代家居、新型建筑防水材料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东区东至中原路、西至园区一路、南至南环路、北至王堂路。西区东至阳城大道、西至西环路-伟业大道、南至盛园路、北至陈寺港路。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411727Z161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汝南县先进制造业开发区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装备制造、农副产品加工、节能环保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东至建设路、西至湖滨大道、南至南环路、北至新兴三路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411729Z163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食品药品、现代家居、智能装备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东至工业大道以东550米、西至蔡州大道以西2公里（蔡州大道以西2公里的路更名为伯夷大道，即西至伯夷大道）、南至潘港、北至驻新路以北600米。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411728Z162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食品、装备制造、高分子材料深加工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东至经八路、希望大道以北的部分西至陶成路、希望大道以南的部分西至文化路、东南至八里杨南路，西南至丹朱路、北至北环路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411726Z160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农副产品加工、绿色建材、电子电器</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东至人民路、西至西二环路和张飞岗、南至棠西南路和沪陕高速入口、北至北四路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411722Z156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纺织制鞋、农副产品加工、电子信息技术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东至秦相路，西至柳堰河路，南至蔡都大道南250米，北至北环城路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411721Z155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纺织服装、农副产品加工、智能装备制造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东至东环路、西至规划的创业大道、南至南环路、北至启明路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411725Z159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建材、装备制造、生物科技</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东至金城大道、西至京广铁路、南至豫龙大道、北至北环大道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十八、济源示范区（3个）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419001Z164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装备制造、先进金属材料及深加工、化工、电子信息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西区东至焦枝铁路及小浪底专用线、西至西二环、南至济运高速、北至</w:t>
            </w:r>
            <w:r>
              <w:rPr>
                <w:rStyle w:val="32"/>
                <w:rFonts w:hint="eastAsia" w:ascii="宋体" w:hAnsi="宋体" w:eastAsia="宋体" w:cs="宋体"/>
                <w:sz w:val="20"/>
                <w:szCs w:val="20"/>
                <w:lang w:val="en-US" w:eastAsia="zh-CN" w:bidi="ar"/>
              </w:rPr>
              <w:t>湨</w:t>
            </w:r>
            <w:r>
              <w:rPr>
                <w:rFonts w:hint="eastAsia" w:ascii="宋体" w:hAnsi="宋体" w:eastAsia="宋体" w:cs="宋体"/>
                <w:i w:val="0"/>
                <w:color w:val="000000"/>
                <w:kern w:val="0"/>
                <w:sz w:val="20"/>
                <w:szCs w:val="20"/>
                <w:u w:val="none"/>
                <w:lang w:val="en-US" w:eastAsia="zh-CN" w:bidi="ar"/>
              </w:rPr>
              <w:t>河以北；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东区东至东二环、东三环，西至文昌南路、沁园南路，南至南环路、获轵路，北至黄河大道、苇泉河。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419001Z165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有色金属及深加工、储能电池、建材、节能环保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北区西、北至侯月铁路，东至玉川四路，南以玉川南路为界；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南区东至工业大道，西至交通驾校考练场，南至西许北路，北至引沁济蟒一干渠。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419001FW18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东至玉川二号线，西至克井镇原昌村东界，南至侯月铁路线，北至渠马线。</w:t>
            </w:r>
          </w:p>
        </w:tc>
      </w:tr>
    </w:tbl>
    <w:p>
      <w:pPr>
        <w:keepNext w:val="0"/>
        <w:keepLines w:val="0"/>
        <w:pageBreakBefore w:val="0"/>
        <w:widowControl w:val="0"/>
        <w:kinsoku/>
        <w:wordWrap/>
        <w:overflowPunct/>
        <w:topLinePunct w:val="0"/>
        <w:autoSpaceDE/>
        <w:autoSpaceDN/>
        <w:bidi w:val="0"/>
        <w:adjustRightInd/>
        <w:snapToGrid/>
        <w:spacing w:line="460" w:lineRule="exact"/>
        <w:ind w:left="-105" w:leftChars="-50" w:right="0" w:firstLine="0" w:firstLineChars="0"/>
        <w:jc w:val="both"/>
        <w:textAlignment w:val="auto"/>
        <w:rPr>
          <w:rFonts w:hint="eastAsia" w:ascii="楷体_GB2312" w:hAnsi="Times New Roman" w:eastAsia="楷体_GB2312" w:cs="Times New Roman"/>
          <w:color w:val="auto"/>
          <w:sz w:val="21"/>
          <w:szCs w:val="21"/>
          <w:lang w:val="en-US" w:eastAsia="zh-CN"/>
        </w:rPr>
      </w:pPr>
      <w:r>
        <w:rPr>
          <w:rFonts w:hint="eastAsia" w:ascii="楷体_GB2312" w:hAnsi="Times New Roman" w:eastAsia="楷体_GB2312" w:cs="Times New Roman"/>
          <w:b/>
          <w:bCs/>
          <w:color w:val="auto"/>
          <w:sz w:val="21"/>
          <w:szCs w:val="21"/>
          <w:lang w:val="en-US" w:eastAsia="zh-CN"/>
        </w:rPr>
        <w:t>注：</w:t>
      </w:r>
      <w:r>
        <w:rPr>
          <w:rFonts w:hint="eastAsia" w:ascii="楷体_GB2312" w:hAnsi="Times New Roman" w:eastAsia="楷体_GB2312" w:cs="Times New Roman"/>
          <w:color w:val="auto"/>
          <w:sz w:val="21"/>
          <w:szCs w:val="21"/>
          <w:lang w:val="en-US" w:eastAsia="zh-CN"/>
        </w:rPr>
        <w:t>此边界为2022年2月发改委所认定边界</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Calibri" w:eastAsia="黑体"/>
          <w:b w:val="0"/>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60" w:lineRule="exact"/>
        <w:jc w:val="center"/>
        <w:textAlignment w:val="auto"/>
        <w:outlineLvl w:val="1"/>
        <w:rPr>
          <w:rFonts w:hint="eastAsia" w:ascii="黑体" w:hAnsi="Calibri" w:eastAsia="黑体"/>
          <w:b w:val="0"/>
          <w:bCs/>
          <w:sz w:val="28"/>
          <w:szCs w:val="28"/>
          <w:lang w:eastAsia="zh-CN"/>
        </w:rPr>
      </w:pPr>
      <w:bookmarkStart w:id="112" w:name="_Toc22176"/>
      <w:r>
        <w:rPr>
          <w:rFonts w:hint="eastAsia" w:ascii="黑体" w:hAnsi="Calibri" w:eastAsia="黑体"/>
          <w:b w:val="0"/>
          <w:bCs/>
          <w:sz w:val="28"/>
          <w:szCs w:val="28"/>
        </w:rPr>
        <w:t>郑洛新国家自主创新示范区</w:t>
      </w:r>
      <w:r>
        <w:rPr>
          <w:rFonts w:hint="eastAsia" w:ascii="黑体" w:hAnsi="Calibri" w:eastAsia="黑体"/>
          <w:b w:val="0"/>
          <w:bCs/>
          <w:sz w:val="28"/>
          <w:szCs w:val="28"/>
          <w:lang w:eastAsia="zh-CN"/>
        </w:rPr>
        <w:t>名称及代码汇总表</w:t>
      </w:r>
      <w:bookmarkEnd w:id="112"/>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4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名 </w:t>
            </w:r>
            <w:r>
              <w:rPr>
                <w:rFonts w:hint="eastAsia" w:ascii="宋体" w:hAnsi="宋体" w:eastAsia="宋体" w:cs="宋体"/>
                <w:b/>
                <w:bCs/>
                <w:color w:val="000000"/>
                <w:kern w:val="0"/>
                <w:sz w:val="20"/>
                <w:szCs w:val="20"/>
                <w:lang w:val="en-US" w:eastAsia="zh-CN"/>
              </w:rPr>
              <w:t xml:space="preserve"> </w:t>
            </w:r>
            <w:r>
              <w:rPr>
                <w:rFonts w:hint="eastAsia" w:ascii="宋体" w:hAnsi="宋体" w:eastAsia="宋体" w:cs="宋体"/>
                <w:b/>
                <w:bCs/>
                <w:color w:val="000000"/>
                <w:kern w:val="0"/>
                <w:sz w:val="20"/>
                <w:szCs w:val="20"/>
              </w:rPr>
              <w:t>称</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统计代码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自主创新示范区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color w:val="000000"/>
                <w:sz w:val="20"/>
                <w:szCs w:val="20"/>
              </w:rPr>
              <w:t>410000C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一、核心区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rPr>
            </w:pPr>
            <w:r>
              <w:rPr>
                <w:rFonts w:hint="eastAsia" w:ascii="宋体" w:hAnsi="宋体" w:eastAsia="宋体" w:cs="宋体"/>
                <w:b/>
                <w:color w:val="000000"/>
                <w:sz w:val="20"/>
                <w:szCs w:val="20"/>
              </w:rPr>
              <w:t>410000C001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1.郑州高新技术产业开发区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0"/>
                <w:szCs w:val="20"/>
              </w:rPr>
            </w:pPr>
            <w:r>
              <w:rPr>
                <w:rFonts w:hint="eastAsia" w:ascii="宋体" w:hAnsi="宋体" w:eastAsia="宋体" w:cs="宋体"/>
                <w:sz w:val="20"/>
                <w:szCs w:val="20"/>
              </w:rPr>
              <w:t>410172C001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2.洛阳高新技术产业开发区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0"/>
                <w:szCs w:val="20"/>
              </w:rPr>
            </w:pPr>
            <w:r>
              <w:rPr>
                <w:rFonts w:hint="eastAsia" w:ascii="宋体" w:hAnsi="宋体" w:eastAsia="宋体" w:cs="宋体"/>
                <w:kern w:val="0"/>
                <w:sz w:val="20"/>
                <w:szCs w:val="20"/>
              </w:rPr>
              <w:t>410371C001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3.新乡高新技术产业开发区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0"/>
                <w:szCs w:val="20"/>
              </w:rPr>
            </w:pPr>
            <w:r>
              <w:rPr>
                <w:rFonts w:hint="eastAsia" w:ascii="宋体" w:hAnsi="宋体" w:eastAsia="宋体" w:cs="宋体"/>
                <w:kern w:val="0"/>
                <w:sz w:val="20"/>
                <w:szCs w:val="20"/>
              </w:rPr>
              <w:t>410771C001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bCs/>
                <w:color w:val="000000"/>
                <w:sz w:val="20"/>
                <w:szCs w:val="20"/>
              </w:rPr>
              <w:t>二、辐射区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b/>
                <w:color w:val="000000"/>
                <w:sz w:val="20"/>
                <w:szCs w:val="20"/>
              </w:rPr>
              <w:t>410000C002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（一）郑州片区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410100C002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1.郑州航空港区科技园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rPr>
              <w:t>410173C002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2.郑州郑东新区科技园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sz w:val="20"/>
                <w:szCs w:val="20"/>
              </w:rPr>
              <w:t>410195C003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3.郑州经开区科技园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sz w:val="20"/>
                <w:szCs w:val="20"/>
              </w:rPr>
              <w:t>410171C004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4.郑州金水区科技园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sz w:val="20"/>
                <w:szCs w:val="20"/>
              </w:rPr>
              <w:t>410105C005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color w:val="000000"/>
                <w:sz w:val="20"/>
                <w:szCs w:val="20"/>
              </w:rPr>
              <w:t>（二）洛阳片区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b/>
                <w:color w:val="000000"/>
                <w:sz w:val="20"/>
                <w:szCs w:val="20"/>
              </w:rPr>
              <w:t>410300</w:t>
            </w:r>
            <w:r>
              <w:rPr>
                <w:rFonts w:hint="eastAsia" w:ascii="宋体" w:hAnsi="宋体" w:eastAsia="宋体" w:cs="宋体"/>
                <w:b/>
                <w:color w:val="000000"/>
                <w:kern w:val="0"/>
                <w:sz w:val="20"/>
                <w:szCs w:val="20"/>
              </w:rPr>
              <w:t>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kern w:val="0"/>
                <w:sz w:val="20"/>
                <w:szCs w:val="20"/>
              </w:rPr>
            </w:pPr>
            <w:r>
              <w:rPr>
                <w:rFonts w:hint="eastAsia" w:ascii="宋体" w:hAnsi="宋体" w:eastAsia="宋体" w:cs="宋体"/>
                <w:color w:val="000000"/>
                <w:sz w:val="20"/>
                <w:szCs w:val="20"/>
              </w:rPr>
              <w:t>1.洛阳涧西区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410305C002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2.洛阳洛龙高新区科技园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410311C003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3.洛阳伊滨产业集聚区科技园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kern w:val="0"/>
                <w:sz w:val="20"/>
                <w:szCs w:val="20"/>
              </w:rPr>
              <w:t>410394C004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4.洛阳（西工）工业园科技园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kern w:val="0"/>
                <w:sz w:val="20"/>
                <w:szCs w:val="20"/>
              </w:rPr>
              <w:t>410303C005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color w:val="000000"/>
                <w:sz w:val="20"/>
                <w:szCs w:val="20"/>
              </w:rPr>
              <w:t>（三）新乡片区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b/>
                <w:color w:val="000000"/>
                <w:kern w:val="0"/>
                <w:sz w:val="20"/>
                <w:szCs w:val="20"/>
              </w:rPr>
              <w:t>410700C002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rPr>
              <w:t>1.新乡平原示范区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kern w:val="0"/>
                <w:sz w:val="20"/>
                <w:szCs w:val="20"/>
              </w:rPr>
              <w:t>410773C002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0"/>
                <w:szCs w:val="20"/>
              </w:rPr>
            </w:pPr>
            <w:r>
              <w:rPr>
                <w:rFonts w:hint="eastAsia" w:ascii="宋体" w:hAnsi="宋体" w:eastAsia="宋体" w:cs="宋体"/>
                <w:bCs/>
                <w:color w:val="000000"/>
                <w:sz w:val="20"/>
                <w:szCs w:val="20"/>
              </w:rPr>
              <w:t>2.新乡红旗区科技园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410702C003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3.新乡牧野区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410711C004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4.新乡经开区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410772C005</w:t>
            </w:r>
          </w:p>
        </w:tc>
      </w:tr>
    </w:tbl>
    <w:p>
      <w:pPr>
        <w:widowControl/>
        <w:tabs>
          <w:tab w:val="left" w:pos="2532"/>
        </w:tabs>
        <w:jc w:val="center"/>
        <w:rPr>
          <w:rFonts w:ascii="宋体" w:hAnsi="宋体" w:eastAsia="宋体" w:cs="宋体"/>
          <w:bCs/>
          <w:color w:val="000000"/>
          <w:kern w:val="0"/>
          <w:sz w:val="18"/>
          <w:szCs w:val="18"/>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outlineLvl w:val="0"/>
        <w:rPr>
          <w:rFonts w:hint="eastAsia" w:ascii="方正小标宋简体" w:hAnsi="方正小标宋简体" w:eastAsia="方正小标宋简体" w:cs="方正小标宋简体"/>
          <w:b w:val="0"/>
          <w:bCs/>
          <w:kern w:val="2"/>
          <w:sz w:val="36"/>
          <w:szCs w:val="36"/>
          <w:lang w:val="en-US" w:eastAsia="zh-CN" w:bidi="ar-SA"/>
        </w:rPr>
      </w:pPr>
      <w:r>
        <w:rPr>
          <w:rFonts w:ascii="宋体" w:hAnsi="宋体" w:eastAsia="宋体" w:cs="宋体"/>
          <w:color w:val="000000"/>
          <w:sz w:val="32"/>
          <w:szCs w:val="32"/>
        </w:rPr>
        <w:br w:type="page"/>
      </w:r>
      <w:bookmarkStart w:id="113" w:name="_Toc20975"/>
      <w:bookmarkStart w:id="114" w:name="_Toc29438"/>
      <w:bookmarkStart w:id="115" w:name="_Toc11612"/>
      <w:r>
        <w:rPr>
          <w:rFonts w:hint="eastAsia" w:ascii="方正小标宋简体" w:hAnsi="方正小标宋简体" w:eastAsia="方正小标宋简体" w:cs="方正小标宋简体"/>
          <w:b w:val="0"/>
          <w:bCs/>
          <w:kern w:val="2"/>
          <w:sz w:val="36"/>
          <w:szCs w:val="36"/>
          <w:lang w:val="en-US" w:eastAsia="zh-CN" w:bidi="ar-SA"/>
        </w:rPr>
        <w:t>第十四部分  独立统计管理机构名单（40个）</w:t>
      </w:r>
      <w:bookmarkEnd w:id="113"/>
      <w:bookmarkEnd w:id="114"/>
      <w:bookmarkEnd w:id="115"/>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918"/>
        <w:gridCol w:w="3113"/>
        <w:gridCol w:w="1728"/>
        <w:gridCol w:w="2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数据处理地代码</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统计管理机构名称</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数据处理地代码</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统计管理机构名称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4101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郑州市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4110</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许昌市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411071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许昌经济技术开发区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411092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许昌东城区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410173</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郑州航空港经济综合实验区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411093</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许昌中原电气谷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410195</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郑州郑东新区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漯河市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4102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开封市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411171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漯河经济技术开发区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410291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开封城乡一体化示范区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三门峡市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4103</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洛阳市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411271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河南三门峡经济开发区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410371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洛阳高新技术产业开发区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411292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rPr>
            </w:pPr>
            <w:r>
              <w:rPr>
                <w:rFonts w:hint="eastAsia" w:ascii="宋体" w:hAnsi="宋体" w:eastAsia="宋体" w:cs="宋体"/>
                <w:spacing w:val="-6"/>
                <w:sz w:val="20"/>
                <w:szCs w:val="20"/>
              </w:rPr>
              <w:t>三门峡城乡一体化示范区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410394</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洛阳市城乡一体化示范区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4113</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南阳市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b/>
                <w:kern w:val="0"/>
                <w:sz w:val="20"/>
                <w:szCs w:val="20"/>
                <w:lang w:val="en-US" w:eastAsia="zh-CN" w:bidi="ar-SA"/>
              </w:rPr>
            </w:pPr>
            <w:r>
              <w:rPr>
                <w:rFonts w:hint="eastAsia" w:ascii="宋体" w:hAnsi="宋体" w:eastAsia="宋体" w:cs="宋体"/>
                <w:b/>
                <w:kern w:val="0"/>
                <w:sz w:val="20"/>
                <w:szCs w:val="20"/>
                <w:lang w:val="en-US" w:eastAsia="zh-CN" w:bidi="ar"/>
              </w:rPr>
              <w:t>4104</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b/>
                <w:kern w:val="0"/>
                <w:sz w:val="20"/>
                <w:szCs w:val="20"/>
                <w:lang w:val="en-US" w:eastAsia="zh-CN" w:bidi="ar-SA"/>
              </w:rPr>
            </w:pPr>
            <w:r>
              <w:rPr>
                <w:rFonts w:hint="eastAsia" w:ascii="宋体" w:hAnsi="宋体" w:eastAsia="宋体" w:cs="宋体"/>
                <w:b/>
                <w:kern w:val="0"/>
                <w:sz w:val="20"/>
                <w:szCs w:val="20"/>
                <w:lang w:val="en-US" w:eastAsia="zh-CN" w:bidi="ar"/>
              </w:rPr>
              <w:t>平顶山市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411371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rPr>
            </w:pPr>
            <w:r>
              <w:rPr>
                <w:rFonts w:hint="eastAsia" w:ascii="宋体" w:hAnsi="宋体" w:eastAsia="宋体" w:cs="宋体"/>
                <w:spacing w:val="-6"/>
                <w:sz w:val="20"/>
                <w:szCs w:val="20"/>
              </w:rPr>
              <w:t>南阳高新技术产业开发区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410471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平顶山高新技术产业开发区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411372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南阳城乡一体化示范区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410472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平顶山市新城区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4114</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商丘市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4105</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安阳市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411471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rPr>
              <w:t>豫东综合物流产业集聚区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410571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安阳高新技术产业开发区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411472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河南商丘经济开发区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4106</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鹤壁市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4115</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信阳市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410671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鹤壁经济技术开发区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rPr>
              <w:t>信阳高新技术产业开发区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lang w:val="en-US" w:eastAsia="zh-CN"/>
              </w:rPr>
              <w:t>410691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lang w:eastAsia="zh-CN"/>
              </w:rPr>
              <w:t>鹤壁</w:t>
            </w:r>
            <w:r>
              <w:rPr>
                <w:rFonts w:hint="eastAsia" w:ascii="宋体" w:hAnsi="宋体" w:eastAsia="宋体" w:cs="宋体"/>
                <w:b/>
                <w:bCs/>
                <w:sz w:val="20"/>
                <w:szCs w:val="20"/>
              </w:rPr>
              <w:t>市城乡一体化示范区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信阳羊山新区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4107</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新乡市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411593</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信阳上天梯管理区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410771</w:t>
            </w:r>
            <w:r>
              <w:rPr>
                <w:rFonts w:hint="eastAsia" w:ascii="宋体" w:hAnsi="宋体" w:eastAsia="宋体" w:cs="宋体"/>
                <w:sz w:val="20"/>
                <w:szCs w:val="20"/>
              </w:rPr>
              <w:tab/>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新乡市高新技术产业开发区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411594</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信阳南湾风景管理区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410772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新乡市经济技术开发区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411595</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信阳鸡公山风景管理区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410773</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新乡市平原城乡一体化示范新区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411596</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信阳潢川开发区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4108</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焦作市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4116</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周口市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410871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焦作城乡一体化示范区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411671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周口</w:t>
            </w:r>
            <w:r>
              <w:rPr>
                <w:rFonts w:hint="eastAsia" w:cs="宋体"/>
                <w:kern w:val="0"/>
                <w:sz w:val="20"/>
                <w:szCs w:val="20"/>
                <w:lang w:val="en-US" w:eastAsia="zh-CN" w:bidi="ar-SA"/>
              </w:rPr>
              <w:t>临港</w:t>
            </w:r>
            <w:r>
              <w:rPr>
                <w:rFonts w:hint="eastAsia" w:ascii="宋体" w:hAnsi="宋体" w:eastAsia="宋体" w:cs="宋体"/>
                <w:kern w:val="0"/>
                <w:sz w:val="20"/>
                <w:szCs w:val="20"/>
                <w:lang w:val="en-US" w:eastAsia="zh-CN" w:bidi="ar-SA"/>
              </w:rPr>
              <w:t>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4109</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濮阳市</w:t>
            </w:r>
          </w:p>
        </w:tc>
        <w:tc>
          <w:tcPr>
            <w:tcW w:w="954" w:type="pc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411672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周口市城乡一体化示范区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410971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河南濮阳工业园区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4117</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驻马店市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410972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濮阳经济技术开发区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411771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河南驻马店经济开发区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lang w:val="en-US" w:eastAsia="zh-CN"/>
              </w:rPr>
              <w:t>410996</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lang w:eastAsia="zh-CN"/>
              </w:rPr>
              <w:t>濮阳</w:t>
            </w:r>
            <w:r>
              <w:rPr>
                <w:rFonts w:hint="eastAsia" w:ascii="宋体" w:hAnsi="宋体" w:eastAsia="宋体" w:cs="宋体"/>
                <w:sz w:val="20"/>
                <w:szCs w:val="20"/>
              </w:rPr>
              <w:t>市城乡一体化示范区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411792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驻马店市产业集聚区</w:t>
            </w:r>
          </w:p>
        </w:tc>
      </w:tr>
    </w:tbl>
    <w:p>
      <w:pPr>
        <w:keepNext w:val="0"/>
        <w:keepLines w:val="0"/>
        <w:pageBreakBefore w:val="0"/>
        <w:widowControl w:val="0"/>
        <w:kinsoku/>
        <w:wordWrap/>
        <w:overflowPunct/>
        <w:topLinePunct w:val="0"/>
        <w:autoSpaceDE/>
        <w:autoSpaceDN/>
        <w:bidi w:val="0"/>
        <w:adjustRightInd/>
        <w:snapToGrid/>
        <w:spacing w:line="100" w:lineRule="exact"/>
        <w:ind w:left="-105" w:leftChars="-50" w:right="-105" w:rightChars="-50" w:firstLine="420" w:firstLineChars="200"/>
        <w:jc w:val="both"/>
        <w:textAlignment w:val="auto"/>
        <w:rPr>
          <w:rFonts w:hint="eastAsia" w:ascii="楷体_GB2312" w:hAnsi="Times New Roman" w:eastAsia="楷体_GB2312" w:cs="Times New Roman"/>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firstLine="422" w:firstLineChars="200"/>
        <w:jc w:val="both"/>
        <w:textAlignment w:val="auto"/>
        <w:rPr>
          <w:rFonts w:hint="eastAsia" w:ascii="楷体_GB2312" w:hAnsi="Times New Roman" w:eastAsia="楷体_GB2312" w:cs="Times New Roman"/>
          <w:b w:val="0"/>
          <w:bCs w:val="0"/>
          <w:color w:val="auto"/>
          <w:sz w:val="21"/>
          <w:szCs w:val="21"/>
          <w:lang w:val="en-US" w:eastAsia="zh-CN"/>
        </w:rPr>
      </w:pPr>
      <w:r>
        <w:rPr>
          <w:rFonts w:hint="eastAsia" w:ascii="楷体_GB2312" w:hAnsi="Times New Roman" w:eastAsia="楷体_GB2312" w:cs="Times New Roman"/>
          <w:b/>
          <w:bCs/>
          <w:color w:val="auto"/>
          <w:sz w:val="21"/>
          <w:szCs w:val="21"/>
          <w:lang w:val="en-US" w:eastAsia="zh-CN"/>
        </w:rPr>
        <w:t>注：</w:t>
      </w:r>
      <w:r>
        <w:rPr>
          <w:rFonts w:hint="eastAsia" w:ascii="楷体_GB2312" w:hAnsi="Times New Roman" w:eastAsia="楷体_GB2312" w:cs="Times New Roman"/>
          <w:b w:val="0"/>
          <w:bCs w:val="0"/>
          <w:color w:val="auto"/>
          <w:sz w:val="21"/>
          <w:szCs w:val="21"/>
          <w:lang w:val="en-US" w:eastAsia="zh-CN"/>
        </w:rPr>
        <w:t>县级代码为7*的有县级统计用区划，其他经济功能区为虚拟县级代码，即6位数据处理地代码；方便各地组织普查工作，处理、汇总经济功能区经济普查数据，满足地方党委政府宏观决策需要。</w:t>
      </w:r>
    </w:p>
    <w:p>
      <w:pPr>
        <w:pStyle w:val="17"/>
        <w:keepNext w:val="0"/>
        <w:keepLines w:val="0"/>
        <w:pageBreakBefore w:val="0"/>
        <w:widowControl w:val="0"/>
        <w:kinsoku/>
        <w:wordWrap/>
        <w:overflowPunct/>
        <w:topLinePunct w:val="0"/>
        <w:autoSpaceDE/>
        <w:autoSpaceDN/>
        <w:bidi w:val="0"/>
        <w:adjustRightInd/>
        <w:snapToGrid/>
        <w:spacing w:before="0" w:after="0" w:line="980" w:lineRule="exact"/>
        <w:textAlignment w:val="auto"/>
        <w:outlineLvl w:val="9"/>
        <w:rPr>
          <w:rFonts w:hint="eastAsia" w:ascii="方正小标宋简体" w:hAnsi="方正魏碑简体" w:eastAsia="方正小标宋简体" w:cs="方正魏碑简体"/>
          <w:b w:val="0"/>
          <w:bCs/>
          <w:spacing w:val="-17"/>
          <w:w w:val="90"/>
          <w:sz w:val="76"/>
          <w:szCs w:val="76"/>
          <w:lang w:eastAsia="zh-CN"/>
        </w:rPr>
      </w:pPr>
    </w:p>
    <w:p>
      <w:pPr>
        <w:pStyle w:val="17"/>
        <w:keepNext w:val="0"/>
        <w:keepLines w:val="0"/>
        <w:pageBreakBefore w:val="0"/>
        <w:widowControl w:val="0"/>
        <w:kinsoku/>
        <w:wordWrap/>
        <w:overflowPunct/>
        <w:topLinePunct w:val="0"/>
        <w:autoSpaceDE/>
        <w:autoSpaceDN/>
        <w:bidi w:val="0"/>
        <w:adjustRightInd/>
        <w:snapToGrid/>
        <w:spacing w:before="0" w:after="0" w:line="980" w:lineRule="exact"/>
        <w:textAlignment w:val="auto"/>
        <w:outlineLvl w:val="9"/>
        <w:rPr>
          <w:rFonts w:hint="eastAsia" w:ascii="方正小标宋简体" w:hAnsi="方正魏碑简体" w:eastAsia="方正小标宋简体" w:cs="方正魏碑简体"/>
          <w:b w:val="0"/>
          <w:bCs/>
          <w:spacing w:val="-17"/>
          <w:w w:val="90"/>
          <w:sz w:val="76"/>
          <w:szCs w:val="76"/>
        </w:rPr>
      </w:pPr>
    </w:p>
    <w:p>
      <w:pPr>
        <w:pStyle w:val="17"/>
        <w:keepNext w:val="0"/>
        <w:keepLines w:val="0"/>
        <w:pageBreakBefore w:val="0"/>
        <w:widowControl w:val="0"/>
        <w:kinsoku/>
        <w:wordWrap/>
        <w:overflowPunct/>
        <w:topLinePunct w:val="0"/>
        <w:autoSpaceDE/>
        <w:autoSpaceDN/>
        <w:bidi w:val="0"/>
        <w:adjustRightInd/>
        <w:snapToGrid/>
        <w:spacing w:before="0" w:after="0" w:line="1160" w:lineRule="exact"/>
        <w:textAlignment w:val="auto"/>
        <w:outlineLvl w:val="9"/>
        <w:rPr>
          <w:rFonts w:hint="eastAsia" w:ascii="方正小标宋简体" w:hAnsi="方正魏碑简体" w:eastAsia="方正小标宋简体" w:cs="方正魏碑简体"/>
          <w:b w:val="0"/>
          <w:bCs/>
          <w:spacing w:val="-6"/>
          <w:w w:val="88"/>
          <w:sz w:val="76"/>
          <w:szCs w:val="76"/>
        </w:rPr>
      </w:pPr>
      <w:bookmarkStart w:id="116" w:name="_Toc4409"/>
      <w:bookmarkStart w:id="117" w:name="_Toc23967"/>
      <w:bookmarkStart w:id="118" w:name="_Toc11307"/>
      <w:bookmarkStart w:id="119" w:name="_Toc509998926"/>
      <w:bookmarkStart w:id="120" w:name="_Toc509997664"/>
      <w:r>
        <w:rPr>
          <w:rFonts w:hint="eastAsia" w:ascii="方正小标宋简体" w:hAnsi="方正魏碑简体" w:eastAsia="方正小标宋简体" w:cs="方正魏碑简体"/>
          <w:b w:val="0"/>
          <w:bCs/>
          <w:spacing w:val="-6"/>
          <w:w w:val="88"/>
          <w:sz w:val="76"/>
          <w:szCs w:val="76"/>
        </w:rPr>
        <w:t>河南省第</w:t>
      </w:r>
      <w:r>
        <w:rPr>
          <w:rFonts w:hint="eastAsia" w:ascii="方正小标宋简体" w:hAnsi="方正魏碑简体" w:eastAsia="方正小标宋简体" w:cs="方正魏碑简体"/>
          <w:b w:val="0"/>
          <w:bCs/>
          <w:spacing w:val="-6"/>
          <w:w w:val="88"/>
          <w:sz w:val="76"/>
          <w:szCs w:val="76"/>
          <w:lang w:eastAsia="zh-CN"/>
        </w:rPr>
        <w:t>五</w:t>
      </w:r>
      <w:r>
        <w:rPr>
          <w:rFonts w:hint="eastAsia" w:ascii="方正小标宋简体" w:hAnsi="方正魏碑简体" w:eastAsia="方正小标宋简体" w:cs="方正魏碑简体"/>
          <w:b w:val="0"/>
          <w:bCs/>
          <w:spacing w:val="-6"/>
          <w:w w:val="88"/>
          <w:sz w:val="76"/>
          <w:szCs w:val="76"/>
        </w:rPr>
        <w:t>次全国经济普查</w:t>
      </w:r>
      <w:bookmarkEnd w:id="116"/>
      <w:bookmarkEnd w:id="117"/>
      <w:bookmarkEnd w:id="118"/>
    </w:p>
    <w:p>
      <w:pPr>
        <w:pStyle w:val="17"/>
        <w:keepNext w:val="0"/>
        <w:keepLines w:val="0"/>
        <w:pageBreakBefore w:val="0"/>
        <w:widowControl w:val="0"/>
        <w:kinsoku/>
        <w:wordWrap/>
        <w:overflowPunct/>
        <w:topLinePunct w:val="0"/>
        <w:autoSpaceDE/>
        <w:autoSpaceDN/>
        <w:bidi w:val="0"/>
        <w:adjustRightInd/>
        <w:snapToGrid/>
        <w:spacing w:before="0" w:after="0" w:line="1160" w:lineRule="exact"/>
        <w:textAlignment w:val="auto"/>
        <w:outlineLvl w:val="9"/>
        <w:rPr>
          <w:rFonts w:hint="eastAsia" w:ascii="方正小标宋简体" w:hAnsi="方正魏碑简体" w:eastAsia="方正小标宋简体" w:cs="方正魏碑简体"/>
          <w:b w:val="0"/>
          <w:bCs/>
          <w:spacing w:val="45"/>
          <w:w w:val="88"/>
          <w:sz w:val="76"/>
          <w:szCs w:val="76"/>
        </w:rPr>
      </w:pPr>
      <w:bookmarkStart w:id="121" w:name="_Toc17448"/>
      <w:bookmarkStart w:id="122" w:name="_Toc701"/>
      <w:bookmarkStart w:id="123" w:name="_Toc14242"/>
      <w:r>
        <w:rPr>
          <w:rFonts w:hint="eastAsia" w:ascii="方正小标宋简体" w:hAnsi="方正魏碑简体" w:eastAsia="方正小标宋简体" w:cs="方正魏碑简体"/>
          <w:b w:val="0"/>
          <w:bCs/>
          <w:spacing w:val="45"/>
          <w:w w:val="88"/>
          <w:sz w:val="76"/>
          <w:szCs w:val="76"/>
        </w:rPr>
        <w:t>统计分类标准</w:t>
      </w:r>
      <w:bookmarkEnd w:id="119"/>
      <w:bookmarkEnd w:id="120"/>
      <w:bookmarkEnd w:id="121"/>
      <w:bookmarkEnd w:id="122"/>
      <w:bookmarkEnd w:id="123"/>
    </w:p>
    <w:p>
      <w:pPr>
        <w:pStyle w:val="17"/>
        <w:keepNext w:val="0"/>
        <w:keepLines w:val="0"/>
        <w:pageBreakBefore w:val="0"/>
        <w:widowControl w:val="0"/>
        <w:kinsoku/>
        <w:wordWrap/>
        <w:overflowPunct/>
        <w:topLinePunct w:val="0"/>
        <w:autoSpaceDE/>
        <w:autoSpaceDN/>
        <w:bidi w:val="0"/>
        <w:adjustRightInd/>
        <w:snapToGrid/>
        <w:spacing w:before="0" w:after="0" w:line="800" w:lineRule="exact"/>
        <w:textAlignment w:val="auto"/>
        <w:outlineLvl w:val="9"/>
        <w:rPr>
          <w:rFonts w:hint="eastAsia" w:ascii="楷体" w:hAnsi="楷体" w:eastAsia="楷体"/>
          <w:b w:val="0"/>
          <w:sz w:val="36"/>
          <w:szCs w:val="36"/>
        </w:rPr>
      </w:pPr>
    </w:p>
    <w:p>
      <w:pPr>
        <w:pStyle w:val="17"/>
        <w:keepNext w:val="0"/>
        <w:keepLines w:val="0"/>
        <w:pageBreakBefore w:val="0"/>
        <w:widowControl w:val="0"/>
        <w:kinsoku/>
        <w:wordWrap/>
        <w:overflowPunct/>
        <w:topLinePunct w:val="0"/>
        <w:autoSpaceDE/>
        <w:autoSpaceDN/>
        <w:bidi w:val="0"/>
        <w:adjustRightInd/>
        <w:snapToGrid/>
        <w:spacing w:before="0" w:after="0" w:line="800" w:lineRule="exact"/>
        <w:textAlignment w:val="auto"/>
        <w:outlineLvl w:val="9"/>
        <w:rPr>
          <w:rFonts w:hint="eastAsia" w:ascii="楷体_GB2312" w:hAnsi="楷体_GB2312" w:eastAsia="楷体_GB2312" w:cs="楷体_GB2312"/>
          <w:b/>
          <w:bCs w:val="0"/>
          <w:spacing w:val="6"/>
          <w:w w:val="99"/>
          <w:sz w:val="36"/>
          <w:szCs w:val="36"/>
        </w:rPr>
      </w:pPr>
      <w:bookmarkStart w:id="124" w:name="_Toc26678"/>
      <w:bookmarkStart w:id="125" w:name="_Toc2981"/>
      <w:bookmarkStart w:id="126" w:name="_Toc25889"/>
      <w:r>
        <w:rPr>
          <w:rFonts w:hint="eastAsia" w:ascii="楷体_GB2312" w:hAnsi="楷体_GB2312" w:eastAsia="楷体_GB2312" w:cs="楷体_GB2312"/>
          <w:b/>
          <w:bCs w:val="0"/>
          <w:spacing w:val="6"/>
          <w:w w:val="99"/>
          <w:sz w:val="36"/>
          <w:szCs w:val="36"/>
        </w:rPr>
        <w:t>（单位清查用）</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楷体_GB2312"/>
          <w:spacing w:val="0"/>
          <w:w w:val="93"/>
          <w:sz w:val="34"/>
          <w:szCs w:val="34"/>
        </w:rPr>
      </w:pPr>
      <w:r>
        <w:rPr>
          <w:rFonts w:hint="eastAsia" w:ascii="黑体" w:hAnsi="黑体" w:eastAsia="黑体" w:cs="楷体_GB2312"/>
          <w:spacing w:val="0"/>
          <w:w w:val="93"/>
          <w:sz w:val="34"/>
          <w:szCs w:val="34"/>
        </w:rPr>
        <w:t>河南省第</w:t>
      </w:r>
      <w:r>
        <w:rPr>
          <w:rFonts w:hint="eastAsia" w:ascii="黑体" w:hAnsi="黑体" w:eastAsia="黑体" w:cs="楷体_GB2312"/>
          <w:spacing w:val="0"/>
          <w:w w:val="93"/>
          <w:sz w:val="34"/>
          <w:szCs w:val="34"/>
          <w:lang w:eastAsia="zh-CN"/>
        </w:rPr>
        <w:t>五</w:t>
      </w:r>
      <w:r>
        <w:rPr>
          <w:rFonts w:hint="eastAsia" w:ascii="黑体" w:hAnsi="黑体" w:eastAsia="黑体" w:cs="楷体_GB2312"/>
          <w:spacing w:val="0"/>
          <w:w w:val="93"/>
          <w:sz w:val="34"/>
          <w:szCs w:val="34"/>
        </w:rPr>
        <w:t>次全国经济普查领导小组办公室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楷体_GB2312"/>
          <w:spacing w:val="23"/>
          <w:w w:val="93"/>
          <w:sz w:val="34"/>
          <w:szCs w:val="34"/>
        </w:rPr>
      </w:pPr>
      <w:r>
        <w:rPr>
          <w:rFonts w:hint="eastAsia" w:ascii="黑体" w:hAnsi="黑体" w:eastAsia="黑体" w:cs="楷体_GB2312"/>
          <w:spacing w:val="23"/>
          <w:w w:val="93"/>
          <w:sz w:val="34"/>
          <w:szCs w:val="34"/>
        </w:rPr>
        <w:t>20</w:t>
      </w:r>
      <w:r>
        <w:rPr>
          <w:rFonts w:hint="eastAsia" w:ascii="黑体" w:hAnsi="黑体" w:eastAsia="黑体" w:cs="楷体_GB2312"/>
          <w:spacing w:val="23"/>
          <w:w w:val="93"/>
          <w:sz w:val="34"/>
          <w:szCs w:val="34"/>
          <w:lang w:val="en-US" w:eastAsia="zh-CN"/>
        </w:rPr>
        <w:t>23</w:t>
      </w:r>
      <w:r>
        <w:rPr>
          <w:rFonts w:hint="eastAsia" w:ascii="黑体" w:hAnsi="黑体" w:eastAsia="黑体" w:cs="楷体_GB2312"/>
          <w:spacing w:val="23"/>
          <w:w w:val="93"/>
          <w:sz w:val="34"/>
          <w:szCs w:val="34"/>
        </w:rPr>
        <w:t>年</w:t>
      </w:r>
      <w:r>
        <w:rPr>
          <w:rFonts w:hint="eastAsia" w:ascii="黑体" w:hAnsi="黑体" w:eastAsia="黑体" w:cs="楷体_GB2312"/>
          <w:spacing w:val="23"/>
          <w:w w:val="93"/>
          <w:sz w:val="34"/>
          <w:szCs w:val="34"/>
          <w:lang w:val="en-US" w:eastAsia="zh-CN"/>
        </w:rPr>
        <w:t>7</w:t>
      </w:r>
      <w:r>
        <w:rPr>
          <w:rFonts w:hint="eastAsia" w:ascii="黑体" w:hAnsi="黑体" w:eastAsia="黑体" w:cs="楷体_GB2312"/>
          <w:spacing w:val="23"/>
          <w:w w:val="93"/>
          <w:sz w:val="34"/>
          <w:szCs w:val="34"/>
        </w:rPr>
        <w:t>月</w:t>
      </w:r>
    </w:p>
    <w:p>
      <w:pPr>
        <w:widowControl/>
        <w:spacing w:line="440" w:lineRule="exact"/>
        <w:jc w:val="left"/>
        <w:rPr>
          <w:rFonts w:hint="eastAsia" w:ascii="方正小标宋简体" w:hAnsi="方正小标宋简体" w:eastAsia="方正小标宋简体" w:cs="方正小标宋简体"/>
          <w:sz w:val="36"/>
          <w:szCs w:val="36"/>
        </w:rPr>
      </w:pPr>
      <w:r>
        <w:rPr>
          <w:sz w:val="48"/>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220980</wp:posOffset>
                </wp:positionV>
                <wp:extent cx="830580" cy="381000"/>
                <wp:effectExtent l="0" t="0" r="0" b="0"/>
                <wp:wrapNone/>
                <wp:docPr id="4" name="矩形 4"/>
                <wp:cNvGraphicFramePr/>
                <a:graphic xmlns:a="http://schemas.openxmlformats.org/drawingml/2006/main">
                  <a:graphicData uri="http://schemas.microsoft.com/office/word/2010/wordprocessingShape">
                    <wps:wsp>
                      <wps:cNvSpPr/>
                      <wps:spPr>
                        <a:xfrm>
                          <a:off x="1186180" y="9611360"/>
                          <a:ext cx="8305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5pt;margin-top:17.4pt;height:30pt;width:65.4pt;z-index:251661312;v-text-anchor:middle;mso-width-relative:page;mso-height-relative:page;" fillcolor="#FFFFFF [3212]" filled="t" stroked="f" coordsize="21600,21600" o:gfxdata="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zd2u3YAAAACAEAAA8AAAAAAAAAAQAgAAAAIgAAAGRycy9k&#10;b3ducmV2LnhtbFBLAQIUABQAAAAIAIdO4kDh6CwJdAIAANYEAAAOAAAAAAAAAAEAIAAAACcBAABk&#10;cnMvZTJvRG9jLnhtbFBLBQYAAAAABgAGAFkBAAANBgAAAAA=&#10;">
                <v:fill on="t" focussize="0,0"/>
                <v:stroke on="f" weight="1pt" miterlimit="8" joinstyle="miter"/>
                <v:imagedata o:title=""/>
                <o:lock v:ext="edit" aspectratio="f"/>
              </v:rect>
            </w:pict>
          </mc:Fallback>
        </mc:AlternateContent>
      </w:r>
      <w:r>
        <w:rPr>
          <w:sz w:val="48"/>
        </w:rPr>
        <mc:AlternateContent>
          <mc:Choice Requires="wps">
            <w:drawing>
              <wp:anchor distT="0" distB="0" distL="114300" distR="114300" simplePos="0" relativeHeight="251659264" behindDoc="0" locked="0" layoutInCell="1" allowOverlap="1">
                <wp:simplePos x="0" y="0"/>
                <wp:positionH relativeFrom="column">
                  <wp:posOffset>2759075</wp:posOffset>
                </wp:positionH>
                <wp:positionV relativeFrom="paragraph">
                  <wp:posOffset>518795</wp:posOffset>
                </wp:positionV>
                <wp:extent cx="802640" cy="462280"/>
                <wp:effectExtent l="4445" t="5080" r="15875" b="5080"/>
                <wp:wrapNone/>
                <wp:docPr id="2" name="文本框 2"/>
                <wp:cNvGraphicFramePr/>
                <a:graphic xmlns:a="http://schemas.openxmlformats.org/drawingml/2006/main">
                  <a:graphicData uri="http://schemas.microsoft.com/office/word/2010/wordprocessingShape">
                    <wps:wsp>
                      <wps:cNvSpPr txBox="1"/>
                      <wps:spPr>
                        <a:xfrm>
                          <a:off x="0" y="0"/>
                          <a:ext cx="802640" cy="4622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17.25pt;margin-top:40.85pt;height:36.4pt;width:63.2pt;z-index:251659264;mso-width-relative:page;mso-height-relative:page;" fillcolor="#FFFFFF" filled="t" stroked="t" coordsize="21600,21600" o:gfxdata="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sI0z9gAAAAKAQAADwAAAAAAAAABACAAAAAiAAAA&#10;ZHJzL2Rvd25yZXYueG1sUEsBAhQAFAAAAAgAh07iQNtwXDoHAgAANQQAAA4AAAAAAAAAAQAgAAAA&#10;JwEAAGRycy9lMm9Eb2MueG1sUEsFBgAAAAAGAAYAWQEAAKAFAAAAAA==&#10;">
                <v:fill on="t" focussize="0,0"/>
                <v:stroke color="#FFFFFF" joinstyle="miter"/>
                <v:imagedata o:title=""/>
                <o:lock v:ext="edit" aspectratio="f"/>
                <v:textbox>
                  <w:txbxContent>
                    <w:p/>
                  </w:txbxContent>
                </v:textbox>
              </v:shape>
            </w:pict>
          </mc:Fallback>
        </mc:AlternateContent>
      </w:r>
      <w:r>
        <w:rPr>
          <w:rFonts w:ascii="方正小标宋简体" w:eastAsia="方正小标宋简体"/>
          <w:sz w:val="48"/>
          <w:szCs w:val="48"/>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r>
        <w:rPr>
          <w:rFonts w:hint="eastAsia" w:ascii="方正小标宋简体" w:hAnsi="方正小标宋简体" w:eastAsia="方正小标宋简体" w:cs="方正小标宋简体"/>
          <w:b w:val="0"/>
          <w:bCs/>
          <w:kern w:val="2"/>
          <w:sz w:val="36"/>
          <w:szCs w:val="36"/>
          <w:lang w:eastAsia="zh-CN"/>
        </w:rPr>
        <w:t>编 辑 说 明</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单位清查是经济普查的一项重要基础性工作，是准确界定普查对象，明确普查登记实施范围，确保普查工作顺利实施的关键环节。为做好河南省</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全国经济普查单位清查阶段工作，根据《</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全国经济普查方案》、《</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全国经济普查单位清查办法及培训教材》规定和精神，结合我省实际，省经济普查办公室组织编撰了《河南省</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全国经济普查单位清查统计分类标准（单位清查用）》。</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本分类标准共分为1</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部分：</w:t>
      </w:r>
      <w:r>
        <w:rPr>
          <w:rFonts w:hint="eastAsia" w:ascii="楷体_GB2312" w:hAnsi="楷体_GB2312" w:eastAsia="楷体_GB2312" w:cs="楷体_GB2312"/>
          <w:sz w:val="24"/>
          <w:szCs w:val="24"/>
          <w:lang w:eastAsia="zh-CN"/>
        </w:rPr>
        <w:t>第一</w:t>
      </w:r>
      <w:r>
        <w:rPr>
          <w:rFonts w:hint="eastAsia" w:ascii="楷体_GB2312" w:hAnsi="楷体_GB2312" w:eastAsia="楷体_GB2312" w:cs="楷体_GB2312"/>
          <w:sz w:val="24"/>
          <w:szCs w:val="24"/>
        </w:rPr>
        <w:t>部分三次产业划分规定</w:t>
      </w:r>
      <w:r>
        <w:rPr>
          <w:rFonts w:hint="eastAsia" w:ascii="楷体_GB2312" w:hAnsi="楷体_GB2312" w:eastAsia="楷体_GB2312" w:cs="楷体_GB2312"/>
          <w:sz w:val="24"/>
          <w:szCs w:val="24"/>
          <w:lang w:eastAsia="zh-CN"/>
        </w:rPr>
        <w:t>，第二</w:t>
      </w:r>
      <w:r>
        <w:rPr>
          <w:rFonts w:hint="eastAsia" w:ascii="楷体_GB2312" w:hAnsi="楷体_GB2312" w:eastAsia="楷体_GB2312" w:cs="楷体_GB2312"/>
          <w:sz w:val="24"/>
          <w:szCs w:val="24"/>
        </w:rPr>
        <w:t>部分统计上划分城乡的规定</w:t>
      </w:r>
      <w:r>
        <w:rPr>
          <w:rFonts w:hint="eastAsia" w:ascii="楷体_GB2312" w:hAnsi="楷体_GB2312" w:eastAsia="楷体_GB2312" w:cs="楷体_GB2312"/>
          <w:sz w:val="24"/>
          <w:szCs w:val="24"/>
          <w:lang w:eastAsia="zh-CN"/>
        </w:rPr>
        <w:t>，第三</w:t>
      </w:r>
      <w:r>
        <w:rPr>
          <w:rFonts w:hint="eastAsia" w:ascii="楷体_GB2312" w:hAnsi="楷体_GB2312" w:eastAsia="楷体_GB2312" w:cs="楷体_GB2312"/>
          <w:sz w:val="24"/>
          <w:szCs w:val="24"/>
        </w:rPr>
        <w:t>部分统计用区划代码和城乡划分代码编制规则</w:t>
      </w:r>
      <w:r>
        <w:rPr>
          <w:rFonts w:hint="eastAsia" w:ascii="楷体_GB2312" w:hAnsi="楷体_GB2312" w:eastAsia="楷体_GB2312" w:cs="楷体_GB2312"/>
          <w:sz w:val="24"/>
          <w:szCs w:val="24"/>
          <w:lang w:eastAsia="zh-CN"/>
        </w:rPr>
        <w:t>，第四</w:t>
      </w:r>
      <w:r>
        <w:rPr>
          <w:rFonts w:hint="eastAsia" w:ascii="楷体_GB2312" w:hAnsi="楷体_GB2312" w:eastAsia="楷体_GB2312" w:cs="楷体_GB2312"/>
          <w:sz w:val="24"/>
          <w:szCs w:val="24"/>
        </w:rPr>
        <w:t>部分河南省统计用区划代码和城乡划分代码</w:t>
      </w:r>
      <w:r>
        <w:rPr>
          <w:rFonts w:hint="eastAsia" w:ascii="楷体_GB2312" w:hAnsi="楷体_GB2312" w:eastAsia="楷体_GB2312" w:cs="楷体_GB2312"/>
          <w:sz w:val="24"/>
          <w:szCs w:val="24"/>
          <w:lang w:eastAsia="zh-CN"/>
        </w:rPr>
        <w:t>，第五</w:t>
      </w:r>
      <w:r>
        <w:rPr>
          <w:rFonts w:hint="eastAsia" w:ascii="楷体_GB2312" w:hAnsi="楷体_GB2312" w:eastAsia="楷体_GB2312" w:cs="楷体_GB2312"/>
          <w:sz w:val="24"/>
          <w:szCs w:val="24"/>
        </w:rPr>
        <w:t>部分统计单位划分及具体处理办法</w:t>
      </w:r>
      <w:r>
        <w:rPr>
          <w:rFonts w:hint="eastAsia" w:ascii="楷体_GB2312" w:hAnsi="楷体_GB2312" w:eastAsia="楷体_GB2312" w:cs="楷体_GB2312"/>
          <w:sz w:val="24"/>
          <w:szCs w:val="24"/>
          <w:lang w:eastAsia="zh-CN"/>
        </w:rPr>
        <w:t>，第六</w:t>
      </w:r>
      <w:r>
        <w:rPr>
          <w:rFonts w:hint="eastAsia" w:ascii="楷体_GB2312" w:hAnsi="楷体_GB2312" w:eastAsia="楷体_GB2312" w:cs="楷体_GB2312"/>
          <w:sz w:val="24"/>
          <w:szCs w:val="24"/>
        </w:rPr>
        <w:t>部分法人和其他组织统一社会信用代码编码规则</w:t>
      </w:r>
      <w:r>
        <w:rPr>
          <w:rFonts w:hint="eastAsia" w:ascii="楷体_GB2312" w:hAnsi="楷体_GB2312" w:eastAsia="楷体_GB2312" w:cs="楷体_GB2312"/>
          <w:sz w:val="24"/>
          <w:szCs w:val="24"/>
          <w:lang w:eastAsia="zh-CN"/>
        </w:rPr>
        <w:t>，第七</w:t>
      </w:r>
      <w:r>
        <w:rPr>
          <w:rFonts w:hint="eastAsia" w:ascii="楷体_GB2312" w:hAnsi="楷体_GB2312" w:eastAsia="楷体_GB2312" w:cs="楷体_GB2312"/>
          <w:sz w:val="24"/>
          <w:szCs w:val="24"/>
        </w:rPr>
        <w:t>部分经济普查单位临时代码管理办法</w:t>
      </w:r>
      <w:r>
        <w:rPr>
          <w:rFonts w:hint="eastAsia" w:ascii="楷体_GB2312" w:hAnsi="楷体_GB2312" w:eastAsia="楷体_GB2312" w:cs="楷体_GB2312"/>
          <w:sz w:val="24"/>
          <w:szCs w:val="24"/>
          <w:lang w:eastAsia="zh-CN"/>
        </w:rPr>
        <w:t>，第八</w:t>
      </w:r>
      <w:r>
        <w:rPr>
          <w:rFonts w:hint="eastAsia" w:ascii="楷体_GB2312" w:hAnsi="楷体_GB2312" w:eastAsia="楷体_GB2312" w:cs="楷体_GB2312"/>
          <w:sz w:val="24"/>
          <w:szCs w:val="24"/>
        </w:rPr>
        <w:t>部分组织机构类型</w:t>
      </w:r>
      <w:r>
        <w:rPr>
          <w:rFonts w:hint="eastAsia" w:ascii="楷体_GB2312" w:hAnsi="楷体_GB2312" w:eastAsia="楷体_GB2312" w:cs="楷体_GB2312"/>
          <w:sz w:val="24"/>
          <w:szCs w:val="24"/>
          <w:lang w:eastAsia="zh-CN"/>
        </w:rPr>
        <w:t>，第九</w:t>
      </w:r>
      <w:r>
        <w:rPr>
          <w:rFonts w:hint="eastAsia" w:ascii="楷体_GB2312" w:hAnsi="楷体_GB2312" w:eastAsia="楷体_GB2312" w:cs="楷体_GB2312"/>
          <w:sz w:val="24"/>
          <w:szCs w:val="24"/>
        </w:rPr>
        <w:t>部分</w:t>
      </w:r>
      <w:r>
        <w:rPr>
          <w:rFonts w:hint="eastAsia" w:ascii="楷体_GB2312" w:hAnsi="楷体_GB2312" w:eastAsia="楷体_GB2312" w:cs="楷体_GB2312"/>
          <w:sz w:val="24"/>
          <w:szCs w:val="24"/>
          <w:lang w:val="en-US" w:eastAsia="zh-CN"/>
        </w:rPr>
        <w:t>关于市场主体统计分类的划分规定</w:t>
      </w:r>
      <w:r>
        <w:rPr>
          <w:rFonts w:hint="eastAsia" w:ascii="楷体_GB2312" w:hAnsi="楷体_GB2312" w:eastAsia="楷体_GB2312" w:cs="楷体_GB2312"/>
          <w:sz w:val="24"/>
          <w:szCs w:val="24"/>
          <w:lang w:eastAsia="zh-CN"/>
        </w:rPr>
        <w:t>，第</w:t>
      </w:r>
      <w:r>
        <w:rPr>
          <w:rFonts w:hint="eastAsia" w:ascii="楷体_GB2312" w:hAnsi="楷体_GB2312" w:eastAsia="楷体_GB2312" w:cs="楷体_GB2312"/>
          <w:sz w:val="24"/>
          <w:szCs w:val="24"/>
        </w:rPr>
        <w:t>十部分</w:t>
      </w:r>
      <w:r>
        <w:rPr>
          <w:rFonts w:hint="eastAsia" w:ascii="楷体_GB2312" w:hAnsi="楷体_GB2312" w:eastAsia="楷体_GB2312" w:cs="楷体_GB2312"/>
          <w:sz w:val="24"/>
          <w:szCs w:val="24"/>
          <w:lang w:val="en-US" w:eastAsia="zh-CN"/>
        </w:rPr>
        <w:t>金融业企业划型标准规定</w:t>
      </w:r>
      <w:r>
        <w:rPr>
          <w:rFonts w:hint="eastAsia" w:ascii="楷体_GB2312" w:hAnsi="楷体_GB2312" w:eastAsia="楷体_GB2312" w:cs="楷体_GB2312"/>
          <w:sz w:val="24"/>
          <w:szCs w:val="24"/>
          <w:lang w:eastAsia="zh-CN"/>
        </w:rPr>
        <w:t>，第十一部分全省县级以上区划名称及代码，第</w:t>
      </w:r>
      <w:r>
        <w:rPr>
          <w:rFonts w:hint="eastAsia" w:ascii="楷体_GB2312" w:hAnsi="楷体_GB2312" w:eastAsia="楷体_GB2312" w:cs="楷体_GB2312"/>
          <w:sz w:val="24"/>
          <w:szCs w:val="24"/>
        </w:rPr>
        <w:t>十</w:t>
      </w:r>
      <w:r>
        <w:rPr>
          <w:rFonts w:hint="eastAsia" w:ascii="楷体_GB2312" w:hAnsi="楷体_GB2312" w:eastAsia="楷体_GB2312" w:cs="楷体_GB2312"/>
          <w:sz w:val="24"/>
          <w:szCs w:val="24"/>
          <w:lang w:eastAsia="zh-CN"/>
        </w:rPr>
        <w:t>二</w:t>
      </w:r>
      <w:r>
        <w:rPr>
          <w:rFonts w:hint="eastAsia" w:ascii="楷体_GB2312" w:hAnsi="楷体_GB2312" w:eastAsia="楷体_GB2312" w:cs="楷体_GB2312"/>
          <w:sz w:val="24"/>
          <w:szCs w:val="24"/>
        </w:rPr>
        <w:t>部分河南省</w:t>
      </w:r>
      <w:r>
        <w:rPr>
          <w:rFonts w:hint="eastAsia" w:ascii="楷体_GB2312" w:hAnsi="楷体_GB2312" w:eastAsia="楷体_GB2312" w:cs="楷体_GB2312"/>
          <w:sz w:val="24"/>
          <w:szCs w:val="24"/>
          <w:lang w:eastAsia="zh-CN"/>
        </w:rPr>
        <w:t>开发区</w:t>
      </w:r>
      <w:r>
        <w:rPr>
          <w:rFonts w:hint="eastAsia" w:ascii="楷体_GB2312" w:hAnsi="楷体_GB2312" w:eastAsia="楷体_GB2312" w:cs="楷体_GB2312"/>
          <w:sz w:val="24"/>
          <w:szCs w:val="24"/>
        </w:rPr>
        <w:t>基本情况</w:t>
      </w:r>
      <w:r>
        <w:rPr>
          <w:rFonts w:hint="eastAsia" w:ascii="楷体_GB2312" w:hAnsi="楷体_GB2312" w:eastAsia="楷体_GB2312" w:cs="楷体_GB2312"/>
          <w:sz w:val="24"/>
          <w:szCs w:val="24"/>
          <w:lang w:eastAsia="zh-CN"/>
        </w:rPr>
        <w:t>，第</w:t>
      </w:r>
      <w:r>
        <w:rPr>
          <w:rFonts w:hint="eastAsia" w:ascii="楷体_GB2312" w:hAnsi="楷体_GB2312" w:eastAsia="楷体_GB2312" w:cs="楷体_GB2312"/>
          <w:sz w:val="24"/>
          <w:szCs w:val="24"/>
        </w:rPr>
        <w:t>十</w:t>
      </w:r>
      <w:r>
        <w:rPr>
          <w:rFonts w:hint="eastAsia" w:ascii="楷体_GB2312" w:hAnsi="楷体_GB2312" w:eastAsia="楷体_GB2312" w:cs="楷体_GB2312"/>
          <w:sz w:val="24"/>
          <w:szCs w:val="24"/>
          <w:lang w:eastAsia="zh-CN"/>
        </w:rPr>
        <w:t>三</w:t>
      </w:r>
      <w:r>
        <w:rPr>
          <w:rFonts w:hint="eastAsia" w:ascii="楷体_GB2312" w:hAnsi="楷体_GB2312" w:eastAsia="楷体_GB2312" w:cs="楷体_GB2312"/>
          <w:sz w:val="24"/>
          <w:szCs w:val="24"/>
        </w:rPr>
        <w:t>部分独立统计管理机构名单（</w:t>
      </w:r>
      <w:r>
        <w:rPr>
          <w:rFonts w:hint="eastAsia" w:ascii="楷体_GB2312" w:hAnsi="楷体_GB2312" w:eastAsia="楷体_GB2312" w:cs="楷体_GB2312"/>
          <w:sz w:val="24"/>
          <w:szCs w:val="24"/>
          <w:lang w:val="en-US" w:eastAsia="zh-CN"/>
        </w:rPr>
        <w:t>39</w:t>
      </w:r>
      <w:r>
        <w:rPr>
          <w:rFonts w:hint="eastAsia" w:ascii="楷体_GB2312" w:hAnsi="楷体_GB2312" w:eastAsia="楷体_GB2312" w:cs="楷体_GB2312"/>
          <w:sz w:val="24"/>
          <w:szCs w:val="24"/>
        </w:rPr>
        <w:t>个），本分类标准由</w:t>
      </w:r>
      <w:r>
        <w:rPr>
          <w:rFonts w:hint="eastAsia" w:ascii="楷体_GB2312" w:hAnsi="楷体_GB2312" w:eastAsia="楷体_GB2312" w:cs="楷体_GB2312"/>
          <w:sz w:val="24"/>
          <w:szCs w:val="24"/>
          <w:lang w:eastAsia="zh-CN"/>
        </w:rPr>
        <w:t>智坤峰</w:t>
      </w:r>
      <w:r>
        <w:rPr>
          <w:rFonts w:hint="eastAsia" w:ascii="楷体_GB2312" w:hAnsi="楷体_GB2312" w:eastAsia="楷体_GB2312" w:cs="楷体_GB2312"/>
          <w:sz w:val="24"/>
          <w:szCs w:val="24"/>
        </w:rPr>
        <w:t>整理，封面封底设计</w:t>
      </w:r>
      <w:r>
        <w:rPr>
          <w:rFonts w:hint="eastAsia" w:ascii="楷体_GB2312" w:hAnsi="楷体_GB2312" w:eastAsia="楷体_GB2312" w:cs="楷体_GB2312"/>
          <w:sz w:val="24"/>
          <w:szCs w:val="24"/>
          <w:lang w:eastAsia="zh-CN"/>
        </w:rPr>
        <w:t>张奕琳</w:t>
      </w:r>
      <w:r>
        <w:rPr>
          <w:rFonts w:hint="eastAsia" w:ascii="楷体_GB2312" w:hAnsi="楷体_GB2312" w:eastAsia="楷体_GB2312" w:cs="楷体_GB2312"/>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204" w:rightChars="97" w:firstLine="456" w:firstLineChars="200"/>
        <w:jc w:val="right"/>
        <w:textAlignment w:val="auto"/>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河南省</w:t>
      </w:r>
      <w:r>
        <w:rPr>
          <w:rFonts w:hint="eastAsia" w:ascii="楷体_GB2312" w:hAnsi="楷体_GB2312" w:eastAsia="楷体_GB2312" w:cs="楷体_GB2312"/>
          <w:spacing w:val="-6"/>
          <w:sz w:val="24"/>
          <w:szCs w:val="24"/>
          <w:lang w:eastAsia="zh-CN"/>
        </w:rPr>
        <w:t>第五次</w:t>
      </w:r>
      <w:r>
        <w:rPr>
          <w:rFonts w:hint="eastAsia" w:ascii="楷体_GB2312" w:hAnsi="楷体_GB2312" w:eastAsia="楷体_GB2312" w:cs="楷体_GB2312"/>
          <w:spacing w:val="-6"/>
          <w:sz w:val="24"/>
          <w:szCs w:val="24"/>
        </w:rPr>
        <w:t>全国经济普查领导小组办公室</w:t>
      </w:r>
    </w:p>
    <w:p>
      <w:pPr>
        <w:keepNext w:val="0"/>
        <w:keepLines w:val="0"/>
        <w:pageBreakBefore w:val="0"/>
        <w:widowControl w:val="0"/>
        <w:kinsoku/>
        <w:wordWrap/>
        <w:overflowPunct/>
        <w:topLinePunct w:val="0"/>
        <w:autoSpaceDE/>
        <w:autoSpaceDN/>
        <w:bidi w:val="0"/>
        <w:adjustRightInd/>
        <w:snapToGrid/>
        <w:spacing w:line="460" w:lineRule="exact"/>
        <w:ind w:right="1543" w:rightChars="735" w:firstLine="548" w:firstLineChars="200"/>
        <w:jc w:val="right"/>
        <w:textAlignment w:val="auto"/>
        <w:rPr>
          <w:rFonts w:hint="eastAsia" w:ascii="楷体_GB2312" w:hAnsi="楷体_GB2312" w:eastAsia="楷体_GB2312" w:cs="楷体_GB2312"/>
          <w:spacing w:val="17"/>
          <w:sz w:val="24"/>
          <w:szCs w:val="24"/>
        </w:rPr>
      </w:pPr>
      <w:r>
        <w:rPr>
          <w:rFonts w:hint="eastAsia" w:ascii="楷体_GB2312" w:hAnsi="楷体_GB2312" w:eastAsia="楷体_GB2312" w:cs="楷体_GB2312"/>
          <w:spacing w:val="17"/>
          <w:sz w:val="24"/>
          <w:szCs w:val="24"/>
        </w:rPr>
        <w:t>20</w:t>
      </w:r>
      <w:r>
        <w:rPr>
          <w:rFonts w:hint="eastAsia" w:ascii="楷体_GB2312" w:hAnsi="楷体_GB2312" w:eastAsia="楷体_GB2312" w:cs="楷体_GB2312"/>
          <w:spacing w:val="17"/>
          <w:sz w:val="24"/>
          <w:szCs w:val="24"/>
          <w:lang w:val="en-US" w:eastAsia="zh-CN"/>
        </w:rPr>
        <w:t>23</w:t>
      </w:r>
      <w:r>
        <w:rPr>
          <w:rFonts w:hint="eastAsia" w:ascii="楷体_GB2312" w:hAnsi="楷体_GB2312" w:eastAsia="楷体_GB2312" w:cs="楷体_GB2312"/>
          <w:spacing w:val="17"/>
          <w:sz w:val="24"/>
          <w:szCs w:val="24"/>
        </w:rPr>
        <w:t>年</w:t>
      </w:r>
      <w:r>
        <w:rPr>
          <w:rFonts w:hint="eastAsia" w:ascii="楷体_GB2312" w:hAnsi="楷体_GB2312" w:eastAsia="楷体_GB2312" w:cs="楷体_GB2312"/>
          <w:spacing w:val="17"/>
          <w:sz w:val="24"/>
          <w:szCs w:val="24"/>
          <w:lang w:val="en-US" w:eastAsia="zh-CN"/>
        </w:rPr>
        <w:t>7</w:t>
      </w:r>
      <w:r>
        <w:rPr>
          <w:rFonts w:hint="eastAsia" w:ascii="楷体_GB2312" w:hAnsi="楷体_GB2312" w:eastAsia="楷体_GB2312" w:cs="楷体_GB2312"/>
          <w:spacing w:val="17"/>
          <w:sz w:val="24"/>
          <w:szCs w:val="24"/>
        </w:rPr>
        <w:t>月</w:t>
      </w:r>
    </w:p>
    <w:p>
      <w:pPr>
        <w:widowControl/>
        <w:spacing w:line="560" w:lineRule="exact"/>
        <w:jc w:val="left"/>
        <w:rPr>
          <w:rFonts w:hint="eastAsia" w:ascii="宋体" w:hAnsi="宋体"/>
          <w:sz w:val="44"/>
          <w:szCs w:val="48"/>
        </w:rPr>
      </w:pPr>
    </w:p>
    <w:p>
      <w:pPr>
        <w:widowControl/>
        <w:spacing w:line="440" w:lineRule="exact"/>
        <w:jc w:val="left"/>
        <w:rPr>
          <w:rFonts w:hint="eastAsia" w:ascii="方正小标宋简体" w:eastAsia="方正小标宋简体"/>
          <w:sz w:val="48"/>
          <w:szCs w:val="48"/>
        </w:rPr>
      </w:pPr>
    </w:p>
    <w:p>
      <w:pPr>
        <w:widowControl/>
        <w:spacing w:line="440" w:lineRule="exact"/>
        <w:jc w:val="left"/>
        <w:rPr>
          <w:rFonts w:ascii="方正小标宋简体" w:eastAsia="方正小标宋简体"/>
          <w:sz w:val="48"/>
          <w:szCs w:val="48"/>
        </w:rPr>
      </w:pPr>
      <w:r>
        <w:rPr>
          <w:sz w:val="48"/>
        </w:rPr>
        <mc:AlternateContent>
          <mc:Choice Requires="wps">
            <w:drawing>
              <wp:anchor distT="0" distB="0" distL="114300" distR="114300" simplePos="0" relativeHeight="251662336" behindDoc="0" locked="0" layoutInCell="1" allowOverlap="1">
                <wp:simplePos x="0" y="0"/>
                <wp:positionH relativeFrom="column">
                  <wp:posOffset>4625975</wp:posOffset>
                </wp:positionH>
                <wp:positionV relativeFrom="paragraph">
                  <wp:posOffset>1303020</wp:posOffset>
                </wp:positionV>
                <wp:extent cx="830580" cy="381000"/>
                <wp:effectExtent l="0" t="0" r="7620" b="0"/>
                <wp:wrapNone/>
                <wp:docPr id="5" name="矩形 5"/>
                <wp:cNvGraphicFramePr/>
                <a:graphic xmlns:a="http://schemas.openxmlformats.org/drawingml/2006/main">
                  <a:graphicData uri="http://schemas.microsoft.com/office/word/2010/wordprocessingShape">
                    <wps:wsp>
                      <wps:cNvSpPr/>
                      <wps:spPr>
                        <a:xfrm>
                          <a:off x="0" y="0"/>
                          <a:ext cx="8305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4.25pt;margin-top:102.6pt;height:30pt;width:65.4pt;z-index:251662336;v-text-anchor:middle;mso-width-relative:page;mso-height-relative:page;" fillcolor="#FFFFFF [3212]" filled="t" stroked="f" coordsize="21600,21600" o:gfxdata="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JZ3toAAAALAQAADwAAAAAAAAABACAAAAAiAAAAZHJzL2Rvd25yZXYueG1s&#10;UEsBAhQAFAAAAAgAh07iQF2EOrNoAgAAygQAAA4AAAAAAAAAAQAgAAAAKQEAAGRycy9lMm9Eb2Mu&#10;eG1sUEsFBgAAAAAGAAYAWQEAAAMGAAAAAA==&#10;">
                <v:fill on="t" focussize="0,0"/>
                <v:stroke on="f" weight="1pt" miterlimit="8" joinstyle="miter"/>
                <v:imagedata o:title=""/>
                <o:lock v:ext="edit" aspectratio="f"/>
              </v:rect>
            </w:pict>
          </mc:Fallback>
        </mc:AlternateContent>
      </w:r>
      <w:r>
        <w:rPr>
          <w:rFonts w:ascii="方正小标宋简体" w:eastAsia="方正小标宋简体"/>
          <w:sz w:val="48"/>
          <w:szCs w:val="48"/>
        </w:rPr>
        <w:br w:type="page"/>
      </w:r>
      <w:r>
        <w:rPr>
          <w:sz w:val="48"/>
        </w:rPr>
        <mc:AlternateContent>
          <mc:Choice Requires="wps">
            <w:drawing>
              <wp:anchor distT="0" distB="0" distL="114300" distR="114300" simplePos="0" relativeHeight="251660288" behindDoc="0" locked="0" layoutInCell="1" allowOverlap="1">
                <wp:simplePos x="0" y="0"/>
                <wp:positionH relativeFrom="column">
                  <wp:posOffset>2759075</wp:posOffset>
                </wp:positionH>
                <wp:positionV relativeFrom="paragraph">
                  <wp:posOffset>9171305</wp:posOffset>
                </wp:positionV>
                <wp:extent cx="802640" cy="462280"/>
                <wp:effectExtent l="4445" t="5080" r="15875" b="5080"/>
                <wp:wrapNone/>
                <wp:docPr id="3" name="文本框 3"/>
                <wp:cNvGraphicFramePr/>
                <a:graphic xmlns:a="http://schemas.openxmlformats.org/drawingml/2006/main">
                  <a:graphicData uri="http://schemas.microsoft.com/office/word/2010/wordprocessingShape">
                    <wps:wsp>
                      <wps:cNvSpPr txBox="1"/>
                      <wps:spPr>
                        <a:xfrm>
                          <a:off x="0" y="0"/>
                          <a:ext cx="802640" cy="4622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17.25pt;margin-top:722.15pt;height:36.4pt;width:63.2pt;z-index:251660288;mso-width-relative:page;mso-height-relative:page;" fillcolor="#FFFFFF" filled="t" stroked="t" coordsize="21600,21600" o:gfxdata="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xvd1PbAAAADQEAAA8AAAAAAAAAAQAgAAAA&#10;IgAAAGRycy9kb3ducmV2LnhtbFBLAQIUABQAAAAIAIdO4kBy+cSkCAIAADUEAAAOAAAAAAAAAAEA&#10;IAAAACoBAABkcnMvZTJvRG9jLnhtbFBLBQYAAAAABgAGAFkBAACkBQAAAAA=&#10;">
                <v:fill on="t" focussize="0,0"/>
                <v:stroke color="#FFFFFF" joinstyle="miter"/>
                <v:imagedata o:title=""/>
                <o:lock v:ext="edit" aspectratio="f"/>
                <v:textbox>
                  <w:txbxContent>
                    <w:p/>
                  </w:txbxContent>
                </v:textbox>
              </v:shape>
            </w:pict>
          </mc:Fallback>
        </mc:AlternateConten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4"/>
          <w:szCs w:val="34"/>
          <w:lang w:eastAsia="zh-CN"/>
        </w:rPr>
      </w:pPr>
      <w:r>
        <w:rPr>
          <w:rFonts w:hint="eastAsia" w:ascii="方正小标宋简体" w:hAnsi="方正小标宋简体" w:eastAsia="方正小标宋简体" w:cs="方正小标宋简体"/>
          <w:b w:val="0"/>
          <w:bCs/>
          <w:kern w:val="2"/>
          <w:sz w:val="34"/>
          <w:szCs w:val="34"/>
          <w:lang w:eastAsia="zh-CN"/>
        </w:rPr>
        <w:t>目   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4"/>
          <w:szCs w:val="34"/>
          <w:lang w:eastAsia="zh-CN"/>
        </w:rPr>
      </w:pP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TOC \o "1-2" \h \u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_Toc29781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第一部分</w:t>
      </w:r>
      <w:r>
        <w:rPr>
          <w:rFonts w:hint="eastAsia" w:ascii="宋体" w:hAnsi="宋体" w:eastAsia="宋体" w:cs="宋体"/>
          <w:b/>
          <w:bCs/>
          <w:caps w:val="0"/>
          <w:spacing w:val="0"/>
          <w:w w:val="99"/>
          <w:kern w:val="2"/>
          <w:sz w:val="24"/>
          <w:szCs w:val="24"/>
          <w:lang w:val="en-US" w:eastAsia="zh-CN"/>
        </w:rPr>
        <w:t xml:space="preserve">  </w:t>
      </w:r>
      <w:r>
        <w:rPr>
          <w:rFonts w:hint="eastAsia" w:ascii="宋体" w:hAnsi="宋体" w:eastAsia="宋体" w:cs="宋体"/>
          <w:b/>
          <w:bCs/>
          <w:caps w:val="0"/>
          <w:spacing w:val="0"/>
          <w:w w:val="99"/>
          <w:kern w:val="2"/>
          <w:sz w:val="24"/>
          <w:szCs w:val="24"/>
          <w:lang w:eastAsia="zh-CN"/>
        </w:rPr>
        <w:t>国民经济行业分类</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_Toc29781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_Toc25302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第二部分  三次产业划分规定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_Toc25302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102</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_Toc15779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rPr>
        <w:t>一、第二产业调整情况</w:t>
      </w:r>
      <w:r>
        <w:rPr>
          <w:rFonts w:hint="eastAsia" w:ascii="宋体" w:hAnsi="宋体" w:eastAsia="宋体" w:cs="宋体"/>
          <w:b w:val="0"/>
          <w:bCs w:val="0"/>
          <w:caps w:val="0"/>
          <w:spacing w:val="0"/>
          <w:w w:val="99"/>
          <w:sz w:val="24"/>
          <w:szCs w:val="24"/>
        </w:rPr>
        <w:tab/>
      </w:r>
      <w:r>
        <w:rPr>
          <w:rFonts w:hint="eastAsia" w:ascii="宋体" w:hAnsi="宋体" w:eastAsia="宋体" w:cs="宋体"/>
          <w:b w:val="0"/>
          <w:bCs w:val="0"/>
          <w:caps w:val="0"/>
          <w:spacing w:val="0"/>
          <w:w w:val="99"/>
          <w:sz w:val="24"/>
          <w:szCs w:val="24"/>
        </w:rPr>
        <w:fldChar w:fldCharType="begin"/>
      </w:r>
      <w:r>
        <w:rPr>
          <w:rFonts w:hint="eastAsia" w:ascii="宋体" w:hAnsi="宋体" w:eastAsia="宋体" w:cs="宋体"/>
          <w:b w:val="0"/>
          <w:bCs w:val="0"/>
          <w:caps w:val="0"/>
          <w:spacing w:val="0"/>
          <w:w w:val="99"/>
          <w:sz w:val="24"/>
          <w:szCs w:val="24"/>
        </w:rPr>
        <w:instrText xml:space="preserve"> PAGEREF _Toc15779 \h </w:instrText>
      </w:r>
      <w:r>
        <w:rPr>
          <w:rFonts w:hint="eastAsia" w:ascii="宋体" w:hAnsi="宋体" w:eastAsia="宋体" w:cs="宋体"/>
          <w:b w:val="0"/>
          <w:bCs w:val="0"/>
          <w:caps w:val="0"/>
          <w:spacing w:val="0"/>
          <w:w w:val="99"/>
          <w:sz w:val="24"/>
          <w:szCs w:val="24"/>
        </w:rPr>
        <w:fldChar w:fldCharType="separate"/>
      </w:r>
      <w:r>
        <w:rPr>
          <w:rFonts w:hint="eastAsia" w:ascii="宋体" w:hAnsi="宋体" w:eastAsia="宋体" w:cs="宋体"/>
          <w:b w:val="0"/>
          <w:bCs w:val="0"/>
          <w:caps w:val="0"/>
          <w:spacing w:val="0"/>
          <w:w w:val="99"/>
          <w:sz w:val="24"/>
          <w:szCs w:val="24"/>
        </w:rPr>
        <w:t>102</w:t>
      </w:r>
      <w:r>
        <w:rPr>
          <w:rFonts w:hint="eastAsia" w:ascii="宋体" w:hAnsi="宋体" w:eastAsia="宋体" w:cs="宋体"/>
          <w:b w:val="0"/>
          <w:bCs w:val="0"/>
          <w:caps w:val="0"/>
          <w:spacing w:val="0"/>
          <w:w w:val="99"/>
          <w:sz w:val="24"/>
          <w:szCs w:val="24"/>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_Toc2556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rPr>
        <w:t>二、第三产业调整情况</w:t>
      </w:r>
      <w:r>
        <w:rPr>
          <w:rFonts w:hint="eastAsia" w:ascii="宋体" w:hAnsi="宋体" w:eastAsia="宋体" w:cs="宋体"/>
          <w:b w:val="0"/>
          <w:bCs w:val="0"/>
          <w:caps w:val="0"/>
          <w:spacing w:val="0"/>
          <w:w w:val="99"/>
          <w:sz w:val="24"/>
          <w:szCs w:val="24"/>
        </w:rPr>
        <w:tab/>
      </w:r>
      <w:r>
        <w:rPr>
          <w:rFonts w:hint="eastAsia" w:ascii="宋体" w:hAnsi="宋体" w:eastAsia="宋体" w:cs="宋体"/>
          <w:b w:val="0"/>
          <w:bCs w:val="0"/>
          <w:caps w:val="0"/>
          <w:spacing w:val="0"/>
          <w:w w:val="99"/>
          <w:sz w:val="24"/>
          <w:szCs w:val="24"/>
        </w:rPr>
        <w:fldChar w:fldCharType="begin"/>
      </w:r>
      <w:r>
        <w:rPr>
          <w:rFonts w:hint="eastAsia" w:ascii="宋体" w:hAnsi="宋体" w:eastAsia="宋体" w:cs="宋体"/>
          <w:b w:val="0"/>
          <w:bCs w:val="0"/>
          <w:caps w:val="0"/>
          <w:spacing w:val="0"/>
          <w:w w:val="99"/>
          <w:sz w:val="24"/>
          <w:szCs w:val="24"/>
        </w:rPr>
        <w:instrText xml:space="preserve"> PAGEREF _Toc2556 \h </w:instrText>
      </w:r>
      <w:r>
        <w:rPr>
          <w:rFonts w:hint="eastAsia" w:ascii="宋体" w:hAnsi="宋体" w:eastAsia="宋体" w:cs="宋体"/>
          <w:b w:val="0"/>
          <w:bCs w:val="0"/>
          <w:caps w:val="0"/>
          <w:spacing w:val="0"/>
          <w:w w:val="99"/>
          <w:sz w:val="24"/>
          <w:szCs w:val="24"/>
        </w:rPr>
        <w:fldChar w:fldCharType="separate"/>
      </w:r>
      <w:r>
        <w:rPr>
          <w:rFonts w:hint="eastAsia" w:ascii="宋体" w:hAnsi="宋体" w:eastAsia="宋体" w:cs="宋体"/>
          <w:b w:val="0"/>
          <w:bCs w:val="0"/>
          <w:caps w:val="0"/>
          <w:spacing w:val="0"/>
          <w:w w:val="99"/>
          <w:sz w:val="24"/>
          <w:szCs w:val="24"/>
        </w:rPr>
        <w:t>102</w:t>
      </w:r>
      <w:r>
        <w:rPr>
          <w:rFonts w:hint="eastAsia" w:ascii="宋体" w:hAnsi="宋体" w:eastAsia="宋体" w:cs="宋体"/>
          <w:b w:val="0"/>
          <w:bCs w:val="0"/>
          <w:caps w:val="0"/>
          <w:spacing w:val="0"/>
          <w:w w:val="99"/>
          <w:sz w:val="24"/>
          <w:szCs w:val="24"/>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_Toc24483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第三部分  统计上划分城乡的规定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_Toc24483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108</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_Toc31691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第四部分  统计用区划代码和城乡划分代码编制规则</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_Toc31691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109</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_Toc10353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一、统计用区划代码和城乡划分代码结构</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_Toc10353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109</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_Toc21973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二、统计用区划代码编制规则</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_Toc21973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109</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_Toc20374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三、城乡划分代码编制规则</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_Toc20374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111</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_Toc18619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第五部分  河南省统计用区划代码和城乡划分代码</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_Toc18619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114</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_Toc9602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第六部分  统计单位划分及具体处理办法</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_Toc9602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115</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_Toc1077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第七部分  法人和其他组织统一社会信用代码编码规则</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_Toc1077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122</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_Toc24561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第八部分  经济普查单位临时代码管理办法</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_Toc24561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132</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_Toc8302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第九部分  组织机构类型</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_Toc8302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134</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_Toc29270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 xml:space="preserve">第十部分  </w:t>
      </w:r>
      <w:r>
        <w:rPr>
          <w:rFonts w:hint="eastAsia" w:ascii="宋体" w:hAnsi="宋体" w:eastAsia="宋体" w:cs="宋体"/>
          <w:b/>
          <w:bCs/>
          <w:caps w:val="0"/>
          <w:spacing w:val="0"/>
          <w:w w:val="99"/>
          <w:kern w:val="2"/>
          <w:sz w:val="24"/>
          <w:szCs w:val="24"/>
          <w:lang w:val="en-US" w:eastAsia="zh-CN"/>
        </w:rPr>
        <w:t>关于市场主体统计分类的划分规定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_Toc29270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138</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_Toc22326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第十一部分</w:t>
      </w:r>
      <w:r>
        <w:rPr>
          <w:rFonts w:hint="eastAsia" w:ascii="宋体" w:hAnsi="宋体" w:eastAsia="宋体" w:cs="宋体"/>
          <w:b/>
          <w:bCs/>
          <w:caps w:val="0"/>
          <w:spacing w:val="0"/>
          <w:w w:val="99"/>
          <w:kern w:val="2"/>
          <w:sz w:val="24"/>
          <w:szCs w:val="24"/>
          <w:lang w:val="en-US" w:eastAsia="zh-CN"/>
        </w:rPr>
        <w:t xml:space="preserve">  </w:t>
      </w:r>
      <w:r>
        <w:rPr>
          <w:rFonts w:hint="eastAsia" w:ascii="宋体" w:hAnsi="宋体" w:eastAsia="宋体" w:cs="宋体"/>
          <w:b/>
          <w:bCs/>
          <w:caps w:val="0"/>
          <w:spacing w:val="0"/>
          <w:w w:val="99"/>
          <w:kern w:val="2"/>
          <w:sz w:val="24"/>
          <w:szCs w:val="24"/>
          <w:lang w:eastAsia="zh-CN"/>
        </w:rPr>
        <w:t>金融业企业划型标准规定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_Toc22326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147</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_Toc6847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第十二部分  全省县级以上区划名称及代码</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_Toc6847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151</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_Toc13274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第十三部分  河南省开发区基本情况</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_Toc13274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158</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_Toc20184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河南省开发区四至边界情况表</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_Toc20184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158</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_Toc22176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郑洛新国家自主创新示范区名称及代码汇总表</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_Toc22176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182</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lang w:val="en-US" w:eastAsia="zh-CN"/>
        </w:rPr>
      </w:pPr>
      <w:r>
        <w:rPr>
          <w:sz w:val="48"/>
        </w:rP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782320</wp:posOffset>
                </wp:positionV>
                <wp:extent cx="830580" cy="381000"/>
                <wp:effectExtent l="0" t="0" r="7620" b="0"/>
                <wp:wrapNone/>
                <wp:docPr id="6" name="矩形 6"/>
                <wp:cNvGraphicFramePr/>
                <a:graphic xmlns:a="http://schemas.openxmlformats.org/drawingml/2006/main">
                  <a:graphicData uri="http://schemas.microsoft.com/office/word/2010/wordprocessingShape">
                    <wps:wsp>
                      <wps:cNvSpPr/>
                      <wps:spPr>
                        <a:xfrm>
                          <a:off x="0" y="0"/>
                          <a:ext cx="8305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5pt;margin-top:61.6pt;height:30pt;width:65.4pt;z-index:251663360;v-text-anchor:middle;mso-width-relative:page;mso-height-relative:page;" fillcolor="#FFFFFF [3212]" filled="t" stroked="f" coordsize="21600,21600" o:gfxdata="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G7QwT2QAAAAoBAAAPAAAAAAAAAAEAIAAAACIAAABkcnMvZG93bnJldi54bWxQ&#10;SwECFAAUAAAACACHTuJA+ZkrGWgCAADKBAAADgAAAAAAAAABACAAAAAoAQAAZHJzL2Uyb0RvYy54&#10;bWxQSwUGAAAAAAYABgBZAQAAAgYAAAAA&#10;">
                <v:fill on="t" focussize="0,0"/>
                <v:stroke on="f" weight="1pt" miterlimit="8" joinstyle="miter"/>
                <v:imagedata o:title=""/>
                <o:lock v:ext="edit" aspectratio="f"/>
              </v:rect>
            </w:pict>
          </mc:Fallback>
        </mc:AlternateContent>
      </w: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_Toc20975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val="en-US" w:eastAsia="zh-CN" w:bidi="ar-SA"/>
        </w:rPr>
        <w:t>第十四部分  独立统计管理机构名单（</w:t>
      </w:r>
      <w:r>
        <w:rPr>
          <w:rFonts w:hint="eastAsia" w:ascii="宋体" w:hAnsi="宋体" w:cs="宋体"/>
          <w:b/>
          <w:bCs/>
          <w:caps w:val="0"/>
          <w:spacing w:val="0"/>
          <w:w w:val="99"/>
          <w:kern w:val="2"/>
          <w:sz w:val="24"/>
          <w:szCs w:val="24"/>
          <w:lang w:val="en-US" w:eastAsia="zh-CN" w:bidi="ar-SA"/>
        </w:rPr>
        <w:t>39</w:t>
      </w:r>
      <w:r>
        <w:rPr>
          <w:rFonts w:hint="eastAsia" w:ascii="宋体" w:hAnsi="宋体" w:eastAsia="宋体" w:cs="宋体"/>
          <w:b/>
          <w:bCs/>
          <w:caps w:val="0"/>
          <w:spacing w:val="0"/>
          <w:w w:val="99"/>
          <w:kern w:val="2"/>
          <w:sz w:val="24"/>
          <w:szCs w:val="24"/>
          <w:lang w:val="en-US" w:eastAsia="zh-CN" w:bidi="ar-SA"/>
        </w:rPr>
        <w:t>个）</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_Toc20975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183</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r>
        <w:rPr>
          <w:rFonts w:hint="eastAsia" w:ascii="宋体" w:hAnsi="宋体" w:eastAsia="宋体" w:cs="宋体"/>
          <w:b/>
          <w:bCs/>
          <w:caps w:val="0"/>
          <w:spacing w:val="0"/>
          <w:w w:val="99"/>
          <w:sz w:val="24"/>
          <w:szCs w:val="24"/>
          <w:lang w:val="en-US" w:eastAsia="zh-CN"/>
        </w:rPr>
        <w:fldChar w:fldCharType="end"/>
      </w:r>
    </w:p>
    <w:sectPr>
      <w:footerReference r:id="rId5" w:type="default"/>
      <w:footerReference r:id="rId6" w:type="even"/>
      <w:pgSz w:w="11906" w:h="16838"/>
      <w:pgMar w:top="1984" w:right="1531" w:bottom="1701" w:left="1531" w:header="851" w:footer="1304" w:gutter="0"/>
      <w:pgBorders>
        <w:top w:val="none" w:sz="0" w:space="0"/>
        <w:left w:val="none" w:sz="0" w:space="0"/>
        <w:bottom w:val="none" w:sz="0" w:space="0"/>
        <w:right w:val="none" w:sz="0" w:space="0"/>
      </w:pgBorders>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7-23T19:00:00Z" w:initials="N">
    <w:p w14:paraId="170D70AF">
      <w:pPr>
        <w:pStyle w:val="9"/>
        <w:rPr>
          <w:rFonts w:hint="eastAsia"/>
        </w:rPr>
      </w:pPr>
      <w:r>
        <w:rPr>
          <w:rFonts w:hint="eastAsia"/>
        </w:rPr>
        <w:t>去掉红色标示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0D70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魏碑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ind w:right="420" w:right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Style w:val="21"/>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Style w:val="21"/>
        <w:rFonts w:hint="eastAsia" w:ascii="宋体" w:hAnsi="宋体" w:eastAsia="宋体" w:cs="宋体"/>
        <w:sz w:val="24"/>
        <w:szCs w:val="24"/>
      </w:rPr>
      <w:t>29</w:t>
    </w:r>
    <w:r>
      <w:rPr>
        <w:rFonts w:hint="eastAsia" w:ascii="宋体" w:hAnsi="宋体" w:eastAsia="宋体" w:cs="宋体"/>
        <w:sz w:val="24"/>
        <w:szCs w:val="24"/>
      </w:rPr>
      <w:fldChar w:fldCharType="end"/>
    </w:r>
    <w:r>
      <w:rPr>
        <w:rStyle w:val="21"/>
        <w:rFonts w:hint="eastAsia" w:ascii="宋体" w:hAnsi="宋体" w:eastAsia="宋体" w:cs="宋体"/>
        <w:sz w:val="24"/>
        <w:szCs w:val="24"/>
      </w:rPr>
      <w:t xml:space="preserve"> </w:t>
    </w:r>
    <w:r>
      <w:rPr>
        <w:rFonts w:hint="eastAsia" w:ascii="宋体" w:hAnsi="宋体" w:eastAsia="宋体" w:cs="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Style w:val="21"/>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Style w:val="21"/>
        <w:rFonts w:hint="eastAsia" w:ascii="宋体" w:hAnsi="宋体" w:eastAsia="宋体" w:cs="宋体"/>
        <w:sz w:val="24"/>
        <w:szCs w:val="24"/>
      </w:rPr>
      <w:t>30</w:t>
    </w:r>
    <w:r>
      <w:rPr>
        <w:rFonts w:hint="eastAsia" w:ascii="宋体" w:hAnsi="宋体" w:eastAsia="宋体" w:cs="宋体"/>
        <w:sz w:val="24"/>
        <w:szCs w:val="24"/>
      </w:rPr>
      <w:fldChar w:fldCharType="end"/>
    </w:r>
    <w:r>
      <w:rPr>
        <w:rStyle w:val="21"/>
        <w:rFonts w:hint="eastAsia" w:ascii="宋体" w:hAnsi="宋体" w:eastAsia="宋体" w:cs="宋体"/>
        <w:sz w:val="24"/>
        <w:szCs w:val="24"/>
      </w:rPr>
      <w:t xml:space="preserve"> </w:t>
    </w:r>
    <w:r>
      <w:rPr>
        <w:rFonts w:hint="eastAsia" w:ascii="宋体" w:hAnsi="宋体" w:eastAsia="宋体" w:cs="宋体"/>
        <w:sz w:val="24"/>
        <w:szCs w:val="24"/>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Dg5MDJlY2JhNjJkZWQxMTU0ZTAwOTVhNTgwYjQifQ=="/>
  </w:docVars>
  <w:rsids>
    <w:rsidRoot w:val="7983425B"/>
    <w:rsid w:val="00247343"/>
    <w:rsid w:val="005D1D21"/>
    <w:rsid w:val="00722485"/>
    <w:rsid w:val="008A39A4"/>
    <w:rsid w:val="008B0BEA"/>
    <w:rsid w:val="00985005"/>
    <w:rsid w:val="00A80A27"/>
    <w:rsid w:val="00B701B7"/>
    <w:rsid w:val="00CA08DF"/>
    <w:rsid w:val="014E70F0"/>
    <w:rsid w:val="015525AA"/>
    <w:rsid w:val="01564333"/>
    <w:rsid w:val="015A446A"/>
    <w:rsid w:val="016373C8"/>
    <w:rsid w:val="01BB5464"/>
    <w:rsid w:val="01D9278B"/>
    <w:rsid w:val="01FE5C9D"/>
    <w:rsid w:val="028C6FBF"/>
    <w:rsid w:val="028F7A53"/>
    <w:rsid w:val="029D45A3"/>
    <w:rsid w:val="02BA43CC"/>
    <w:rsid w:val="02C12F5C"/>
    <w:rsid w:val="02D103C8"/>
    <w:rsid w:val="03212A25"/>
    <w:rsid w:val="0333753C"/>
    <w:rsid w:val="034F4B9A"/>
    <w:rsid w:val="03525F75"/>
    <w:rsid w:val="03840889"/>
    <w:rsid w:val="03A41743"/>
    <w:rsid w:val="03A64B19"/>
    <w:rsid w:val="03C87A25"/>
    <w:rsid w:val="044712C5"/>
    <w:rsid w:val="0460200E"/>
    <w:rsid w:val="04682E7A"/>
    <w:rsid w:val="04691E0F"/>
    <w:rsid w:val="04766835"/>
    <w:rsid w:val="04A12C10"/>
    <w:rsid w:val="04A84F65"/>
    <w:rsid w:val="04B14F1D"/>
    <w:rsid w:val="04DA0918"/>
    <w:rsid w:val="04DF36F5"/>
    <w:rsid w:val="04E941A0"/>
    <w:rsid w:val="04F612CF"/>
    <w:rsid w:val="050B0455"/>
    <w:rsid w:val="05400F22"/>
    <w:rsid w:val="0565117B"/>
    <w:rsid w:val="058A2C10"/>
    <w:rsid w:val="05B15B29"/>
    <w:rsid w:val="05CF47B5"/>
    <w:rsid w:val="068469CF"/>
    <w:rsid w:val="069F6C76"/>
    <w:rsid w:val="06FB01A2"/>
    <w:rsid w:val="06FE18F2"/>
    <w:rsid w:val="07176ACB"/>
    <w:rsid w:val="07A04C4E"/>
    <w:rsid w:val="07CF30F7"/>
    <w:rsid w:val="07D5339B"/>
    <w:rsid w:val="07E71E84"/>
    <w:rsid w:val="07F5685B"/>
    <w:rsid w:val="08141F49"/>
    <w:rsid w:val="088A75ED"/>
    <w:rsid w:val="08EB1424"/>
    <w:rsid w:val="08F660DE"/>
    <w:rsid w:val="097E6AD5"/>
    <w:rsid w:val="099472E7"/>
    <w:rsid w:val="09CD2D03"/>
    <w:rsid w:val="0A48095C"/>
    <w:rsid w:val="0A5B3D95"/>
    <w:rsid w:val="0A647BD3"/>
    <w:rsid w:val="0A71718E"/>
    <w:rsid w:val="0B02788A"/>
    <w:rsid w:val="0B1A47C4"/>
    <w:rsid w:val="0B5B48A9"/>
    <w:rsid w:val="0BDB0439"/>
    <w:rsid w:val="0BDB3DB6"/>
    <w:rsid w:val="0BF54B92"/>
    <w:rsid w:val="0BF86FD1"/>
    <w:rsid w:val="0C2A64C6"/>
    <w:rsid w:val="0C480BFE"/>
    <w:rsid w:val="0C8D57F1"/>
    <w:rsid w:val="0D661584"/>
    <w:rsid w:val="0D961154"/>
    <w:rsid w:val="0E117A46"/>
    <w:rsid w:val="0E27003F"/>
    <w:rsid w:val="0E443C86"/>
    <w:rsid w:val="0E5056BE"/>
    <w:rsid w:val="0E634C8D"/>
    <w:rsid w:val="0E65262D"/>
    <w:rsid w:val="0E881E24"/>
    <w:rsid w:val="0EA0074D"/>
    <w:rsid w:val="0EAA6908"/>
    <w:rsid w:val="0EB91B6D"/>
    <w:rsid w:val="0ECA6EF0"/>
    <w:rsid w:val="0ECF516D"/>
    <w:rsid w:val="0EEE09D5"/>
    <w:rsid w:val="0F4B0C33"/>
    <w:rsid w:val="0FB95FF6"/>
    <w:rsid w:val="0FD5339A"/>
    <w:rsid w:val="0FD83CA6"/>
    <w:rsid w:val="100E193E"/>
    <w:rsid w:val="101003D1"/>
    <w:rsid w:val="10310BC6"/>
    <w:rsid w:val="1084193B"/>
    <w:rsid w:val="10BF795A"/>
    <w:rsid w:val="10E00C1E"/>
    <w:rsid w:val="110072FD"/>
    <w:rsid w:val="111777E8"/>
    <w:rsid w:val="11284358"/>
    <w:rsid w:val="117309F2"/>
    <w:rsid w:val="11A06A75"/>
    <w:rsid w:val="11BC33BB"/>
    <w:rsid w:val="12206DEE"/>
    <w:rsid w:val="12514844"/>
    <w:rsid w:val="12607CE3"/>
    <w:rsid w:val="12723B30"/>
    <w:rsid w:val="127A7B4F"/>
    <w:rsid w:val="12BF092B"/>
    <w:rsid w:val="12C71999"/>
    <w:rsid w:val="13423CCC"/>
    <w:rsid w:val="134E4139"/>
    <w:rsid w:val="13517B69"/>
    <w:rsid w:val="13713079"/>
    <w:rsid w:val="13AD32BC"/>
    <w:rsid w:val="13CB497A"/>
    <w:rsid w:val="13F82B92"/>
    <w:rsid w:val="143E51C4"/>
    <w:rsid w:val="1444748E"/>
    <w:rsid w:val="146E304B"/>
    <w:rsid w:val="148364CD"/>
    <w:rsid w:val="14DE5F2D"/>
    <w:rsid w:val="154F3251"/>
    <w:rsid w:val="1560716D"/>
    <w:rsid w:val="15CC0A39"/>
    <w:rsid w:val="15F06B14"/>
    <w:rsid w:val="161D6AD9"/>
    <w:rsid w:val="163A6261"/>
    <w:rsid w:val="165A18B8"/>
    <w:rsid w:val="16A3500D"/>
    <w:rsid w:val="16DC50F9"/>
    <w:rsid w:val="16F70A74"/>
    <w:rsid w:val="17151757"/>
    <w:rsid w:val="172F174C"/>
    <w:rsid w:val="172F4F2C"/>
    <w:rsid w:val="176F6432"/>
    <w:rsid w:val="1771191B"/>
    <w:rsid w:val="1779166F"/>
    <w:rsid w:val="17D62EDC"/>
    <w:rsid w:val="18402320"/>
    <w:rsid w:val="184A22E8"/>
    <w:rsid w:val="18544B2F"/>
    <w:rsid w:val="18DA3ACE"/>
    <w:rsid w:val="19674970"/>
    <w:rsid w:val="199216F1"/>
    <w:rsid w:val="19E74D8C"/>
    <w:rsid w:val="1A006994"/>
    <w:rsid w:val="1A530BCE"/>
    <w:rsid w:val="1A9B19FE"/>
    <w:rsid w:val="1B395283"/>
    <w:rsid w:val="1BAB0562"/>
    <w:rsid w:val="1BBE1FA1"/>
    <w:rsid w:val="1BD17400"/>
    <w:rsid w:val="1C90391D"/>
    <w:rsid w:val="1CA76EB9"/>
    <w:rsid w:val="1CD72461"/>
    <w:rsid w:val="1D26141F"/>
    <w:rsid w:val="1D9F25EF"/>
    <w:rsid w:val="1DC866B1"/>
    <w:rsid w:val="1DC94B51"/>
    <w:rsid w:val="1DE72E6D"/>
    <w:rsid w:val="1DF14B93"/>
    <w:rsid w:val="1E017469"/>
    <w:rsid w:val="1E017881"/>
    <w:rsid w:val="1E9D5922"/>
    <w:rsid w:val="1F101C65"/>
    <w:rsid w:val="1F1316C6"/>
    <w:rsid w:val="1F8C2E2C"/>
    <w:rsid w:val="203C08E7"/>
    <w:rsid w:val="2135591E"/>
    <w:rsid w:val="21DC47FE"/>
    <w:rsid w:val="222D7E81"/>
    <w:rsid w:val="22432B2E"/>
    <w:rsid w:val="22534139"/>
    <w:rsid w:val="227D5B56"/>
    <w:rsid w:val="236C4E94"/>
    <w:rsid w:val="23763761"/>
    <w:rsid w:val="23861FE0"/>
    <w:rsid w:val="23E12CD1"/>
    <w:rsid w:val="23EB6763"/>
    <w:rsid w:val="248207F9"/>
    <w:rsid w:val="248B5D5C"/>
    <w:rsid w:val="249C7B71"/>
    <w:rsid w:val="24BB5C18"/>
    <w:rsid w:val="24CA5186"/>
    <w:rsid w:val="25015E01"/>
    <w:rsid w:val="252C0047"/>
    <w:rsid w:val="25515346"/>
    <w:rsid w:val="2551608D"/>
    <w:rsid w:val="25934177"/>
    <w:rsid w:val="25B25194"/>
    <w:rsid w:val="25CB4F83"/>
    <w:rsid w:val="25D573B3"/>
    <w:rsid w:val="25E25473"/>
    <w:rsid w:val="26222E81"/>
    <w:rsid w:val="262F1A85"/>
    <w:rsid w:val="2653336B"/>
    <w:rsid w:val="26A25256"/>
    <w:rsid w:val="26CA4279"/>
    <w:rsid w:val="26D82D61"/>
    <w:rsid w:val="26E6284A"/>
    <w:rsid w:val="26F84854"/>
    <w:rsid w:val="274323DD"/>
    <w:rsid w:val="278A496D"/>
    <w:rsid w:val="279A1510"/>
    <w:rsid w:val="27E50BBD"/>
    <w:rsid w:val="27F648D5"/>
    <w:rsid w:val="2903193C"/>
    <w:rsid w:val="295F1E4D"/>
    <w:rsid w:val="2A0908DD"/>
    <w:rsid w:val="2A2C6E88"/>
    <w:rsid w:val="2A345845"/>
    <w:rsid w:val="2A390916"/>
    <w:rsid w:val="2A81520E"/>
    <w:rsid w:val="2B2511F7"/>
    <w:rsid w:val="2B755505"/>
    <w:rsid w:val="2B9275D5"/>
    <w:rsid w:val="2B962A81"/>
    <w:rsid w:val="2BBC7A0C"/>
    <w:rsid w:val="2BC65C69"/>
    <w:rsid w:val="2BE079BB"/>
    <w:rsid w:val="2BEC20A3"/>
    <w:rsid w:val="2C0B03F6"/>
    <w:rsid w:val="2C4F0774"/>
    <w:rsid w:val="2C5770D4"/>
    <w:rsid w:val="2C593FCD"/>
    <w:rsid w:val="2C852D61"/>
    <w:rsid w:val="2CBC38AB"/>
    <w:rsid w:val="2CE86DCC"/>
    <w:rsid w:val="2D227924"/>
    <w:rsid w:val="2D7571EA"/>
    <w:rsid w:val="2DA04169"/>
    <w:rsid w:val="2DB111F4"/>
    <w:rsid w:val="2DD94149"/>
    <w:rsid w:val="2E257AE3"/>
    <w:rsid w:val="2E336FD0"/>
    <w:rsid w:val="2E565F13"/>
    <w:rsid w:val="2F054289"/>
    <w:rsid w:val="2FCB64D6"/>
    <w:rsid w:val="302B5571"/>
    <w:rsid w:val="302D1879"/>
    <w:rsid w:val="30430CED"/>
    <w:rsid w:val="305B645B"/>
    <w:rsid w:val="30A1326E"/>
    <w:rsid w:val="326D78CA"/>
    <w:rsid w:val="32CB799D"/>
    <w:rsid w:val="33170C66"/>
    <w:rsid w:val="333D7CF6"/>
    <w:rsid w:val="33B847BE"/>
    <w:rsid w:val="34395C9A"/>
    <w:rsid w:val="3468119A"/>
    <w:rsid w:val="347A5E78"/>
    <w:rsid w:val="34F502A2"/>
    <w:rsid w:val="351F52FA"/>
    <w:rsid w:val="353B4715"/>
    <w:rsid w:val="353F5838"/>
    <w:rsid w:val="35456ABD"/>
    <w:rsid w:val="354842C4"/>
    <w:rsid w:val="357E6A42"/>
    <w:rsid w:val="35E039F6"/>
    <w:rsid w:val="36016D3B"/>
    <w:rsid w:val="36331188"/>
    <w:rsid w:val="36464E91"/>
    <w:rsid w:val="364C65AE"/>
    <w:rsid w:val="36B81A52"/>
    <w:rsid w:val="37167963"/>
    <w:rsid w:val="37720394"/>
    <w:rsid w:val="37A35DC8"/>
    <w:rsid w:val="37B06C3C"/>
    <w:rsid w:val="38266F4F"/>
    <w:rsid w:val="38857D49"/>
    <w:rsid w:val="38B555C0"/>
    <w:rsid w:val="38BC0BBA"/>
    <w:rsid w:val="38CC7F7D"/>
    <w:rsid w:val="3924146B"/>
    <w:rsid w:val="39444CF8"/>
    <w:rsid w:val="3965125B"/>
    <w:rsid w:val="39EA6600"/>
    <w:rsid w:val="3A051CF2"/>
    <w:rsid w:val="3A214498"/>
    <w:rsid w:val="3A52311B"/>
    <w:rsid w:val="3A8F147D"/>
    <w:rsid w:val="3A95616C"/>
    <w:rsid w:val="3AE56842"/>
    <w:rsid w:val="3B2F6FD0"/>
    <w:rsid w:val="3B613B23"/>
    <w:rsid w:val="3B6C2A22"/>
    <w:rsid w:val="3B791661"/>
    <w:rsid w:val="3B7E397B"/>
    <w:rsid w:val="3BAE6192"/>
    <w:rsid w:val="3BCA26E5"/>
    <w:rsid w:val="3BE061A1"/>
    <w:rsid w:val="3BFB3BDD"/>
    <w:rsid w:val="3C0D7847"/>
    <w:rsid w:val="3C2A5028"/>
    <w:rsid w:val="3CDC2346"/>
    <w:rsid w:val="3D8F1598"/>
    <w:rsid w:val="3E05505C"/>
    <w:rsid w:val="3E08060A"/>
    <w:rsid w:val="3E542994"/>
    <w:rsid w:val="3E696DBC"/>
    <w:rsid w:val="3E777183"/>
    <w:rsid w:val="3F3B4420"/>
    <w:rsid w:val="3F4D39AE"/>
    <w:rsid w:val="3F825C5C"/>
    <w:rsid w:val="3FB34B8D"/>
    <w:rsid w:val="402B320F"/>
    <w:rsid w:val="405C2996"/>
    <w:rsid w:val="40A05F72"/>
    <w:rsid w:val="40A804E1"/>
    <w:rsid w:val="40AD37DF"/>
    <w:rsid w:val="40CC70FA"/>
    <w:rsid w:val="412F4265"/>
    <w:rsid w:val="414E7E02"/>
    <w:rsid w:val="418B0657"/>
    <w:rsid w:val="419B4E61"/>
    <w:rsid w:val="41B51807"/>
    <w:rsid w:val="41B6583F"/>
    <w:rsid w:val="41B77908"/>
    <w:rsid w:val="41BC40A0"/>
    <w:rsid w:val="41CE740B"/>
    <w:rsid w:val="42187236"/>
    <w:rsid w:val="428B1A31"/>
    <w:rsid w:val="42B142A3"/>
    <w:rsid w:val="42B37AD7"/>
    <w:rsid w:val="42CA1A03"/>
    <w:rsid w:val="43382243"/>
    <w:rsid w:val="4351083F"/>
    <w:rsid w:val="4390795E"/>
    <w:rsid w:val="440A7BCA"/>
    <w:rsid w:val="44117839"/>
    <w:rsid w:val="44957961"/>
    <w:rsid w:val="44A306BC"/>
    <w:rsid w:val="44B518E4"/>
    <w:rsid w:val="44CF1C89"/>
    <w:rsid w:val="453A36B4"/>
    <w:rsid w:val="454C2C72"/>
    <w:rsid w:val="45EE4F50"/>
    <w:rsid w:val="464A6E75"/>
    <w:rsid w:val="46821C9A"/>
    <w:rsid w:val="46DF01F7"/>
    <w:rsid w:val="47284B9C"/>
    <w:rsid w:val="477647B3"/>
    <w:rsid w:val="477C2A7B"/>
    <w:rsid w:val="47914524"/>
    <w:rsid w:val="47FF72A3"/>
    <w:rsid w:val="48890AFE"/>
    <w:rsid w:val="48961A2D"/>
    <w:rsid w:val="489E6222"/>
    <w:rsid w:val="48D555E7"/>
    <w:rsid w:val="49333DBC"/>
    <w:rsid w:val="494D5CCC"/>
    <w:rsid w:val="496E6505"/>
    <w:rsid w:val="49726005"/>
    <w:rsid w:val="499D1C2F"/>
    <w:rsid w:val="49A52F4C"/>
    <w:rsid w:val="49BE56DF"/>
    <w:rsid w:val="49C87C46"/>
    <w:rsid w:val="4A1D5548"/>
    <w:rsid w:val="4A3F4E8A"/>
    <w:rsid w:val="4A743FEF"/>
    <w:rsid w:val="4A7C36DA"/>
    <w:rsid w:val="4AA22748"/>
    <w:rsid w:val="4ABC2A54"/>
    <w:rsid w:val="4ACA621F"/>
    <w:rsid w:val="4AF533C3"/>
    <w:rsid w:val="4B2631C0"/>
    <w:rsid w:val="4B396079"/>
    <w:rsid w:val="4B404F6F"/>
    <w:rsid w:val="4B472E08"/>
    <w:rsid w:val="4B67764C"/>
    <w:rsid w:val="4B817137"/>
    <w:rsid w:val="4BAE0D5F"/>
    <w:rsid w:val="4BBB5402"/>
    <w:rsid w:val="4C095B90"/>
    <w:rsid w:val="4C1249B9"/>
    <w:rsid w:val="4C1A4558"/>
    <w:rsid w:val="4C807001"/>
    <w:rsid w:val="4D28277A"/>
    <w:rsid w:val="4D2A3E4F"/>
    <w:rsid w:val="4D4407FB"/>
    <w:rsid w:val="4D7105C1"/>
    <w:rsid w:val="4D966289"/>
    <w:rsid w:val="4DAB599E"/>
    <w:rsid w:val="4DC967D5"/>
    <w:rsid w:val="4DFA6FFD"/>
    <w:rsid w:val="4E0336C0"/>
    <w:rsid w:val="4E102281"/>
    <w:rsid w:val="4E883727"/>
    <w:rsid w:val="4ED742B3"/>
    <w:rsid w:val="4F25189B"/>
    <w:rsid w:val="4F494091"/>
    <w:rsid w:val="4F593100"/>
    <w:rsid w:val="4F6653CA"/>
    <w:rsid w:val="4F6F2EAF"/>
    <w:rsid w:val="4FBB5FD7"/>
    <w:rsid w:val="50187C1F"/>
    <w:rsid w:val="50587FA1"/>
    <w:rsid w:val="50682BF4"/>
    <w:rsid w:val="50B5644E"/>
    <w:rsid w:val="51100B70"/>
    <w:rsid w:val="51837973"/>
    <w:rsid w:val="51BF3C09"/>
    <w:rsid w:val="51ED577F"/>
    <w:rsid w:val="51FF7B56"/>
    <w:rsid w:val="529A78DF"/>
    <w:rsid w:val="52DE70FE"/>
    <w:rsid w:val="5369508F"/>
    <w:rsid w:val="54683CD0"/>
    <w:rsid w:val="547648F5"/>
    <w:rsid w:val="554067C7"/>
    <w:rsid w:val="555111B5"/>
    <w:rsid w:val="55891297"/>
    <w:rsid w:val="55AE6140"/>
    <w:rsid w:val="56263647"/>
    <w:rsid w:val="563549DB"/>
    <w:rsid w:val="565166C3"/>
    <w:rsid w:val="568035CD"/>
    <w:rsid w:val="568B154B"/>
    <w:rsid w:val="56BB3470"/>
    <w:rsid w:val="56DA6573"/>
    <w:rsid w:val="56E74444"/>
    <w:rsid w:val="5721658E"/>
    <w:rsid w:val="57771797"/>
    <w:rsid w:val="579B2519"/>
    <w:rsid w:val="57E611E7"/>
    <w:rsid w:val="58000E3C"/>
    <w:rsid w:val="583A066C"/>
    <w:rsid w:val="58D61398"/>
    <w:rsid w:val="59070928"/>
    <w:rsid w:val="590E1582"/>
    <w:rsid w:val="591E2D9A"/>
    <w:rsid w:val="59703C32"/>
    <w:rsid w:val="59747B68"/>
    <w:rsid w:val="59871056"/>
    <w:rsid w:val="5988616B"/>
    <w:rsid w:val="59D50321"/>
    <w:rsid w:val="59D636FC"/>
    <w:rsid w:val="59F82547"/>
    <w:rsid w:val="5A271BED"/>
    <w:rsid w:val="5AD41E3F"/>
    <w:rsid w:val="5AE91A18"/>
    <w:rsid w:val="5AF727FF"/>
    <w:rsid w:val="5B2F3A16"/>
    <w:rsid w:val="5B564C0C"/>
    <w:rsid w:val="5B771BDB"/>
    <w:rsid w:val="5B81656C"/>
    <w:rsid w:val="5BA41451"/>
    <w:rsid w:val="5BD77F57"/>
    <w:rsid w:val="5C152A77"/>
    <w:rsid w:val="5C7C3ACF"/>
    <w:rsid w:val="5C7D3F06"/>
    <w:rsid w:val="5CB8746D"/>
    <w:rsid w:val="5CBD3207"/>
    <w:rsid w:val="5CDF413B"/>
    <w:rsid w:val="5CF62630"/>
    <w:rsid w:val="5D6B7FDE"/>
    <w:rsid w:val="5D7D2CED"/>
    <w:rsid w:val="5DC66E9A"/>
    <w:rsid w:val="5E274B0E"/>
    <w:rsid w:val="5E4464ED"/>
    <w:rsid w:val="5E836176"/>
    <w:rsid w:val="5EA2084B"/>
    <w:rsid w:val="5EAB7434"/>
    <w:rsid w:val="5ED34811"/>
    <w:rsid w:val="5EEA6E4E"/>
    <w:rsid w:val="5EFB5E95"/>
    <w:rsid w:val="5EFE4AA6"/>
    <w:rsid w:val="5F6D23B2"/>
    <w:rsid w:val="60030F31"/>
    <w:rsid w:val="60200102"/>
    <w:rsid w:val="60A36EC5"/>
    <w:rsid w:val="610E00FB"/>
    <w:rsid w:val="610E11C8"/>
    <w:rsid w:val="617A4D1C"/>
    <w:rsid w:val="61E80059"/>
    <w:rsid w:val="61EA0B90"/>
    <w:rsid w:val="620D3447"/>
    <w:rsid w:val="623D54B4"/>
    <w:rsid w:val="62411C8F"/>
    <w:rsid w:val="6282041B"/>
    <w:rsid w:val="631369D0"/>
    <w:rsid w:val="63CB4828"/>
    <w:rsid w:val="646773D3"/>
    <w:rsid w:val="6491053A"/>
    <w:rsid w:val="64E257BF"/>
    <w:rsid w:val="65C76FAC"/>
    <w:rsid w:val="65F01A54"/>
    <w:rsid w:val="66423988"/>
    <w:rsid w:val="6644677A"/>
    <w:rsid w:val="66843B07"/>
    <w:rsid w:val="66856E7D"/>
    <w:rsid w:val="669229AF"/>
    <w:rsid w:val="66E53A4E"/>
    <w:rsid w:val="67984BD2"/>
    <w:rsid w:val="67A42FB6"/>
    <w:rsid w:val="67FA3F25"/>
    <w:rsid w:val="68273FF7"/>
    <w:rsid w:val="68410DEB"/>
    <w:rsid w:val="68501920"/>
    <w:rsid w:val="685C0B54"/>
    <w:rsid w:val="68603B9B"/>
    <w:rsid w:val="68A170DE"/>
    <w:rsid w:val="68AA3833"/>
    <w:rsid w:val="68CD3655"/>
    <w:rsid w:val="690A3F08"/>
    <w:rsid w:val="69404144"/>
    <w:rsid w:val="69B16105"/>
    <w:rsid w:val="6A005E51"/>
    <w:rsid w:val="6A0062AA"/>
    <w:rsid w:val="6ACF4B31"/>
    <w:rsid w:val="6AD87B2F"/>
    <w:rsid w:val="6AFA323B"/>
    <w:rsid w:val="6B0823C8"/>
    <w:rsid w:val="6B257F03"/>
    <w:rsid w:val="6B2D7B77"/>
    <w:rsid w:val="6B40751C"/>
    <w:rsid w:val="6B694BDC"/>
    <w:rsid w:val="6BA503E9"/>
    <w:rsid w:val="6BB64010"/>
    <w:rsid w:val="6C823B03"/>
    <w:rsid w:val="6CC00095"/>
    <w:rsid w:val="6CD30590"/>
    <w:rsid w:val="6CE863F6"/>
    <w:rsid w:val="6CE94260"/>
    <w:rsid w:val="6D0D4743"/>
    <w:rsid w:val="6D1E60D1"/>
    <w:rsid w:val="6D436C2A"/>
    <w:rsid w:val="6DB83F35"/>
    <w:rsid w:val="6E055D06"/>
    <w:rsid w:val="6E4F6755"/>
    <w:rsid w:val="6EAB14DE"/>
    <w:rsid w:val="6F0A3450"/>
    <w:rsid w:val="6F4C7EB2"/>
    <w:rsid w:val="6FB67FB1"/>
    <w:rsid w:val="6FEB7DED"/>
    <w:rsid w:val="70037464"/>
    <w:rsid w:val="705D5B34"/>
    <w:rsid w:val="70BD2469"/>
    <w:rsid w:val="70BD3C96"/>
    <w:rsid w:val="715916C6"/>
    <w:rsid w:val="715E5007"/>
    <w:rsid w:val="718A465B"/>
    <w:rsid w:val="71AA5B87"/>
    <w:rsid w:val="71B224B6"/>
    <w:rsid w:val="72175D24"/>
    <w:rsid w:val="721B28E9"/>
    <w:rsid w:val="72422092"/>
    <w:rsid w:val="727367B7"/>
    <w:rsid w:val="72A5093A"/>
    <w:rsid w:val="72BB1B04"/>
    <w:rsid w:val="72C040F5"/>
    <w:rsid w:val="72CB0B92"/>
    <w:rsid w:val="72EF3F7B"/>
    <w:rsid w:val="740D1916"/>
    <w:rsid w:val="748F6256"/>
    <w:rsid w:val="74FE16FE"/>
    <w:rsid w:val="75024374"/>
    <w:rsid w:val="75601131"/>
    <w:rsid w:val="757E6B63"/>
    <w:rsid w:val="757F66EC"/>
    <w:rsid w:val="75BF5350"/>
    <w:rsid w:val="75FD2D05"/>
    <w:rsid w:val="76284B8A"/>
    <w:rsid w:val="764A0FA4"/>
    <w:rsid w:val="765D0AC2"/>
    <w:rsid w:val="7695217E"/>
    <w:rsid w:val="76BF536C"/>
    <w:rsid w:val="76C20DC0"/>
    <w:rsid w:val="76E25CB9"/>
    <w:rsid w:val="771F26A0"/>
    <w:rsid w:val="774D1422"/>
    <w:rsid w:val="776F1D64"/>
    <w:rsid w:val="778237FE"/>
    <w:rsid w:val="778A4078"/>
    <w:rsid w:val="77966803"/>
    <w:rsid w:val="77A32065"/>
    <w:rsid w:val="77B04D00"/>
    <w:rsid w:val="77DE76DE"/>
    <w:rsid w:val="7805415F"/>
    <w:rsid w:val="78191BAF"/>
    <w:rsid w:val="7820335D"/>
    <w:rsid w:val="7835220F"/>
    <w:rsid w:val="78382FD1"/>
    <w:rsid w:val="7872306D"/>
    <w:rsid w:val="78C4521B"/>
    <w:rsid w:val="78F6555E"/>
    <w:rsid w:val="78FD50AF"/>
    <w:rsid w:val="78FF5272"/>
    <w:rsid w:val="79346574"/>
    <w:rsid w:val="79802B32"/>
    <w:rsid w:val="79816C72"/>
    <w:rsid w:val="7983425B"/>
    <w:rsid w:val="799871EC"/>
    <w:rsid w:val="79F67687"/>
    <w:rsid w:val="7A3A5E04"/>
    <w:rsid w:val="7A4A24F3"/>
    <w:rsid w:val="7AC415EE"/>
    <w:rsid w:val="7AD40C3A"/>
    <w:rsid w:val="7AD6582D"/>
    <w:rsid w:val="7AF10BC1"/>
    <w:rsid w:val="7AF817B9"/>
    <w:rsid w:val="7B4042F0"/>
    <w:rsid w:val="7B6A139F"/>
    <w:rsid w:val="7B7E709B"/>
    <w:rsid w:val="7BBB579A"/>
    <w:rsid w:val="7BC413EC"/>
    <w:rsid w:val="7C002398"/>
    <w:rsid w:val="7C29539F"/>
    <w:rsid w:val="7C3A7090"/>
    <w:rsid w:val="7C432C04"/>
    <w:rsid w:val="7C5E5DE2"/>
    <w:rsid w:val="7C8E71D3"/>
    <w:rsid w:val="7CB504FF"/>
    <w:rsid w:val="7CD679E2"/>
    <w:rsid w:val="7D056DD9"/>
    <w:rsid w:val="7D0F0FF5"/>
    <w:rsid w:val="7D1204C4"/>
    <w:rsid w:val="7D184717"/>
    <w:rsid w:val="7DAC1F03"/>
    <w:rsid w:val="7DB76464"/>
    <w:rsid w:val="7E07378A"/>
    <w:rsid w:val="7E156974"/>
    <w:rsid w:val="7E451F3F"/>
    <w:rsid w:val="7EB23B22"/>
    <w:rsid w:val="7ECC649C"/>
    <w:rsid w:val="7F031DB4"/>
    <w:rsid w:val="7F744EEB"/>
    <w:rsid w:val="7F814B52"/>
    <w:rsid w:val="7F8C2E62"/>
    <w:rsid w:val="7FEA6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7">
    <w:name w:val="heading 2"/>
    <w:basedOn w:val="1"/>
    <w:next w:val="1"/>
    <w:unhideWhenUsed/>
    <w:qFormat/>
    <w:uiPriority w:val="0"/>
    <w:pPr>
      <w:spacing w:before="100" w:beforeAutospacing="1" w:after="100" w:afterAutospacing="1"/>
      <w:jc w:val="left"/>
      <w:outlineLvl w:val="1"/>
    </w:pPr>
    <w:rPr>
      <w:rFonts w:ascii="宋体" w:hAnsi="宋体"/>
      <w:b/>
      <w:kern w:val="0"/>
      <w:sz w:val="36"/>
      <w:szCs w:val="36"/>
    </w:rPr>
  </w:style>
  <w:style w:type="character" w:default="1" w:styleId="19">
    <w:name w:val="Default Paragraph Font"/>
    <w:link w:val="20"/>
    <w:semiHidden/>
    <w:qFormat/>
    <w:uiPriority w:val="0"/>
    <w:rPr>
      <w:rFonts w:ascii="Tahoma" w:hAnsi="Tahoma"/>
      <w:sz w:val="24"/>
      <w:szCs w:val="20"/>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Cs w:val="24"/>
    </w:rPr>
  </w:style>
  <w:style w:type="paragraph" w:styleId="3">
    <w:name w:val="Body Text"/>
    <w:basedOn w:val="1"/>
    <w:next w:val="1"/>
    <w:qFormat/>
    <w:uiPriority w:val="0"/>
    <w:pPr>
      <w:spacing w:after="120" w:afterLines="0"/>
    </w:pPr>
    <w:rPr>
      <w:szCs w:val="20"/>
    </w:rPr>
  </w:style>
  <w:style w:type="paragraph" w:styleId="4">
    <w:name w:val="Body Text First Indent 2"/>
    <w:basedOn w:val="5"/>
    <w:next w:val="2"/>
    <w:qFormat/>
    <w:uiPriority w:val="0"/>
    <w:pPr>
      <w:ind w:firstLine="420" w:firstLineChars="200"/>
    </w:pPr>
  </w:style>
  <w:style w:type="paragraph" w:styleId="5">
    <w:name w:val="Body Text Indent"/>
    <w:basedOn w:val="1"/>
    <w:next w:val="6"/>
    <w:qFormat/>
    <w:uiPriority w:val="0"/>
    <w:pPr>
      <w:ind w:firstLine="425"/>
    </w:pPr>
    <w:rPr>
      <w:sz w:val="28"/>
    </w:rPr>
  </w:style>
  <w:style w:type="paragraph" w:styleId="6">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8">
    <w:name w:val="Normal Indent"/>
    <w:next w:val="3"/>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9">
    <w:name w:val="annotation text"/>
    <w:basedOn w:val="1"/>
    <w:qFormat/>
    <w:uiPriority w:val="0"/>
    <w:pPr>
      <w:spacing w:line="400" w:lineRule="exact"/>
      <w:jc w:val="left"/>
    </w:pPr>
    <w:rPr>
      <w:rFonts w:cs="Times New Roman"/>
      <w:kern w:val="0"/>
      <w:sz w:val="20"/>
      <w:szCs w:val="20"/>
    </w:rPr>
  </w:style>
  <w:style w:type="paragraph" w:styleId="10">
    <w:name w:val="index 6"/>
    <w:basedOn w:val="1"/>
    <w:next w:val="1"/>
    <w:qFormat/>
    <w:uiPriority w:val="0"/>
    <w:pPr>
      <w:ind w:left="2100"/>
    </w:pPr>
  </w:style>
  <w:style w:type="paragraph" w:styleId="11">
    <w:name w:val="Body Text Indent 2"/>
    <w:basedOn w:val="1"/>
    <w:next w:val="10"/>
    <w:qFormat/>
    <w:uiPriority w:val="0"/>
    <w:pPr>
      <w:ind w:left="425"/>
    </w:pPr>
    <w:rPr>
      <w:rFonts w:eastAsia="黑体"/>
      <w:sz w:val="4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widowControl/>
      <w:spacing w:before="240" w:beforeLines="0" w:after="60" w:afterLines="0"/>
      <w:jc w:val="center"/>
      <w:outlineLvl w:val="0"/>
    </w:pPr>
    <w:rPr>
      <w:rFonts w:ascii="Cambria" w:hAnsi="Cambria" w:cs="Times New Roman"/>
      <w:b/>
      <w:bCs/>
      <w:kern w:val="0"/>
      <w:sz w:val="32"/>
      <w:szCs w:val="32"/>
    </w:rPr>
  </w:style>
  <w:style w:type="paragraph" w:customStyle="1" w:styleId="20">
    <w:name w:val=" Char"/>
    <w:basedOn w:val="1"/>
    <w:link w:val="19"/>
    <w:qFormat/>
    <w:uiPriority w:val="0"/>
    <w:pPr>
      <w:spacing w:line="360" w:lineRule="auto"/>
    </w:pPr>
    <w:rPr>
      <w:rFonts w:ascii="Tahoma" w:hAnsi="Tahoma"/>
      <w:sz w:val="24"/>
      <w:szCs w:val="20"/>
    </w:rPr>
  </w:style>
  <w:style w:type="character" w:styleId="21">
    <w:name w:val="page number"/>
    <w:basedOn w:val="19"/>
    <w:qFormat/>
    <w:uiPriority w:val="0"/>
  </w:style>
  <w:style w:type="paragraph" w:customStyle="1" w:styleId="22">
    <w:name w:val="p0"/>
    <w:basedOn w:val="1"/>
    <w:qFormat/>
    <w:uiPriority w:val="0"/>
    <w:pPr>
      <w:widowControl/>
    </w:pPr>
    <w:rPr>
      <w:kern w:val="0"/>
      <w:szCs w:val="21"/>
    </w:rPr>
  </w:style>
  <w:style w:type="paragraph" w:customStyle="1" w:styleId="23">
    <w:name w:val="_Style 1"/>
    <w:basedOn w:val="1"/>
    <w:qFormat/>
    <w:uiPriority w:val="0"/>
    <w:pPr>
      <w:widowControl/>
      <w:spacing w:after="160" w:afterLines="0" w:line="240" w:lineRule="exact"/>
      <w:jc w:val="left"/>
    </w:pPr>
    <w:rPr>
      <w:szCs w:val="24"/>
    </w:rPr>
  </w:style>
  <w:style w:type="paragraph" w:customStyle="1" w:styleId="24">
    <w:name w:val="Body Text First Indent1"/>
    <w:basedOn w:val="3"/>
    <w:qFormat/>
    <w:uiPriority w:val="0"/>
    <w:pPr>
      <w:ind w:firstLine="420"/>
    </w:pPr>
  </w:style>
  <w:style w:type="paragraph" w:customStyle="1" w:styleId="25">
    <w:name w:val="Body Text First Indent"/>
    <w:basedOn w:val="3"/>
    <w:qFormat/>
    <w:uiPriority w:val="0"/>
    <w:pPr>
      <w:spacing w:after="0" w:afterLines="0" w:line="600" w:lineRule="exact"/>
      <w:ind w:firstLine="420"/>
    </w:pPr>
    <w:rPr>
      <w:bCs/>
    </w:rPr>
  </w:style>
  <w:style w:type="character" w:customStyle="1" w:styleId="26">
    <w:name w:val="page number"/>
    <w:qFormat/>
    <w:uiPriority w:val="0"/>
  </w:style>
  <w:style w:type="paragraph" w:customStyle="1" w:styleId="27">
    <w:name w:val="List Paragraph"/>
    <w:basedOn w:val="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28">
    <w:name w:val="font21"/>
    <w:basedOn w:val="19"/>
    <w:qFormat/>
    <w:uiPriority w:val="0"/>
    <w:rPr>
      <w:rFonts w:hint="eastAsia" w:ascii="宋体" w:hAnsi="宋体" w:eastAsia="宋体" w:cs="宋体"/>
      <w:color w:val="000000"/>
      <w:sz w:val="20"/>
      <w:szCs w:val="20"/>
      <w:u w:val="none"/>
    </w:rPr>
  </w:style>
  <w:style w:type="paragraph" w:customStyle="1"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30">
    <w:name w:val="Body Text Indent"/>
    <w:basedOn w:val="1"/>
    <w:qFormat/>
    <w:uiPriority w:val="0"/>
    <w:pPr>
      <w:ind w:firstLine="600"/>
    </w:pPr>
    <w:rPr>
      <w:rFonts w:hint="default" w:ascii="Times New Roman" w:hAnsi="Times New Roman" w:eastAsia="楷体_GB2312"/>
      <w:sz w:val="30"/>
      <w:szCs w:val="24"/>
    </w:rPr>
  </w:style>
  <w:style w:type="paragraph" w:customStyle="1" w:styleId="31">
    <w:name w:val="标题1"/>
    <w:qFormat/>
    <w:uiPriority w:val="0"/>
    <w:pPr>
      <w:spacing w:after="312" w:afterLines="100"/>
      <w:jc w:val="center"/>
    </w:pPr>
    <w:rPr>
      <w:rFonts w:ascii="黑体" w:hAnsi="Times New Roman" w:eastAsia="黑体" w:cs="Times New Roman"/>
      <w:sz w:val="33"/>
      <w:szCs w:val="22"/>
      <w:lang w:val="en-US" w:eastAsia="zh-CN" w:bidi="ar-SA"/>
    </w:rPr>
  </w:style>
  <w:style w:type="character" w:customStyle="1" w:styleId="32">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2" Type="http://schemas.microsoft.com/office/2011/relationships/people" Target="people.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20.wmf"/><Relationship Id="rId58" Type="http://schemas.openxmlformats.org/officeDocument/2006/relationships/oleObject" Target="embeddings/oleObject32.bin"/><Relationship Id="rId57" Type="http://schemas.openxmlformats.org/officeDocument/2006/relationships/image" Target="media/image19.wmf"/><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image" Target="media/image18.wmf"/><Relationship Id="rId53" Type="http://schemas.openxmlformats.org/officeDocument/2006/relationships/oleObject" Target="embeddings/oleObject29.bin"/><Relationship Id="rId52" Type="http://schemas.openxmlformats.org/officeDocument/2006/relationships/image" Target="media/image17.wmf"/><Relationship Id="rId51" Type="http://schemas.openxmlformats.org/officeDocument/2006/relationships/oleObject" Target="embeddings/oleObject28.bin"/><Relationship Id="rId50" Type="http://schemas.openxmlformats.org/officeDocument/2006/relationships/oleObject" Target="embeddings/oleObject27.bin"/><Relationship Id="rId5" Type="http://schemas.openxmlformats.org/officeDocument/2006/relationships/footer" Target="footer1.xml"/><Relationship Id="rId49" Type="http://schemas.openxmlformats.org/officeDocument/2006/relationships/image" Target="media/image16.wmf"/><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image" Target="media/image15.wmf"/><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microsoft.com/office/2011/relationships/commentsExtended" Target="commentsExtended.xml"/><Relationship Id="rId39" Type="http://schemas.openxmlformats.org/officeDocument/2006/relationships/image" Target="media/image14.wmf"/><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3.wmf"/><Relationship Id="rId35" Type="http://schemas.openxmlformats.org/officeDocument/2006/relationships/oleObject" Target="embeddings/oleObject16.bin"/><Relationship Id="rId34" Type="http://schemas.openxmlformats.org/officeDocument/2006/relationships/image" Target="media/image12.wmf"/><Relationship Id="rId33" Type="http://schemas.openxmlformats.org/officeDocument/2006/relationships/oleObject" Target="embeddings/oleObject15.bin"/><Relationship Id="rId32" Type="http://schemas.openxmlformats.org/officeDocument/2006/relationships/image" Target="media/image11.wmf"/><Relationship Id="rId31" Type="http://schemas.openxmlformats.org/officeDocument/2006/relationships/oleObject" Target="embeddings/oleObject14.bin"/><Relationship Id="rId30" Type="http://schemas.openxmlformats.org/officeDocument/2006/relationships/image" Target="media/image10.wmf"/><Relationship Id="rId3" Type="http://schemas.openxmlformats.org/officeDocument/2006/relationships/comments" Target="comment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image" Target="media/image9.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186</Pages>
  <Words>104041</Words>
  <Characters>115800</Characters>
  <Lines>0</Lines>
  <Paragraphs>0</Paragraphs>
  <TotalTime>1</TotalTime>
  <ScaleCrop>false</ScaleCrop>
  <LinksUpToDate>false</LinksUpToDate>
  <CharactersWithSpaces>125291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2019-09-29T16:49:00Z</dcterms:created>
  <dc:creator>lenovo</dc:creator>
  <cp:lastModifiedBy>WPS_1689322372</cp:lastModifiedBy>
  <cp:lastPrinted>2023-07-03T11:22:00Z</cp:lastPrinted>
  <dcterms:modified xsi:type="dcterms:W3CDTF">2023-09-07T01:22:22Z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81EF3F2DD0264D4F86EE9E7405E3543D_13</vt:lpwstr>
  </property>
</Properties>
</file>