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u w:val="none"/>
          <w:lang w:val="en-US" w:eastAsia="zh-CN"/>
        </w:rPr>
        <w:t>应急管理局2022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年度行政许可案件统计表</w:t>
      </w:r>
    </w:p>
    <w:tbl>
      <w:tblPr>
        <w:tblStyle w:val="4"/>
        <w:tblW w:w="12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910"/>
        <w:gridCol w:w="2310"/>
        <w:gridCol w:w="1730"/>
        <w:gridCol w:w="1010"/>
        <w:gridCol w:w="3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文书名称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文书号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涉企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行政相对人名称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（企业名称）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〔2022〕001号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南阳市保顺燃气有限公司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〔2022〕002号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河南省引领仪器设备有限公司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〔2022〕003号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南阳市同康达医化有限公司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〔2022〕004号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河南千里马新能源有限公司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〔2022〕005号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南阳市昊武光学清洗有限公司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〔2022〕006号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南阳市久晟物资有限公司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〔2022〕007号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2022/07/15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南阳鸿千能源销售有限公司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〔2022〕008号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2022/08/07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南阳市海恩石油有限公司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〔2022〕009号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2022/08/07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南阳市德联胜商贸有限公司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〔2022〕010号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2022/08/18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南阳市博亚精细化工有限公司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〔2022〕012号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2022/08/19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南阳市昊通化工有限公司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〔2022〕013号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2022/08/19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南阳市恒亿物资有限公司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〔2022〕014号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2022/08/19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南阳中弘化工有限公司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〔2022〕015号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2022/09/15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南阳市一心化工有限公司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〔2022〕016号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2022/10/10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南阳市星宇化工产品有限公司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〔2022〕017号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2022/10/11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南阳市大林化工有限公司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〔2022〕018号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2022/10/24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南阳圣火新能源科技有限公司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〔2022〕019号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2022/10/24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南阳市福临化工经销有限责任公司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〔2022〕020号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2022/10/24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南阳市达旺化工产品有限公司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〔2022〕021号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2022/10/26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河南省奥舒石化有限公司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〔2022〕022号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2022/11/03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南阳中绿能源技术有限公司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〔2022〕023号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2022/11/03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南阳市晨晓物资有限公司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〔2022〕024号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2022/11/03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河南冠发科技发展有限公司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〔2022〕025号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2022/11/03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南阳星链新能源科技有限公司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〔2022〕026号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2022/12/20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中腾新能源（南阳）有限公司）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〔2022〕027号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2022/12/29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河南中通能源有限公司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〔2022〕028号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2022/12/15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南阳市新宇星化工有限责任公司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〔2022〕029号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2022/12/29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河南辉鼎供应链管理有限公司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危险化学品经营许可证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宛龙危化经字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〔2022〕030号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2022/12/29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河南省卓丰新能源有限公司</w:t>
            </w:r>
          </w:p>
        </w:tc>
      </w:tr>
    </w:tbl>
    <w:p>
      <w:pPr>
        <w:ind w:firstLine="876" w:firstLineChars="300"/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单位：卧龙区应急管理局                                  日期：2023年1月3日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A2NjA1NThkNzczOWVmOTEyZWQ3NDExZGE2YTIifQ=="/>
  </w:docVars>
  <w:rsids>
    <w:rsidRoot w:val="2D2C6492"/>
    <w:rsid w:val="2D2C6492"/>
    <w:rsid w:val="6FE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2023-03-30T03:39:00Z</dcterms:created>
  <dc:creator>木棉</dc:creator>
  <cp:lastModifiedBy>木棉</cp:lastModifiedBy>
  <dcterms:modified xsi:type="dcterms:W3CDTF">2023-03-30T03:41:56Z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897C3996F14F40BC9BEAE9EA27790912_11</vt:lpwstr>
  </property>
</Properties>
</file>