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bookmarkStart w:id="0" w:name="_GoBack"/>
      <w:bookmarkEnd w:id="0"/>
    </w:p>
    <w:p>
      <w:pPr>
        <w:jc w:val="center"/>
        <w:rPr>
          <w:rFonts w:ascii="方正小标宋简体" w:hAnsi="方正小标宋简体" w:eastAsia="方正小标宋简体" w:cs="方正小标宋简体"/>
          <w:sz w:val="52"/>
          <w:szCs w:val="52"/>
        </w:rPr>
      </w:pPr>
    </w:p>
    <w:p>
      <w:pPr>
        <w:jc w:val="center"/>
        <w:rPr>
          <w:rFonts w:hint="eastAsia" w:ascii="隶书" w:hAnsi="隶书" w:eastAsia="隶书" w:cs="隶书"/>
          <w:sz w:val="52"/>
          <w:szCs w:val="52"/>
        </w:rPr>
      </w:pPr>
      <w:r>
        <w:rPr>
          <w:rFonts w:hint="eastAsia" w:ascii="隶书" w:hAnsi="隶书" w:eastAsia="隶书" w:cs="隶书"/>
          <w:sz w:val="52"/>
          <w:szCs w:val="52"/>
        </w:rPr>
        <w:t>卧龙区道路运输管理局</w:t>
      </w: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52"/>
          <w:szCs w:val="52"/>
        </w:rPr>
        <w:t>2017年度部门决算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卧龙区道路运输管理局概况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卧龙区道路运输管理局2017年度部门决算表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卧龙区道路运输管理局2017年度部门决算情况说明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卧龙区道路运输管理局概况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主要职责</w:t>
      </w:r>
    </w:p>
    <w:p>
      <w:pPr>
        <w:spacing w:line="360" w:lineRule="auto"/>
        <w:jc w:val="left"/>
        <w:outlineLvl w:val="1"/>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维护卧龙区道路运输市场秩序，保护道路运输有关各方当事人的合法权益，促进道路运输业的健康发展，落实国家道路运输法律、法规，培育和发展运输市场，负责管理公路运输行业和汽车维修行业。</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纳入卧龙区</w:t>
      </w:r>
      <w:r>
        <w:rPr>
          <w:rFonts w:hint="eastAsia" w:ascii="仿宋_GB2312" w:hAnsi="仿宋_GB2312" w:eastAsia="仿宋_GB2312" w:cs="仿宋_GB2312"/>
          <w:sz w:val="32"/>
          <w:szCs w:val="32"/>
          <w:lang w:eastAsia="zh-CN"/>
        </w:rPr>
        <w:t>道路</w:t>
      </w:r>
      <w:r>
        <w:rPr>
          <w:rFonts w:hint="eastAsia" w:ascii="仿宋_GB2312" w:hAnsi="仿宋_GB2312" w:eastAsia="仿宋_GB2312" w:cs="仿宋_GB2312"/>
          <w:sz w:val="32"/>
          <w:szCs w:val="32"/>
        </w:rPr>
        <w:t>运输管理局2017年度部门决算编制范围的单位只包括卧龙区</w:t>
      </w:r>
      <w:r>
        <w:rPr>
          <w:rFonts w:hint="eastAsia" w:ascii="仿宋_GB2312" w:hAnsi="仿宋_GB2312" w:eastAsia="仿宋_GB2312" w:cs="仿宋_GB2312"/>
          <w:sz w:val="32"/>
          <w:szCs w:val="32"/>
          <w:lang w:eastAsia="zh-CN"/>
        </w:rPr>
        <w:t>道路运输管理局</w:t>
      </w:r>
      <w:r>
        <w:rPr>
          <w:rFonts w:hint="eastAsia" w:ascii="仿宋_GB2312" w:hAnsi="仿宋_GB2312" w:eastAsia="仿宋_GB2312" w:cs="仿宋_GB2312"/>
          <w:sz w:val="32"/>
          <w:szCs w:val="32"/>
        </w:rPr>
        <w:t>本级。</w:t>
      </w:r>
    </w:p>
    <w:p>
      <w:pPr>
        <w:spacing w:line="360" w:lineRule="auto"/>
        <w:jc w:val="left"/>
        <w:rPr>
          <w:rFonts w:ascii="楷体_GB2312" w:hAnsi="楷体_GB2312" w:eastAsia="楷体_GB2312" w:cs="楷体_GB2312"/>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 xml:space="preserve">  卧龙区道路运输管理局2017年度部门决算表</w:t>
      </w:r>
    </w:p>
    <w:tbl>
      <w:tblPr>
        <w:tblStyle w:val="4"/>
        <w:tblW w:w="10350" w:type="dxa"/>
        <w:tblInd w:w="-1040"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CellMar>
            <w:top w:w="15" w:type="dxa"/>
            <w:left w:w="15" w:type="dxa"/>
            <w:bottom w:w="15" w:type="dxa"/>
            <w:right w:w="15" w:type="dxa"/>
          </w:tblCellMar>
        </w:tblPrEx>
        <w:trPr>
          <w:trHeight w:val="375" w:hRule="atLeast"/>
        </w:trPr>
        <w:tc>
          <w:tcPr>
            <w:tcW w:w="10350" w:type="dxa"/>
            <w:gridSpan w:val="10"/>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15" w:type="dxa"/>
            <w:left w:w="15" w:type="dxa"/>
            <w:bottom w:w="15" w:type="dxa"/>
            <w:right w:w="15" w:type="dxa"/>
          </w:tblCellMar>
        </w:tblPrEx>
        <w:trPr>
          <w:trHeight w:val="315" w:hRule="atLeast"/>
        </w:trPr>
        <w:tc>
          <w:tcPr>
            <w:tcW w:w="3282" w:type="dxa"/>
            <w:gridSpan w:val="3"/>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472" w:type="dxa"/>
            <w:shd w:val="clear" w:color="auto" w:fill="auto"/>
            <w:vAlign w:val="center"/>
          </w:tcPr>
          <w:p>
            <w:pPr>
              <w:rPr>
                <w:rFonts w:ascii="宋体" w:hAnsi="宋体" w:eastAsia="宋体" w:cs="宋体"/>
                <w:color w:val="000000"/>
                <w:sz w:val="16"/>
                <w:szCs w:val="16"/>
              </w:rPr>
            </w:pPr>
          </w:p>
        </w:tc>
        <w:tc>
          <w:tcPr>
            <w:tcW w:w="1316" w:type="dxa"/>
            <w:shd w:val="clear" w:color="auto" w:fill="auto"/>
            <w:vAlign w:val="center"/>
          </w:tcPr>
          <w:p>
            <w:pPr>
              <w:rPr>
                <w:rFonts w:ascii="宋体" w:hAnsi="宋体" w:eastAsia="宋体" w:cs="宋体"/>
                <w:color w:val="000000"/>
                <w:sz w:val="16"/>
                <w:szCs w:val="16"/>
              </w:rPr>
            </w:pPr>
          </w:p>
        </w:tc>
        <w:tc>
          <w:tcPr>
            <w:tcW w:w="3144" w:type="dxa"/>
            <w:gridSpan w:val="3"/>
            <w:shd w:val="clear" w:color="auto" w:fill="auto"/>
            <w:vAlign w:val="center"/>
          </w:tcPr>
          <w:p>
            <w:pPr>
              <w:rPr>
                <w:rFonts w:ascii="宋体" w:hAnsi="宋体" w:eastAsia="宋体" w:cs="宋体"/>
                <w:color w:val="000000"/>
                <w:sz w:val="16"/>
                <w:szCs w:val="16"/>
              </w:rPr>
            </w:pPr>
          </w:p>
        </w:tc>
        <w:tc>
          <w:tcPr>
            <w:tcW w:w="527" w:type="dxa"/>
            <w:shd w:val="clear" w:color="auto" w:fill="auto"/>
            <w:vAlign w:val="center"/>
          </w:tcPr>
          <w:p>
            <w:pPr>
              <w:rPr>
                <w:rFonts w:ascii="宋体" w:hAnsi="宋体" w:eastAsia="宋体" w:cs="宋体"/>
                <w:color w:val="000000"/>
                <w:sz w:val="16"/>
                <w:szCs w:val="16"/>
              </w:rPr>
            </w:pPr>
          </w:p>
        </w:tc>
        <w:tc>
          <w:tcPr>
            <w:tcW w:w="1609"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ascii="宋体" w:hAnsi="宋体" w:eastAsia="宋体" w:cs="宋体"/>
                <w:color w:val="000000"/>
                <w:sz w:val="16"/>
                <w:szCs w:val="16"/>
              </w:rPr>
            </w:pPr>
          </w:p>
        </w:tc>
        <w:tc>
          <w:tcPr>
            <w:tcW w:w="472" w:type="dxa"/>
            <w:shd w:val="clear" w:color="auto" w:fill="auto"/>
            <w:vAlign w:val="center"/>
          </w:tcPr>
          <w:p>
            <w:pPr>
              <w:rPr>
                <w:rFonts w:ascii="宋体" w:hAnsi="宋体" w:eastAsia="宋体" w:cs="宋体"/>
                <w:color w:val="000000"/>
                <w:sz w:val="16"/>
                <w:szCs w:val="16"/>
              </w:rPr>
            </w:pPr>
          </w:p>
        </w:tc>
        <w:tc>
          <w:tcPr>
            <w:tcW w:w="1316" w:type="dxa"/>
            <w:shd w:val="clear" w:color="auto" w:fill="auto"/>
            <w:vAlign w:val="center"/>
          </w:tcPr>
          <w:p>
            <w:pPr>
              <w:rPr>
                <w:rFonts w:ascii="宋体" w:hAnsi="宋体" w:eastAsia="宋体" w:cs="宋体"/>
                <w:color w:val="000000"/>
                <w:sz w:val="16"/>
                <w:szCs w:val="16"/>
              </w:rPr>
            </w:pPr>
          </w:p>
        </w:tc>
        <w:tc>
          <w:tcPr>
            <w:tcW w:w="3144" w:type="dxa"/>
            <w:gridSpan w:val="3"/>
            <w:shd w:val="clear" w:color="auto" w:fill="auto"/>
            <w:vAlign w:val="center"/>
          </w:tcPr>
          <w:p>
            <w:pPr>
              <w:rPr>
                <w:rFonts w:ascii="宋体" w:hAnsi="宋体" w:eastAsia="宋体" w:cs="宋体"/>
                <w:color w:val="000000"/>
                <w:sz w:val="16"/>
                <w:szCs w:val="16"/>
              </w:rPr>
            </w:pPr>
          </w:p>
        </w:tc>
        <w:tc>
          <w:tcPr>
            <w:tcW w:w="527" w:type="dxa"/>
            <w:shd w:val="clear" w:color="auto" w:fill="auto"/>
            <w:vAlign w:val="center"/>
          </w:tcPr>
          <w:p>
            <w:pPr>
              <w:rPr>
                <w:rFonts w:ascii="宋体" w:hAnsi="宋体" w:eastAsia="宋体" w:cs="宋体"/>
                <w:color w:val="000000"/>
                <w:sz w:val="16"/>
                <w:szCs w:val="16"/>
              </w:rPr>
            </w:pPr>
          </w:p>
        </w:tc>
        <w:tc>
          <w:tcPr>
            <w:tcW w:w="1609"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1,514.45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185.00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0.68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1,740.74</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1,700.13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1,755.74</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57.50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1.89</w:t>
            </w:r>
          </w:p>
        </w:tc>
      </w:tr>
      <w:tr>
        <w:tblPrEx>
          <w:tblCellMar>
            <w:top w:w="15" w:type="dxa"/>
            <w:left w:w="15" w:type="dxa"/>
            <w:bottom w:w="15" w:type="dxa"/>
            <w:right w:w="15" w:type="dxa"/>
          </w:tblCellMar>
        </w:tblPrEx>
        <w:trPr>
          <w:trHeight w:val="9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1,757.63</w:t>
            </w: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1,757.63</w:t>
            </w:r>
          </w:p>
        </w:tc>
      </w:tr>
      <w:tr>
        <w:tblPrEx>
          <w:tblCellMar>
            <w:top w:w="15" w:type="dxa"/>
            <w:left w:w="15" w:type="dxa"/>
            <w:bottom w:w="15" w:type="dxa"/>
            <w:right w:w="15" w:type="dxa"/>
          </w:tblCellMar>
        </w:tblPrEx>
        <w:trPr>
          <w:trHeight w:val="555" w:hRule="atLeast"/>
        </w:trPr>
        <w:tc>
          <w:tcPr>
            <w:tcW w:w="10350" w:type="dxa"/>
            <w:gridSpan w:val="10"/>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4"/>
        <w:tblW w:w="10337" w:type="dxa"/>
        <w:tblInd w:w="-827" w:type="dxa"/>
        <w:tblLayout w:type="fixed"/>
        <w:tblCellMar>
          <w:top w:w="15" w:type="dxa"/>
          <w:left w:w="15" w:type="dxa"/>
          <w:bottom w:w="15" w:type="dxa"/>
          <w:right w:w="15" w:type="dxa"/>
        </w:tblCellMar>
      </w:tblPr>
      <w:tblGrid>
        <w:gridCol w:w="675"/>
        <w:gridCol w:w="291"/>
        <w:gridCol w:w="671"/>
        <w:gridCol w:w="1036"/>
        <w:gridCol w:w="1094"/>
        <w:gridCol w:w="810"/>
        <w:gridCol w:w="284"/>
        <w:gridCol w:w="676"/>
        <w:gridCol w:w="418"/>
        <w:gridCol w:w="542"/>
        <w:gridCol w:w="552"/>
        <w:gridCol w:w="408"/>
        <w:gridCol w:w="686"/>
        <w:gridCol w:w="274"/>
        <w:gridCol w:w="820"/>
        <w:gridCol w:w="140"/>
        <w:gridCol w:w="960"/>
      </w:tblGrid>
      <w:tr>
        <w:tblPrEx>
          <w:tblCellMar>
            <w:top w:w="15" w:type="dxa"/>
            <w:left w:w="15" w:type="dxa"/>
            <w:bottom w:w="15" w:type="dxa"/>
            <w:right w:w="15" w:type="dxa"/>
          </w:tblCellMar>
        </w:tblPrEx>
        <w:trPr>
          <w:trHeight w:val="375" w:hRule="atLeast"/>
        </w:trPr>
        <w:tc>
          <w:tcPr>
            <w:tcW w:w="10337" w:type="dxa"/>
            <w:gridSpan w:val="17"/>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CellMar>
            <w:top w:w="15" w:type="dxa"/>
            <w:left w:w="15" w:type="dxa"/>
            <w:bottom w:w="15" w:type="dxa"/>
            <w:right w:w="15" w:type="dxa"/>
          </w:tblCellMar>
        </w:tblPrEx>
        <w:trPr>
          <w:trHeight w:val="285" w:hRule="atLeast"/>
        </w:trPr>
        <w:tc>
          <w:tcPr>
            <w:tcW w:w="1637" w:type="dxa"/>
            <w:gridSpan w:val="3"/>
            <w:shd w:val="clear" w:color="auto" w:fill="auto"/>
            <w:vAlign w:val="center"/>
          </w:tcPr>
          <w:p>
            <w:pPr>
              <w:rPr>
                <w:rFonts w:ascii="宋体" w:hAnsi="宋体" w:eastAsia="宋体" w:cs="宋体"/>
                <w:color w:val="000000"/>
                <w:sz w:val="16"/>
                <w:szCs w:val="16"/>
              </w:rPr>
            </w:pPr>
          </w:p>
        </w:tc>
        <w:tc>
          <w:tcPr>
            <w:tcW w:w="1036" w:type="dxa"/>
            <w:shd w:val="clear" w:color="auto" w:fill="auto"/>
            <w:vAlign w:val="center"/>
          </w:tcPr>
          <w:p>
            <w:pPr>
              <w:rPr>
                <w:rFonts w:ascii="宋体" w:hAnsi="宋体" w:eastAsia="宋体" w:cs="宋体"/>
                <w:color w:val="000000"/>
                <w:sz w:val="16"/>
                <w:szCs w:val="16"/>
              </w:rPr>
            </w:pPr>
          </w:p>
        </w:tc>
        <w:tc>
          <w:tcPr>
            <w:tcW w:w="1904"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tblPrEx>
          <w:tblCellMar>
            <w:top w:w="15" w:type="dxa"/>
            <w:left w:w="15" w:type="dxa"/>
            <w:bottom w:w="15" w:type="dxa"/>
            <w:right w:w="15" w:type="dxa"/>
          </w:tblCellMar>
        </w:tblPrEx>
        <w:trPr>
          <w:trHeight w:val="270" w:hRule="atLeast"/>
        </w:trPr>
        <w:tc>
          <w:tcPr>
            <w:tcW w:w="1637" w:type="dxa"/>
            <w:gridSpan w:val="3"/>
            <w:shd w:val="clear" w:color="auto" w:fill="auto"/>
            <w:vAlign w:val="center"/>
          </w:tcPr>
          <w:p>
            <w:pPr>
              <w:rPr>
                <w:rFonts w:ascii="宋体" w:hAnsi="宋体" w:eastAsia="宋体" w:cs="宋体"/>
                <w:color w:val="000000"/>
                <w:sz w:val="16"/>
                <w:szCs w:val="16"/>
              </w:rPr>
            </w:pPr>
          </w:p>
        </w:tc>
        <w:tc>
          <w:tcPr>
            <w:tcW w:w="1036" w:type="dxa"/>
            <w:shd w:val="clear" w:color="auto" w:fill="auto"/>
            <w:vAlign w:val="center"/>
          </w:tcPr>
          <w:p>
            <w:pPr>
              <w:rPr>
                <w:rFonts w:ascii="宋体" w:hAnsi="宋体" w:eastAsia="宋体" w:cs="宋体"/>
                <w:color w:val="000000"/>
                <w:sz w:val="16"/>
                <w:szCs w:val="16"/>
              </w:rPr>
            </w:pPr>
          </w:p>
        </w:tc>
        <w:tc>
          <w:tcPr>
            <w:tcW w:w="1904"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2673"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09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附属单位</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其他收入</w:t>
            </w:r>
          </w:p>
        </w:tc>
      </w:tr>
      <w:tr>
        <w:tblPrEx>
          <w:tblCellMar>
            <w:top w:w="15" w:type="dxa"/>
            <w:left w:w="15" w:type="dxa"/>
            <w:bottom w:w="15" w:type="dxa"/>
            <w:right w:w="15" w:type="dxa"/>
          </w:tblCellMar>
        </w:tblPrEx>
        <w:trPr>
          <w:trHeight w:val="420" w:hRule="atLeast"/>
        </w:trPr>
        <w:tc>
          <w:tcPr>
            <w:tcW w:w="966"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功能分类</w:t>
            </w:r>
          </w:p>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285" w:hRule="atLeast"/>
        </w:trPr>
        <w:tc>
          <w:tcPr>
            <w:tcW w:w="2673"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r>
      <w:tr>
        <w:tblPrEx>
          <w:tblCellMar>
            <w:top w:w="15" w:type="dxa"/>
            <w:left w:w="15" w:type="dxa"/>
            <w:bottom w:w="15" w:type="dxa"/>
            <w:right w:w="15" w:type="dxa"/>
          </w:tblCellMar>
        </w:tblPrEx>
        <w:trPr>
          <w:trHeight w:val="285" w:hRule="atLeast"/>
        </w:trPr>
        <w:tc>
          <w:tcPr>
            <w:tcW w:w="2673"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1,700.13</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1,514.45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185.00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0.68</w:t>
            </w:r>
          </w:p>
        </w:tc>
      </w:tr>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20199</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其他一般公共服务支出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2019999</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其他一般公共服务支出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交通运输支出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1,685.13</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1,499.45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185.00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0.68</w:t>
            </w:r>
          </w:p>
        </w:tc>
      </w:tr>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21401</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公路水路运输</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1,359.81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1,359.81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2140101</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行政运行</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1,359.81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1,359.81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9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998"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10337" w:type="dxa"/>
            <w:gridSpan w:val="1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docGrid w:type="lines" w:linePitch="317" w:charSpace="0"/>
        </w:sectPr>
      </w:pPr>
    </w:p>
    <w:tbl>
      <w:tblPr>
        <w:tblStyle w:val="4"/>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CellMar>
            <w:top w:w="15" w:type="dxa"/>
            <w:left w:w="15" w:type="dxa"/>
            <w:bottom w:w="15" w:type="dxa"/>
            <w:right w:w="15" w:type="dxa"/>
          </w:tblCellMar>
        </w:tblPrEx>
        <w:trPr>
          <w:trHeight w:val="375" w:hRule="atLeast"/>
        </w:trPr>
        <w:tc>
          <w:tcPr>
            <w:tcW w:w="10350" w:type="dxa"/>
            <w:gridSpan w:val="14"/>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对附属单位</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功能分类</w:t>
            </w:r>
          </w:p>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1,755.74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1,755.74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0.00</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20199</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2019999</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交通运输支出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1,740.74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1,740.74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公路水路运输</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1,357.92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1,357.92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2140101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1,357.92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1,357.92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60" w:hRule="atLeast"/>
        </w:trPr>
        <w:tc>
          <w:tcPr>
            <w:tcW w:w="10350"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docGrid w:type="lines" w:linePitch="318" w:charSpace="0"/>
        </w:sectPr>
      </w:pPr>
    </w:p>
    <w:tbl>
      <w:tblPr>
        <w:tblStyle w:val="4"/>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CellMar>
            <w:top w:w="15" w:type="dxa"/>
            <w:left w:w="15" w:type="dxa"/>
            <w:bottom w:w="15" w:type="dxa"/>
            <w:right w:w="15" w:type="dxa"/>
          </w:tblCellMar>
        </w:tblPrEx>
        <w:trPr>
          <w:trHeight w:val="169" w:hRule="atLeast"/>
        </w:trPr>
        <w:tc>
          <w:tcPr>
            <w:tcW w:w="10425" w:type="dxa"/>
            <w:gridSpan w:val="14"/>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CellMar>
            <w:top w:w="15" w:type="dxa"/>
            <w:left w:w="15" w:type="dxa"/>
            <w:bottom w:w="15" w:type="dxa"/>
            <w:right w:w="15" w:type="dxa"/>
          </w:tblCellMar>
        </w:tblPrEx>
        <w:trPr>
          <w:trHeight w:val="107"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CellMar>
            <w:top w:w="15" w:type="dxa"/>
            <w:left w:w="15" w:type="dxa"/>
            <w:bottom w:w="15" w:type="dxa"/>
            <w:right w:w="15" w:type="dxa"/>
          </w:tblCellMar>
        </w:tblPrEx>
        <w:trPr>
          <w:trHeight w:val="90"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1,514.45</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1,497.56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1,497.56</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1,514.45</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1,512.56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1,512.56</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1.89</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1,514.45</w:t>
            </w:r>
          </w:p>
        </w:tc>
        <w:tc>
          <w:tcPr>
            <w:tcW w:w="208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1,514.45</w:t>
            </w:r>
          </w:p>
        </w:tc>
        <w:tc>
          <w:tcPr>
            <w:tcW w:w="130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1,514.45</w:t>
            </w:r>
          </w:p>
        </w:tc>
        <w:tc>
          <w:tcPr>
            <w:tcW w:w="13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495" w:hRule="atLeast"/>
        </w:trPr>
        <w:tc>
          <w:tcPr>
            <w:tcW w:w="10425"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4"/>
        <w:tblW w:w="1050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gridCol w:w="60"/>
      </w:tblGrid>
      <w:tr>
        <w:tblPrEx>
          <w:tblCellMar>
            <w:top w:w="15" w:type="dxa"/>
            <w:left w:w="15" w:type="dxa"/>
            <w:bottom w:w="15" w:type="dxa"/>
            <w:right w:w="15" w:type="dxa"/>
          </w:tblCellMar>
        </w:tblPrEx>
        <w:trPr>
          <w:gridAfter w:val="1"/>
          <w:wAfter w:w="60" w:type="dxa"/>
          <w:trHeight w:val="375" w:hRule="atLeast"/>
        </w:trPr>
        <w:tc>
          <w:tcPr>
            <w:tcW w:w="10440" w:type="dxa"/>
            <w:gridSpan w:val="8"/>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CellMar>
            <w:top w:w="15" w:type="dxa"/>
            <w:left w:w="15" w:type="dxa"/>
            <w:bottom w:w="15" w:type="dxa"/>
            <w:right w:w="15" w:type="dxa"/>
          </w:tblCellMar>
        </w:tblPrEx>
        <w:trPr>
          <w:gridAfter w:val="1"/>
          <w:wAfter w:w="60" w:type="dxa"/>
          <w:trHeight w:val="285" w:hRule="atLeast"/>
        </w:trPr>
        <w:tc>
          <w:tcPr>
            <w:tcW w:w="1891" w:type="dxa"/>
            <w:gridSpan w:val="2"/>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CellMar>
            <w:top w:w="15" w:type="dxa"/>
            <w:left w:w="15" w:type="dxa"/>
            <w:bottom w:w="15" w:type="dxa"/>
            <w:right w:w="15" w:type="dxa"/>
          </w:tblCellMar>
        </w:tblPrEx>
        <w:trPr>
          <w:gridAfter w:val="1"/>
          <w:wAfter w:w="60" w:type="dxa"/>
          <w:trHeight w:val="270" w:hRule="atLeast"/>
        </w:trPr>
        <w:tc>
          <w:tcPr>
            <w:tcW w:w="1891" w:type="dxa"/>
            <w:gridSpan w:val="2"/>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15" w:type="dxa"/>
            <w:left w:w="15" w:type="dxa"/>
            <w:bottom w:w="15" w:type="dxa"/>
            <w:right w:w="15" w:type="dxa"/>
          </w:tblCellMar>
        </w:tblPrEx>
        <w:trPr>
          <w:gridAfter w:val="1"/>
          <w:wAfter w:w="60" w:type="dxa"/>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CellMar>
            <w:top w:w="15" w:type="dxa"/>
            <w:left w:w="15" w:type="dxa"/>
            <w:bottom w:w="15" w:type="dxa"/>
            <w:right w:w="15" w:type="dxa"/>
          </w:tblCellMar>
        </w:tblPrEx>
        <w:trPr>
          <w:gridAfter w:val="1"/>
          <w:wAfter w:w="60" w:type="dxa"/>
          <w:trHeight w:val="6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功能分类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CellMar>
            <w:top w:w="15" w:type="dxa"/>
            <w:left w:w="15" w:type="dxa"/>
            <w:bottom w:w="15" w:type="dxa"/>
            <w:right w:w="15" w:type="dxa"/>
          </w:tblCellMar>
        </w:tblPrEx>
        <w:trPr>
          <w:gridAfter w:val="1"/>
          <w:wAfter w:w="60" w:type="dxa"/>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CellMar>
            <w:top w:w="15" w:type="dxa"/>
            <w:left w:w="15" w:type="dxa"/>
            <w:bottom w:w="15" w:type="dxa"/>
            <w:right w:w="15" w:type="dxa"/>
          </w:tblCellMar>
        </w:tblPrEx>
        <w:trPr>
          <w:gridAfter w:val="1"/>
          <w:wAfter w:w="60" w:type="dxa"/>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1,512.56</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1,512.56</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2019999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交通运输支出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1,497.56</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1,497.56</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公路水路运输</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1,357.92</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1,357.92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2140101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1,357.92</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1,357.92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21499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其他交通运输支出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139.64</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139.64</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2149999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其他交通运输支出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139.64</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139.64</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gridAfter w:val="1"/>
          <w:wAfter w:w="60" w:type="dxa"/>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gridAfter w:val="1"/>
          <w:wAfter w:w="60" w:type="dxa"/>
          <w:trHeight w:val="600" w:hRule="atLeast"/>
        </w:trPr>
        <w:tc>
          <w:tcPr>
            <w:tcW w:w="10440" w:type="dxa"/>
            <w:gridSpan w:val="8"/>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r>
        <w:tblPrEx>
          <w:tblCellMar>
            <w:top w:w="15" w:type="dxa"/>
            <w:left w:w="15" w:type="dxa"/>
            <w:bottom w:w="15" w:type="dxa"/>
            <w:right w:w="15" w:type="dxa"/>
          </w:tblCellMar>
        </w:tblPrEx>
        <w:trPr>
          <w:trHeight w:val="285" w:hRule="atLeast"/>
        </w:trPr>
        <w:tc>
          <w:tcPr>
            <w:tcW w:w="10500" w:type="dxa"/>
            <w:gridSpan w:val="9"/>
            <w:shd w:val="clear" w:color="auto" w:fill="auto"/>
            <w:vAlign w:val="center"/>
          </w:tcPr>
          <w:p>
            <w:pPr>
              <w:widowControl/>
              <w:jc w:val="left"/>
              <w:textAlignment w:val="center"/>
              <w:rPr>
                <w:rFonts w:ascii="宋体" w:hAnsi="宋体" w:eastAsia="宋体" w:cs="宋体"/>
                <w:b/>
                <w:color w:val="FF0000"/>
                <w:sz w:val="20"/>
                <w:szCs w:val="20"/>
              </w:rPr>
            </w:pP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4"/>
        <w:tblW w:w="10500" w:type="dxa"/>
        <w:tblInd w:w="-902" w:type="dxa"/>
        <w:tblLayout w:type="fixed"/>
        <w:tblCellMar>
          <w:top w:w="15" w:type="dxa"/>
          <w:left w:w="15" w:type="dxa"/>
          <w:bottom w:w="15" w:type="dxa"/>
          <w:right w:w="15" w:type="dxa"/>
        </w:tblCellMar>
      </w:tblPr>
      <w:tblGrid>
        <w:gridCol w:w="6"/>
        <w:gridCol w:w="715"/>
        <w:gridCol w:w="935"/>
        <w:gridCol w:w="1794"/>
        <w:gridCol w:w="1620"/>
        <w:gridCol w:w="754"/>
        <w:gridCol w:w="117"/>
        <w:gridCol w:w="1677"/>
        <w:gridCol w:w="1163"/>
        <w:gridCol w:w="1710"/>
        <w:gridCol w:w="9"/>
      </w:tblGrid>
      <w:tr>
        <w:tblPrEx>
          <w:tblCellMar>
            <w:top w:w="15" w:type="dxa"/>
            <w:left w:w="15" w:type="dxa"/>
            <w:bottom w:w="15" w:type="dxa"/>
            <w:right w:w="15" w:type="dxa"/>
          </w:tblCellMar>
        </w:tblPrEx>
        <w:trPr>
          <w:gridBefore w:val="1"/>
          <w:gridAfter w:val="1"/>
          <w:wBefore w:w="6" w:type="dxa"/>
          <w:wAfter w:w="9" w:type="dxa"/>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CellMar>
            <w:top w:w="15" w:type="dxa"/>
            <w:left w:w="15" w:type="dxa"/>
            <w:bottom w:w="15" w:type="dxa"/>
            <w:right w:w="15" w:type="dxa"/>
          </w:tblCellMar>
        </w:tblPrEx>
        <w:trPr>
          <w:gridBefore w:val="1"/>
          <w:gridAfter w:val="1"/>
          <w:wBefore w:w="6" w:type="dxa"/>
          <w:wAfter w:w="9" w:type="dxa"/>
          <w:trHeight w:val="285"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CellMar>
            <w:top w:w="15" w:type="dxa"/>
            <w:left w:w="15" w:type="dxa"/>
            <w:bottom w:w="15" w:type="dxa"/>
            <w:right w:w="15" w:type="dxa"/>
          </w:tblCellMar>
        </w:tblPrEx>
        <w:trPr>
          <w:gridBefore w:val="1"/>
          <w:gridAfter w:val="1"/>
          <w:wBefore w:w="6" w:type="dxa"/>
          <w:wAfter w:w="9" w:type="dxa"/>
          <w:trHeight w:val="270"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CellMar>
            <w:top w:w="15" w:type="dxa"/>
            <w:left w:w="15" w:type="dxa"/>
            <w:bottom w:w="15" w:type="dxa"/>
            <w:right w:w="15" w:type="dxa"/>
          </w:tblCellMar>
        </w:tblPrEx>
        <w:trPr>
          <w:gridBefore w:val="1"/>
          <w:gridAfter w:val="1"/>
          <w:wBefore w:w="6" w:type="dxa"/>
          <w:wAfter w:w="9" w:type="dxa"/>
          <w:trHeight w:val="6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1,367.29</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18.84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688.72</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4.06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263.17</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0.10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241.22</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29.66</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0.16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3.74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144.51</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126.43</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0.30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25.80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7.99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1.24</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0.07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0.38</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40.95</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0.19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58.05</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2.24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gridBefore w:val="1"/>
          <w:gridAfter w:val="1"/>
          <w:wBefore w:w="6" w:type="dxa"/>
          <w:wAfter w:w="9" w:type="dxa"/>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r>
        <w:tblPrEx>
          <w:tblCellMar>
            <w:top w:w="15" w:type="dxa"/>
            <w:left w:w="15" w:type="dxa"/>
            <w:bottom w:w="15" w:type="dxa"/>
            <w:right w:w="15" w:type="dxa"/>
          </w:tblCellMar>
        </w:tblPrEx>
        <w:trPr>
          <w:trHeight w:val="285" w:hRule="atLeast"/>
        </w:trPr>
        <w:tc>
          <w:tcPr>
            <w:tcW w:w="10500" w:type="dxa"/>
            <w:gridSpan w:val="11"/>
            <w:shd w:val="clear" w:color="auto" w:fill="auto"/>
            <w:vAlign w:val="center"/>
          </w:tcPr>
          <w:p>
            <w:pPr>
              <w:widowControl/>
              <w:jc w:val="left"/>
              <w:textAlignment w:val="center"/>
              <w:rPr>
                <w:rFonts w:ascii="宋体" w:hAnsi="宋体" w:eastAsia="宋体" w:cs="宋体"/>
                <w:b/>
                <w:color w:val="FF0000"/>
                <w:sz w:val="20"/>
                <w:szCs w:val="20"/>
              </w:rPr>
            </w:pP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4"/>
        <w:tblW w:w="10509" w:type="dxa"/>
        <w:tblInd w:w="-911"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gridCol w:w="24"/>
      </w:tblGrid>
      <w:tr>
        <w:tblPrEx>
          <w:tblCellMar>
            <w:top w:w="15" w:type="dxa"/>
            <w:left w:w="15" w:type="dxa"/>
            <w:bottom w:w="15" w:type="dxa"/>
            <w:right w:w="15" w:type="dxa"/>
          </w:tblCellMar>
        </w:tblPrEx>
        <w:trPr>
          <w:gridAfter w:val="1"/>
          <w:wAfter w:w="24" w:type="dxa"/>
          <w:trHeight w:val="375" w:hRule="atLeast"/>
        </w:trPr>
        <w:tc>
          <w:tcPr>
            <w:tcW w:w="10485" w:type="dxa"/>
            <w:gridSpan w:val="2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CellMar>
            <w:top w:w="15" w:type="dxa"/>
            <w:left w:w="15" w:type="dxa"/>
            <w:bottom w:w="15" w:type="dxa"/>
            <w:right w:w="15" w:type="dxa"/>
          </w:tblCellMar>
        </w:tblPrEx>
        <w:trPr>
          <w:gridAfter w:val="1"/>
          <w:wAfter w:w="24" w:type="dxa"/>
          <w:trHeight w:val="285" w:hRule="atLeast"/>
        </w:trPr>
        <w:tc>
          <w:tcPr>
            <w:tcW w:w="1783" w:type="dxa"/>
            <w:gridSpan w:val="2"/>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29"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29" w:type="dxa"/>
            <w:shd w:val="clear" w:color="auto" w:fill="auto"/>
            <w:vAlign w:val="center"/>
          </w:tcPr>
          <w:p>
            <w:pPr>
              <w:rPr>
                <w:rFonts w:ascii="宋体" w:hAnsi="宋体" w:eastAsia="宋体" w:cs="宋体"/>
                <w:color w:val="000000"/>
                <w:sz w:val="16"/>
                <w:szCs w:val="16"/>
              </w:rPr>
            </w:pPr>
          </w:p>
        </w:tc>
        <w:tc>
          <w:tcPr>
            <w:tcW w:w="992" w:type="dxa"/>
            <w:gridSpan w:val="2"/>
            <w:shd w:val="clear" w:color="auto" w:fill="auto"/>
            <w:vAlign w:val="center"/>
          </w:tcPr>
          <w:p>
            <w:pPr>
              <w:rPr>
                <w:rFonts w:ascii="宋体" w:hAnsi="宋体" w:eastAsia="宋体" w:cs="宋体"/>
                <w:color w:val="000000"/>
                <w:sz w:val="16"/>
                <w:szCs w:val="16"/>
              </w:rPr>
            </w:pPr>
          </w:p>
        </w:tc>
        <w:tc>
          <w:tcPr>
            <w:tcW w:w="509" w:type="dxa"/>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30" w:type="dxa"/>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212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公开07表</w:t>
            </w:r>
          </w:p>
        </w:tc>
      </w:tr>
      <w:tr>
        <w:tblPrEx>
          <w:tblCellMar>
            <w:top w:w="15" w:type="dxa"/>
            <w:left w:w="15" w:type="dxa"/>
            <w:bottom w:w="15" w:type="dxa"/>
            <w:right w:w="15" w:type="dxa"/>
          </w:tblCellMar>
        </w:tblPrEx>
        <w:trPr>
          <w:gridAfter w:val="1"/>
          <w:wAfter w:w="24" w:type="dxa"/>
          <w:trHeight w:val="270" w:hRule="atLeast"/>
        </w:trPr>
        <w:tc>
          <w:tcPr>
            <w:tcW w:w="1783" w:type="dxa"/>
            <w:gridSpan w:val="2"/>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29"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29" w:type="dxa"/>
            <w:shd w:val="clear" w:color="auto" w:fill="auto"/>
            <w:vAlign w:val="center"/>
          </w:tcPr>
          <w:p>
            <w:pPr>
              <w:rPr>
                <w:rFonts w:ascii="宋体" w:hAnsi="宋体" w:eastAsia="宋体" w:cs="宋体"/>
                <w:color w:val="000000"/>
                <w:sz w:val="16"/>
                <w:szCs w:val="16"/>
              </w:rPr>
            </w:pPr>
          </w:p>
        </w:tc>
        <w:tc>
          <w:tcPr>
            <w:tcW w:w="992" w:type="dxa"/>
            <w:gridSpan w:val="2"/>
            <w:shd w:val="clear" w:color="auto" w:fill="auto"/>
            <w:vAlign w:val="center"/>
          </w:tcPr>
          <w:p>
            <w:pPr>
              <w:rPr>
                <w:rFonts w:ascii="宋体" w:hAnsi="宋体" w:eastAsia="宋体" w:cs="宋体"/>
                <w:color w:val="000000"/>
                <w:sz w:val="16"/>
                <w:szCs w:val="16"/>
              </w:rPr>
            </w:pPr>
          </w:p>
        </w:tc>
        <w:tc>
          <w:tcPr>
            <w:tcW w:w="509" w:type="dxa"/>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30" w:type="dxa"/>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212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15" w:type="dxa"/>
            <w:left w:w="15" w:type="dxa"/>
            <w:bottom w:w="15" w:type="dxa"/>
            <w:right w:w="15" w:type="dxa"/>
          </w:tblCellMar>
        </w:tblPrEx>
        <w:trPr>
          <w:gridAfter w:val="1"/>
          <w:wAfter w:w="24" w:type="dxa"/>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2017年度预算数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2017年度决算数</w:t>
            </w:r>
          </w:p>
        </w:tc>
      </w:tr>
      <w:tr>
        <w:tblPrEx>
          <w:tblCellMar>
            <w:top w:w="15" w:type="dxa"/>
            <w:left w:w="15" w:type="dxa"/>
            <w:bottom w:w="15" w:type="dxa"/>
            <w:right w:w="15" w:type="dxa"/>
          </w:tblCellMar>
        </w:tblPrEx>
        <w:trPr>
          <w:gridAfter w:val="1"/>
          <w:wAfter w:w="24" w:type="dxa"/>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r>
      <w:tr>
        <w:tblPrEx>
          <w:tblCellMar>
            <w:top w:w="15" w:type="dxa"/>
            <w:left w:w="15" w:type="dxa"/>
            <w:bottom w:w="15" w:type="dxa"/>
            <w:right w:w="15" w:type="dxa"/>
          </w:tblCellMar>
        </w:tblPrEx>
        <w:trPr>
          <w:gridAfter w:val="1"/>
          <w:wAfter w:w="24" w:type="dxa"/>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公务用车</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公务用车</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公务用车</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公务用车</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CellMar>
            <w:top w:w="15" w:type="dxa"/>
            <w:left w:w="15" w:type="dxa"/>
            <w:bottom w:w="15" w:type="dxa"/>
            <w:right w:w="15" w:type="dxa"/>
          </w:tblCellMar>
        </w:tblPrEx>
        <w:trPr>
          <w:gridAfter w:val="1"/>
          <w:wAfter w:w="24" w:type="dxa"/>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CellMar>
            <w:top w:w="15" w:type="dxa"/>
            <w:left w:w="15" w:type="dxa"/>
            <w:bottom w:w="15" w:type="dxa"/>
            <w:right w:w="15" w:type="dxa"/>
          </w:tblCellMar>
        </w:tblPrEx>
        <w:trPr>
          <w:gridAfter w:val="1"/>
          <w:wAfter w:w="24" w:type="dxa"/>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2.24</w:t>
            </w: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70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2.24</w:t>
            </w:r>
          </w:p>
        </w:tc>
        <w:tc>
          <w:tcPr>
            <w:tcW w:w="8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2.24</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2.24</w:t>
            </w: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2.24</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2.24</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gridAfter w:val="1"/>
          <w:wAfter w:w="24" w:type="dxa"/>
          <w:trHeight w:val="1282" w:hRule="atLeast"/>
        </w:trPr>
        <w:tc>
          <w:tcPr>
            <w:tcW w:w="10485" w:type="dxa"/>
            <w:gridSpan w:val="2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注：本表反映部门本年度“三公”经费支出预决算情况。其中，2017年度预算数为“三公”经费年初预算数，决算数是包括当年一般公共预算财政拨款和以前年度结转资金安排的实际支出。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0509" w:type="dxa"/>
            <w:gridSpan w:val="23"/>
            <w:shd w:val="clear" w:color="auto" w:fill="auto"/>
            <w:vAlign w:val="center"/>
          </w:tcPr>
          <w:p>
            <w:pPr>
              <w:widowControl/>
              <w:jc w:val="left"/>
              <w:textAlignment w:val="center"/>
              <w:rPr>
                <w:rFonts w:ascii="宋体" w:hAnsi="宋体" w:eastAsia="宋体" w:cs="宋体"/>
                <w:b/>
                <w:color w:val="FF0000"/>
                <w:sz w:val="20"/>
                <w:szCs w:val="20"/>
              </w:rPr>
            </w:pP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4"/>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CellMar>
            <w:top w:w="15" w:type="dxa"/>
            <w:left w:w="15" w:type="dxa"/>
            <w:bottom w:w="15" w:type="dxa"/>
            <w:right w:w="15" w:type="dxa"/>
          </w:tblCellMar>
        </w:tblPrEx>
        <w:trPr>
          <w:trHeight w:val="375" w:hRule="atLeast"/>
        </w:trPr>
        <w:tc>
          <w:tcPr>
            <w:tcW w:w="10500" w:type="dxa"/>
            <w:gridSpan w:val="1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CellMar>
            <w:top w:w="15" w:type="dxa"/>
            <w:left w:w="15" w:type="dxa"/>
            <w:bottom w:w="15" w:type="dxa"/>
            <w:right w:w="15" w:type="dxa"/>
          </w:tblCellMar>
        </w:tblPrEx>
        <w:trPr>
          <w:trHeight w:val="285"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CellMar>
            <w:top w:w="15" w:type="dxa"/>
            <w:left w:w="15" w:type="dxa"/>
            <w:bottom w:w="15" w:type="dxa"/>
            <w:right w:w="15" w:type="dxa"/>
          </w:tblCellMar>
        </w:tblPrEx>
        <w:trPr>
          <w:trHeight w:val="270"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lang w:eastAsia="zh-CN"/>
              </w:rPr>
            </w:pPr>
            <w:r>
              <w:rPr>
                <w:rFonts w:hint="eastAsia" w:ascii="宋体" w:hAnsi="宋体" w:eastAsia="宋体" w:cs="宋体"/>
                <w:b/>
                <w:color w:val="000000"/>
                <w:kern w:val="0"/>
                <w:sz w:val="16"/>
                <w:szCs w:val="16"/>
              </w:rPr>
              <w:t>功能分类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16"/>
                <w:szCs w:val="16"/>
              </w:rPr>
            </w:pPr>
            <w:r>
              <w:rPr>
                <w:rFonts w:hint="eastAsia" w:ascii="宋体" w:hAnsi="宋体" w:eastAsia="宋体" w:cs="宋体"/>
                <w:b/>
                <w:color w:val="FF0000"/>
                <w:kern w:val="0"/>
                <w:sz w:val="20"/>
                <w:szCs w:val="20"/>
              </w:rPr>
              <w:t>说明：卧龙区道路运输管理局没有政府性基金预算财政拨款收入支出，故本表无数据。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卧龙区道路运输管理局2017年度部门决算情况说明</w:t>
      </w:r>
    </w:p>
    <w:p>
      <w:pPr>
        <w:jc w:val="center"/>
        <w:rPr>
          <w:rFonts w:ascii="Times New Roman" w:hAnsi="Times New Roman" w:eastAsia="Times New Roman"/>
          <w:sz w:val="48"/>
        </w:rPr>
      </w:pPr>
      <w:r>
        <w:rPr>
          <w:rFonts w:hint="eastAsia" w:ascii="黑体" w:hAnsi="黑体" w:eastAsia="黑体"/>
          <w:sz w:val="48"/>
        </w:rPr>
        <w:t>第三部分</w:t>
      </w:r>
    </w:p>
    <w:p>
      <w:pPr>
        <w:jc w:val="center"/>
        <w:rPr>
          <w:rFonts w:ascii="Times New Roman" w:hAnsi="Times New Roman" w:eastAsia="Times New Roman"/>
          <w:sz w:val="48"/>
        </w:rPr>
      </w:pPr>
      <w:r>
        <w:rPr>
          <w:rFonts w:hint="eastAsia" w:ascii="黑体" w:hAnsi="黑体" w:eastAsia="黑体"/>
          <w:sz w:val="48"/>
        </w:rPr>
        <w:t>2017年度部门决算情况说明</w:t>
      </w:r>
    </w:p>
    <w:p>
      <w:pPr>
        <w:ind w:firstLine="640"/>
        <w:jc w:val="left"/>
        <w:rPr>
          <w:rFonts w:ascii="仿宋" w:hAnsi="仿宋" w:eastAsia="仿宋"/>
          <w:sz w:val="32"/>
        </w:rPr>
      </w:pPr>
      <w:r>
        <w:rPr>
          <w:rFonts w:hint="eastAsia" w:ascii="黑体" w:hAnsi="黑体" w:eastAsia="黑体"/>
          <w:sz w:val="32"/>
        </w:rPr>
        <w:t>一、收入支出决算总体情况说明</w:t>
      </w:r>
    </w:p>
    <w:p>
      <w:pPr>
        <w:jc w:val="left"/>
        <w:rPr>
          <w:rFonts w:ascii="仿宋" w:hAnsi="仿宋" w:eastAsia="仿宋"/>
          <w:sz w:val="32"/>
        </w:rPr>
      </w:pPr>
      <w:r>
        <w:rPr>
          <w:rFonts w:hint="eastAsia" w:ascii="仿宋" w:hAnsi="仿宋" w:eastAsia="仿宋"/>
          <w:sz w:val="32"/>
        </w:rPr>
        <w:t xml:space="preserve">     2017年度收、支总计均为1,757.63万元。与2016年相比，收、支总计各增加563.26万元，增长47.16%。主要原因是人员工资调整，社会保障性缴费增加。</w:t>
      </w:r>
    </w:p>
    <w:p>
      <w:pPr>
        <w:ind w:firstLine="640"/>
        <w:jc w:val="left"/>
        <w:rPr>
          <w:rFonts w:ascii="仿宋" w:hAnsi="仿宋" w:eastAsia="仿宋"/>
          <w:sz w:val="32"/>
        </w:rPr>
      </w:pPr>
      <w:r>
        <w:rPr>
          <w:rFonts w:hint="eastAsia" w:ascii="黑体" w:hAnsi="黑体" w:eastAsia="黑体"/>
          <w:sz w:val="32"/>
        </w:rPr>
        <w:t>二、收入决算情况说明</w:t>
      </w:r>
    </w:p>
    <w:p>
      <w:pPr>
        <w:ind w:firstLine="640"/>
        <w:rPr>
          <w:rFonts w:ascii="仿宋" w:hAnsi="仿宋" w:eastAsia="仿宋"/>
          <w:sz w:val="32"/>
        </w:rPr>
      </w:pPr>
      <w:r>
        <w:rPr>
          <w:rFonts w:hint="eastAsia" w:ascii="仿宋" w:hAnsi="仿宋" w:eastAsia="仿宋"/>
          <w:sz w:val="32"/>
        </w:rPr>
        <w:t>2017年度收入合计1,700.13万元，其中：财政拨款收入1,514.45万元，占89.08%；上级补助收入185万元，占10.88%；事业收入0万元，占0%；经营收入0万元，占0%；附属单位上缴收入0万元，占0%；其他收入0.68万元，占0.04%。</w:t>
      </w:r>
    </w:p>
    <w:p>
      <w:pPr>
        <w:ind w:firstLine="640"/>
        <w:jc w:val="left"/>
        <w:rPr>
          <w:rFonts w:ascii="仿宋" w:hAnsi="仿宋" w:eastAsia="仿宋"/>
          <w:sz w:val="32"/>
        </w:rPr>
      </w:pPr>
      <w:r>
        <w:rPr>
          <w:rFonts w:hint="eastAsia" w:ascii="黑体" w:hAnsi="黑体" w:eastAsia="黑体"/>
          <w:sz w:val="32"/>
        </w:rPr>
        <w:t>三、支出决算情况说明</w:t>
      </w:r>
    </w:p>
    <w:p>
      <w:pPr>
        <w:ind w:firstLine="640"/>
        <w:rPr>
          <w:rFonts w:ascii="仿宋" w:hAnsi="仿宋" w:eastAsia="仿宋"/>
          <w:sz w:val="32"/>
        </w:rPr>
      </w:pPr>
      <w:r>
        <w:rPr>
          <w:rFonts w:hint="eastAsia" w:ascii="仿宋" w:hAnsi="仿宋" w:eastAsia="仿宋"/>
          <w:sz w:val="32"/>
        </w:rPr>
        <w:t>2017年度支出合计1,755.74万元，其中：基本支出1,755.74万元，占100%；项目支出0万元，占0%；上缴上级支出0万元，占0%；经营支出0万元，占0%；对附属单位支出0万元，占0%。</w:t>
      </w:r>
    </w:p>
    <w:p>
      <w:pPr>
        <w:ind w:firstLine="640"/>
        <w:jc w:val="left"/>
        <w:rPr>
          <w:rFonts w:ascii="仿宋" w:hAnsi="仿宋" w:eastAsia="仿宋"/>
          <w:sz w:val="32"/>
        </w:rPr>
      </w:pPr>
      <w:r>
        <w:rPr>
          <w:rFonts w:hint="eastAsia" w:ascii="黑体" w:hAnsi="黑体" w:eastAsia="黑体"/>
          <w:sz w:val="32"/>
        </w:rPr>
        <w:t>四、财政拨款收入支出决算总体情况说明</w:t>
      </w:r>
    </w:p>
    <w:p>
      <w:pPr>
        <w:ind w:firstLine="640"/>
        <w:jc w:val="left"/>
        <w:rPr>
          <w:rFonts w:ascii="仿宋" w:hAnsi="仿宋" w:eastAsia="仿宋"/>
          <w:sz w:val="32"/>
        </w:rPr>
      </w:pPr>
      <w:r>
        <w:rPr>
          <w:rFonts w:hint="eastAsia" w:ascii="仿宋" w:hAnsi="仿宋" w:eastAsia="仿宋"/>
          <w:sz w:val="32"/>
        </w:rPr>
        <w:t>2017年财政拨款收、支总计均为1,514.45万元。与2016年相比，财政拨款收、支总计各增加631.07万元，增长71.44%。主要原因是人员工资调整，社会保障性缴费增加。</w:t>
      </w:r>
    </w:p>
    <w:p>
      <w:pPr>
        <w:ind w:firstLine="640"/>
        <w:jc w:val="left"/>
        <w:rPr>
          <w:rFonts w:ascii="仿宋" w:hAnsi="仿宋" w:eastAsia="仿宋"/>
          <w:sz w:val="32"/>
        </w:rPr>
      </w:pPr>
    </w:p>
    <w:p>
      <w:pPr>
        <w:ind w:firstLine="640"/>
        <w:jc w:val="left"/>
        <w:rPr>
          <w:rFonts w:ascii="仿宋" w:hAnsi="仿宋" w:eastAsia="仿宋"/>
          <w:sz w:val="32"/>
        </w:rPr>
      </w:pPr>
    </w:p>
    <w:p>
      <w:pPr>
        <w:ind w:firstLine="640"/>
        <w:jc w:val="left"/>
        <w:rPr>
          <w:rFonts w:ascii="仿宋" w:hAnsi="仿宋" w:eastAsia="仿宋"/>
          <w:sz w:val="32"/>
        </w:rPr>
      </w:pPr>
    </w:p>
    <w:p>
      <w:pPr>
        <w:ind w:firstLine="640"/>
        <w:jc w:val="left"/>
        <w:rPr>
          <w:rFonts w:ascii="仿宋" w:hAnsi="仿宋" w:eastAsia="仿宋"/>
          <w:sz w:val="32"/>
        </w:rPr>
      </w:pPr>
      <w:r>
        <w:rPr>
          <w:rFonts w:hint="eastAsia" w:ascii="黑体" w:hAnsi="黑体" w:eastAsia="黑体"/>
          <w:sz w:val="32"/>
        </w:rPr>
        <w:t>五、一般公共预算财政拨款支出决算情况说明</w:t>
      </w:r>
    </w:p>
    <w:p>
      <w:pPr>
        <w:ind w:firstLine="640"/>
        <w:jc w:val="left"/>
        <w:rPr>
          <w:rFonts w:ascii="仿宋" w:hAnsi="仿宋" w:eastAsia="仿宋"/>
          <w:sz w:val="32"/>
        </w:rPr>
      </w:pPr>
      <w:r>
        <w:rPr>
          <w:rFonts w:hint="eastAsia" w:ascii="楷体" w:hAnsi="楷体" w:eastAsia="楷体"/>
          <w:sz w:val="32"/>
        </w:rPr>
        <w:t>（一）总体情况。</w:t>
      </w:r>
    </w:p>
    <w:p>
      <w:pPr>
        <w:ind w:firstLine="640"/>
        <w:jc w:val="left"/>
        <w:rPr>
          <w:rFonts w:ascii="仿宋" w:hAnsi="仿宋" w:eastAsia="仿宋"/>
          <w:sz w:val="32"/>
        </w:rPr>
      </w:pPr>
      <w:r>
        <w:rPr>
          <w:rFonts w:hint="eastAsia" w:ascii="仿宋" w:hAnsi="仿宋" w:eastAsia="仿宋"/>
          <w:sz w:val="32"/>
        </w:rPr>
        <w:t>2017年一般公共预算财政拨款支出1,512.56万元，占支出合计的86.15%。与2016年相比，一般公共预算财政拨款支出增加629.18万元，增长71.22%。变动的主要原因是人员工资调整，社会保障性缴费增加。</w:t>
      </w:r>
    </w:p>
    <w:p>
      <w:pPr>
        <w:ind w:firstLine="640"/>
        <w:jc w:val="left"/>
        <w:rPr>
          <w:rFonts w:ascii="仿宋" w:hAnsi="仿宋" w:eastAsia="仿宋"/>
          <w:sz w:val="32"/>
        </w:rPr>
      </w:pPr>
      <w:r>
        <w:rPr>
          <w:rFonts w:hint="eastAsia" w:ascii="楷体" w:hAnsi="楷体" w:eastAsia="楷体"/>
          <w:sz w:val="32"/>
        </w:rPr>
        <w:t>（二）结构情况。</w:t>
      </w:r>
    </w:p>
    <w:p>
      <w:pPr>
        <w:ind w:firstLine="640"/>
        <w:jc w:val="left"/>
        <w:rPr>
          <w:rFonts w:ascii="仿宋" w:hAnsi="仿宋" w:eastAsia="仿宋"/>
          <w:sz w:val="32"/>
        </w:rPr>
      </w:pPr>
      <w:r>
        <w:rPr>
          <w:rFonts w:hint="eastAsia" w:ascii="仿宋" w:hAnsi="仿宋" w:eastAsia="仿宋"/>
          <w:sz w:val="32"/>
        </w:rPr>
        <w:t>2017年度一般公共预算财政拨款支出1,512.56万元，主要用于以下方面：一般公共服务（类）支出15万元，占0.99%；外交（类）支出0万元，占0%；国防（类）支出0万元，占0%；公共安全（类）支出0万元，占0%；教育（类）支出0万元，占0%；科学技术（类）支出0万元，占0%；文化体育与传媒（类）支出0万元，占0%；社会保障和就业（类）支出0万元，占0%；医疗卫生和计划生育（类）支出0万元，占0%；节能环保（类）支出0万元，占0%；城乡社区（类）支出0万元，占0%；农林水（类）支出0万元，占0%；交通运输（类）支出1,497.56万元，占99.01%；资源勘探信息（类）支出0万元，占0%；商业服务业（类）支出0万元，占0%；金融（类）支出0万元，占0%；援助其他地区（类）支出0万元，占0%；国土海洋气象（类）支出0万元，占0%；住房保障（类）支出0万元，占0%；粮油物资储备（类）支出0万元，占0%；其他（类）支出0万元，占0%；债务还本（类）支出0万元，占0%；债务付息（类）支出0万元，占0%。</w:t>
      </w:r>
    </w:p>
    <w:p>
      <w:pPr>
        <w:ind w:firstLine="640"/>
        <w:jc w:val="left"/>
        <w:rPr>
          <w:rFonts w:ascii="仿宋" w:hAnsi="仿宋" w:eastAsia="仿宋"/>
          <w:sz w:val="32"/>
        </w:rPr>
      </w:pPr>
      <w:r>
        <w:rPr>
          <w:rFonts w:hint="eastAsia" w:ascii="楷体" w:hAnsi="楷体" w:eastAsia="楷体"/>
          <w:sz w:val="32"/>
        </w:rPr>
        <w:t>（三）具体情况。</w:t>
      </w:r>
    </w:p>
    <w:p>
      <w:pPr>
        <w:ind w:firstLine="640"/>
        <w:rPr>
          <w:rFonts w:ascii="仿宋" w:hAnsi="仿宋" w:eastAsia="仿宋"/>
          <w:sz w:val="32"/>
        </w:rPr>
      </w:pPr>
      <w:r>
        <w:rPr>
          <w:rFonts w:hint="eastAsia" w:ascii="仿宋" w:hAnsi="仿宋" w:eastAsia="仿宋"/>
          <w:sz w:val="32"/>
        </w:rPr>
        <w:t>2017年度一般公共预算财政拨款支出年初预算为1,512.57万元，支出决算为1,512.56万元，完成年初预算的100%。决算数与年初预算数无差异。</w:t>
      </w:r>
    </w:p>
    <w:p>
      <w:pPr>
        <w:ind w:firstLine="640"/>
        <w:jc w:val="left"/>
        <w:rPr>
          <w:rFonts w:ascii="仿宋" w:hAnsi="仿宋" w:eastAsia="仿宋"/>
          <w:sz w:val="32"/>
        </w:rPr>
      </w:pPr>
      <w:r>
        <w:rPr>
          <w:rFonts w:hint="eastAsia" w:ascii="黑体" w:hAnsi="黑体" w:eastAsia="黑体"/>
          <w:sz w:val="32"/>
        </w:rPr>
        <w:t>六、一般公共预算财政拨款基本支出决算情况说明</w:t>
      </w:r>
    </w:p>
    <w:p>
      <w:pPr>
        <w:ind w:firstLine="640"/>
        <w:jc w:val="left"/>
        <w:rPr>
          <w:rFonts w:ascii="仿宋" w:hAnsi="仿宋" w:eastAsia="仿宋"/>
          <w:sz w:val="32"/>
        </w:rPr>
      </w:pPr>
      <w:r>
        <w:rPr>
          <w:rFonts w:hint="eastAsia" w:ascii="仿宋" w:hAnsi="仿宋" w:eastAsia="仿宋"/>
          <w:sz w:val="32"/>
        </w:rPr>
        <w:t>2017年一般公共预算财政拨款基本支出1,512.56万元。与2016年相比，增加629.18万元，增长71.22%。变动的主要原因：人员工资调整，社会保障性缴费增加。其中：人员经费1,493.71万元，主要包括：基本工资、津贴补贴、伙食补助费、绩效工资、养老保险、医疗保险、其他社会保险，住房公积金、职业年金；公用经费18.84万元，主要包括：办公费，公务用车运行费，固定资产维修维护费。</w:t>
      </w:r>
    </w:p>
    <w:p>
      <w:pPr>
        <w:ind w:firstLine="640"/>
        <w:jc w:val="left"/>
        <w:rPr>
          <w:rFonts w:ascii="仿宋" w:hAnsi="仿宋" w:eastAsia="仿宋"/>
          <w:sz w:val="32"/>
        </w:rPr>
      </w:pPr>
      <w:r>
        <w:rPr>
          <w:rFonts w:hint="eastAsia" w:ascii="黑体" w:hAnsi="黑体" w:eastAsia="黑体"/>
          <w:sz w:val="32"/>
        </w:rPr>
        <w:t>七、一般公共预算财政拨款</w:t>
      </w:r>
      <w:r>
        <w:rPr>
          <w:rFonts w:ascii="黑体" w:hAnsi="黑体" w:eastAsia="黑体"/>
          <w:sz w:val="32"/>
        </w:rPr>
        <w:t>“</w:t>
      </w:r>
      <w:r>
        <w:rPr>
          <w:rFonts w:hint="eastAsia" w:ascii="黑体" w:hAnsi="黑体" w:eastAsia="黑体"/>
          <w:sz w:val="32"/>
        </w:rPr>
        <w:t>三公</w:t>
      </w:r>
      <w:r>
        <w:rPr>
          <w:rFonts w:ascii="黑体" w:hAnsi="黑体" w:eastAsia="黑体"/>
          <w:sz w:val="32"/>
        </w:rPr>
        <w:t>”</w:t>
      </w:r>
      <w:r>
        <w:rPr>
          <w:rFonts w:hint="eastAsia" w:ascii="黑体" w:hAnsi="黑体" w:eastAsia="黑体"/>
          <w:sz w:val="32"/>
        </w:rPr>
        <w:t>经费支出决算情况说明</w:t>
      </w:r>
    </w:p>
    <w:p>
      <w:pPr>
        <w:ind w:firstLine="640"/>
        <w:jc w:val="left"/>
        <w:rPr>
          <w:rFonts w:ascii="仿宋" w:hAnsi="仿宋" w:eastAsia="仿宋"/>
          <w:sz w:val="32"/>
        </w:rPr>
      </w:pPr>
      <w:r>
        <w:rPr>
          <w:rFonts w:hint="eastAsia" w:ascii="楷体" w:hAnsi="楷体" w:eastAsia="楷体"/>
          <w:sz w:val="32"/>
        </w:rPr>
        <w:t>（一）</w:t>
      </w:r>
      <w:r>
        <w:rPr>
          <w:rFonts w:ascii="楷体" w:hAnsi="楷体" w:eastAsia="楷体"/>
          <w:sz w:val="32"/>
        </w:rPr>
        <w:t>“</w:t>
      </w:r>
      <w:r>
        <w:rPr>
          <w:rFonts w:hint="eastAsia" w:ascii="楷体" w:hAnsi="楷体" w:eastAsia="楷体"/>
          <w:sz w:val="32"/>
        </w:rPr>
        <w:t>三公</w:t>
      </w:r>
      <w:r>
        <w:rPr>
          <w:rFonts w:ascii="楷体" w:hAnsi="楷体" w:eastAsia="楷体"/>
          <w:sz w:val="32"/>
        </w:rPr>
        <w:t>”</w:t>
      </w:r>
      <w:r>
        <w:rPr>
          <w:rFonts w:hint="eastAsia" w:ascii="楷体" w:hAnsi="楷体" w:eastAsia="楷体"/>
          <w:sz w:val="32"/>
        </w:rPr>
        <w:t>经费财政拨款支出决算总体情况说明。</w:t>
      </w:r>
    </w:p>
    <w:p>
      <w:pPr>
        <w:ind w:firstLine="640"/>
        <w:rPr>
          <w:rFonts w:ascii="仿宋" w:hAnsi="仿宋" w:eastAsia="仿宋"/>
          <w:sz w:val="32"/>
        </w:rPr>
      </w:pPr>
      <w:r>
        <w:rPr>
          <w:rFonts w:hint="eastAsia" w:ascii="仿宋" w:hAnsi="仿宋" w:eastAsia="仿宋"/>
          <w:sz w:val="32"/>
        </w:rPr>
        <w:t>2017年度</w:t>
      </w:r>
      <w:r>
        <w:rPr>
          <w:rFonts w:ascii="仿宋" w:hAnsi="仿宋" w:eastAsia="仿宋"/>
          <w:sz w:val="32"/>
        </w:rPr>
        <w:t>“</w:t>
      </w:r>
      <w:r>
        <w:rPr>
          <w:rFonts w:hint="eastAsia" w:ascii="仿宋" w:hAnsi="仿宋" w:eastAsia="仿宋"/>
          <w:sz w:val="32"/>
        </w:rPr>
        <w:t>三公</w:t>
      </w:r>
      <w:r>
        <w:rPr>
          <w:rFonts w:ascii="仿宋" w:hAnsi="仿宋" w:eastAsia="仿宋"/>
          <w:sz w:val="32"/>
        </w:rPr>
        <w:t>”</w:t>
      </w:r>
      <w:r>
        <w:rPr>
          <w:rFonts w:hint="eastAsia" w:ascii="仿宋" w:hAnsi="仿宋" w:eastAsia="仿宋"/>
          <w:sz w:val="32"/>
        </w:rPr>
        <w:t>经费财政拨款支出预算为2.24万元，支出决算为2.24万元，完成预算的100%。</w:t>
      </w:r>
    </w:p>
    <w:p>
      <w:pPr>
        <w:ind w:firstLine="640"/>
        <w:rPr>
          <w:rFonts w:ascii="仿宋" w:hAnsi="仿宋" w:eastAsia="仿宋"/>
          <w:sz w:val="32"/>
        </w:rPr>
      </w:pPr>
      <w:r>
        <w:rPr>
          <w:rFonts w:hint="eastAsia" w:ascii="楷体" w:hAnsi="楷体" w:eastAsia="楷体"/>
          <w:sz w:val="32"/>
        </w:rPr>
        <w:t>（二）</w:t>
      </w:r>
      <w:r>
        <w:rPr>
          <w:rFonts w:ascii="楷体" w:hAnsi="楷体" w:eastAsia="楷体"/>
          <w:sz w:val="32"/>
        </w:rPr>
        <w:t>“</w:t>
      </w:r>
      <w:r>
        <w:rPr>
          <w:rFonts w:hint="eastAsia" w:ascii="楷体" w:hAnsi="楷体" w:eastAsia="楷体"/>
          <w:sz w:val="32"/>
        </w:rPr>
        <w:t>三公</w:t>
      </w:r>
      <w:r>
        <w:rPr>
          <w:rFonts w:ascii="楷体" w:hAnsi="楷体" w:eastAsia="楷体"/>
          <w:sz w:val="32"/>
        </w:rPr>
        <w:t>”</w:t>
      </w:r>
      <w:r>
        <w:rPr>
          <w:rFonts w:hint="eastAsia" w:ascii="楷体" w:hAnsi="楷体" w:eastAsia="楷体"/>
          <w:sz w:val="32"/>
        </w:rPr>
        <w:t>经费财政拨款支出决算具体情况说明。</w:t>
      </w:r>
    </w:p>
    <w:p>
      <w:pPr>
        <w:ind w:firstLine="640"/>
        <w:rPr>
          <w:rFonts w:ascii="仿宋" w:hAnsi="仿宋" w:eastAsia="仿宋"/>
          <w:sz w:val="32"/>
        </w:rPr>
      </w:pPr>
      <w:r>
        <w:rPr>
          <w:rFonts w:hint="eastAsia" w:ascii="仿宋" w:hAnsi="仿宋" w:eastAsia="仿宋"/>
          <w:sz w:val="32"/>
        </w:rPr>
        <w:t>2017年度</w:t>
      </w:r>
      <w:r>
        <w:rPr>
          <w:rFonts w:ascii="仿宋" w:hAnsi="仿宋" w:eastAsia="仿宋"/>
          <w:sz w:val="32"/>
        </w:rPr>
        <w:t>“</w:t>
      </w:r>
      <w:r>
        <w:rPr>
          <w:rFonts w:hint="eastAsia" w:ascii="仿宋" w:hAnsi="仿宋" w:eastAsia="仿宋"/>
          <w:sz w:val="32"/>
        </w:rPr>
        <w:t>三公</w:t>
      </w:r>
      <w:r>
        <w:rPr>
          <w:rFonts w:ascii="仿宋" w:hAnsi="仿宋" w:eastAsia="仿宋"/>
          <w:sz w:val="32"/>
        </w:rPr>
        <w:t>”</w:t>
      </w:r>
      <w:r>
        <w:rPr>
          <w:rFonts w:hint="eastAsia" w:ascii="仿宋" w:hAnsi="仿宋" w:eastAsia="仿宋"/>
          <w:sz w:val="32"/>
        </w:rPr>
        <w:t>经费财政拨款支出决算中，因公出国（境）费支出决算0万元，占0%，完成预算的0%；公务用车购置及运行费支出决算2.24万元，占100%，完成预算的100%；公务接待费支出决算0万元，占0%，完成预算的0%。具体情况如下：</w:t>
      </w:r>
    </w:p>
    <w:p>
      <w:pPr>
        <w:ind w:firstLine="640"/>
        <w:jc w:val="left"/>
        <w:rPr>
          <w:rFonts w:ascii="仿宋" w:hAnsi="仿宋" w:eastAsia="仿宋"/>
          <w:sz w:val="32"/>
        </w:rPr>
      </w:pPr>
      <w:r>
        <w:rPr>
          <w:rFonts w:hint="eastAsia" w:ascii="仿宋" w:hAnsi="仿宋" w:eastAsia="仿宋"/>
          <w:sz w:val="32"/>
        </w:rPr>
        <w:t>1．因公出国（境）费支出0万元。</w:t>
      </w:r>
    </w:p>
    <w:p>
      <w:pPr>
        <w:ind w:firstLine="640"/>
        <w:jc w:val="left"/>
        <w:rPr>
          <w:rFonts w:ascii="仿宋" w:hAnsi="仿宋" w:eastAsia="仿宋"/>
          <w:sz w:val="32"/>
        </w:rPr>
      </w:pPr>
      <w:r>
        <w:rPr>
          <w:rFonts w:hint="eastAsia" w:ascii="仿宋" w:hAnsi="仿宋" w:eastAsia="仿宋"/>
          <w:sz w:val="32"/>
        </w:rPr>
        <w:t>2．公务用车购置及运行费支出2.24万元。其中：</w:t>
      </w:r>
    </w:p>
    <w:p>
      <w:pPr>
        <w:ind w:firstLine="640"/>
        <w:jc w:val="left"/>
        <w:rPr>
          <w:rFonts w:ascii="仿宋" w:hAnsi="仿宋" w:eastAsia="仿宋"/>
          <w:sz w:val="32"/>
        </w:rPr>
      </w:pPr>
      <w:r>
        <w:rPr>
          <w:rFonts w:hint="eastAsia" w:ascii="仿宋" w:hAnsi="仿宋" w:eastAsia="仿宋"/>
          <w:sz w:val="32"/>
        </w:rPr>
        <w:t>公务用车购置支出为0万元。</w:t>
      </w:r>
    </w:p>
    <w:p>
      <w:pPr>
        <w:ind w:firstLine="640"/>
        <w:jc w:val="left"/>
        <w:rPr>
          <w:rFonts w:ascii="仿宋" w:hAnsi="仿宋" w:eastAsia="仿宋"/>
          <w:sz w:val="32"/>
        </w:rPr>
      </w:pPr>
      <w:r>
        <w:rPr>
          <w:rFonts w:hint="eastAsia" w:ascii="仿宋" w:hAnsi="仿宋" w:eastAsia="仿宋"/>
          <w:sz w:val="32"/>
        </w:rPr>
        <w:t>公务用车运行支出2.24万元。主要用于公务用车的运行维护。2017年期末，部门财政拨款公务用车保有量为39辆。</w:t>
      </w:r>
    </w:p>
    <w:p>
      <w:pPr>
        <w:numPr>
          <w:ilvl w:val="0"/>
          <w:numId w:val="4"/>
        </w:numPr>
        <w:ind w:firstLine="640"/>
        <w:jc w:val="left"/>
        <w:rPr>
          <w:rFonts w:ascii="仿宋" w:hAnsi="仿宋" w:eastAsia="仿宋"/>
          <w:sz w:val="32"/>
        </w:rPr>
      </w:pPr>
      <w:r>
        <w:rPr>
          <w:rFonts w:hint="eastAsia" w:ascii="仿宋" w:hAnsi="仿宋" w:eastAsia="仿宋"/>
          <w:sz w:val="32"/>
        </w:rPr>
        <w:t>公务接待费支出0万元。</w:t>
      </w:r>
    </w:p>
    <w:p>
      <w:pPr>
        <w:jc w:val="left"/>
        <w:rPr>
          <w:rFonts w:ascii="仿宋" w:hAnsi="仿宋" w:eastAsia="仿宋"/>
          <w:sz w:val="32"/>
        </w:rPr>
      </w:pPr>
      <w:r>
        <w:rPr>
          <w:rFonts w:hint="eastAsia" w:ascii="仿宋" w:hAnsi="仿宋" w:eastAsia="仿宋"/>
          <w:sz w:val="32"/>
        </w:rPr>
        <w:t xml:space="preserve">    公务接待费支出决算比2016年度减少0.08万元，下降100%，主要原因是严格按照三公经费要求，减少接待次数，降低招待标准。</w:t>
      </w:r>
    </w:p>
    <w:p>
      <w:pPr>
        <w:ind w:firstLine="640"/>
        <w:jc w:val="left"/>
        <w:rPr>
          <w:rFonts w:ascii="仿宋" w:hAnsi="仿宋" w:eastAsia="仿宋"/>
          <w:sz w:val="32"/>
        </w:rPr>
      </w:pPr>
      <w:r>
        <w:rPr>
          <w:rFonts w:hint="eastAsia" w:ascii="仿宋" w:hAnsi="仿宋" w:eastAsia="仿宋"/>
          <w:sz w:val="32"/>
        </w:rPr>
        <w:t>河南省南阳市卧龙区道路运输管理局2017年度共接待国内来访团组0个、来访人员0人次（不包括陪同人员）。</w:t>
      </w:r>
    </w:p>
    <w:p>
      <w:pPr>
        <w:ind w:firstLine="640"/>
        <w:jc w:val="left"/>
        <w:rPr>
          <w:rFonts w:ascii="仿宋" w:hAnsi="仿宋" w:eastAsia="仿宋"/>
          <w:sz w:val="32"/>
        </w:rPr>
      </w:pPr>
      <w:r>
        <w:rPr>
          <w:rFonts w:hint="eastAsia" w:ascii="黑体" w:hAnsi="黑体" w:eastAsia="黑体"/>
          <w:sz w:val="32"/>
        </w:rPr>
        <w:t>八、预算绩效情况说明</w:t>
      </w:r>
    </w:p>
    <w:p>
      <w:pPr>
        <w:ind w:firstLine="640"/>
        <w:jc w:val="left"/>
        <w:rPr>
          <w:rFonts w:ascii="楷体" w:hAnsi="楷体" w:eastAsia="楷体"/>
          <w:sz w:val="32"/>
        </w:rPr>
      </w:pPr>
      <w:r>
        <w:rPr>
          <w:rFonts w:hint="eastAsia" w:ascii="楷体" w:hAnsi="楷体" w:eastAsia="楷体"/>
          <w:sz w:val="32"/>
        </w:rPr>
        <w:t>（一）绩效管理工作开展情况。</w:t>
      </w:r>
    </w:p>
    <w:p>
      <w:pPr>
        <w:ind w:firstLine="640"/>
        <w:jc w:val="left"/>
        <w:rPr>
          <w:rFonts w:ascii="楷体" w:hAnsi="楷体" w:eastAsia="楷体"/>
          <w:sz w:val="32"/>
        </w:rPr>
      </w:pPr>
      <w:r>
        <w:rPr>
          <w:rFonts w:hint="eastAsia" w:ascii="楷体" w:hAnsi="楷体" w:eastAsia="楷体"/>
          <w:sz w:val="32"/>
        </w:rPr>
        <w:t>无</w:t>
      </w:r>
    </w:p>
    <w:p>
      <w:pPr>
        <w:ind w:firstLine="640"/>
        <w:jc w:val="left"/>
        <w:rPr>
          <w:rFonts w:ascii="仿宋" w:hAnsi="仿宋" w:eastAsia="仿宋"/>
          <w:sz w:val="32"/>
        </w:rPr>
      </w:pPr>
      <w:r>
        <w:rPr>
          <w:rFonts w:hint="eastAsia" w:ascii="楷体" w:hAnsi="楷体" w:eastAsia="楷体"/>
          <w:sz w:val="32"/>
        </w:rPr>
        <w:t>（二）项目绩效自评结果。</w:t>
      </w:r>
    </w:p>
    <w:p>
      <w:pPr>
        <w:ind w:firstLine="640"/>
        <w:jc w:val="left"/>
        <w:rPr>
          <w:rFonts w:ascii="仿宋" w:hAnsi="仿宋" w:eastAsia="仿宋"/>
          <w:sz w:val="32"/>
        </w:rPr>
      </w:pPr>
      <w:r>
        <w:rPr>
          <w:rFonts w:hint="eastAsia" w:ascii="仿宋" w:hAnsi="仿宋" w:eastAsia="仿宋"/>
          <w:sz w:val="32"/>
        </w:rPr>
        <w:t>无</w:t>
      </w:r>
    </w:p>
    <w:p>
      <w:pPr>
        <w:ind w:firstLine="640"/>
        <w:jc w:val="left"/>
        <w:rPr>
          <w:rFonts w:ascii="仿宋" w:hAnsi="仿宋" w:eastAsia="仿宋"/>
          <w:sz w:val="32"/>
        </w:rPr>
      </w:pPr>
      <w:r>
        <w:rPr>
          <w:rFonts w:hint="eastAsia" w:ascii="黑体" w:hAnsi="黑体" w:eastAsia="黑体"/>
          <w:sz w:val="32"/>
        </w:rPr>
        <w:t>九、政府性基金预算财政拨款支出决算情况说明</w:t>
      </w:r>
    </w:p>
    <w:p>
      <w:pPr>
        <w:ind w:firstLine="640"/>
        <w:rPr>
          <w:rFonts w:ascii="仿宋" w:hAnsi="仿宋" w:eastAsia="仿宋"/>
          <w:sz w:val="32"/>
        </w:rPr>
      </w:pPr>
      <w:r>
        <w:rPr>
          <w:rFonts w:hint="eastAsia" w:ascii="仿宋" w:hAnsi="仿宋" w:eastAsia="仿宋"/>
          <w:sz w:val="32"/>
        </w:rPr>
        <w:t>2017年度政府性基金预算财政拨款支出年初预算为0万元，支出决算为0万元，完成年初预算的0%。</w:t>
      </w:r>
    </w:p>
    <w:p>
      <w:pPr>
        <w:ind w:firstLine="640"/>
        <w:jc w:val="left"/>
        <w:rPr>
          <w:rFonts w:ascii="仿宋" w:hAnsi="仿宋" w:eastAsia="仿宋"/>
          <w:sz w:val="32"/>
        </w:rPr>
      </w:pPr>
      <w:r>
        <w:rPr>
          <w:rFonts w:hint="eastAsia" w:ascii="黑体" w:hAnsi="黑体" w:eastAsia="黑体"/>
          <w:sz w:val="32"/>
        </w:rPr>
        <w:t>十、机关运行经费支出情况说明</w:t>
      </w:r>
    </w:p>
    <w:p>
      <w:pPr>
        <w:ind w:firstLine="640"/>
        <w:rPr>
          <w:rFonts w:ascii="仿宋" w:hAnsi="仿宋" w:eastAsia="仿宋"/>
          <w:sz w:val="32"/>
        </w:rPr>
      </w:pPr>
      <w:r>
        <w:rPr>
          <w:rFonts w:hint="eastAsia" w:ascii="仿宋" w:hAnsi="仿宋" w:eastAsia="仿宋"/>
          <w:sz w:val="32"/>
        </w:rPr>
        <w:t>2017年度机关运行经费支出0万元，较2016年度增加0万元，增长0%。</w:t>
      </w:r>
    </w:p>
    <w:p>
      <w:pPr>
        <w:ind w:firstLine="640"/>
        <w:jc w:val="left"/>
        <w:rPr>
          <w:rFonts w:ascii="仿宋" w:hAnsi="仿宋" w:eastAsia="仿宋"/>
          <w:sz w:val="32"/>
        </w:rPr>
      </w:pPr>
      <w:r>
        <w:rPr>
          <w:rFonts w:hint="eastAsia" w:ascii="黑体" w:hAnsi="黑体" w:eastAsia="黑体"/>
          <w:sz w:val="32"/>
        </w:rPr>
        <w:t>十一、政府采购支出情况说明</w:t>
      </w:r>
    </w:p>
    <w:p>
      <w:pPr>
        <w:ind w:firstLine="640"/>
        <w:rPr>
          <w:rFonts w:ascii="仿宋" w:hAnsi="仿宋" w:eastAsia="仿宋"/>
          <w:sz w:val="32"/>
        </w:rPr>
      </w:pPr>
      <w:r>
        <w:rPr>
          <w:rFonts w:hint="eastAsia" w:ascii="仿宋" w:hAnsi="仿宋" w:eastAsia="仿宋"/>
          <w:sz w:val="32"/>
        </w:rPr>
        <w:t>2017年度政府采购支出总额0万元。</w:t>
      </w:r>
    </w:p>
    <w:p>
      <w:pPr>
        <w:ind w:firstLine="640"/>
        <w:jc w:val="left"/>
        <w:rPr>
          <w:rFonts w:ascii="仿宋" w:hAnsi="仿宋" w:eastAsia="仿宋"/>
          <w:sz w:val="32"/>
        </w:rPr>
      </w:pPr>
      <w:r>
        <w:rPr>
          <w:rFonts w:hint="eastAsia" w:ascii="黑体" w:hAnsi="黑体" w:eastAsia="黑体"/>
          <w:sz w:val="32"/>
        </w:rPr>
        <w:t>十二、国有资产占用情况说明</w:t>
      </w:r>
    </w:p>
    <w:p>
      <w:pPr>
        <w:jc w:val="left"/>
        <w:rPr>
          <w:rFonts w:ascii="仿宋" w:hAnsi="仿宋" w:eastAsia="仿宋"/>
          <w:sz w:val="32"/>
        </w:rPr>
      </w:pPr>
      <w:r>
        <w:rPr>
          <w:rFonts w:hint="eastAsia" w:ascii="仿宋" w:hAnsi="仿宋" w:eastAsia="仿宋"/>
          <w:sz w:val="32"/>
        </w:rPr>
        <w:t xml:space="preserve">    2017年期末，河南省南阳市卧龙区道路运输管理局共有车辆39辆，其中：一般公务用车10辆、一般执法执勤用车0辆、特种专业技术用车0辆，其他用车29辆，其他用车主要是用于公务用车；单位价值50万元以上通用设备0台（套），单位价值100万元以上专用设备0台（套）。</w:t>
      </w:r>
    </w:p>
    <w:p>
      <w:pPr>
        <w:jc w:val="left"/>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十三、其他重要事项的情况说明</w:t>
      </w:r>
    </w:p>
    <w:p>
      <w:pPr>
        <w:jc w:val="left"/>
        <w:rPr>
          <w:rFonts w:ascii="Times New Roman" w:hAnsi="Times New Roman" w:eastAsia="Times New Roman"/>
          <w:sz w:val="52"/>
        </w:rPr>
      </w:pPr>
      <w:r>
        <w:rPr>
          <w:rFonts w:hint="eastAsia" w:ascii="仿宋" w:hAnsi="仿宋" w:eastAsia="仿宋"/>
          <w:sz w:val="32"/>
        </w:rPr>
        <w:t xml:space="preserve">    无</w:t>
      </w:r>
    </w:p>
    <w:p>
      <w:pPr>
        <w:rPr>
          <w:rFonts w:ascii="Times New Roman" w:hAnsi="Times New Roman" w:eastAsia="Times New Roman"/>
        </w:rPr>
      </w:pPr>
    </w:p>
    <w:p>
      <w:pPr>
        <w:jc w:val="left"/>
        <w:rPr>
          <w:rFonts w:ascii="宋体" w:hAnsi="宋体"/>
          <w:kern w:val="0"/>
          <w:sz w:val="18"/>
          <w:lang w:val="zh-CN"/>
        </w:rPr>
      </w:pPr>
    </w:p>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指区级财政当年拨付的资金。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- 20 -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- 20 -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BCE8256"/>
    <w:multiLevelType w:val="singleLevel"/>
    <w:tmpl w:val="5BCE8256"/>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21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CF9"/>
    <w:rsid w:val="000B5A03"/>
    <w:rsid w:val="000F3263"/>
    <w:rsid w:val="001150B0"/>
    <w:rsid w:val="001634BF"/>
    <w:rsid w:val="00172A27"/>
    <w:rsid w:val="001F6EA3"/>
    <w:rsid w:val="002929B4"/>
    <w:rsid w:val="002E637F"/>
    <w:rsid w:val="00454546"/>
    <w:rsid w:val="00527B2A"/>
    <w:rsid w:val="00657E59"/>
    <w:rsid w:val="00667A72"/>
    <w:rsid w:val="00903011"/>
    <w:rsid w:val="009108DE"/>
    <w:rsid w:val="00AA6031"/>
    <w:rsid w:val="00AD660B"/>
    <w:rsid w:val="00B458CF"/>
    <w:rsid w:val="00CD71F9"/>
    <w:rsid w:val="00CD7D9B"/>
    <w:rsid w:val="00CF3451"/>
    <w:rsid w:val="00DD0067"/>
    <w:rsid w:val="00FB0931"/>
    <w:rsid w:val="04453648"/>
    <w:rsid w:val="05DB00B9"/>
    <w:rsid w:val="06EC3301"/>
    <w:rsid w:val="09BB2134"/>
    <w:rsid w:val="0CA434B9"/>
    <w:rsid w:val="0E4C156E"/>
    <w:rsid w:val="10BD4691"/>
    <w:rsid w:val="11585E8B"/>
    <w:rsid w:val="128445EA"/>
    <w:rsid w:val="14FA2DC6"/>
    <w:rsid w:val="15492582"/>
    <w:rsid w:val="155B0D1A"/>
    <w:rsid w:val="18CA5160"/>
    <w:rsid w:val="18F44D57"/>
    <w:rsid w:val="1954601C"/>
    <w:rsid w:val="1D415527"/>
    <w:rsid w:val="1E7D3B34"/>
    <w:rsid w:val="1ECE5E00"/>
    <w:rsid w:val="21197EDC"/>
    <w:rsid w:val="22A51050"/>
    <w:rsid w:val="22B53180"/>
    <w:rsid w:val="23C81D43"/>
    <w:rsid w:val="23D97A5F"/>
    <w:rsid w:val="283D43BA"/>
    <w:rsid w:val="29B70F08"/>
    <w:rsid w:val="2BA4769A"/>
    <w:rsid w:val="2CD06EF4"/>
    <w:rsid w:val="2F335194"/>
    <w:rsid w:val="30963758"/>
    <w:rsid w:val="32EF40CE"/>
    <w:rsid w:val="34920D5F"/>
    <w:rsid w:val="35AB7798"/>
    <w:rsid w:val="36F16EB3"/>
    <w:rsid w:val="372974AC"/>
    <w:rsid w:val="37515EC2"/>
    <w:rsid w:val="38273112"/>
    <w:rsid w:val="3949702E"/>
    <w:rsid w:val="3AFD53D4"/>
    <w:rsid w:val="3BE408BA"/>
    <w:rsid w:val="3C340CD4"/>
    <w:rsid w:val="3C7F703B"/>
    <w:rsid w:val="3D70189E"/>
    <w:rsid w:val="42271DDB"/>
    <w:rsid w:val="43592C8A"/>
    <w:rsid w:val="43910C0D"/>
    <w:rsid w:val="4481673F"/>
    <w:rsid w:val="44C76519"/>
    <w:rsid w:val="48B52937"/>
    <w:rsid w:val="48EE3EF3"/>
    <w:rsid w:val="4955329F"/>
    <w:rsid w:val="4C1E2F28"/>
    <w:rsid w:val="4CFC29CC"/>
    <w:rsid w:val="4D6E1856"/>
    <w:rsid w:val="4E7B1A97"/>
    <w:rsid w:val="502C04C1"/>
    <w:rsid w:val="51DE24AB"/>
    <w:rsid w:val="52133DB3"/>
    <w:rsid w:val="5651051D"/>
    <w:rsid w:val="56EC004A"/>
    <w:rsid w:val="57260E3E"/>
    <w:rsid w:val="57E961A8"/>
    <w:rsid w:val="58184402"/>
    <w:rsid w:val="581E77CF"/>
    <w:rsid w:val="58B06254"/>
    <w:rsid w:val="5AF25131"/>
    <w:rsid w:val="5E6A3173"/>
    <w:rsid w:val="5F0A3FED"/>
    <w:rsid w:val="600176AC"/>
    <w:rsid w:val="612855F5"/>
    <w:rsid w:val="61805C84"/>
    <w:rsid w:val="61A56183"/>
    <w:rsid w:val="65332BB8"/>
    <w:rsid w:val="66383819"/>
    <w:rsid w:val="664A46E0"/>
    <w:rsid w:val="66755D81"/>
    <w:rsid w:val="68A121F7"/>
    <w:rsid w:val="68A9241E"/>
    <w:rsid w:val="695348DB"/>
    <w:rsid w:val="6B6D695A"/>
    <w:rsid w:val="6FD41D7F"/>
    <w:rsid w:val="70113283"/>
    <w:rsid w:val="71E41366"/>
    <w:rsid w:val="72416639"/>
    <w:rsid w:val="738C1FE2"/>
    <w:rsid w:val="75531EF6"/>
    <w:rsid w:val="75BA0CB1"/>
    <w:rsid w:val="75D0003D"/>
    <w:rsid w:val="764F7877"/>
    <w:rsid w:val="795C442C"/>
    <w:rsid w:val="79DD5C7F"/>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5"/>
    <w:qFormat/>
    <w:uiPriority w:val="0"/>
    <w:rPr>
      <w:rFonts w:ascii="Arial" w:hAnsi="Arial" w:cs="Arial"/>
      <w:color w:val="000000"/>
      <w:sz w:val="16"/>
      <w:szCs w:val="16"/>
      <w:u w:val="none"/>
    </w:rPr>
  </w:style>
  <w:style w:type="character" w:customStyle="1" w:styleId="7">
    <w:name w:val="font01"/>
    <w:basedOn w:val="5"/>
    <w:qFormat/>
    <w:uiPriority w:val="0"/>
    <w:rPr>
      <w:rFonts w:hint="default" w:ascii="Arial" w:hAnsi="Arial" w:cs="Arial"/>
      <w:color w:val="000000"/>
      <w:sz w:val="16"/>
      <w:szCs w:val="16"/>
      <w:u w:val="none"/>
    </w:rPr>
  </w:style>
  <w:style w:type="character" w:customStyle="1" w:styleId="8">
    <w:name w:val="font41"/>
    <w:basedOn w:val="5"/>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5029</Words>
  <Characters>4118</Characters>
  <Lines>34</Lines>
  <Paragraphs>18</Paragraphs>
  <TotalTime>50</TotalTime>
  <ScaleCrop>false</ScaleCrop>
  <LinksUpToDate>false</LinksUpToDate>
  <CharactersWithSpaces>9129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2018-10-23T02:58:00Z</cp:lastPrinted>
  <dcterms:modified xsi:type="dcterms:W3CDTF">2022-03-14T02:09:51Z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27359DE28286452A8646EE214AF2A991</vt:lpwstr>
  </property>
</Properties>
</file>