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 xml:space="preserve"> 2020</w:t>
      </w:r>
      <w:r>
        <w:rPr>
          <w:rFonts w:hint="eastAsia" w:ascii="方正小标宋简体" w:hAnsi="Times New Roman" w:eastAsia="方正小标宋简体"/>
          <w:sz w:val="36"/>
          <w:szCs w:val="36"/>
        </w:rPr>
        <w:t>年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医保</w:t>
      </w:r>
      <w:r>
        <w:rPr>
          <w:rFonts w:hint="eastAsia" w:ascii="方正小标宋简体" w:hAnsi="Times New Roman" w:eastAsia="方正小标宋简体"/>
          <w:sz w:val="36"/>
          <w:szCs w:val="36"/>
        </w:rPr>
        <w:t>局部门预算公开</w:t>
      </w:r>
    </w:p>
    <w:p>
      <w:pPr>
        <w:adjustRightInd w:val="0"/>
        <w:snapToGrid w:val="0"/>
        <w:spacing w:line="360" w:lineRule="auto"/>
        <w:jc w:val="center"/>
        <w:rPr>
          <w:rFonts w:hint="default" w:ascii="方正小标宋简体" w:hAnsi="Times New Roman" w:eastAsia="方正小标宋简体" w:cs="Times New Roman"/>
          <w:sz w:val="36"/>
          <w:szCs w:val="36"/>
          <w:lang w:val="en-US" w:eastAsia="zh-CN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9" w:firstLineChars="7"/>
        <w:jc w:val="center"/>
        <w:rPr>
          <w:rFonts w:hint="eastAsia" w:ascii="黑体" w:hAnsi="Times New Roman" w:eastAsia="黑体" w:cs="黑体"/>
          <w:spacing w:val="2"/>
          <w:sz w:val="56"/>
          <w:szCs w:val="56"/>
          <w:lang w:val="en-US" w:eastAsia="zh-CN"/>
        </w:rPr>
      </w:pPr>
      <w:r>
        <w:rPr>
          <w:rFonts w:hint="default" w:ascii="黑体" w:hAnsi="Times New Roman" w:eastAsia="黑体" w:cs="黑体"/>
          <w:spacing w:val="2"/>
          <w:sz w:val="56"/>
          <w:szCs w:val="56"/>
          <w:lang w:val="en-US" w:eastAsia="zh-CN"/>
        </w:rPr>
        <w:t>目  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center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default" w:ascii="黑体" w:hAnsi="Times New Roman" w:eastAsia="黑体" w:cs="黑体"/>
          <w:sz w:val="32"/>
          <w:szCs w:val="32"/>
        </w:rPr>
      </w:pPr>
      <w:r>
        <w:rPr>
          <w:rFonts w:hint="default" w:ascii="黑体" w:hAnsi="Times New Roman" w:eastAsia="黑体" w:cs="黑体"/>
          <w:sz w:val="32"/>
          <w:szCs w:val="32"/>
          <w:lang w:val="en-US" w:eastAsia="zh-CN"/>
        </w:rPr>
        <w:t>第一部分  </w:t>
      </w:r>
      <w:r>
        <w:rPr>
          <w:rFonts w:hint="eastAsia" w:ascii="黑体" w:hAnsi="Times New Roman" w:eastAsia="黑体" w:cs="黑体"/>
          <w:sz w:val="32"/>
          <w:szCs w:val="32"/>
          <w:lang w:val="en-US" w:eastAsia="zh-CN"/>
        </w:rPr>
        <w:t>医保局</w:t>
      </w:r>
      <w:r>
        <w:rPr>
          <w:rFonts w:hint="default" w:ascii="黑体" w:hAnsi="Times New Roman" w:eastAsia="黑体" w:cs="黑体"/>
          <w:sz w:val="32"/>
          <w:szCs w:val="32"/>
          <w:lang w:val="en-US" w:eastAsia="zh-CN"/>
        </w:rPr>
        <w:t>概况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一、主要职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责</w:t>
      </w:r>
    </w:p>
    <w:p>
      <w:pPr>
        <w:kinsoku w:val="0"/>
        <w:overflowPunct w:val="0"/>
        <w:adjustRightInd w:val="0"/>
        <w:snapToGrid w:val="0"/>
        <w:spacing w:line="360" w:lineRule="auto"/>
        <w:ind w:right="2006" w:rightChars="0" w:firstLine="960" w:firstLineChars="300"/>
        <w:jc w:val="left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二、</w:t>
      </w:r>
      <w:r>
        <w:rPr>
          <w:rFonts w:hint="eastAsia" w:ascii="仿宋_GB2312" w:hAnsi="Times New Roman" w:eastAsia="仿宋_GB2312" w:cs="仿宋_GB2312"/>
          <w:sz w:val="32"/>
          <w:szCs w:val="32"/>
          <w:highlight w:val="none"/>
          <w:lang w:eastAsia="zh-CN"/>
        </w:rPr>
        <w:t>机构设置及</w:t>
      </w:r>
      <w:r>
        <w:rPr>
          <w:rFonts w:hint="eastAsia" w:ascii="仿宋_GB2312" w:hAnsi="Times New Roman" w:eastAsia="仿宋_GB2312" w:cs="仿宋_GB2312"/>
          <w:sz w:val="32"/>
          <w:szCs w:val="32"/>
          <w:highlight w:val="none"/>
        </w:rPr>
        <w:t>部</w:t>
      </w:r>
      <w:r>
        <w:rPr>
          <w:rFonts w:hint="eastAsia" w:ascii="仿宋_GB2312" w:hAnsi="Times New Roman" w:eastAsia="仿宋_GB2312" w:cs="仿宋_GB2312"/>
          <w:sz w:val="32"/>
          <w:szCs w:val="32"/>
        </w:rPr>
        <w:t>门预算单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黑体" w:hAnsi="Times New Roman" w:eastAsia="黑体" w:cs="黑体"/>
          <w:w w:val="99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第二部分</w:t>
      </w:r>
      <w:r>
        <w:rPr>
          <w:rFonts w:ascii="黑体" w:hAnsi="Times New Roman" w:eastAsia="黑体" w:cs="黑体"/>
          <w:spacing w:val="-38"/>
          <w:sz w:val="32"/>
          <w:szCs w:val="32"/>
        </w:rPr>
        <w:t xml:space="preserve"> </w:t>
      </w:r>
      <w:r>
        <w:rPr>
          <w:rFonts w:hint="eastAsia" w:ascii="黑体" w:hAnsi="Times New Roman" w:eastAsia="黑体" w:cs="黑体"/>
          <w:spacing w:val="-38"/>
          <w:sz w:val="32"/>
          <w:szCs w:val="32"/>
          <w:lang w:eastAsia="zh-CN"/>
        </w:rPr>
        <w:t>医保</w:t>
      </w:r>
      <w:r>
        <w:rPr>
          <w:rFonts w:hint="eastAsia" w:ascii="黑体" w:hAnsi="Times New Roman" w:eastAsia="黑体" w:cs="黑体"/>
          <w:spacing w:val="-38"/>
          <w:sz w:val="32"/>
          <w:szCs w:val="32"/>
        </w:rPr>
        <w:t>局</w:t>
      </w:r>
      <w:r>
        <w:rPr>
          <w:rFonts w:ascii="黑体" w:hAnsi="Times New Roman" w:eastAsia="黑体" w:cs="黑体"/>
          <w:sz w:val="32"/>
          <w:szCs w:val="32"/>
        </w:rPr>
        <w:t>20</w:t>
      </w:r>
      <w:r>
        <w:rPr>
          <w:rFonts w:hint="eastAsia" w:ascii="黑体" w:hAnsi="Times New Roman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Times New Roman" w:eastAsia="黑体" w:cs="黑体"/>
          <w:sz w:val="32"/>
          <w:szCs w:val="32"/>
        </w:rPr>
        <w:t>年部门预算情况说明</w:t>
      </w:r>
      <w:r>
        <w:rPr>
          <w:rFonts w:ascii="黑体" w:hAnsi="Times New Roman" w:eastAsia="黑体" w:cs="黑体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第三部分</w:t>
      </w:r>
      <w:r>
        <w:rPr>
          <w:rFonts w:ascii="黑体" w:hAnsi="Times New Roman" w:eastAsia="黑体" w:cs="黑体"/>
          <w:spacing w:val="-32"/>
          <w:sz w:val="32"/>
          <w:szCs w:val="32"/>
        </w:rPr>
        <w:t xml:space="preserve"> </w:t>
      </w:r>
      <w:r>
        <w:rPr>
          <w:rFonts w:hint="eastAsia" w:ascii="黑体" w:hAnsi="Times New Roman" w:eastAsia="黑体" w:cs="黑体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附件：</w:t>
      </w:r>
      <w:r>
        <w:rPr>
          <w:rFonts w:ascii="黑体" w:hAnsi="Times New Roman" w:eastAsia="黑体" w:cs="黑体"/>
          <w:spacing w:val="-32"/>
          <w:sz w:val="32"/>
          <w:szCs w:val="32"/>
        </w:rPr>
        <w:t xml:space="preserve"> </w:t>
      </w:r>
      <w:r>
        <w:rPr>
          <w:rFonts w:hint="eastAsia" w:ascii="黑体" w:hAnsi="Times New Roman" w:eastAsia="黑体" w:cs="黑体"/>
          <w:spacing w:val="-32"/>
          <w:sz w:val="32"/>
          <w:szCs w:val="32"/>
          <w:lang w:eastAsia="zh-CN"/>
        </w:rPr>
        <w:t>医保局</w:t>
      </w:r>
      <w:r>
        <w:rPr>
          <w:rFonts w:hint="eastAsia" w:ascii="黑体" w:hAnsi="Times New Roman" w:eastAsia="黑体" w:cs="黑体"/>
          <w:sz w:val="32"/>
          <w:szCs w:val="32"/>
        </w:rPr>
        <w:t>20</w:t>
      </w:r>
      <w:r>
        <w:rPr>
          <w:rFonts w:hint="eastAsia" w:ascii="黑体" w:hAnsi="Times New Roman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Times New Roman" w:eastAsia="黑体" w:cs="黑体"/>
          <w:sz w:val="32"/>
          <w:szCs w:val="32"/>
        </w:rPr>
        <w:t>年部门预算表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Times New Roman" w:eastAsia="仿宋_GB2312" w:cs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一般公共预算“三公”经费支出情况表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Times New Roman" w:eastAsia="仿宋_GB2312" w:cs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九、国有资本经营预算支出情况表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240" w:afterAutospacing="0" w:line="560" w:lineRule="atLeast"/>
        <w:ind w:left="0" w:right="0" w:firstLine="602"/>
        <w:jc w:val="center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240" w:afterAutospacing="0" w:line="560" w:lineRule="atLeast"/>
        <w:ind w:left="0" w:right="0" w:firstLine="602"/>
        <w:jc w:val="center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240" w:afterAutospacing="0" w:line="560" w:lineRule="atLeast"/>
        <w:ind w:left="0" w:right="0" w:firstLine="602"/>
        <w:jc w:val="center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883"/>
        <w:jc w:val="center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医保</w:t>
      </w:r>
      <w:r>
        <w:rPr>
          <w:rFonts w:hint="eastAsia" w:ascii="黑体" w:hAnsi="黑体" w:eastAsia="黑体"/>
          <w:sz w:val="32"/>
          <w:szCs w:val="32"/>
        </w:rPr>
        <w:t>局概况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3" w:firstLineChars="20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一、医保局主要职责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72" w:firstLineChars="20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spacing w:val="8"/>
          <w:kern w:val="0"/>
          <w:sz w:val="32"/>
          <w:szCs w:val="32"/>
          <w:shd w:val="clear" w:fill="FFFFFF"/>
          <w:lang w:val="en-US" w:eastAsia="zh-CN" w:bidi="ar"/>
        </w:rPr>
        <w:t>（一）负责医疗保险、生育保险、离休人员医疗保障、医疗救助等医疗保障制度的地方性法规和规章草案、政策、规划和标准的贯彻执行。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72" w:firstLineChars="20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spacing w:val="8"/>
          <w:kern w:val="0"/>
          <w:sz w:val="32"/>
          <w:szCs w:val="32"/>
          <w:shd w:val="clear" w:fill="FFFFFF"/>
          <w:lang w:val="en-US" w:eastAsia="zh-CN" w:bidi="ar"/>
        </w:rPr>
        <w:t>（二）负责医疗保障基金监督管理办法的贯彻执行，建立健全医疗保障基金安全防控机制，推进医疗保障基金支付方式改革。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72" w:firstLineChars="20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spacing w:val="8"/>
          <w:kern w:val="0"/>
          <w:sz w:val="32"/>
          <w:szCs w:val="32"/>
          <w:shd w:val="clear" w:fill="FFFFFF"/>
          <w:lang w:val="en-US" w:eastAsia="zh-CN" w:bidi="ar"/>
        </w:rPr>
        <w:t>（三）负责医疗保障筹资和待遇政策的贯彻执行，</w:t>
      </w:r>
      <w:r>
        <w:rPr>
          <w:rFonts w:hint="default" w:ascii="Arial" w:hAnsi="Arial" w:eastAsia="宋体" w:cs="Arial"/>
          <w:kern w:val="0"/>
          <w:sz w:val="32"/>
          <w:szCs w:val="32"/>
          <w:shd w:val="clear" w:fill="FFFFFF"/>
          <w:lang w:val="en-US" w:eastAsia="zh-CN" w:bidi="ar"/>
        </w:rPr>
        <w:t>完善动态调整和区域调剂平衡机制，统筹城乡医疗保障待遇标准，建立健全与筹资水平相适应的待遇调整机制</w:t>
      </w:r>
      <w:r>
        <w:rPr>
          <w:rFonts w:hint="default" w:ascii="Arial" w:hAnsi="Arial" w:eastAsia="宋体" w:cs="Arial"/>
          <w:spacing w:val="8"/>
          <w:kern w:val="0"/>
          <w:sz w:val="32"/>
          <w:szCs w:val="32"/>
          <w:shd w:val="clear" w:fill="FFFFFF"/>
          <w:lang w:val="en-US" w:eastAsia="zh-CN" w:bidi="ar"/>
        </w:rPr>
        <w:t>。推进长期护理保险制度改革。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72" w:firstLineChars="20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spacing w:val="8"/>
          <w:kern w:val="0"/>
          <w:sz w:val="32"/>
          <w:szCs w:val="32"/>
          <w:shd w:val="clear" w:fill="FFFFFF"/>
          <w:lang w:val="en-US" w:eastAsia="zh-CN" w:bidi="ar"/>
        </w:rPr>
        <w:t>（四）负责城乡统一的药品、医用耗材、医疗服务项目、医疗服务设施等医保目录和支付标准的贯彻执行，建立动态调整机制，贯彻落实医保目录准入谈判规则。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72" w:firstLineChars="20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spacing w:val="8"/>
          <w:kern w:val="0"/>
          <w:sz w:val="32"/>
          <w:szCs w:val="32"/>
          <w:shd w:val="clear" w:fill="FFFFFF"/>
          <w:lang w:val="en-US" w:eastAsia="zh-CN" w:bidi="ar"/>
        </w:rPr>
        <w:t>（五）负责药品、医用耗材价格和医疗服务项目、医疗服务设施收费等政策的贯彻执行，承担医保支付医药服务价格合理确定和动态调整机制的实施，建立价格信息监测和信息发布制度，推动建立市场主导的社会医药服务价格形成机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72" w:firstLineChars="20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spacing w:val="8"/>
          <w:kern w:val="0"/>
          <w:sz w:val="32"/>
          <w:szCs w:val="32"/>
          <w:shd w:val="clear" w:fill="FFFFFF"/>
          <w:lang w:val="en-US" w:eastAsia="zh-CN" w:bidi="ar"/>
        </w:rPr>
        <w:t>（六）负责药品、医用耗材招标采购政策的贯彻执行。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72" w:firstLineChars="20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spacing w:val="8"/>
          <w:kern w:val="0"/>
          <w:sz w:val="32"/>
          <w:szCs w:val="32"/>
          <w:shd w:val="clear" w:fill="FFFFFF"/>
          <w:lang w:val="en-US" w:eastAsia="zh-CN" w:bidi="ar"/>
        </w:rPr>
        <w:t>（七）拟订全区定点医药机构协议和支付管理办法并组织实施，建立健全医疗保障信用评价体系和信息披露制度，监督管理纳入医保范围内的医疗服务行为和医疗费用，依法查处医疗保障领域违法违规行为。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72" w:firstLineChars="20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spacing w:val="8"/>
          <w:kern w:val="0"/>
          <w:sz w:val="32"/>
          <w:szCs w:val="32"/>
          <w:shd w:val="clear" w:fill="FFFFFF"/>
          <w:lang w:val="en-US" w:eastAsia="zh-CN" w:bidi="ar"/>
        </w:rPr>
        <w:t>（八）负责全区医疗保障经办管理、公共服务体系和信息化建设，落实异地就医管理和费用结算政策，建立健全医疗保障关系转移接续制度。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72" w:firstLineChars="20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spacing w:val="8"/>
          <w:kern w:val="0"/>
          <w:sz w:val="32"/>
          <w:szCs w:val="32"/>
          <w:shd w:val="clear" w:fill="FFFFFF"/>
          <w:lang w:val="en-US" w:eastAsia="zh-CN" w:bidi="ar"/>
        </w:rPr>
        <w:t>（九）完成区委、区政府交办的其他任务。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二、医保局预算单位构成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纳入2020年区医保局部门预算的机构：卧龙区医疗保险中心、卧龙区城乡居民医保中心、卧龙区城乡医疗救助中心。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三、医保局股室设置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3" w:firstLineChars="20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 1、办公室。2、医疗保障股。3、医药服务管理股。4、基金监管股。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883"/>
        <w:jc w:val="center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883"/>
        <w:jc w:val="center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第二部分  区医保局2020年度部门预算收支情况说明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一、收入支出预算总体情况说明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医保局2020年收入总计817.16万元，支出总计817.16万元。因医保局为2019年新成立单位，实际经费收支为单位增加预算，故与去年相比没有可比性。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二、收入预算总体情况说明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区医保局2020年财政拨款合计817.16万元，其中：一般公共预算817.16万元，无政府性基金及罚没收入等其他收入。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三、支出预算总体情况说明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区医保局2020年支出合计817.16万元，其中：基本支出654.96万元，占80.15%；项目支出162.2万元，占19.85%。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四、财政拨款收入支出预算总体情况说明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区医保局20</w:t>
      </w:r>
      <w:r>
        <w:rPr>
          <w:rFonts w:hint="eastAsia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财政拨款收入预算</w:t>
      </w: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817.16</w:t>
      </w:r>
      <w:r>
        <w:rPr>
          <w:rFonts w:hint="eastAsia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万元，支出预算</w:t>
      </w: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817.16</w:t>
      </w:r>
      <w:r>
        <w:rPr>
          <w:rFonts w:hint="eastAsia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万元。与上年相比，财政拨款收支预算增加66.56万元，增长8.87%，主要原因：人员经费增加。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五</w:t>
      </w:r>
      <w:r>
        <w:rPr>
          <w:rFonts w:hint="default" w:ascii="Arial" w:hAnsi="Arial" w:eastAsia="宋体" w:cs="Arial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、一般公共预算支出预算情况说明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区医保局2020年一般公共预算支出年初预算为817.16万元。主要用于以下方面：（工资福利支出632.42万元，商品和服务支出18.79万元，对个人和家庭补助支出3.75万元，项目支出162.2万元。）因医保局为2019年新成立单位，实际经费收支为单位增加预算，故与去年相比没有可比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六</w:t>
      </w:r>
      <w:r>
        <w:rPr>
          <w:rFonts w:hint="default" w:ascii="Arial" w:hAnsi="Arial" w:eastAsia="宋体" w:cs="Arial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、一般公共预算基本支出预算情况说明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2020年一般公共预算基本支出 654.96万元，其中：人员经费636.17万元，主要包括：基本工资、津贴补贴、奖金、社会保障缴费、绩效工资、其他工资福利支出、离休费、退休费、退职（役）费、抚恤金、生活补助、奖励金、住房公积金、其他对个人和家庭的补助支出；公用经费18.79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3" w:firstLineChars="20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4A4B4B"/>
          <w:kern w:val="0"/>
          <w:sz w:val="32"/>
          <w:szCs w:val="32"/>
          <w:shd w:val="clear" w:fill="FFFFFF"/>
          <w:lang w:val="en-US" w:eastAsia="zh-CN" w:bidi="ar"/>
        </w:rPr>
        <w:t>七</w:t>
      </w:r>
      <w:r>
        <w:rPr>
          <w:rFonts w:hint="default" w:ascii="Arial" w:hAnsi="Arial" w:eastAsia="宋体" w:cs="Arial"/>
          <w:b/>
          <w:bCs/>
          <w:color w:val="4A4B4B"/>
          <w:kern w:val="0"/>
          <w:sz w:val="32"/>
          <w:szCs w:val="32"/>
          <w:shd w:val="clear" w:fill="FFFFFF"/>
          <w:lang w:val="en-US" w:eastAsia="zh-CN" w:bidi="ar"/>
        </w:rPr>
        <w:t>、政府性基金预算支出情况说明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default" w:ascii="Arial" w:hAnsi="Arial" w:eastAsia="宋体" w:cs="Arial"/>
          <w:color w:val="4A4B4B"/>
          <w:kern w:val="0"/>
          <w:sz w:val="32"/>
          <w:szCs w:val="32"/>
          <w:shd w:val="clear" w:fill="FFFFFF"/>
          <w:lang w:val="en-US" w:eastAsia="zh-CN" w:bidi="ar"/>
        </w:rPr>
        <w:t>年无政府性基金预算支出。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32"/>
          <w:szCs w:val="32"/>
          <w:shd w:val="clear" w:fill="FFFFFF"/>
          <w:lang w:val="en-US" w:eastAsia="zh-CN" w:bidi="ar"/>
        </w:rPr>
        <w:t>八</w:t>
      </w:r>
      <w:r>
        <w:rPr>
          <w:rFonts w:hint="default" w:ascii="Arial" w:hAnsi="Arial" w:eastAsia="宋体" w:cs="Arial"/>
          <w:b/>
          <w:bCs/>
          <w:color w:val="666666"/>
          <w:kern w:val="0"/>
          <w:sz w:val="32"/>
          <w:szCs w:val="32"/>
          <w:shd w:val="clear" w:fill="FFFFFF"/>
          <w:lang w:val="en-US" w:eastAsia="zh-CN" w:bidi="ar"/>
        </w:rPr>
        <w:t>、国有资本经营预算情况说明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default" w:ascii="Arial" w:hAnsi="Arial" w:eastAsia="宋体" w:cs="Arial"/>
          <w:color w:val="666666"/>
          <w:kern w:val="0"/>
          <w:sz w:val="32"/>
          <w:szCs w:val="32"/>
          <w:shd w:val="clear" w:fill="FFFFFF"/>
          <w:lang w:val="en-US" w:eastAsia="zh-CN" w:bidi="ar"/>
        </w:rPr>
        <w:t>年无国有资本经营预算。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32"/>
          <w:szCs w:val="32"/>
          <w:shd w:val="clear" w:fill="FFFFFF"/>
          <w:lang w:val="en-US" w:eastAsia="zh-CN" w:bidi="ar"/>
        </w:rPr>
        <w:t>九</w:t>
      </w:r>
      <w:r>
        <w:rPr>
          <w:rFonts w:hint="default" w:ascii="Arial" w:hAnsi="Arial" w:eastAsia="宋体" w:cs="Arial"/>
          <w:b/>
          <w:bCs/>
          <w:color w:val="666666"/>
          <w:kern w:val="0"/>
          <w:sz w:val="32"/>
          <w:szCs w:val="32"/>
          <w:shd w:val="clear" w:fill="FFFFFF"/>
          <w:lang w:val="en-US" w:eastAsia="zh-CN" w:bidi="ar"/>
        </w:rPr>
        <w:t>、“三公”经费支出预算情况说明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center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default" w:ascii="Arial" w:hAnsi="Arial" w:eastAsia="宋体" w:cs="Arial"/>
          <w:color w:val="4A4B4B"/>
          <w:kern w:val="0"/>
          <w:sz w:val="32"/>
          <w:szCs w:val="32"/>
          <w:shd w:val="clear" w:fill="FFFFFF"/>
          <w:lang w:val="en-US" w:eastAsia="zh-CN" w:bidi="ar"/>
        </w:rPr>
        <w:t>年“三公”经费预算为12万元。具体支出情况如下：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4A4B4B"/>
          <w:kern w:val="0"/>
          <w:sz w:val="32"/>
          <w:szCs w:val="32"/>
          <w:shd w:val="clear" w:fill="FFFFFF"/>
          <w:lang w:val="en-US" w:eastAsia="zh-CN" w:bidi="ar"/>
        </w:rPr>
        <w:t>（一）因公出国（境）费0万元，因单位是新成立的，2019年除没有年初预算，所以没有可比性。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4A4B4B"/>
          <w:kern w:val="0"/>
          <w:sz w:val="32"/>
          <w:szCs w:val="32"/>
          <w:shd w:val="clear" w:fill="FFFFFF"/>
          <w:lang w:val="en-US" w:eastAsia="zh-CN" w:bidi="ar"/>
        </w:rPr>
        <w:t>（二）公务用车购置及运行费：5.5万元，其中，公务用车购置：0万元；公务用车运行费5.5万元。因单位是新成立的，2019年除没有年初预算，所以没有可比性。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4A4B4B"/>
          <w:kern w:val="0"/>
          <w:sz w:val="32"/>
          <w:szCs w:val="32"/>
          <w:shd w:val="clear" w:fill="FFFFFF"/>
          <w:lang w:val="en-US" w:eastAsia="zh-CN" w:bidi="ar"/>
        </w:rPr>
        <w:t>（三）公务接待费：6.5万元，因单位是新成立的，2019年除没有年初预算，所以没有可比性。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666666"/>
          <w:kern w:val="0"/>
          <w:sz w:val="32"/>
          <w:szCs w:val="32"/>
          <w:shd w:val="clear" w:fill="FFFFFF"/>
          <w:lang w:val="en-US" w:eastAsia="zh-CN" w:bidi="ar"/>
        </w:rPr>
        <w:t>十</w:t>
      </w:r>
      <w:bookmarkStart w:id="0" w:name="_GoBack"/>
      <w:bookmarkEnd w:id="0"/>
      <w:r>
        <w:rPr>
          <w:rFonts w:hint="default" w:ascii="Arial" w:hAnsi="Arial" w:eastAsia="宋体" w:cs="Arial"/>
          <w:b/>
          <w:bCs/>
          <w:color w:val="666666"/>
          <w:kern w:val="0"/>
          <w:sz w:val="32"/>
          <w:szCs w:val="32"/>
          <w:shd w:val="clear" w:fill="FFFFFF"/>
          <w:lang w:val="en-US" w:eastAsia="zh-CN" w:bidi="ar"/>
        </w:rPr>
        <w:t>、其他重要事项的情况说明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color w:val="4A4B4B"/>
          <w:kern w:val="0"/>
          <w:sz w:val="32"/>
          <w:szCs w:val="32"/>
          <w:shd w:val="clear" w:fill="FFFFFF"/>
          <w:lang w:val="en-US" w:eastAsia="zh-CN" w:bidi="ar"/>
        </w:rPr>
        <w:t>（一）机关运行经费支出情况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default" w:ascii="Arial" w:hAnsi="Arial" w:eastAsia="宋体" w:cs="Arial"/>
          <w:color w:val="4A4B4B"/>
          <w:kern w:val="0"/>
          <w:sz w:val="32"/>
          <w:szCs w:val="32"/>
          <w:shd w:val="clear" w:fill="FFFFFF"/>
          <w:lang w:val="en-US" w:eastAsia="zh-CN" w:bidi="ar"/>
        </w:rPr>
        <w:t>年机关运行经费支出预算660.46万元，主要保障机关正常运转及正常履职需要。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color w:val="4A4B4B"/>
          <w:kern w:val="0"/>
          <w:sz w:val="32"/>
          <w:szCs w:val="32"/>
          <w:shd w:val="clear" w:fill="FFFFFF"/>
          <w:lang w:val="en-US" w:eastAsia="zh-CN" w:bidi="ar"/>
        </w:rPr>
        <w:t>（二）政府采购支出情况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default" w:ascii="Arial" w:hAnsi="Arial" w:eastAsia="宋体" w:cs="Arial"/>
          <w:color w:val="4A4B4B"/>
          <w:kern w:val="0"/>
          <w:sz w:val="32"/>
          <w:szCs w:val="32"/>
          <w:shd w:val="clear" w:fill="FFFFFF"/>
          <w:lang w:val="en-US" w:eastAsia="zh-CN" w:bidi="ar"/>
        </w:rPr>
        <w:t>年没有安排政府采购预算。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color w:val="4A4B4B"/>
          <w:kern w:val="0"/>
          <w:sz w:val="32"/>
          <w:szCs w:val="32"/>
          <w:shd w:val="clear" w:fill="FFFFFF"/>
          <w:lang w:val="en-US" w:eastAsia="zh-CN" w:bidi="ar"/>
        </w:rPr>
        <w:t>（三）关于预算绩效管理工作开展情况说明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default" w:ascii="Arial" w:hAnsi="Arial" w:eastAsia="宋体" w:cs="Arial"/>
          <w:color w:val="4A4B4B"/>
          <w:kern w:val="0"/>
          <w:sz w:val="32"/>
          <w:szCs w:val="32"/>
          <w:shd w:val="clear" w:fill="FFFFFF"/>
          <w:lang w:val="en-US" w:eastAsia="zh-CN" w:bidi="ar"/>
        </w:rPr>
        <w:t>年无开展预算绩效管理工作。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b/>
          <w:bCs/>
          <w:color w:val="4A4B4B"/>
          <w:kern w:val="0"/>
          <w:sz w:val="32"/>
          <w:szCs w:val="32"/>
          <w:shd w:val="clear" w:fill="FFFFFF"/>
          <w:lang w:val="en-US" w:eastAsia="zh-CN" w:bidi="ar"/>
        </w:rPr>
        <w:t>（四）关于专项转移支付项目情况说明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color w:val="333333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default" w:ascii="Arial" w:hAnsi="Arial" w:eastAsia="宋体" w:cs="Arial"/>
          <w:color w:val="4A4B4B"/>
          <w:kern w:val="0"/>
          <w:sz w:val="32"/>
          <w:szCs w:val="32"/>
          <w:shd w:val="clear" w:fill="FFFFFF"/>
          <w:lang w:val="en-US" w:eastAsia="zh-CN" w:bidi="ar"/>
        </w:rPr>
        <w:t>年，无使用专项转移制度的项目。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center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一、财政拨款收入：是指省级财政当年拨付的资金。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五、基本支出：是指为保障机构正常运转、完成日常工作任务所必需的开支，其内容包括人员经费和日常公用经费两部分。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六、项目支出：是指在基本支出之外，为完成特定的行政工作任务或事业发展目标所发生的支出。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医保</w:t>
      </w:r>
      <w:r>
        <w:rPr>
          <w:rFonts w:hint="eastAsia" w:ascii="黑体" w:hAnsi="黑体" w:eastAsia="黑体"/>
          <w:sz w:val="32"/>
          <w:szCs w:val="32"/>
        </w:rPr>
        <w:t>局20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/>
          <w:sz w:val="32"/>
          <w:szCs w:val="32"/>
        </w:rPr>
        <w:t>年部门预算表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B30A0"/>
    <w:rsid w:val="2413451E"/>
    <w:rsid w:val="617B30A0"/>
    <w:rsid w:val="7E6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2021-06-08T20:17:00Z</dcterms:created>
  <dc:creator>DELL</dc:creator>
  <cp:lastModifiedBy>DELL</cp:lastModifiedBy>
  <dcterms:modified xsi:type="dcterms:W3CDTF">2021-06-11T04:54:44Z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5F2B9F778B744CFEA116FB92C98A713F</vt:lpwstr>
  </property>
</Properties>
</file>