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ascii="仿宋_GB2312" w:hAnsi="MingLiU" w:eastAsia="仿宋_GB2312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MingLiU" w:eastAsia="仿宋_GB2312" w:cs="宋体"/>
          <w:b/>
          <w:bCs/>
          <w:color w:val="666666"/>
          <w:kern w:val="0"/>
          <w:sz w:val="44"/>
          <w:szCs w:val="44"/>
        </w:rPr>
        <w:t>目 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第一部分部门概况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一、主要职责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二、部门预算单位构成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第二部分卧龙区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2020年部门预算情况说明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附件：卧龙区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2020年度部门预算表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pacing w:line="400" w:lineRule="atLeast"/>
        <w:ind w:firstLine="1600" w:firstLineChars="500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表九、国有资本经营预算支出情况表</w:t>
      </w:r>
    </w:p>
    <w:p>
      <w:pPr>
        <w:widowControl/>
        <w:spacing w:line="400" w:lineRule="atLeast"/>
        <w:jc w:val="center"/>
        <w:rPr>
          <w:rFonts w:ascii="宋体" w:hAnsi="宋体"/>
          <w:b/>
          <w:bCs/>
          <w:color w:val="4A4B4B"/>
          <w:sz w:val="44"/>
          <w:szCs w:val="44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br w:type="page"/>
      </w:r>
      <w:r>
        <w:rPr>
          <w:rFonts w:hint="eastAsia" w:ascii="宋体" w:hAnsi="宋体"/>
          <w:b/>
          <w:bCs/>
          <w:color w:val="4A4B4B"/>
          <w:sz w:val="44"/>
          <w:szCs w:val="44"/>
        </w:rPr>
        <w:t>卧龙区</w:t>
      </w:r>
      <w:r>
        <w:rPr>
          <w:rFonts w:hint="eastAsia" w:ascii="宋体" w:hAnsi="宋体"/>
          <w:b/>
          <w:bCs/>
          <w:color w:val="4A4B4B"/>
          <w:sz w:val="44"/>
          <w:szCs w:val="44"/>
          <w:lang w:eastAsia="zh-CN"/>
        </w:rPr>
        <w:t>应急管理局</w:t>
      </w:r>
      <w:r>
        <w:rPr>
          <w:rFonts w:hint="eastAsia" w:ascii="宋体" w:hAnsi="宋体"/>
          <w:b/>
          <w:bCs/>
          <w:color w:val="4A4B4B"/>
          <w:sz w:val="44"/>
          <w:szCs w:val="44"/>
        </w:rPr>
        <w:t>2020年部门预算公开</w:t>
      </w:r>
    </w:p>
    <w:p>
      <w:pPr>
        <w:widowControl/>
        <w:spacing w:line="400" w:lineRule="atLeast"/>
        <w:jc w:val="center"/>
        <w:rPr>
          <w:rFonts w:ascii="宋体" w:hAnsi="宋体"/>
          <w:b/>
          <w:bCs/>
          <w:color w:val="4A4B4B"/>
          <w:sz w:val="44"/>
          <w:szCs w:val="44"/>
        </w:rPr>
      </w:pPr>
      <w:r>
        <w:rPr>
          <w:rFonts w:hint="eastAsia" w:ascii="宋体" w:hAnsi="宋体"/>
          <w:b/>
          <w:bCs/>
          <w:color w:val="4A4B4B"/>
          <w:sz w:val="44"/>
          <w:szCs w:val="44"/>
        </w:rPr>
        <w:t xml:space="preserve"> </w:t>
      </w:r>
    </w:p>
    <w:p>
      <w:pPr>
        <w:widowControl/>
        <w:spacing w:line="400" w:lineRule="atLeast"/>
        <w:jc w:val="center"/>
        <w:rPr>
          <w:rFonts w:ascii="黑体" w:hAnsi="宋体" w:eastAsia="黑体"/>
          <w:color w:val="4A4B4B"/>
          <w:sz w:val="32"/>
          <w:szCs w:val="32"/>
        </w:rPr>
      </w:pPr>
      <w:r>
        <w:rPr>
          <w:rFonts w:hint="eastAsia" w:ascii="黑体" w:hAnsi="宋体" w:eastAsia="黑体"/>
          <w:color w:val="4A4B4B"/>
          <w:sz w:val="32"/>
          <w:szCs w:val="32"/>
        </w:rPr>
        <w:t>第一部分</w:t>
      </w:r>
    </w:p>
    <w:p>
      <w:pPr>
        <w:widowControl/>
        <w:spacing w:line="400" w:lineRule="atLeast"/>
        <w:jc w:val="center"/>
        <w:rPr>
          <w:rFonts w:ascii="仿宋" w:hAnsi="宋体" w:eastAsia="仿宋"/>
          <w:b/>
          <w:bCs/>
          <w:color w:val="4A4B4B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宋体" w:eastAsia="仿宋"/>
          <w:b/>
          <w:bCs/>
          <w:color w:val="4A4B4B"/>
          <w:sz w:val="32"/>
          <w:szCs w:val="32"/>
        </w:rPr>
      </w:pP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卧龙区</w:t>
      </w:r>
      <w:r>
        <w:rPr>
          <w:rFonts w:hint="eastAsia" w:ascii="仿宋" w:hAnsi="宋体" w:eastAsia="仿宋"/>
          <w:b/>
          <w:bCs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概况</w:t>
      </w:r>
    </w:p>
    <w:p>
      <w:pPr>
        <w:widowControl/>
        <w:ind w:firstLine="723" w:firstLineChars="200"/>
        <w:jc w:val="left"/>
        <w:rPr>
          <w:rFonts w:ascii="仿宋" w:hAnsi="宋体" w:eastAsia="仿宋"/>
          <w:b/>
          <w:color w:val="4A4B4B"/>
          <w:sz w:val="36"/>
          <w:szCs w:val="32"/>
        </w:rPr>
      </w:pPr>
    </w:p>
    <w:p>
      <w:pPr>
        <w:widowControl/>
        <w:ind w:firstLine="643" w:firstLineChars="200"/>
        <w:jc w:val="left"/>
        <w:rPr>
          <w:rFonts w:ascii="仿宋_GB2312" w:hAnsi="宋体" w:eastAsia="仿宋_GB2312"/>
          <w:b/>
          <w:color w:val="4A4B4B"/>
          <w:sz w:val="32"/>
          <w:szCs w:val="32"/>
        </w:rPr>
      </w:pPr>
      <w:r>
        <w:rPr>
          <w:rFonts w:hint="eastAsia" w:ascii="仿宋_GB2312" w:hAnsi="宋体" w:eastAsia="仿宋_GB2312"/>
          <w:b/>
          <w:color w:val="4A4B4B"/>
          <w:sz w:val="32"/>
          <w:szCs w:val="32"/>
        </w:rPr>
        <w:t>一、卧龙区</w:t>
      </w:r>
      <w:r>
        <w:rPr>
          <w:rFonts w:hint="eastAsia" w:ascii="仿宋_GB2312" w:hAnsi="宋体" w:eastAsia="仿宋_GB2312"/>
          <w:b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_GB2312" w:hAnsi="宋体" w:eastAsia="仿宋_GB2312"/>
          <w:b/>
          <w:color w:val="4A4B4B"/>
          <w:sz w:val="32"/>
          <w:szCs w:val="32"/>
        </w:rPr>
        <w:t>主要职责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(一）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负责全区应急管理工作，指导各部门应对安全生产 类、自然灾害类等突发事件和综合防灾减灾救灾工作。负责全 区安全生产综合监督管理和工矿商贸行业安全生产监督管理 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(二）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拟订全区应急管理、安全生产等政策性规定，组织 编制区应急体系建设、安全生产和综合防灾减灾规划，贯彻落 实国家和省、市关于应急管理相关的法律法规，组织制定相关 规程和标准并监督实施。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(三）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指导全区应急预案体系建设，建立完善事故灾难和 自然灾害分级应对制度，组织编制全区总体应急预案和安全生 产类、自然灾害类专项预案，综合协调应急预案衔接工作，组 织开展预案演练，推动应急避难设施建设。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(四）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牵头建立统一的全区应急管理信息系统，负责信息 传输和共享，建立监测预警和灾情报告制度，健全自然灾害信 息资源获取和共享机制，依法统一发布灾情。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(五）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组织指导协调安全生产类、自然灾害类等突发事件 应急救援，承担区应对较大事故灾害指挥部工作，综合研判突 发事件发展态势并提出应对建议，协助区委、区政府指定的负 责同志组织较大事故灾害应急处置工作。</w:t>
      </w:r>
    </w:p>
    <w:p>
      <w:pPr>
        <w:widowControl/>
        <w:ind w:firstLine="562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b/>
          <w:bCs/>
          <w:sz w:val="28"/>
          <w:szCs w:val="28"/>
          <w:lang w:bidi="zh-TW"/>
        </w:rPr>
        <w:t>(六）</w:t>
      </w:r>
      <w:r>
        <w:rPr>
          <w:rFonts w:hint="eastAsia" w:ascii="仿宋_GB2312" w:eastAsia="仿宋_GB2312"/>
          <w:b/>
          <w:bCs/>
          <w:sz w:val="28"/>
          <w:szCs w:val="28"/>
          <w:lang w:bidi="zh-TW"/>
        </w:rPr>
        <w:t xml:space="preserve"> </w:t>
      </w:r>
      <w:r>
        <w:rPr>
          <w:rFonts w:ascii="仿宋_GB2312" w:eastAsia="仿宋_GB2312"/>
          <w:sz w:val="28"/>
          <w:szCs w:val="28"/>
          <w:lang w:bidi="zh-TW"/>
        </w:rPr>
        <w:t>统一协调指挥各类应急专业队伍，建立应急协调联 动机制，推进指挥平台对接，衔接驻宛解放军和武警部队参与 应急救援工作。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(七）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统筹应急救援力量建设，负责森林和草原火灾扑救、 抗洪抢险、地震和地质灾害救援、生产安全事故救援等专业应_ 急救援力量建设。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(八）指导消防监督</w:t>
      </w:r>
      <w:r>
        <w:rPr>
          <w:rFonts w:hint="eastAsia" w:ascii="仿宋_GB2312" w:eastAsia="仿宋_GB2312"/>
          <w:sz w:val="28"/>
          <w:szCs w:val="28"/>
          <w:lang w:bidi="zh-TW"/>
        </w:rPr>
        <w:t>与</w:t>
      </w:r>
      <w:r>
        <w:rPr>
          <w:rFonts w:ascii="仿宋_GB2312" w:eastAsia="仿宋_GB2312"/>
          <w:sz w:val="28"/>
          <w:szCs w:val="28"/>
          <w:lang w:bidi="zh-TW"/>
        </w:rPr>
        <w:t>火灾预防</w:t>
      </w:r>
      <w:r>
        <w:rPr>
          <w:rFonts w:hint="eastAsia" w:ascii="仿宋_GB2312" w:eastAsia="仿宋_GB2312"/>
          <w:sz w:val="28"/>
          <w:szCs w:val="28"/>
          <w:lang w:bidi="zh-TW"/>
        </w:rPr>
        <w:t>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(九）</w:t>
      </w:r>
      <w:r>
        <w:rPr>
          <w:rFonts w:ascii="仿宋_GB2312" w:eastAsia="仿宋_GB2312"/>
          <w:sz w:val="28"/>
          <w:szCs w:val="28"/>
          <w:lang w:bidi="zh-TW"/>
        </w:rPr>
        <w:tab/>
      </w:r>
      <w:r>
        <w:rPr>
          <w:rFonts w:ascii="仿宋_GB2312" w:eastAsia="仿宋_GB2312"/>
          <w:sz w:val="28"/>
          <w:szCs w:val="28"/>
          <w:lang w:bidi="zh-TW"/>
        </w:rPr>
        <w:t>统筹协调全区森林和草原火灾、水旱灾害、地质灾 害等防治工作，负责自然灾害综合监测预警工作，指导开展自 然灾害综合风险评估工作。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(十）组织协调全区灾害救助工作，组织指导灾情核查、 损失评估、救灾捐赠工作，按权限管理、分配救灾款物并监督使用。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(十一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依法行使安全生产综合监督管理职权，指导协调、 监督检查区政府有关部门安全生产工作，督促、指导安全生产 责任落实。组织开展安全生产巡查、考核工作。承担区安全生 产委员会日常工作。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(十二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按照分级、属地原则，依法监督检查工矿商贸生 产经营单位贯彻执行安全生产法律法规情况，及其安全生产条 件和有关设备</w:t>
      </w:r>
      <w:r>
        <w:rPr>
          <w:rFonts w:ascii="仿宋_GB2312" w:eastAsia="仿宋_GB2312"/>
          <w:sz w:val="28"/>
          <w:szCs w:val="28"/>
          <w:lang w:bidi="en-US"/>
        </w:rPr>
        <w:t>（</w:t>
      </w:r>
      <w:r>
        <w:rPr>
          <w:rFonts w:ascii="仿宋_GB2312" w:eastAsia="仿宋_GB2312"/>
          <w:sz w:val="28"/>
          <w:szCs w:val="28"/>
          <w:lang w:bidi="zh-TW"/>
        </w:rPr>
        <w:t>特种设备除外)、材料、劳动防护用品的安全 生产管理工作。依法组织并指导监督实施安全生产准入制度。 负责危险化学品安全监督管理综合工作和烟花爆竹经营企业 安全生产监督管理工作。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(十三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依法组织指导生产安全事故调查处理，监督事故 查处和责任追究落实情况。组织开展自然灾害类突发事件的调 查评估工作；协助上级调查处理重大以上事故；综合管理全区生产安全伤亡事故、事故隐患排查治理、安全生产统计分析工 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(十四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制定应急物资储备和应急救援装备规划并组织实施，会同区粮食和物资储备局等部门建立健全应急物资信息平 台和调拨制度，在救灾时统一调度。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(十五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负责应急管理、安全生产宣传教育和培训工作， 组织指导应急管理、安全生产的科学技术研究、推广应用和信 息化建设工作。依法组织、指导并监督特种作业人员操作资格 考核工作和工矿商贸生产经营单位主要负责人、安全生产管理 人员安全生产知识和管理能力考核工作，监督检查工矿商贸生 产经营单位安全培训工作；监督、指导注册安全工程师执业资 格考试和注册管理工作。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(十六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负责监督指导和组织协调全区安全生产行政执法 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(十七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贯彻执行国家、省、市防震减灾工作的方针、政 策及有关法律、法规，并监督检查其执行情况。负责区政府防 震抗震指挥部日常工作，负责本行政区域内地震安全性评价的管理和监督</w:t>
      </w:r>
      <w:r>
        <w:rPr>
          <w:rFonts w:ascii="仿宋_GB2312" w:eastAsia="仿宋_GB2312"/>
          <w:sz w:val="28"/>
          <w:szCs w:val="28"/>
          <w:vertAlign w:val="subscript"/>
          <w:lang w:bidi="zh-TW"/>
        </w:rPr>
        <w:t>；</w:t>
      </w:r>
      <w:r>
        <w:rPr>
          <w:rFonts w:ascii="仿宋_GB2312" w:eastAsia="仿宋_GB2312"/>
          <w:sz w:val="28"/>
          <w:szCs w:val="28"/>
          <w:lang w:bidi="zh-TW"/>
        </w:rPr>
        <w:t>指导和</w:t>
      </w:r>
      <w:r>
        <w:rPr>
          <w:rFonts w:hint="eastAsia" w:ascii="仿宋_GB2312" w:eastAsia="仿宋_GB2312"/>
          <w:sz w:val="28"/>
          <w:szCs w:val="28"/>
          <w:lang w:bidi="zh-TW"/>
        </w:rPr>
        <w:t>部署防震减灾</w:t>
      </w:r>
      <w:r>
        <w:rPr>
          <w:rFonts w:ascii="仿宋_GB2312" w:eastAsia="仿宋_GB2312"/>
          <w:sz w:val="28"/>
          <w:szCs w:val="28"/>
          <w:lang w:bidi="zh-TW"/>
        </w:rPr>
        <w:t>工 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(十八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开展应急管理方面的交流与合作，组织参与安全 生产类、自然灾害类等突发事件的救援工作。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  <w:r>
        <w:rPr>
          <w:rFonts w:ascii="仿宋_GB2312" w:eastAsia="仿宋_GB2312"/>
          <w:sz w:val="28"/>
          <w:szCs w:val="28"/>
          <w:lang w:bidi="zh-TW"/>
        </w:rPr>
        <w:t>(十九</w:t>
      </w:r>
      <w:r>
        <w:rPr>
          <w:rFonts w:ascii="仿宋_GB2312" w:eastAsia="仿宋_GB2312"/>
          <w:sz w:val="28"/>
          <w:szCs w:val="28"/>
          <w:lang w:bidi="en-US"/>
        </w:rPr>
        <w:t>）</w:t>
      </w:r>
      <w:r>
        <w:rPr>
          <w:rFonts w:ascii="仿宋_GB2312" w:eastAsia="仿宋_GB2312"/>
          <w:sz w:val="28"/>
          <w:szCs w:val="28"/>
          <w:lang w:bidi="zh-TW"/>
        </w:rPr>
        <w:t>完成区委、区政府交办的其他任务。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  <w:lang w:bidi="zh-TW"/>
        </w:rPr>
      </w:pPr>
    </w:p>
    <w:p>
      <w:pPr>
        <w:widowControl/>
        <w:ind w:firstLine="602" w:firstLineChars="200"/>
        <w:jc w:val="left"/>
        <w:rPr>
          <w:rFonts w:ascii="仿宋_GB2312" w:hAnsi="宋体" w:eastAsia="仿宋_GB2312"/>
          <w:b/>
          <w:color w:val="4A4B4B"/>
          <w:sz w:val="30"/>
          <w:szCs w:val="30"/>
        </w:rPr>
      </w:pPr>
      <w:r>
        <w:rPr>
          <w:rFonts w:hint="eastAsia" w:ascii="仿宋_GB2312" w:hAnsi="宋体" w:eastAsia="仿宋_GB2312"/>
          <w:b/>
          <w:color w:val="4A4B4B"/>
          <w:sz w:val="30"/>
          <w:szCs w:val="30"/>
        </w:rPr>
        <w:t>二、机构设置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4A4B4B"/>
          <w:sz w:val="28"/>
          <w:szCs w:val="28"/>
          <w:lang w:bidi="zh-TW"/>
        </w:rPr>
      </w:pPr>
      <w:r>
        <w:rPr>
          <w:rFonts w:hint="eastAsia" w:ascii="仿宋_GB2312" w:hAnsi="宋体" w:eastAsia="仿宋_GB2312"/>
          <w:color w:val="4A4B4B"/>
          <w:sz w:val="28"/>
          <w:szCs w:val="28"/>
          <w:lang w:bidi="zh-TW"/>
        </w:rPr>
        <w:t>(一）综合股。负责机关曰常运转工作;承担信息、安全、 保密、信访、政务公开、应急管理信息宣传教育和重要文稿起 草等工作；负责机关和直属单位干部人事、机构编制、劳动工 资、干部思想政治建设和队伍建设工作；组织全区应急管理局 系统干部教育培训工作，组织党政领导干部的应急管理知识培 训工作；负责内部审计、资产管理、党务、党风廉政、意识形 态、退休、后勤管理等内部管理工作；负责行政审批相关工作。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4A4B4B"/>
          <w:sz w:val="28"/>
          <w:szCs w:val="28"/>
          <w:lang w:bidi="zh-TW"/>
        </w:rPr>
      </w:pPr>
      <w:r>
        <w:rPr>
          <w:rFonts w:hint="eastAsia" w:ascii="仿宋_GB2312" w:hAnsi="宋体" w:eastAsia="仿宋_GB2312"/>
          <w:color w:val="4A4B4B"/>
          <w:sz w:val="28"/>
          <w:szCs w:val="28"/>
          <w:lang w:bidi="zh-TW"/>
        </w:rPr>
        <w:t>(二）应急管理股。承担值班值守、政务值班等工作，拟 订事故灾难和自然灾害分级应对制度，发布预警和灾情信息， 统筹应急预案体系建设，组织应急相关工作，组织地质灾害应急救援；监督实施地方性 消防法规和技术标准，指导城镇、农村、森林、草原消防工作 规划编制并推进落实，指导消防监督、火灾预防、火灾扑救工 作；组织协调水旱灾害应急救援工作，协调指导重要江河湖泊 和重要水工程实施防御洪水抗御旱灾调度和应急水量调度工 作，组织协调台风防御工作。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4A4B4B"/>
          <w:sz w:val="28"/>
          <w:szCs w:val="28"/>
          <w:lang w:bidi="zh-TW"/>
        </w:rPr>
      </w:pPr>
      <w:r>
        <w:rPr>
          <w:rFonts w:hint="eastAsia" w:ascii="仿宋_GB2312" w:hAnsi="宋体" w:eastAsia="仿宋_GB2312"/>
          <w:color w:val="4A4B4B"/>
          <w:sz w:val="28"/>
          <w:szCs w:val="28"/>
          <w:lang w:bidi="zh-TW"/>
        </w:rPr>
        <w:t>(三）安全生产监督管理股。负责化工（含石油化工）、医 药、危险化学品和烟花爆竹安全生产监督管理工作，承担危险 化学品安全监督管理综合工作，承担有关安全生产准入管理工 作；组织指导区内危险化学品登记，指导非药品类易制毒化学 品生产经营监督管理工作；负责非煤矿山（含地质勘探)、石 油</w:t>
      </w:r>
      <w:r>
        <w:rPr>
          <w:rFonts w:hint="eastAsia" w:ascii="仿宋_GB2312" w:hAnsi="宋体" w:eastAsia="仿宋_GB2312"/>
          <w:b/>
          <w:bCs/>
          <w:color w:val="4A4B4B"/>
          <w:sz w:val="28"/>
          <w:szCs w:val="28"/>
          <w:lang w:bidi="zh-TW"/>
        </w:rPr>
        <w:t>（不</w:t>
      </w:r>
      <w:r>
        <w:rPr>
          <w:rFonts w:hint="eastAsia" w:ascii="仿宋_GB2312" w:hAnsi="宋体" w:eastAsia="仿宋_GB2312"/>
          <w:color w:val="4A4B4B"/>
          <w:sz w:val="28"/>
          <w:szCs w:val="28"/>
          <w:lang w:bidi="zh-TW"/>
        </w:rPr>
        <w:t>含炼化、成品油管道</w:t>
      </w:r>
      <w:r>
        <w:rPr>
          <w:rFonts w:hint="eastAsia" w:ascii="仿宋_GB2312" w:hAnsi="宋体" w:eastAsia="仿宋_GB2312"/>
          <w:b/>
          <w:bCs/>
          <w:color w:val="4A4B4B"/>
          <w:sz w:val="28"/>
          <w:szCs w:val="28"/>
          <w:lang w:bidi="en-US"/>
        </w:rPr>
        <w:t>）</w:t>
      </w:r>
      <w:r>
        <w:rPr>
          <w:rFonts w:hint="eastAsia" w:ascii="仿宋_GB2312" w:hAnsi="宋体" w:eastAsia="仿宋_GB2312"/>
          <w:color w:val="4A4B4B"/>
          <w:sz w:val="28"/>
          <w:szCs w:val="28"/>
          <w:lang w:bidi="zh-TW"/>
        </w:rPr>
        <w:t>行业安全生产基础工作；负责受理生产安全事故的 举报、查处和举报奖励等工作。</w:t>
      </w:r>
    </w:p>
    <w:p>
      <w:pPr>
        <w:widowControl/>
        <w:spacing w:line="400" w:lineRule="atLeast"/>
        <w:rPr>
          <w:rFonts w:ascii="仿宋_GB2312" w:hAnsi="宋体" w:eastAsia="仿宋_GB2312"/>
          <w:color w:val="4A4B4B"/>
          <w:sz w:val="28"/>
          <w:szCs w:val="28"/>
        </w:rPr>
      </w:pPr>
      <w:r>
        <w:rPr>
          <w:rFonts w:hint="eastAsia" w:ascii="仿宋_GB2312" w:hAnsi="宋体" w:eastAsia="仿宋_GB2312"/>
          <w:color w:val="4A4B4B"/>
          <w:sz w:val="28"/>
          <w:szCs w:val="28"/>
        </w:rPr>
        <w:t xml:space="preserve">    从预算单位构成来看，</w:t>
      </w:r>
      <w:r>
        <w:rPr>
          <w:rFonts w:hint="eastAsia" w:ascii="仿宋_GB2312" w:hAnsi="宋体" w:eastAsia="仿宋_GB2312"/>
          <w:color w:val="4A4B4B"/>
          <w:sz w:val="28"/>
          <w:szCs w:val="28"/>
          <w:lang w:eastAsia="zh-CN"/>
        </w:rPr>
        <w:t>应急管理局</w:t>
      </w:r>
      <w:r>
        <w:rPr>
          <w:rFonts w:hint="eastAsia" w:ascii="仿宋_GB2312" w:hAnsi="宋体" w:eastAsia="仿宋_GB2312"/>
          <w:color w:val="4A4B4B"/>
          <w:sz w:val="28"/>
          <w:szCs w:val="28"/>
        </w:rPr>
        <w:t>预算包括</w:t>
      </w:r>
      <w:r>
        <w:rPr>
          <w:rFonts w:hint="eastAsia" w:ascii="仿宋_GB2312" w:hAnsi="宋体" w:eastAsia="仿宋_GB2312"/>
          <w:color w:val="4A4B4B"/>
          <w:sz w:val="28"/>
          <w:szCs w:val="28"/>
          <w:lang w:eastAsia="zh-CN"/>
        </w:rPr>
        <w:t>应急管理局</w:t>
      </w:r>
      <w:r>
        <w:rPr>
          <w:rFonts w:hint="eastAsia" w:ascii="仿宋_GB2312" w:hAnsi="宋体" w:eastAsia="仿宋_GB2312"/>
          <w:color w:val="4A4B4B"/>
          <w:sz w:val="28"/>
          <w:szCs w:val="28"/>
        </w:rPr>
        <w:t>局本级预算。2019年执行新政府会计制度。</w:t>
      </w:r>
    </w:p>
    <w:p>
      <w:pPr>
        <w:widowControl/>
        <w:spacing w:line="400" w:lineRule="atLeast"/>
        <w:jc w:val="center"/>
        <w:rPr>
          <w:rFonts w:ascii="黑体" w:hAnsi="宋体" w:eastAsia="黑体"/>
          <w:color w:val="4A4B4B"/>
          <w:sz w:val="32"/>
          <w:szCs w:val="32"/>
        </w:rPr>
      </w:pPr>
      <w:r>
        <w:rPr>
          <w:rFonts w:hint="eastAsia" w:ascii="仿宋_GB2312" w:hAnsi="宋体" w:eastAsia="仿宋_GB2312"/>
          <w:color w:val="4A4B4B"/>
          <w:sz w:val="28"/>
          <w:szCs w:val="28"/>
        </w:rPr>
        <w:br w:type="page"/>
      </w:r>
      <w:r>
        <w:rPr>
          <w:rFonts w:hint="eastAsia" w:ascii="黑体" w:hAnsi="宋体" w:eastAsia="黑体"/>
          <w:color w:val="4A4B4B"/>
          <w:sz w:val="32"/>
          <w:szCs w:val="32"/>
        </w:rPr>
        <w:t>第二部分</w:t>
      </w:r>
    </w:p>
    <w:p>
      <w:pPr>
        <w:widowControl/>
        <w:spacing w:line="400" w:lineRule="atLeast"/>
        <w:jc w:val="center"/>
        <w:rPr>
          <w:rFonts w:ascii="宋体" w:hAnsi="宋体" w:cs="宋体"/>
          <w:color w:val="4A4B4B"/>
          <w:kern w:val="0"/>
          <w:sz w:val="24"/>
        </w:rPr>
      </w:pPr>
      <w:r>
        <w:rPr>
          <w:rFonts w:hint="eastAsia" w:ascii="仿宋" w:hAnsi="宋体" w:eastAsia="仿宋"/>
          <w:b/>
          <w:bCs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2020年度部门预算情况说明</w:t>
      </w:r>
    </w:p>
    <w:p>
      <w:pPr>
        <w:widowControl/>
        <w:spacing w:line="400" w:lineRule="atLeast"/>
        <w:jc w:val="center"/>
        <w:rPr>
          <w:rFonts w:ascii="仿宋" w:hAnsi="宋体" w:eastAsia="仿宋"/>
          <w:b/>
          <w:bCs/>
          <w:color w:val="4A4B4B"/>
          <w:sz w:val="32"/>
          <w:szCs w:val="32"/>
        </w:rPr>
      </w:pPr>
      <w:r>
        <w:rPr>
          <w:rFonts w:ascii="宋体" w:hAnsi="宋体" w:cs="宋体"/>
          <w:color w:val="4A4B4B"/>
          <w:kern w:val="0"/>
          <w:sz w:val="24"/>
        </w:rPr>
        <w:t> 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一、收入支出预算总体情况说明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2020年收入总计385.3万元，支出总计385.3万元，与2019年相比，收入支出增加了144.7万元。主要原因：一是安全生产任务重，检查多，办公经费增加，人员工资水平提高。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2020年收入合计385.3万元，其中：一般公共预算385.3万元。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二、支出预算总体情况说明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2020年支出合计385.3万元，其中：基本支出308.7万元，占80%；项目支出76.6万元，占20%。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四、财政拨款收入支出预算总体情况说明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2020年财政拨款收支预算合计347.5万元。与</w:t>
      </w:r>
      <w:r>
        <w:rPr>
          <w:rFonts w:ascii="仿宋_GB2312" w:hAnsi="仿宋_GB2312" w:eastAsia="仿宋_GB2312" w:cs="仿宋_GB2312"/>
          <w:color w:val="4A4B4B"/>
          <w:sz w:val="32"/>
          <w:szCs w:val="32"/>
        </w:rPr>
        <w:t xml:space="preserve"> 2019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年相比，增加125.83万元，增长56.7%；主要原因：2020年项目活动增加。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五、一般公共预算支出预算情况说明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2020年一般公共预算支出年初预算为385.3万元。主要用于以下方面：（其他国家安全支出250万元，占比64.9%；归口离退休人员支出：6.7万元，占比1.7%；社保支出：51.9万元，占比：13.5%；其他支出76.7万元，占比19.9%。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六、一般公共预算基本支出预算情况说明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一般公共预算基本支出385.3万元，其中：人员经费308.69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76.61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4A4B4B"/>
          <w:kern w:val="0"/>
          <w:sz w:val="30"/>
          <w:szCs w:val="30"/>
        </w:rPr>
        <w:t>七、政府性基金预算支出情况说明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2020年无政府性基金预算支出。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0"/>
          <w:szCs w:val="30"/>
        </w:rPr>
        <w:t>八、国有资本经营预算情况说明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2020年无国有资本经营预算。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4A4B4B"/>
          <w:kern w:val="0"/>
          <w:sz w:val="30"/>
          <w:szCs w:val="30"/>
        </w:rPr>
        <w:t>九、“三公”经费支出预算情况说明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2020年“三公”经费预算为16万元。具体支出情况如下：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因公出国（境）费：无。</w:t>
      </w:r>
    </w:p>
    <w:p>
      <w:pPr>
        <w:widowControl/>
        <w:shd w:val="clear" w:color="auto" w:fill="FFFFFF"/>
        <w:spacing w:line="560" w:lineRule="exact"/>
        <w:ind w:left="64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（二）公务用车购置及运行费：10万元。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其中，公务用车购置： 0 万元；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公务用车运行费：10万元。比去年增加6万元，主要原因是本年业务活动增加。 2019年期末，部门开支财政拨款的公务用车保有量为1辆。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（三）公务接待费：6万元，比去年增加5万元。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主要用于考察、培训等公务活动。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4A4B4B"/>
          <w:kern w:val="0"/>
          <w:sz w:val="30"/>
          <w:szCs w:val="30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2020年机关运行经费支出预算76.61万元，主要保障机关正常运转及正常履职需要。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2020年没有安排政府采购预算。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2020年无开展预算绩效管理工作。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2020年，无使用专项转移制度的项目。</w:t>
      </w:r>
    </w:p>
    <w:p>
      <w:pPr>
        <w:widowControl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十一、国有资产占用情况说明</w:t>
      </w:r>
    </w:p>
    <w:p>
      <w:pPr>
        <w:widowControl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年期末，我部门共有车辆2辆，其中：执法执勤用车2辆。单位价值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万元以上通用设备无，单位价值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万元以上专用设备无。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A4B4B"/>
          <w:kern w:val="0"/>
          <w:sz w:val="32"/>
          <w:szCs w:val="32"/>
        </w:rPr>
        <w:t>第三部分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kern w:val="0"/>
          <w:sz w:val="32"/>
          <w:szCs w:val="32"/>
        </w:rPr>
        <w:t>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E0759"/>
    <w:multiLevelType w:val="singleLevel"/>
    <w:tmpl w:val="5B0E075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920"/>
    <w:rsid w:val="00031B6C"/>
    <w:rsid w:val="00121CBF"/>
    <w:rsid w:val="00156A08"/>
    <w:rsid w:val="00193AA9"/>
    <w:rsid w:val="002106B0"/>
    <w:rsid w:val="00226133"/>
    <w:rsid w:val="00304938"/>
    <w:rsid w:val="003E7CA9"/>
    <w:rsid w:val="004C4962"/>
    <w:rsid w:val="00503193"/>
    <w:rsid w:val="00590920"/>
    <w:rsid w:val="005A24D2"/>
    <w:rsid w:val="00647AC0"/>
    <w:rsid w:val="00777A0E"/>
    <w:rsid w:val="00881290"/>
    <w:rsid w:val="009E5A57"/>
    <w:rsid w:val="00A822D8"/>
    <w:rsid w:val="00AA332F"/>
    <w:rsid w:val="00AE467A"/>
    <w:rsid w:val="00B42D25"/>
    <w:rsid w:val="00BD4655"/>
    <w:rsid w:val="00C11483"/>
    <w:rsid w:val="00C52681"/>
    <w:rsid w:val="00C62DA0"/>
    <w:rsid w:val="00CA0902"/>
    <w:rsid w:val="00D36303"/>
    <w:rsid w:val="00F4286E"/>
    <w:rsid w:val="00FB3D07"/>
    <w:rsid w:val="047600EB"/>
    <w:rsid w:val="13933484"/>
    <w:rsid w:val="160709EA"/>
    <w:rsid w:val="18710D16"/>
    <w:rsid w:val="1A5C3E28"/>
    <w:rsid w:val="1CB24A88"/>
    <w:rsid w:val="285F5016"/>
    <w:rsid w:val="29834CDE"/>
    <w:rsid w:val="31AC666E"/>
    <w:rsid w:val="35103201"/>
    <w:rsid w:val="424009B9"/>
    <w:rsid w:val="460928F1"/>
    <w:rsid w:val="4C517126"/>
    <w:rsid w:val="5AFA31B6"/>
    <w:rsid w:val="781A67B5"/>
    <w:rsid w:val="78602787"/>
    <w:rsid w:val="78B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3977C-968A-48DA-805D-10E0F6DA5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11</Pages>
  <Words>674</Words>
  <Characters>3847</Characters>
  <Lines>32</Lines>
  <Paragraphs>9</Paragraphs>
  <TotalTime>1</TotalTime>
  <ScaleCrop>false</ScaleCrop>
  <LinksUpToDate>false</LinksUpToDate>
  <CharactersWithSpaces>4512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2020-12-10T01:33:00Z</dcterms:created>
  <dc:creator>微软用户</dc:creator>
  <cp:lastModifiedBy>枝子</cp:lastModifiedBy>
  <cp:lastPrinted>2018-11-13T01:17:00Z</cp:lastPrinted>
  <dcterms:modified xsi:type="dcterms:W3CDTF">2021-06-08T09:34:28Z</dcterms:modified>
  <dc:title>市政协2017年部门预算公开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274D1534D3944871893612ACFD5E8426</vt:lpwstr>
  </property>
</Properties>
</file>