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883" w:firstLineChars="200"/>
        <w:jc w:val="center"/>
        <w:rPr>
          <w:rFonts w:hint="eastAsia" w:ascii="方正小标宋简体" w:hAnsi="MingLiU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MingLiU" w:eastAsia="方正小标宋简体" w:cs="宋体"/>
          <w:b/>
          <w:bCs/>
          <w:kern w:val="0"/>
          <w:sz w:val="44"/>
          <w:szCs w:val="44"/>
        </w:rPr>
        <w:t>目  录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第一部分  部门概况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一、主要职责</w:t>
      </w:r>
    </w:p>
    <w:p>
      <w:pPr>
        <w:widowControl/>
        <w:shd w:val="clear" w:color="auto" w:fill="FFFFFF"/>
        <w:spacing w:line="560" w:lineRule="exact"/>
        <w:ind w:firstLine="2240" w:firstLineChars="7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二、部门预算单位构成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 xml:space="preserve">第二部分  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  <w:lang w:eastAsia="zh-CN"/>
        </w:rPr>
        <w:t>卧龙区招商局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20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年部门预算情况说明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第三部分  名词解释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1280" w:firstLineChars="4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附件：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  <w:lang w:eastAsia="zh-CN"/>
        </w:rPr>
        <w:t>卧龙区招商局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20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年度部门预算表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表九、国有资本经营预算支出情况表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MingLiU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南阳市卧龙区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eastAsia="zh-CN"/>
        </w:rPr>
        <w:t>招商局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年部门预算公开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eastAsia="楷体_GB2312"/>
          <w:b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>一、</w:t>
      </w:r>
      <w:r>
        <w:rPr>
          <w:rFonts w:hint="eastAsia" w:ascii="楷体_GB2312" w:eastAsia="楷体_GB2312"/>
          <w:b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>主要职责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贯彻执行国家、省、市、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关于对外开放、招商引资、经济合作、投资服务的方针政策；拟订我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对外开放、招商引资、经济合作的相关措施；研究制定全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对外开放、招商引资、经济合作的中、长期规划和全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年度招商引资、经济合作责任目标计划，并具体组织实施。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协调全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对外开放和招商引资的重大事项，负责全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招商引资领导小组日常工作。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负责组织和承办我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开展的国内外招商引资、项目推介活动，宣传、推介光泽投资环境；协调组织各企业参与国内外、省内外组织的各类招商引资和商品交易会等多种外经贸展洽活动，抓好招商、招展、引资、对外联络、协调服务和管理等工作；配合有关部门抓好我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对外开放的宣传工作。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会同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级有关部门编制全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鼓励外商投资产业指导目录；负责抓好全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招商引资基础工作和全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招商引资项目库的建设工作；负责抓好引资项目的收集、编写、开发论证、包装、储备、编报、推介、洽谈和发布等工作；负责跟踪、督办和协调、落实全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签约项目的审批、注册、开工等前期工作；负责已批项目资金的督促到位工作。　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负责建立和完善全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招商引资网络，负责对外发布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级招商引资项目信息，开展网上招商引资工作，提供相关投资政策咨询服务。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负责为外商投资企业协调落实相关优惠政策；协调有关部门对外商投资企业的管理和服务，依法保护外来投资企业和投资者的合法权益。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（七）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负责与各经济合作组织的日常联络及相关工作；会同有关部门推动以科技、教育、卫生、文化等领域的社会合作。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（八）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负责对国内外投资经济合作项目进行认定、统计上报，并对项目建设情况进行跟踪、检查和监督。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（九）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负责指导、督促、检查各乡镇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、办事处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年度招商引资、经济合作任务指标的完成。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（十）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承办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委、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政府和上级机关交办的其他事项。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MingLiU" w:eastAsia="楷体_GB2312" w:cs="宋体"/>
          <w:b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>预算单位构成</w:t>
      </w:r>
    </w:p>
    <w:p>
      <w:pPr>
        <w:widowControl/>
        <w:ind w:firstLine="640" w:firstLineChars="200"/>
        <w:jc w:val="left"/>
        <w:rPr>
          <w:rFonts w:hint="eastAsia" w:ascii="楷体_GB2312" w:hAnsi="MingLiU" w:eastAsia="楷体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招商局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内设机构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综合科、项目科、调研科、招商科、对外开放科。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纳入20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部门预算的机构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1个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招商局机关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年度部门预算情况说明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MingLiU" w:eastAsia="楷体_GB2312" w:cs="宋体"/>
          <w:b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>一、收入支出预算总体情况说明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年收入总计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174.41169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万元，支出总计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174.41169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与去年比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eastAsia="zh-CN"/>
        </w:rPr>
        <w:t>增加的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原因：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eastAsia="zh-CN"/>
        </w:rPr>
        <w:t>人员工资自然增长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MingLiU" w:eastAsia="楷体_GB2312" w:cs="宋体"/>
          <w:b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年收入合计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174.41169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万元，其中：一般公共预算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174.41169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MingLiU" w:eastAsia="楷体_GB2312" w:cs="宋体"/>
          <w:b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>三、支出预算总体情况说明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年支出合计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174.41169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125.41169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万元，占7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%；项目支出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万元，占2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%。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3" w:firstLineChars="200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lang w:val="en-US" w:eastAsia="zh-CN"/>
        </w:rPr>
        <w:t>财政拨款收入支出预算总体情况说明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_GB2312" w:eastAsia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招商局2020年一般公共预算收支预算174.41169万元，政府性基金收支预算0万元。与2019年相比，一般公共预算收支预算增加27.068407万元，增长（下降）18.4%，主要原因：人员经费增加。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MingLiU" w:eastAsia="楷体_GB2312" w:cs="宋体"/>
          <w:b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>、一般公共预算支出预算情况说明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年一般公共预算支出年初预算为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174.41169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万元。主要用于以下方面：（工资福利支出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91.911757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，商品和服务支出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3.123133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万元，对个人和家庭补助支出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30.3768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万元，项目支出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万元。）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MingLiU" w:eastAsia="楷体_GB2312" w:cs="宋体"/>
          <w:b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  <w:lang w:eastAsia="zh-CN"/>
        </w:rPr>
        <w:t>六</w:t>
      </w: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>、一般公共预算基本支出预算情况说明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年一般公共预算基本支出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125.41169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122.298557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主要包括：基本工资、津贴补贴、奖金、社会保障缴费、绩效工资、其他工资福利支出、离休费、退休费、退职（役）费、抚恤金、生活补助、奖励金、住房公积金、其他对个人和家庭的补助支出；公用经费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3.123133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MingLiU" w:eastAsia="楷体_GB2312" w:cs="宋体"/>
          <w:b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color w:val="4A4B4B"/>
          <w:kern w:val="0"/>
          <w:sz w:val="32"/>
          <w:szCs w:val="32"/>
          <w:lang w:eastAsia="zh-CN"/>
        </w:rPr>
        <w:t>七</w:t>
      </w:r>
      <w:r>
        <w:rPr>
          <w:rFonts w:hint="eastAsia" w:ascii="楷体_GB2312" w:eastAsia="楷体_GB2312"/>
          <w:b/>
          <w:bCs/>
          <w:color w:val="4A4B4B"/>
          <w:kern w:val="0"/>
          <w:sz w:val="32"/>
          <w:szCs w:val="32"/>
        </w:rPr>
        <w:t>、政府性基金预算支出情况说明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4A4B4B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年无政府性基金预算支出。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color w:val="666666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666666"/>
          <w:kern w:val="0"/>
          <w:sz w:val="32"/>
          <w:szCs w:val="32"/>
          <w:lang w:eastAsia="zh-CN"/>
        </w:rPr>
        <w:t>八</w:t>
      </w:r>
      <w:r>
        <w:rPr>
          <w:rFonts w:hint="eastAsia" w:ascii="楷体_GB2312" w:hAnsi="宋体" w:eastAsia="楷体_GB2312" w:cs="宋体"/>
          <w:b/>
          <w:color w:val="666666"/>
          <w:kern w:val="0"/>
          <w:sz w:val="32"/>
          <w:szCs w:val="32"/>
        </w:rPr>
        <w:t>、国有资本经营预算情况说明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宋体" w:eastAsia="仿宋_GB2312" w:cs="宋体"/>
          <w:b/>
          <w:bCs/>
          <w:color w:val="666666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年无国有资本经营预算。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color w:val="666666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666666"/>
          <w:kern w:val="0"/>
          <w:sz w:val="32"/>
          <w:szCs w:val="32"/>
          <w:lang w:eastAsia="zh-CN"/>
        </w:rPr>
        <w:t>九</w:t>
      </w:r>
      <w:r>
        <w:rPr>
          <w:rFonts w:hint="eastAsia" w:ascii="楷体_GB2312" w:hAnsi="宋体" w:eastAsia="楷体_GB2312" w:cs="宋体"/>
          <w:b/>
          <w:color w:val="666666"/>
          <w:kern w:val="0"/>
          <w:sz w:val="32"/>
          <w:szCs w:val="32"/>
        </w:rPr>
        <w:t>、“三公”经费支出预算情况说明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年“三公”经费预算为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万元。具体支出情况如下：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4A4B4B"/>
          <w:kern w:val="0"/>
          <w:sz w:val="32"/>
          <w:szCs w:val="32"/>
        </w:rPr>
        <w:t>（一）因公出国（境）费0万元，与去年比无增减。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eastAsia="zh-CN"/>
        </w:rPr>
        <w:t>因为没有因公出国人员。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4A4B4B"/>
          <w:kern w:val="0"/>
          <w:sz w:val="32"/>
          <w:szCs w:val="32"/>
        </w:rPr>
        <w:t>（二）公务用车购置及运行费：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万元，其中，公务用车购置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eastAsia="zh-CN"/>
        </w:rPr>
        <w:t>费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：0万元；公务用车运行费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万元。与去年比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eastAsia="zh-CN"/>
        </w:rPr>
        <w:t>减少了，因为机构改革，公务车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eastAsia="zh-CN"/>
        </w:rPr>
        <w:t>归入卧龙区商务局所有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4A4B4B"/>
          <w:kern w:val="0"/>
          <w:sz w:val="32"/>
          <w:szCs w:val="32"/>
        </w:rPr>
        <w:t>（三）公务接待费：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万元，与去年比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eastAsia="zh-CN"/>
        </w:rPr>
        <w:t>无变化。因为公务接待活动没有减少。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color w:val="666666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666666"/>
          <w:kern w:val="0"/>
          <w:sz w:val="32"/>
          <w:szCs w:val="32"/>
          <w:lang w:eastAsia="zh-CN"/>
        </w:rPr>
        <w:t>十</w:t>
      </w:r>
      <w:r>
        <w:rPr>
          <w:rFonts w:hint="eastAsia" w:ascii="楷体_GB2312" w:hAnsi="宋体" w:eastAsia="楷体_GB2312" w:cs="宋体"/>
          <w:b/>
          <w:color w:val="666666"/>
          <w:kern w:val="0"/>
          <w:sz w:val="32"/>
          <w:szCs w:val="32"/>
        </w:rPr>
        <w:t>、其他重要事项的情况说明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4A4B4B"/>
          <w:kern w:val="0"/>
          <w:sz w:val="32"/>
          <w:szCs w:val="32"/>
        </w:rPr>
        <w:t>（一）机关运行经费支出情况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年机关运行经费支出预算</w:t>
      </w:r>
      <w:r>
        <w:rPr>
          <w:rFonts w:hint="eastAsia" w:ascii="仿宋_GB2312" w:eastAsia="仿宋_GB2312"/>
          <w:color w:val="4A4B4B"/>
          <w:kern w:val="0"/>
          <w:sz w:val="32"/>
          <w:szCs w:val="32"/>
          <w:lang w:val="en-US" w:eastAsia="zh-CN"/>
        </w:rPr>
        <w:t>148.937689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万元，主要保障机关正常运转及正常履职需要。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4A4B4B"/>
          <w:kern w:val="0"/>
          <w:sz w:val="32"/>
          <w:szCs w:val="32"/>
        </w:rPr>
        <w:t>（二）政府采购支出情况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年没有安排政府采购预算。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4A4B4B"/>
          <w:kern w:val="0"/>
          <w:sz w:val="32"/>
          <w:szCs w:val="32"/>
        </w:rPr>
        <w:t>（三）关于预算绩效管理工作开展情况说明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年无开展预算绩效管理工作。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4A4B4B"/>
          <w:kern w:val="0"/>
          <w:sz w:val="32"/>
          <w:szCs w:val="32"/>
        </w:rPr>
        <w:t>（四）关于专项转移支付项目情况说明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4A4B4B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年，无使用专项转移制度的项目。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643" w:firstLineChars="200"/>
        <w:rPr>
          <w:rFonts w:hint="eastAsia" w:ascii="仿宋_GB2312" w:eastAsia="仿宋_GB2312"/>
          <w:b/>
          <w:bCs/>
          <w:color w:val="4A4B4B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2"/>
          <w:szCs w:val="32"/>
          <w:lang w:eastAsia="zh-CN"/>
        </w:rPr>
        <w:t>国有资产占用情况说明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_GB2312" w:eastAsia="仿宋_GB2312"/>
          <w:color w:val="4A4B4B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4A4B4B"/>
          <w:kern w:val="0"/>
          <w:sz w:val="32"/>
          <w:szCs w:val="32"/>
          <w:lang w:val="en-US" w:eastAsia="zh-CN"/>
        </w:rPr>
        <w:t xml:space="preserve">    2020年借用卧龙区商务局办公楼三个房间办公，无国有资产出租出借情况，无公务车。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A4B4B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bCs/>
          <w:color w:val="4A4B4B"/>
          <w:kern w:val="0"/>
          <w:sz w:val="32"/>
          <w:szCs w:val="32"/>
        </w:rPr>
        <w:t>名词解释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4A4B4B"/>
          <w:kern w:val="0"/>
          <w:sz w:val="32"/>
          <w:szCs w:val="32"/>
        </w:rPr>
        <w:t>一、财政拨款收入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：是指各级财政当年拨付的资金。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4A4B4B"/>
          <w:kern w:val="0"/>
          <w:sz w:val="32"/>
          <w:szCs w:val="32"/>
        </w:rPr>
        <w:t>二、事业收入：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4A4B4B"/>
          <w:kern w:val="0"/>
          <w:sz w:val="32"/>
          <w:szCs w:val="32"/>
        </w:rPr>
        <w:t>三、其他收入：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4A4B4B"/>
          <w:kern w:val="0"/>
          <w:sz w:val="32"/>
          <w:szCs w:val="32"/>
        </w:rPr>
        <w:t>四、用事业基金弥补收支差额：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eastAsia="仿宋_GB2312"/>
          <w:color w:val="4A4B4B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4A4B4B"/>
          <w:kern w:val="0"/>
          <w:sz w:val="32"/>
          <w:szCs w:val="32"/>
        </w:rPr>
        <w:t>五、基本支出：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4A4B4B"/>
          <w:kern w:val="0"/>
          <w:sz w:val="32"/>
          <w:szCs w:val="32"/>
        </w:rPr>
        <w:t>六、项目支出：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4A4B4B"/>
          <w:kern w:val="0"/>
          <w:sz w:val="32"/>
          <w:szCs w:val="32"/>
        </w:rPr>
        <w:t>七、“三公”经费：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eastAsia="仿宋_GB2312"/>
          <w:color w:val="4A4B4B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4A4B4B"/>
          <w:kern w:val="0"/>
          <w:sz w:val="32"/>
          <w:szCs w:val="32"/>
        </w:rPr>
        <w:t>八、机关运行经费：</w:t>
      </w:r>
      <w:r>
        <w:rPr>
          <w:rFonts w:hint="eastAsia" w:ascii="仿宋_GB2312" w:eastAsia="仿宋_GB2312"/>
          <w:color w:val="4A4B4B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附件：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招商局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年度部门预算表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2240" w:firstLineChars="7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表九、国有资本经营预算支出情况表</w:t>
      </w:r>
    </w:p>
    <w:p>
      <w:pPr>
        <w:widowControl/>
        <w:shd w:val="clear" w:color="auto" w:fill="FFFFFF"/>
        <w:tabs>
          <w:tab w:val="left" w:pos="285"/>
        </w:tabs>
        <w:spacing w:after="240" w:line="560" w:lineRule="exact"/>
        <w:ind w:firstLine="602" w:firstLineChars="200"/>
        <w:jc w:val="left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lang w:eastAsia="zh-CN"/>
        </w:rPr>
        <w:tab/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tbl>
      <w:tblPr>
        <w:tblStyle w:val="3"/>
        <w:tblW w:w="141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05"/>
        <w:gridCol w:w="885"/>
        <w:gridCol w:w="1365"/>
        <w:gridCol w:w="1365"/>
        <w:gridCol w:w="1365"/>
        <w:gridCol w:w="570"/>
        <w:gridCol w:w="540"/>
        <w:gridCol w:w="675"/>
        <w:gridCol w:w="690"/>
        <w:gridCol w:w="675"/>
        <w:gridCol w:w="645"/>
        <w:gridCol w:w="630"/>
        <w:gridCol w:w="795"/>
        <w:gridCol w:w="66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预算01表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2020年部门收支总体情况表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部门名称：南阳市卧龙区招商局                                                                                                              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105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基金安排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专户安排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本级财力补助下级支出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上年结转安排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提前下达转移支付安排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收费安排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有偿使用收入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政府住房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二、收费安排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1、行政人员经费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1,187,664.06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1,187,664.06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1,187,664.06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2、事业人员经费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56,452.84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56,452.84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56,452.84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四、罚没收入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五、国有资产有偿使用收入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六、政府住房基金收入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1、一般性项目支出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七、政府性基金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八、专户收入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2.1、政策性配套支出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九、结余结转收入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2.2、事业发展专项支出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十、本级财力补助下级支出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2.3、其他资本性支出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十一、提前下达转移支付支出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2.4、偿债支出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2.5、其他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tbl>
      <w:tblPr>
        <w:tblStyle w:val="3"/>
        <w:tblW w:w="134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9"/>
        <w:gridCol w:w="3741"/>
        <w:gridCol w:w="13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预算02表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2020年部门收入总体情况表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部门名称：南阳市卧龙区招商局                                                                                                     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二、收费安排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四、罚没收入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五、国有资产有偿使用收入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六、政府住房基金收入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七、政府性基金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八、专户收入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九、结余结转收入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十、本级财力补助下级支出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十一、提前下达转移支付支出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tbl>
      <w:tblPr>
        <w:tblStyle w:val="3"/>
        <w:tblW w:w="145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1311"/>
        <w:gridCol w:w="1311"/>
        <w:gridCol w:w="1311"/>
        <w:gridCol w:w="886"/>
        <w:gridCol w:w="886"/>
        <w:gridCol w:w="886"/>
        <w:gridCol w:w="1311"/>
        <w:gridCol w:w="868"/>
        <w:gridCol w:w="567"/>
        <w:gridCol w:w="549"/>
        <w:gridCol w:w="868"/>
        <w:gridCol w:w="647"/>
        <w:gridCol w:w="8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预算03表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2020年部门支出总体情况表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部门名称：南阳市卧龙区招商局                                                                                                                  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基金安排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本级财力补助下级支出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提前下达转移支付安排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有偿使用收入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政府住房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1、行政人员经费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1,187,664.06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1,187,664.06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1,187,664.06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2、事业人员经费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56,452.84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56,452.84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56,452.84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1、一般性项目支出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2.1、政策性配套支出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2.2、事业发展专项支出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2.3、其他资本性支出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2.4、偿债支出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2.5、其他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tbl>
      <w:tblPr>
        <w:tblStyle w:val="3"/>
        <w:tblW w:w="145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2397"/>
        <w:gridCol w:w="6310"/>
        <w:gridCol w:w="23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预算04表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2020年财政拨款收支总体情况表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部门名称：南阳市卧龙区招商局                                                                                                                          单位:元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1、行政人员经费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1,187,664.06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2、事业人员经费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56,452.84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1、一般性项目支出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2.1、政策性配套支出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2.2、事业发展专项支出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2.3、其他资本性支出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2.4、偿债支出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2.5、其他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tbl>
      <w:tblPr>
        <w:tblStyle w:val="3"/>
        <w:tblW w:w="141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20"/>
        <w:gridCol w:w="765"/>
        <w:gridCol w:w="1080"/>
        <w:gridCol w:w="1080"/>
        <w:gridCol w:w="1425"/>
        <w:gridCol w:w="1425"/>
        <w:gridCol w:w="1425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预算05表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2020年一般公共预算支出情况表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部门名称：南阳市卧龙区招商局                                                                                                             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  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1,187,664.06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56,452.84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[153001]南阳市卧龙区招商局机关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1,744,116.90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1,187,664.06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56,452.84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行政运行（商贸事务）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一般行政管理事务（商贸事务）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1,309,376.89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999,376.89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935,510.33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53,866.56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招商引资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110,000.00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110,000.00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106,156.64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106,156.64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106,156.64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9,600.00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9,600.00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9,600.00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7,680.00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7,680.00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7,680.00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财政对失业保险基金的补助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2,586.28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2,586.28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2,586.28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财政对生育保险基金的补助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1,326.96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1,326.96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1,326.96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财政对工伤保险基金的补助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2,653.92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2,653.92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2,653.92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45,118.73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45,118.73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45,118.73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79,617.48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79,617.48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79,617.48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tbl>
      <w:tblPr>
        <w:tblStyle w:val="3"/>
        <w:tblW w:w="13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2310"/>
        <w:gridCol w:w="2310"/>
        <w:gridCol w:w="3195"/>
        <w:gridCol w:w="28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预算06表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2020年一般公共预算基本支出情况表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部门名称：南阳市卧龙区招商局                                                                                                  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1,254,116.90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421,764.00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421,764.00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303,768.00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303,768.00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188,747.00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188,747.00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106,156.64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106,156.64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53,866.56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53,866.56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39,808.74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39,808.74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11,877.15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11,877.15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79,617.48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79,617.48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7,961.75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7,961.75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13,269.58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13,269.58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17,280.00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17,280.00 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tbl>
      <w:tblPr>
        <w:tblStyle w:val="3"/>
        <w:tblW w:w="137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"/>
        <w:gridCol w:w="6596"/>
        <w:gridCol w:w="70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预算07表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2020年一般公共预算“三公”经费支出情况表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部门名称：南阳市卧龙区招商局                                                                                                         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2020年“三公”经费预算数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3、公务用车费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其中：（1）公务用车运行维护费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（2）公务用车购置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注：按照党中央、国务院有关规定及部门预算管理有关规定，“三公”经费包括因公出国（境）费、公务用车购置及运行费和公务接待费。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（1）因公出国（境）费，指单位工作人员公务出国（境）的住宿费、旅费、伙食补助费、杂费、培训费等支出。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（3）公务接待费，指单位按规定开支的各类公务接待（含外宾接待）支出。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tbl>
      <w:tblPr>
        <w:tblStyle w:val="3"/>
        <w:tblW w:w="140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017"/>
        <w:gridCol w:w="1017"/>
        <w:gridCol w:w="1017"/>
        <w:gridCol w:w="1080"/>
        <w:gridCol w:w="1017"/>
        <w:gridCol w:w="1080"/>
        <w:gridCol w:w="1017"/>
        <w:gridCol w:w="1017"/>
        <w:gridCol w:w="1017"/>
        <w:gridCol w:w="1080"/>
        <w:gridCol w:w="1017"/>
        <w:gridCol w:w="10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预算08表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2020年政府性基金支出情况表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部门名称：南阳市卧龙区招商局                                                                                                            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   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此表无数据、为空表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tbl>
      <w:tblPr>
        <w:tblStyle w:val="3"/>
        <w:tblW w:w="140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017"/>
        <w:gridCol w:w="1017"/>
        <w:gridCol w:w="1017"/>
        <w:gridCol w:w="1080"/>
        <w:gridCol w:w="1017"/>
        <w:gridCol w:w="1080"/>
        <w:gridCol w:w="1017"/>
        <w:gridCol w:w="1017"/>
        <w:gridCol w:w="1017"/>
        <w:gridCol w:w="1080"/>
        <w:gridCol w:w="1017"/>
        <w:gridCol w:w="10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预算09表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2020年国有资本经营支出情况表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部门名称：南阳市卧龙区招商局                                                                                                            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此表无数据、为空表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</w:p>
    <w:p/>
    <w:sectPr>
      <w:footerReference r:id="rId3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F72CC"/>
    <w:multiLevelType w:val="singleLevel"/>
    <w:tmpl w:val="863F72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5F9507"/>
    <w:multiLevelType w:val="singleLevel"/>
    <w:tmpl w:val="C35F950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5DA6"/>
    <w:rsid w:val="018A3EC7"/>
    <w:rsid w:val="0399661C"/>
    <w:rsid w:val="0651156C"/>
    <w:rsid w:val="0682074F"/>
    <w:rsid w:val="083A2E97"/>
    <w:rsid w:val="0BC016DA"/>
    <w:rsid w:val="0C1F307D"/>
    <w:rsid w:val="10584825"/>
    <w:rsid w:val="123D070F"/>
    <w:rsid w:val="13DB7929"/>
    <w:rsid w:val="145250EE"/>
    <w:rsid w:val="146A28BD"/>
    <w:rsid w:val="1E520896"/>
    <w:rsid w:val="21952AAA"/>
    <w:rsid w:val="283A67AA"/>
    <w:rsid w:val="28A72F04"/>
    <w:rsid w:val="2D3B3E4C"/>
    <w:rsid w:val="2F1E340B"/>
    <w:rsid w:val="34AE77D3"/>
    <w:rsid w:val="379E6B91"/>
    <w:rsid w:val="38FF025F"/>
    <w:rsid w:val="3AD33F8F"/>
    <w:rsid w:val="3DEE552C"/>
    <w:rsid w:val="418B5797"/>
    <w:rsid w:val="427A4DF3"/>
    <w:rsid w:val="456C6C09"/>
    <w:rsid w:val="485116EC"/>
    <w:rsid w:val="499B7A91"/>
    <w:rsid w:val="5EE25EF0"/>
    <w:rsid w:val="5FC21324"/>
    <w:rsid w:val="61F44D3A"/>
    <w:rsid w:val="62B1497B"/>
    <w:rsid w:val="65AA715C"/>
    <w:rsid w:val="66FE5E04"/>
    <w:rsid w:val="6A2D66D2"/>
    <w:rsid w:val="718D6D7D"/>
    <w:rsid w:val="7377121C"/>
    <w:rsid w:val="7F9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2021-01-12T02:17:25Z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