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ind w:firstLine="883" w:firstLineChars="200"/>
        <w:jc w:val="center"/>
        <w:rPr>
          <w:rFonts w:hint="eastAsia" w:ascii="方正小标宋简体" w:hAnsi="MingLiU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MingLiU" w:eastAsia="方正小标宋简体" w:cs="宋体"/>
          <w:b/>
          <w:bCs/>
          <w:kern w:val="0"/>
          <w:sz w:val="44"/>
          <w:szCs w:val="44"/>
        </w:rPr>
        <w:t>目  录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</w:pPr>
      <w:r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  <w:t>第一部分  部门概况</w:t>
      </w:r>
    </w:p>
    <w:p>
      <w:pPr>
        <w:widowControl/>
        <w:shd w:val="clear" w:color="auto" w:fill="FFFFFF"/>
        <w:spacing w:line="560" w:lineRule="exact"/>
        <w:ind w:firstLine="2240" w:firstLineChars="700"/>
        <w:jc w:val="left"/>
        <w:rPr>
          <w:rFonts w:hint="eastAsia" w:ascii="仿宋_GB2312" w:hAnsi="MingLiU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  <w:t>一、主要职责</w:t>
      </w:r>
    </w:p>
    <w:p>
      <w:pPr>
        <w:widowControl/>
        <w:shd w:val="clear" w:color="auto" w:fill="FFFFFF"/>
        <w:spacing w:line="560" w:lineRule="exact"/>
        <w:ind w:firstLine="2240" w:firstLineChars="700"/>
        <w:rPr>
          <w:rFonts w:hint="eastAsia" w:ascii="仿宋_GB2312" w:hAnsi="MingLiU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  <w:t>二、部门预算单位构成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</w:pPr>
      <w:r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  <w:t>第二部分  农业园区2020年部门预算情况说明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</w:pPr>
      <w:r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  <w:t>第三部分  名词解释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1280" w:firstLineChars="400"/>
        <w:jc w:val="left"/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</w:pPr>
      <w:r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  <w:t>附件：农业园区2020年度部门预算表</w:t>
      </w:r>
    </w:p>
    <w:p>
      <w:pPr>
        <w:widowControl/>
        <w:shd w:val="clear" w:color="auto" w:fill="FFFFFF"/>
        <w:spacing w:line="560" w:lineRule="exact"/>
        <w:ind w:firstLine="2240" w:firstLineChars="700"/>
        <w:jc w:val="left"/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</w:pPr>
      <w:r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  <w:t>表一、部门收支总体情况表</w:t>
      </w:r>
    </w:p>
    <w:p>
      <w:pPr>
        <w:widowControl/>
        <w:shd w:val="clear" w:color="auto" w:fill="FFFFFF"/>
        <w:spacing w:line="560" w:lineRule="exact"/>
        <w:ind w:firstLine="2240" w:firstLineChars="700"/>
        <w:jc w:val="left"/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</w:pPr>
      <w:r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  <w:t>表二、部门收入总体情况表</w:t>
      </w:r>
    </w:p>
    <w:p>
      <w:pPr>
        <w:widowControl/>
        <w:shd w:val="clear" w:color="auto" w:fill="FFFFFF"/>
        <w:spacing w:line="560" w:lineRule="exact"/>
        <w:ind w:firstLine="2240" w:firstLineChars="700"/>
        <w:jc w:val="left"/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</w:pPr>
      <w:r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  <w:t>表三、部门支出总体情况表</w:t>
      </w:r>
    </w:p>
    <w:p>
      <w:pPr>
        <w:widowControl/>
        <w:shd w:val="clear" w:color="auto" w:fill="FFFFFF"/>
        <w:spacing w:line="560" w:lineRule="exact"/>
        <w:ind w:firstLine="2240" w:firstLineChars="700"/>
        <w:jc w:val="left"/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</w:pPr>
      <w:r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  <w:t>表四、财政拨款收支总体情况表</w:t>
      </w:r>
    </w:p>
    <w:p>
      <w:pPr>
        <w:widowControl/>
        <w:shd w:val="clear" w:color="auto" w:fill="FFFFFF"/>
        <w:spacing w:line="560" w:lineRule="exact"/>
        <w:ind w:firstLine="2240" w:firstLineChars="700"/>
        <w:jc w:val="left"/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</w:pPr>
      <w:r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  <w:t>表五、一般公共预算预算支出情况表</w:t>
      </w:r>
    </w:p>
    <w:p>
      <w:pPr>
        <w:widowControl/>
        <w:shd w:val="clear" w:color="auto" w:fill="FFFFFF"/>
        <w:spacing w:line="560" w:lineRule="exact"/>
        <w:ind w:firstLine="2240" w:firstLineChars="700"/>
        <w:jc w:val="left"/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</w:pPr>
      <w:r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  <w:t>表六、一般公共预算基本支出情况表</w:t>
      </w:r>
    </w:p>
    <w:p>
      <w:pPr>
        <w:widowControl/>
        <w:shd w:val="clear" w:color="auto" w:fill="FFFFFF"/>
        <w:spacing w:line="560" w:lineRule="exact"/>
        <w:ind w:firstLine="2240" w:firstLineChars="700"/>
        <w:jc w:val="left"/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</w:pPr>
      <w:r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  <w:t>表七、一般公共预算“三公”经费支出情况表</w:t>
      </w:r>
    </w:p>
    <w:p>
      <w:pPr>
        <w:widowControl/>
        <w:shd w:val="clear" w:color="auto" w:fill="FFFFFF"/>
        <w:spacing w:line="560" w:lineRule="exact"/>
        <w:ind w:firstLine="2240" w:firstLineChars="700"/>
        <w:jc w:val="left"/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</w:pPr>
      <w:r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  <w:t>表八、政府性基金预算支出情况表</w:t>
      </w:r>
    </w:p>
    <w:p>
      <w:pPr>
        <w:widowControl/>
        <w:shd w:val="clear" w:color="auto" w:fill="FFFFFF"/>
        <w:spacing w:line="560" w:lineRule="exact"/>
        <w:ind w:firstLine="2240" w:firstLineChars="700"/>
        <w:jc w:val="left"/>
        <w:rPr>
          <w:rFonts w:hint="eastAsia" w:ascii="仿宋_GB2312" w:hAnsi="MingLiU" w:eastAsia="仿宋_GB2312" w:cs="宋体"/>
          <w:color w:val="333333"/>
          <w:kern w:val="0"/>
          <w:sz w:val="30"/>
          <w:szCs w:val="30"/>
        </w:rPr>
      </w:pPr>
      <w:r>
        <w:rPr>
          <w:rFonts w:hint="eastAsia" w:ascii="仿宋_GB2312" w:hAnsi="MingLiU" w:eastAsia="仿宋_GB2312" w:cs="宋体"/>
          <w:color w:val="666666"/>
          <w:kern w:val="0"/>
          <w:sz w:val="32"/>
          <w:szCs w:val="32"/>
        </w:rPr>
        <w:t>表九、国有资本经营预算支出情况表</w:t>
      </w:r>
    </w:p>
    <w:p>
      <w:pPr>
        <w:widowControl/>
        <w:shd w:val="clear" w:color="auto" w:fill="FFFFFF"/>
        <w:spacing w:after="240" w:line="560" w:lineRule="exact"/>
        <w:ind w:firstLine="602" w:firstLineChars="200"/>
        <w:jc w:val="center"/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after="240" w:line="560" w:lineRule="exact"/>
        <w:ind w:firstLine="602" w:firstLineChars="200"/>
        <w:jc w:val="center"/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after="240" w:line="560" w:lineRule="exact"/>
        <w:ind w:firstLine="602" w:firstLineChars="200"/>
        <w:jc w:val="center"/>
        <w:rPr>
          <w:rFonts w:hint="eastAsia" w:ascii="仿宋_GB2312" w:hAnsi="宋体" w:eastAsia="仿宋_GB2312" w:cs="宋体"/>
          <w:b/>
          <w:bCs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MingLiU" w:eastAsia="方正小标宋简体" w:cs="宋体"/>
          <w:color w:val="333333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color w:val="333333"/>
          <w:kern w:val="0"/>
          <w:sz w:val="44"/>
          <w:szCs w:val="44"/>
        </w:rPr>
        <w:t>南阳市卧龙区</w:t>
      </w:r>
      <w:r>
        <w:rPr>
          <w:rFonts w:hint="eastAsia" w:ascii="方正小标宋简体" w:eastAsia="方正小标宋简体"/>
          <w:b/>
          <w:bCs/>
          <w:color w:val="333333"/>
          <w:kern w:val="0"/>
          <w:sz w:val="44"/>
          <w:szCs w:val="44"/>
        </w:rPr>
        <w:t>农业园区</w:t>
      </w:r>
      <w:r>
        <w:rPr>
          <w:rFonts w:hint="eastAsia" w:ascii="方正小标宋简体" w:hAnsi="宋体" w:eastAsia="方正小标宋简体" w:cs="宋体"/>
          <w:b/>
          <w:bCs/>
          <w:color w:val="333333"/>
          <w:kern w:val="0"/>
          <w:sz w:val="44"/>
          <w:szCs w:val="44"/>
        </w:rPr>
        <w:t>2020年部门预算公开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="仿宋_GB2312" w:hAnsi="MingLiU" w:eastAsia="仿宋_GB2312" w:cs="宋体"/>
          <w:b/>
          <w:color w:val="333333"/>
          <w:kern w:val="0"/>
          <w:sz w:val="30"/>
          <w:szCs w:val="30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 xml:space="preserve">第一部分  </w:t>
      </w:r>
      <w:r>
        <w:rPr>
          <w:rFonts w:hint="eastAsia" w:ascii="黑体" w:hAnsi="黑体" w:eastAsia="黑体"/>
          <w:b/>
          <w:bCs/>
          <w:color w:val="333333"/>
          <w:kern w:val="0"/>
          <w:sz w:val="32"/>
          <w:szCs w:val="32"/>
        </w:rPr>
        <w:t>农业园区概况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楷体_GB2312" w:hAnsi="MingLiU" w:eastAsia="楷体_GB2312" w:cs="宋体"/>
          <w:b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333333"/>
          <w:kern w:val="0"/>
          <w:sz w:val="32"/>
          <w:szCs w:val="32"/>
        </w:rPr>
        <w:t>一、农业园区主要职责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（一）贯彻执行党和国家及省市的路线、方针、政策、法律法规，依据政府主管部门总体规划，制定园区总体规划和经济、产业发展规划以及各项工作计划并组织实施。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（二）制定区域内招商引资政策，编制招商规划；组织招商活动，管理区域内生产业务和对外经济技术交流合作。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（三）按照权限规定审核把关区域内投资项目，协助办理相关证件。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（四）负责区域内基础设施、公用设施和其他项目建设、监督和管理。。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（五）贯彻执行国家土地管理法律法规，按照土地部门指示，承办土地管理的前期具体事务性工作。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（六）负责区域内党员干部和所属单位领导班子的思想、组织、作风建设工作，按照管理权限，做好干部的奖惩、培养、教育和推荐；负责园区内各类专业技术人才的引进、培训、培养工作。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（七）依法管理区域内的国有资产、环境保护、安全生产等工作；研究处理区域内重大突发性事件，并及时向上级党委、政府报告情况。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（八）组织协调核心区、示范区、辐射区的科技产业孵化、技术创新、成果转化、技术交流，示范推广，推进优质农产品生产标准化和产业化经营。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（九）负责园区科技项目的申报推荐、监督实施，协助办理高新技术企业、产品的申报认定，以及科研成果鉴定、验收、管理工作。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（十）维护区域内社会及生产秩序，保障公民人身权利，保障企业和社会经济组织的依法自主经营和职工的合法权益。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（十一）承办上级政府及有关部门交办的其他事项。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楷体_GB2312" w:hAnsi="MingLiU" w:eastAsia="楷体_GB2312" w:cs="宋体"/>
          <w:b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333333"/>
          <w:kern w:val="0"/>
          <w:sz w:val="32"/>
          <w:szCs w:val="32"/>
        </w:rPr>
        <w:t>二、农业园区预算单位构成</w:t>
      </w:r>
    </w:p>
    <w:p>
      <w:pPr>
        <w:widowControl/>
        <w:ind w:firstLine="640" w:firstLineChars="200"/>
        <w:jc w:val="left"/>
        <w:rPr>
          <w:rFonts w:hint="eastAsia"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纳入2020年预算的机构：南阳国家农业科技园区。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园区内设机构5个，包括：综合办公室、规划建设环保部、技术研发推广部、科技体系管理服务部、经济发展部。</w:t>
      </w:r>
    </w:p>
    <w:p>
      <w:pPr>
        <w:widowControl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从预算单位构成看，园区预算包括：本级预算。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eastAsia="仿宋_GB2312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color w:val="333333"/>
          <w:kern w:val="0"/>
          <w:sz w:val="32"/>
          <w:szCs w:val="32"/>
        </w:rPr>
        <w:t>第二部分  农业园区</w:t>
      </w:r>
      <w:r>
        <w:rPr>
          <w:rFonts w:hint="eastAsia" w:ascii="黑体" w:hAnsi="黑体" w:eastAsia="黑体"/>
          <w:b/>
          <w:bCs/>
          <w:color w:val="333333"/>
          <w:kern w:val="0"/>
          <w:sz w:val="32"/>
          <w:szCs w:val="32"/>
        </w:rPr>
        <w:t>2020年度部门预算情况说明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楷体_GB2312" w:hAnsi="MingLiU" w:eastAsia="楷体_GB2312" w:cs="宋体"/>
          <w:b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333333"/>
          <w:kern w:val="0"/>
          <w:sz w:val="32"/>
          <w:szCs w:val="32"/>
        </w:rPr>
        <w:t>一、收入支出预算总体情况说明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ascii="仿宋_GB2312" w:hAnsi="MingLiU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农业园区2020年收入总计103.87万元，支出总计103.87万元。</w:t>
      </w:r>
      <w:r>
        <w:rPr>
          <w:rFonts w:hint="eastAsia" w:ascii="仿宋_GB2312" w:eastAsia="仿宋_GB2312"/>
          <w:color w:val="4A4B4B"/>
          <w:kern w:val="0"/>
          <w:sz w:val="32"/>
          <w:szCs w:val="32"/>
        </w:rPr>
        <w:t>与去年比增减变化及原因：同比去年增加，原因是园区配套设施提升改造完工。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楷体_GB2312" w:hAnsi="MingLiU" w:eastAsia="楷体_GB2312" w:cs="宋体"/>
          <w:b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333333"/>
          <w:kern w:val="0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MingLiU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农业园区2020年收入合计103.87万元，其中：一般公共预算103.87万元。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楷体_GB2312" w:hAnsi="MingLiU" w:eastAsia="楷体_GB2312" w:cs="宋体"/>
          <w:b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333333"/>
          <w:kern w:val="0"/>
          <w:sz w:val="32"/>
          <w:szCs w:val="32"/>
        </w:rPr>
        <w:t>三、支出预算总体情况说明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MingLiU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农业园区2020年支出合计103.87万元，其中：基本支出53.87万元，占52%；项目支出50万元，占48%。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楷体_GB2312" w:hAnsi="MingLiU" w:eastAsia="楷体_GB2312" w:cs="宋体"/>
          <w:b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333333"/>
          <w:kern w:val="0"/>
          <w:sz w:val="32"/>
          <w:szCs w:val="32"/>
        </w:rPr>
        <w:t>四、一般公共预算支出预算情况说明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MingLiU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农业园区2020年一般公共预算支出年初预算为103.87万元。主要用于以下方面：（工资福利支出46.2万元，商品和服务支出6.9万元，对个人和家庭补助支出0.77万元，项目支出50万元。）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楷体_GB2312" w:hAnsi="MingLiU" w:eastAsia="楷体_GB2312" w:cs="宋体"/>
          <w:b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333333"/>
          <w:kern w:val="0"/>
          <w:sz w:val="32"/>
          <w:szCs w:val="32"/>
        </w:rPr>
        <w:t>五、一般公共预算基本支出预算情况说明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MingLiU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2020年一般公共预算基本支出53.87万元，其中：人员经费47.79万元，主要包括：基本工资、津贴补贴、奖金、社会保障缴费、绩效工资、其他工资福利支出、离休费、退休费、退职（役）费、抚恤金、生活补助、奖励金、住房公积金、其他对个人和家庭的补助支出；公用经费6.08万元，主要包括：办公费、印刷费、咨询费、手续费、水费、电费、邮电费、取暖费、物业管理费、差旅费、因公出国（境）费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大型修缮、信息网络及软件购置更新、其他资本性支出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楷体_GB2312" w:hAnsi="MingLiU" w:eastAsia="楷体_GB2312" w:cs="宋体"/>
          <w:b/>
          <w:color w:val="333333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666666"/>
          <w:kern w:val="0"/>
          <w:sz w:val="32"/>
          <w:szCs w:val="32"/>
        </w:rPr>
        <w:t>六</w:t>
      </w:r>
      <w:r>
        <w:rPr>
          <w:rFonts w:hint="eastAsia" w:ascii="楷体_GB2312" w:eastAsia="楷体_GB2312"/>
          <w:b/>
          <w:bCs/>
          <w:color w:val="4A4B4B"/>
          <w:kern w:val="0"/>
          <w:sz w:val="32"/>
          <w:szCs w:val="32"/>
        </w:rPr>
        <w:t>、政府性基金预算支出情况说明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color w:val="4A4B4B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2020</w:t>
      </w:r>
      <w:r>
        <w:rPr>
          <w:rFonts w:hint="eastAsia" w:ascii="仿宋_GB2312" w:eastAsia="仿宋_GB2312"/>
          <w:color w:val="4A4B4B"/>
          <w:kern w:val="0"/>
          <w:sz w:val="32"/>
          <w:szCs w:val="32"/>
        </w:rPr>
        <w:t>年无政府性基金预算支出。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666666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666666"/>
          <w:kern w:val="0"/>
          <w:sz w:val="32"/>
          <w:szCs w:val="32"/>
        </w:rPr>
        <w:t>七、国有资本经营预算情况说明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宋体" w:eastAsia="仿宋_GB2312" w:cs="宋体"/>
          <w:b/>
          <w:bCs/>
          <w:color w:val="666666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2020</w:t>
      </w:r>
      <w:r>
        <w:rPr>
          <w:rFonts w:hint="eastAsia" w:ascii="仿宋_GB2312" w:hAnsi="宋体" w:eastAsia="仿宋_GB2312" w:cs="宋体"/>
          <w:color w:val="666666"/>
          <w:kern w:val="0"/>
          <w:sz w:val="32"/>
          <w:szCs w:val="32"/>
        </w:rPr>
        <w:t>年无国有资本经营预算。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666666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666666"/>
          <w:kern w:val="0"/>
          <w:sz w:val="32"/>
          <w:szCs w:val="32"/>
        </w:rPr>
        <w:t>八、“三公”经费支出预算情况说明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MingLiU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2020</w:t>
      </w:r>
      <w:r>
        <w:rPr>
          <w:rFonts w:hint="eastAsia" w:ascii="仿宋_GB2312" w:eastAsia="仿宋_GB2312"/>
          <w:color w:val="4A4B4B"/>
          <w:kern w:val="0"/>
          <w:sz w:val="32"/>
          <w:szCs w:val="32"/>
        </w:rPr>
        <w:t>年“三公”经费预算为5.81万元。具体支出情况如下：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MingLiU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4A4B4B"/>
          <w:kern w:val="0"/>
          <w:sz w:val="32"/>
          <w:szCs w:val="32"/>
        </w:rPr>
        <w:t>（一）因公出国（境）费0万元，与去年比无增减。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MingLiU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4A4B4B"/>
          <w:kern w:val="0"/>
          <w:sz w:val="32"/>
          <w:szCs w:val="32"/>
        </w:rPr>
        <w:t>（二）公务用车购置及运行费：5.68万元，其中，公务用车购置：0万元；公务用车运行费5.68万元。与去年比无增减。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MingLiU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4A4B4B"/>
          <w:kern w:val="0"/>
          <w:sz w:val="32"/>
          <w:szCs w:val="32"/>
        </w:rPr>
        <w:t>（三）公务接待费：0.13万元，与去年比无增减。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楷体_GB2312" w:hAnsi="宋体" w:eastAsia="楷体_GB2312" w:cs="宋体"/>
          <w:b/>
          <w:color w:val="666666"/>
          <w:kern w:val="0"/>
          <w:sz w:val="32"/>
          <w:szCs w:val="32"/>
        </w:rPr>
      </w:pPr>
      <w:r>
        <w:rPr>
          <w:rFonts w:hint="eastAsia" w:ascii="楷体_GB2312" w:hAnsi="宋体" w:eastAsia="楷体_GB2312" w:cs="宋体"/>
          <w:b/>
          <w:color w:val="666666"/>
          <w:kern w:val="0"/>
          <w:sz w:val="32"/>
          <w:szCs w:val="32"/>
        </w:rPr>
        <w:t>九、其他重要事项的情况说明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仿宋_GB2312" w:hAnsi="MingLiU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4A4B4B"/>
          <w:kern w:val="0"/>
          <w:sz w:val="32"/>
          <w:szCs w:val="32"/>
        </w:rPr>
        <w:t>（一）机关运行经费支出情况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MingLiU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2020</w:t>
      </w:r>
      <w:r>
        <w:rPr>
          <w:rFonts w:hint="eastAsia" w:ascii="仿宋_GB2312" w:eastAsia="仿宋_GB2312"/>
          <w:color w:val="4A4B4B"/>
          <w:kern w:val="0"/>
          <w:sz w:val="32"/>
          <w:szCs w:val="32"/>
        </w:rPr>
        <w:t>年机关运行经费支出预算44.31万元，主要保障机关正常运转及正常履职需要。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仿宋_GB2312" w:hAnsi="MingLiU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4A4B4B"/>
          <w:kern w:val="0"/>
          <w:sz w:val="32"/>
          <w:szCs w:val="32"/>
        </w:rPr>
        <w:t>（二）政府采购支出情况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MingLiU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2020</w:t>
      </w:r>
      <w:r>
        <w:rPr>
          <w:rFonts w:hint="eastAsia" w:ascii="仿宋_GB2312" w:eastAsia="仿宋_GB2312"/>
          <w:color w:val="4A4B4B"/>
          <w:kern w:val="0"/>
          <w:sz w:val="32"/>
          <w:szCs w:val="32"/>
        </w:rPr>
        <w:t>年没有安排政府采购预算。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仿宋_GB2312" w:hAnsi="MingLiU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4A4B4B"/>
          <w:kern w:val="0"/>
          <w:sz w:val="32"/>
          <w:szCs w:val="32"/>
        </w:rPr>
        <w:t>（三）关于预算绩效管理工作开展情况说明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MingLiU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2020</w:t>
      </w:r>
      <w:r>
        <w:rPr>
          <w:rFonts w:hint="eastAsia" w:ascii="仿宋_GB2312" w:eastAsia="仿宋_GB2312"/>
          <w:color w:val="4A4B4B"/>
          <w:kern w:val="0"/>
          <w:sz w:val="32"/>
          <w:szCs w:val="32"/>
        </w:rPr>
        <w:t>年无开展预算绩效管理工作。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仿宋_GB2312" w:hAnsi="MingLiU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4A4B4B"/>
          <w:kern w:val="0"/>
          <w:sz w:val="32"/>
          <w:szCs w:val="32"/>
        </w:rPr>
        <w:t>（四）关于专项转移支付项目情况说明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color w:val="4A4B4B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2020</w:t>
      </w:r>
      <w:r>
        <w:rPr>
          <w:rFonts w:hint="eastAsia" w:ascii="仿宋_GB2312" w:eastAsia="仿宋_GB2312"/>
          <w:color w:val="4A4B4B"/>
          <w:kern w:val="0"/>
          <w:sz w:val="32"/>
          <w:szCs w:val="32"/>
        </w:rPr>
        <w:t>年，无使用专项转移制度的项目。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仿宋_GB2312" w:hAnsi="MingLiU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b/>
          <w:color w:val="4A4B4B"/>
          <w:kern w:val="0"/>
          <w:sz w:val="32"/>
          <w:szCs w:val="32"/>
        </w:rPr>
        <w:t>（五）国有资产占用情况说明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MingLiU" w:eastAsia="仿宋_GB2312" w:cs="宋体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MingLiU" w:eastAsia="仿宋_GB2312" w:cs="宋体"/>
          <w:color w:val="000000" w:themeColor="text1"/>
          <w:kern w:val="0"/>
          <w:sz w:val="32"/>
          <w:szCs w:val="32"/>
        </w:rPr>
        <w:t>2019年期末，</w:t>
      </w:r>
      <w:r>
        <w:rPr>
          <w:rFonts w:hint="eastAsia" w:ascii="仿宋_GB2312" w:hAnsi="MingLiU" w:eastAsia="仿宋_GB2312" w:cs="宋体"/>
          <w:color w:val="000000" w:themeColor="text1"/>
          <w:kern w:val="0"/>
          <w:sz w:val="32"/>
          <w:szCs w:val="32"/>
          <w:lang w:eastAsia="zh-CN"/>
        </w:rPr>
        <w:t>农业园区</w:t>
      </w:r>
      <w:r>
        <w:rPr>
          <w:rFonts w:hint="eastAsia" w:ascii="仿宋_GB2312" w:hAnsi="MingLiU" w:eastAsia="仿宋_GB2312" w:cs="宋体"/>
          <w:color w:val="000000" w:themeColor="text1"/>
          <w:kern w:val="0"/>
          <w:sz w:val="32"/>
          <w:szCs w:val="32"/>
        </w:rPr>
        <w:t>共有车辆1辆，</w:t>
      </w:r>
      <w:r>
        <w:rPr>
          <w:rFonts w:hint="eastAsia" w:ascii="仿宋_GB2312" w:hAnsi="MingLiU" w:eastAsia="仿宋_GB2312" w:cs="宋体"/>
          <w:color w:val="000000" w:themeColor="text1"/>
          <w:kern w:val="0"/>
          <w:sz w:val="32"/>
          <w:szCs w:val="32"/>
          <w:lang w:eastAsia="zh-CN"/>
        </w:rPr>
        <w:t>其中：一般公务用车</w:t>
      </w:r>
      <w:r>
        <w:rPr>
          <w:rFonts w:hint="eastAsia" w:ascii="仿宋_GB2312" w:hAnsi="MingLiU" w:eastAsia="仿宋_GB2312" w:cs="宋体"/>
          <w:color w:val="000000" w:themeColor="text1"/>
          <w:kern w:val="0"/>
          <w:sz w:val="32"/>
          <w:szCs w:val="32"/>
          <w:lang w:val="en-US" w:eastAsia="zh-CN"/>
        </w:rPr>
        <w:t>1辆</w:t>
      </w:r>
      <w:r>
        <w:rPr>
          <w:rFonts w:hint="eastAsia" w:ascii="仿宋_GB2312" w:hAnsi="MingLiU" w:eastAsia="仿宋_GB2312" w:cs="宋体"/>
          <w:color w:val="000000" w:themeColor="text1"/>
          <w:kern w:val="0"/>
          <w:sz w:val="32"/>
          <w:szCs w:val="32"/>
        </w:rPr>
        <w:t>。</w:t>
      </w:r>
      <w:bookmarkStart w:id="0" w:name="_GoBack"/>
      <w:bookmarkEnd w:id="0"/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MingLiU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hAnsi="MingLiU" w:eastAsia="仿宋_GB2312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hint="eastAsia"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4A4B4B"/>
          <w:kern w:val="0"/>
          <w:sz w:val="32"/>
          <w:szCs w:val="32"/>
        </w:rPr>
        <w:t xml:space="preserve">第三部分  </w:t>
      </w:r>
      <w:r>
        <w:rPr>
          <w:rFonts w:hint="eastAsia" w:ascii="黑体" w:hAnsi="黑体" w:eastAsia="黑体"/>
          <w:bCs/>
          <w:color w:val="4A4B4B"/>
          <w:kern w:val="0"/>
          <w:sz w:val="32"/>
          <w:szCs w:val="32"/>
        </w:rPr>
        <w:t>名词解释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仿宋_GB2312" w:hAnsi="MingLiU" w:eastAsia="仿宋_GB2312" w:cs="宋体"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4A4B4B"/>
          <w:kern w:val="0"/>
          <w:sz w:val="32"/>
          <w:szCs w:val="32"/>
        </w:rPr>
        <w:t>一、财政拨款收入</w:t>
      </w:r>
      <w:r>
        <w:rPr>
          <w:rFonts w:hint="eastAsia" w:ascii="仿宋_GB2312" w:eastAsia="仿宋_GB2312"/>
          <w:color w:val="4A4B4B"/>
          <w:kern w:val="0"/>
          <w:sz w:val="32"/>
          <w:szCs w:val="32"/>
        </w:rPr>
        <w:t>：是指各级财政当年拨付的资金。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仿宋_GB2312" w:hAnsi="MingLiU" w:eastAsia="仿宋_GB2312" w:cs="宋体"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4A4B4B"/>
          <w:kern w:val="0"/>
          <w:sz w:val="32"/>
          <w:szCs w:val="32"/>
        </w:rPr>
        <w:t>二、事业收入：</w:t>
      </w:r>
      <w:r>
        <w:rPr>
          <w:rFonts w:hint="eastAsia" w:ascii="仿宋_GB2312" w:eastAsia="仿宋_GB2312"/>
          <w:color w:val="4A4B4B"/>
          <w:kern w:val="0"/>
          <w:sz w:val="32"/>
          <w:szCs w:val="32"/>
        </w:rPr>
        <w:t>是指事业单位开展专业活动及辅助活动所取得的收入。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仿宋_GB2312" w:hAnsi="MingLiU" w:eastAsia="仿宋_GB2312" w:cs="宋体"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4A4B4B"/>
          <w:kern w:val="0"/>
          <w:sz w:val="32"/>
          <w:szCs w:val="32"/>
        </w:rPr>
        <w:t>三、其他收入：</w:t>
      </w:r>
      <w:r>
        <w:rPr>
          <w:rFonts w:hint="eastAsia" w:ascii="仿宋_GB2312" w:eastAsia="仿宋_GB2312"/>
          <w:color w:val="4A4B4B"/>
          <w:kern w:val="0"/>
          <w:sz w:val="32"/>
          <w:szCs w:val="32"/>
        </w:rPr>
        <w:t>是指部门取得的除“财政拨款”、“事业收入”、“事业单位经营收入”等以外的收入。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仿宋_GB2312" w:hAnsi="MingLiU" w:eastAsia="仿宋_GB2312" w:cs="宋体"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4A4B4B"/>
          <w:kern w:val="0"/>
          <w:sz w:val="32"/>
          <w:szCs w:val="32"/>
        </w:rPr>
        <w:t>四、用事业基金弥补收支差额：</w:t>
      </w:r>
      <w:r>
        <w:rPr>
          <w:rFonts w:hint="eastAsia" w:ascii="仿宋_GB2312" w:eastAsia="仿宋_GB2312"/>
          <w:color w:val="4A4B4B"/>
          <w:kern w:val="0"/>
          <w:sz w:val="32"/>
          <w:szCs w:val="32"/>
        </w:rPr>
        <w:t>是指事业单位在当年的“财政拨款收入”、“事业收入”、“经营收入”和“其他收入”不足以安排当年支出的情况下，使用以前年度积累的事业基金（即事业单位以前各年度收支相抵后，按国家规定提取、用于弥补以后年度收支差额的基金）弥补当年收支缺口的资金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仿宋_GB2312" w:eastAsia="仿宋_GB2312"/>
          <w:color w:val="4A4B4B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4A4B4B"/>
          <w:kern w:val="0"/>
          <w:sz w:val="32"/>
          <w:szCs w:val="32"/>
        </w:rPr>
        <w:t>五、基本支出：</w:t>
      </w:r>
      <w:r>
        <w:rPr>
          <w:rFonts w:hint="eastAsia" w:ascii="仿宋_GB2312" w:eastAsia="仿宋_GB2312"/>
          <w:color w:val="4A4B4B"/>
          <w:kern w:val="0"/>
          <w:sz w:val="32"/>
          <w:szCs w:val="32"/>
        </w:rPr>
        <w:t>是指为保障机构正常运转、完成日常工作任务所必需的开支，其内容包括人员经费和日常公用经费两部分。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仿宋_GB2312" w:hAnsi="MingLiU" w:eastAsia="仿宋_GB2312" w:cs="宋体"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4A4B4B"/>
          <w:kern w:val="0"/>
          <w:sz w:val="32"/>
          <w:szCs w:val="32"/>
        </w:rPr>
        <w:t>六、项目支出：</w:t>
      </w:r>
      <w:r>
        <w:rPr>
          <w:rFonts w:hint="eastAsia" w:ascii="仿宋_GB2312" w:eastAsia="仿宋_GB2312"/>
          <w:color w:val="4A4B4B"/>
          <w:kern w:val="0"/>
          <w:sz w:val="32"/>
          <w:szCs w:val="32"/>
        </w:rPr>
        <w:t>是指在基本支出之外，为完成特定的行政工作任务或事业发展目标所发生的支出。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仿宋_GB2312" w:hAnsi="MingLiU" w:eastAsia="仿宋_GB2312" w:cs="宋体"/>
          <w:color w:val="333333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4A4B4B"/>
          <w:kern w:val="0"/>
          <w:sz w:val="32"/>
          <w:szCs w:val="32"/>
        </w:rPr>
        <w:t>七、“三公”经费：</w:t>
      </w:r>
      <w:r>
        <w:rPr>
          <w:rFonts w:hint="eastAsia" w:ascii="仿宋_GB2312" w:eastAsia="仿宋_GB2312"/>
          <w:color w:val="4A4B4B"/>
          <w:kern w:val="0"/>
          <w:sz w:val="32"/>
          <w:szCs w:val="32"/>
        </w:rPr>
        <w:t>是指纳入本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widowControl/>
        <w:shd w:val="clear" w:color="auto" w:fill="FFFFFF"/>
        <w:spacing w:line="560" w:lineRule="exact"/>
        <w:ind w:firstLine="643" w:firstLineChars="200"/>
        <w:rPr>
          <w:rFonts w:hint="eastAsia" w:ascii="仿宋_GB2312" w:eastAsia="仿宋_GB2312"/>
          <w:color w:val="4A4B4B"/>
          <w:kern w:val="0"/>
          <w:sz w:val="32"/>
          <w:szCs w:val="32"/>
        </w:rPr>
      </w:pPr>
      <w:r>
        <w:rPr>
          <w:rFonts w:hint="eastAsia" w:ascii="楷体_GB2312" w:eastAsia="楷体_GB2312"/>
          <w:b/>
          <w:color w:val="4A4B4B"/>
          <w:kern w:val="0"/>
          <w:sz w:val="32"/>
          <w:szCs w:val="32"/>
        </w:rPr>
        <w:t>八、机关运行经费：</w:t>
      </w:r>
      <w:r>
        <w:rPr>
          <w:rFonts w:hint="eastAsia" w:ascii="仿宋_GB2312" w:eastAsia="仿宋_GB2312"/>
          <w:color w:val="4A4B4B"/>
          <w:kern w:val="0"/>
          <w:sz w:val="32"/>
          <w:szCs w:val="32"/>
        </w:rPr>
        <w:t>是指为保障行政单位（含参照公务员法管理的事业单位）运行用于购买货物和服务的各项资金，包括办公及印刷费、邮电费、差旅费、会议费、福利费、日常维修费及一般设备购置费、办公用房水电费、办公用房取暖费、办公用房物业管理费、公务用车运行维护费以及其他费用。</w:t>
      </w: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color w:val="4A4B4B"/>
          <w:kern w:val="0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eastAsia" w:ascii="仿宋_GB2312" w:eastAsia="仿宋_GB2312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kern w:val="0"/>
          <w:sz w:val="32"/>
          <w:szCs w:val="32"/>
        </w:rPr>
        <w:t>附件：农业园区2020年度部门预算表</w:t>
      </w:r>
    </w:p>
    <w:p>
      <w:pPr>
        <w:widowControl/>
        <w:shd w:val="clear" w:color="auto" w:fill="FFFFFF"/>
        <w:spacing w:line="560" w:lineRule="exact"/>
        <w:ind w:firstLine="600" w:firstLineChars="200"/>
        <w:jc w:val="left"/>
        <w:rPr>
          <w:rFonts w:hint="eastAsia" w:ascii="仿宋_GB2312" w:eastAsia="仿宋_GB2312"/>
          <w:color w:val="333333"/>
          <w:kern w:val="0"/>
          <w:sz w:val="30"/>
          <w:szCs w:val="30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6</w:t>
    </w:r>
    <w:r>
      <w:rPr>
        <w:lang w:val="zh-CN" w:eastAsia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187B"/>
    <w:rsid w:val="00003F22"/>
    <w:rsid w:val="00064446"/>
    <w:rsid w:val="00074035"/>
    <w:rsid w:val="00082981"/>
    <w:rsid w:val="000915A0"/>
    <w:rsid w:val="000B5242"/>
    <w:rsid w:val="000D4399"/>
    <w:rsid w:val="000E55A5"/>
    <w:rsid w:val="000F7E79"/>
    <w:rsid w:val="0014675C"/>
    <w:rsid w:val="00165C33"/>
    <w:rsid w:val="00191EAC"/>
    <w:rsid w:val="001A363E"/>
    <w:rsid w:val="001A68EB"/>
    <w:rsid w:val="001B0C22"/>
    <w:rsid w:val="001E166C"/>
    <w:rsid w:val="00225B48"/>
    <w:rsid w:val="00230A33"/>
    <w:rsid w:val="00287993"/>
    <w:rsid w:val="002B0894"/>
    <w:rsid w:val="002B585C"/>
    <w:rsid w:val="002F336D"/>
    <w:rsid w:val="003021E1"/>
    <w:rsid w:val="00305A6E"/>
    <w:rsid w:val="003300B8"/>
    <w:rsid w:val="003A0079"/>
    <w:rsid w:val="003B4328"/>
    <w:rsid w:val="003C717F"/>
    <w:rsid w:val="003F478B"/>
    <w:rsid w:val="003F54E2"/>
    <w:rsid w:val="0040349E"/>
    <w:rsid w:val="004469B8"/>
    <w:rsid w:val="00467774"/>
    <w:rsid w:val="00483224"/>
    <w:rsid w:val="004A00C7"/>
    <w:rsid w:val="004A6648"/>
    <w:rsid w:val="004B51AE"/>
    <w:rsid w:val="004E46C4"/>
    <w:rsid w:val="004F45DB"/>
    <w:rsid w:val="00542C64"/>
    <w:rsid w:val="005612DC"/>
    <w:rsid w:val="005774D9"/>
    <w:rsid w:val="00644B1B"/>
    <w:rsid w:val="00696022"/>
    <w:rsid w:val="006A1E1C"/>
    <w:rsid w:val="006C2B60"/>
    <w:rsid w:val="00702C31"/>
    <w:rsid w:val="00703B76"/>
    <w:rsid w:val="00711C4B"/>
    <w:rsid w:val="00743FAE"/>
    <w:rsid w:val="007731FA"/>
    <w:rsid w:val="00775784"/>
    <w:rsid w:val="00794CF4"/>
    <w:rsid w:val="007A28BF"/>
    <w:rsid w:val="007C5059"/>
    <w:rsid w:val="007D0DC6"/>
    <w:rsid w:val="007F0E72"/>
    <w:rsid w:val="00831491"/>
    <w:rsid w:val="00853A59"/>
    <w:rsid w:val="00877406"/>
    <w:rsid w:val="00884DC0"/>
    <w:rsid w:val="008D6755"/>
    <w:rsid w:val="008F5F4D"/>
    <w:rsid w:val="00943973"/>
    <w:rsid w:val="009443D9"/>
    <w:rsid w:val="0099291B"/>
    <w:rsid w:val="00995B62"/>
    <w:rsid w:val="00A42606"/>
    <w:rsid w:val="00AB22D3"/>
    <w:rsid w:val="00AC354A"/>
    <w:rsid w:val="00AE7213"/>
    <w:rsid w:val="00AF6FAD"/>
    <w:rsid w:val="00B36960"/>
    <w:rsid w:val="00B37C07"/>
    <w:rsid w:val="00B47643"/>
    <w:rsid w:val="00B675FA"/>
    <w:rsid w:val="00B756FC"/>
    <w:rsid w:val="00B8187B"/>
    <w:rsid w:val="00B93148"/>
    <w:rsid w:val="00BD01A3"/>
    <w:rsid w:val="00BD0294"/>
    <w:rsid w:val="00BF4839"/>
    <w:rsid w:val="00C074FE"/>
    <w:rsid w:val="00C27A9F"/>
    <w:rsid w:val="00C3042D"/>
    <w:rsid w:val="00C54612"/>
    <w:rsid w:val="00C704E8"/>
    <w:rsid w:val="00CD0E90"/>
    <w:rsid w:val="00CF3CC5"/>
    <w:rsid w:val="00DB0F13"/>
    <w:rsid w:val="00DC57E4"/>
    <w:rsid w:val="00E33E55"/>
    <w:rsid w:val="00E442EE"/>
    <w:rsid w:val="00E77726"/>
    <w:rsid w:val="00E81AE2"/>
    <w:rsid w:val="00ED4D61"/>
    <w:rsid w:val="00EF7329"/>
    <w:rsid w:val="00EF7A69"/>
    <w:rsid w:val="00F07D06"/>
    <w:rsid w:val="00F63B58"/>
    <w:rsid w:val="00F733D5"/>
    <w:rsid w:val="0B0E718C"/>
    <w:rsid w:val="14376FE3"/>
    <w:rsid w:val="35972E64"/>
    <w:rsid w:val="37A51429"/>
    <w:rsid w:val="558C3FF4"/>
    <w:rsid w:val="58CC290D"/>
    <w:rsid w:val="5C0733EB"/>
    <w:rsid w:val="69C76BD8"/>
    <w:rsid w:val="69F15853"/>
    <w:rsid w:val="7848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0"/>
    <w:rPr>
      <w:b/>
      <w:bCs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  <w:style w:type="character" w:customStyle="1" w:styleId="8">
    <w:name w:val="页脚 Char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7</Pages>
  <Words>416</Words>
  <Characters>2373</Characters>
  <Lines>19</Lines>
  <Paragraphs>5</Paragraphs>
  <TotalTime>2</TotalTime>
  <ScaleCrop>false</ScaleCrop>
  <LinksUpToDate>false</LinksUpToDate>
  <CharactersWithSpaces>2784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2020-12-10T08:48:00Z</dcterms:created>
  <dc:creator>微软用户</dc:creator>
  <cp:lastModifiedBy>Administrator</cp:lastModifiedBy>
  <cp:lastPrinted>2019-08-13T03:48:00Z</cp:lastPrinted>
  <dcterms:modified xsi:type="dcterms:W3CDTF">2021-01-11T05:21:16Z</dcterms:modified>
  <dc:title>目  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