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lang w:val="en-US" w:eastAsia="zh-CN"/>
        </w:rPr>
        <w:t>2019</w:t>
      </w:r>
      <w:r>
        <w:rPr>
          <w:rFonts w:hint="eastAsia" w:ascii="方正小标宋简体" w:hAnsi="Times New Roman" w:eastAsia="方正小标宋简体"/>
          <w:sz w:val="36"/>
          <w:szCs w:val="36"/>
        </w:rPr>
        <w:t>年</w:t>
      </w:r>
      <w:r>
        <w:rPr>
          <w:rFonts w:hint="eastAsia" w:ascii="方正小标宋简体" w:hAnsi="Times New Roman" w:eastAsia="方正小标宋简体"/>
          <w:sz w:val="36"/>
          <w:szCs w:val="36"/>
          <w:lang w:eastAsia="zh-CN"/>
        </w:rPr>
        <w:t>妇联</w:t>
      </w:r>
      <w:r>
        <w:rPr>
          <w:rFonts w:hint="eastAsia" w:ascii="方正小标宋简体" w:hAnsi="Times New Roman" w:eastAsia="方正小标宋简体"/>
          <w:sz w:val="36"/>
          <w:szCs w:val="36"/>
        </w:rPr>
        <w:t>部门预算公开</w:t>
      </w:r>
    </w:p>
    <w:p>
      <w:pPr>
        <w:kinsoku w:val="0"/>
        <w:overflowPunct w:val="0"/>
        <w:adjustRightInd w:val="0"/>
        <w:snapToGrid w:val="0"/>
        <w:spacing w:line="360" w:lineRule="auto"/>
        <w:ind w:left="101" w:right="3569" w:firstLine="640" w:firstLineChars="200"/>
        <w:rPr>
          <w:rFonts w:ascii="仿宋_GB2312" w:hAnsi="Times New Roman" w:eastAsia="仿宋_GB2312"/>
          <w:sz w:val="32"/>
          <w:szCs w:val="32"/>
        </w:rPr>
      </w:pPr>
    </w:p>
    <w:p>
      <w:pPr>
        <w:kinsoku w:val="0"/>
        <w:overflowPunct w:val="0"/>
        <w:adjustRightInd w:val="0"/>
        <w:snapToGrid w:val="0"/>
        <w:spacing w:line="360" w:lineRule="auto"/>
        <w:ind w:left="-142" w:right="51" w:firstLine="39" w:firstLineChars="7"/>
        <w:jc w:val="center"/>
        <w:rPr>
          <w:rFonts w:ascii="黑体" w:hAnsi="Times New Roman" w:eastAsia="黑体" w:cs="黑体"/>
          <w:sz w:val="56"/>
          <w:szCs w:val="56"/>
        </w:rPr>
      </w:pPr>
      <w:r>
        <w:rPr>
          <w:rFonts w:hint="eastAsia" w:ascii="黑体" w:hAnsi="Times New Roman" w:eastAsia="黑体" w:cs="黑体"/>
          <w:sz w:val="56"/>
          <w:szCs w:val="56"/>
        </w:rPr>
        <w:t>目</w:t>
      </w:r>
      <w:r>
        <w:rPr>
          <w:rFonts w:ascii="黑体" w:hAnsi="Times New Roman" w:eastAsia="黑体" w:cs="黑体"/>
          <w:spacing w:val="2"/>
          <w:sz w:val="56"/>
          <w:szCs w:val="56"/>
        </w:rPr>
        <w:t xml:space="preserve"> </w:t>
      </w:r>
      <w:r>
        <w:rPr>
          <w:rFonts w:hint="eastAsia" w:ascii="黑体" w:hAnsi="Times New Roman" w:eastAsia="黑体" w:cs="黑体"/>
          <w:sz w:val="56"/>
          <w:szCs w:val="56"/>
        </w:rPr>
        <w:t>录</w:t>
      </w:r>
    </w:p>
    <w:p>
      <w:pPr>
        <w:kinsoku w:val="0"/>
        <w:overflowPunct w:val="0"/>
        <w:adjustRightInd w:val="0"/>
        <w:snapToGrid w:val="0"/>
        <w:spacing w:line="360" w:lineRule="auto"/>
        <w:ind w:right="521" w:firstLine="640" w:firstLineChars="200"/>
        <w:rPr>
          <w:rFonts w:hint="eastAsia" w:ascii="黑体" w:hAnsi="Times New Roman" w:eastAsia="黑体" w:cs="黑体"/>
          <w:spacing w:val="0"/>
          <w:sz w:val="32"/>
          <w:szCs w:val="32"/>
          <w:lang w:eastAsia="zh-CN"/>
        </w:rPr>
      </w:pPr>
      <w:r>
        <w:rPr>
          <w:rFonts w:hint="eastAsia" w:ascii="黑体" w:hAnsi="Times New Roman" w:eastAsia="黑体" w:cs="黑体"/>
          <w:spacing w:val="0"/>
          <w:sz w:val="32"/>
          <w:szCs w:val="32"/>
          <w:lang w:eastAsia="zh-CN"/>
        </w:rPr>
        <w:t xml:space="preserve">第一部分 妇联概况 </w:t>
      </w:r>
    </w:p>
    <w:p>
      <w:pPr>
        <w:kinsoku w:val="0"/>
        <w:overflowPunct w:val="0"/>
        <w:adjustRightInd w:val="0"/>
        <w:snapToGrid w:val="0"/>
        <w:spacing w:line="360" w:lineRule="auto"/>
        <w:ind w:right="3569" w:firstLine="960" w:firstLineChars="300"/>
        <w:jc w:val="lef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一、主要职</w:t>
      </w:r>
      <w:r>
        <w:rPr>
          <w:rFonts w:hint="eastAsia" w:ascii="仿宋_GB2312" w:hAnsi="Times New Roman" w:eastAsia="仿宋_GB2312" w:cs="仿宋_GB2312"/>
          <w:sz w:val="32"/>
          <w:szCs w:val="32"/>
          <w:lang w:eastAsia="zh-CN"/>
        </w:rPr>
        <w:t>责</w:t>
      </w:r>
    </w:p>
    <w:p>
      <w:pPr>
        <w:kinsoku w:val="0"/>
        <w:overflowPunct w:val="0"/>
        <w:adjustRightInd w:val="0"/>
        <w:snapToGrid w:val="0"/>
        <w:spacing w:line="360" w:lineRule="auto"/>
        <w:ind w:right="2006" w:rightChars="0" w:firstLine="960" w:firstLineChars="300"/>
        <w:jc w:val="lef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二、</w:t>
      </w:r>
      <w:r>
        <w:rPr>
          <w:rFonts w:hint="eastAsia" w:ascii="仿宋_GB2312" w:hAnsi="Times New Roman" w:eastAsia="仿宋_GB2312" w:cs="仿宋_GB2312"/>
          <w:sz w:val="32"/>
          <w:szCs w:val="32"/>
          <w:highlight w:val="none"/>
          <w:lang w:eastAsia="zh-CN"/>
        </w:rPr>
        <w:t>机构设置及</w:t>
      </w:r>
      <w:r>
        <w:rPr>
          <w:rFonts w:hint="eastAsia" w:ascii="仿宋_GB2312" w:hAnsi="Times New Roman" w:eastAsia="仿宋_GB2312" w:cs="仿宋_GB2312"/>
          <w:sz w:val="32"/>
          <w:szCs w:val="32"/>
          <w:highlight w:val="none"/>
        </w:rPr>
        <w:t>部</w:t>
      </w:r>
      <w:r>
        <w:rPr>
          <w:rFonts w:hint="eastAsia" w:ascii="仿宋_GB2312" w:hAnsi="Times New Roman" w:eastAsia="仿宋_GB2312" w:cs="仿宋_GB2312"/>
          <w:sz w:val="32"/>
          <w:szCs w:val="32"/>
        </w:rPr>
        <w:t>门预算单</w:t>
      </w:r>
      <w:r>
        <w:rPr>
          <w:rFonts w:hint="eastAsia" w:ascii="仿宋_GB2312" w:hAnsi="Times New Roman" w:eastAsia="仿宋_GB2312" w:cs="仿宋_GB2312"/>
          <w:sz w:val="32"/>
          <w:szCs w:val="32"/>
          <w:lang w:eastAsia="zh-CN"/>
        </w:rPr>
        <w:t>位构成</w:t>
      </w:r>
    </w:p>
    <w:p>
      <w:pPr>
        <w:kinsoku w:val="0"/>
        <w:overflowPunct w:val="0"/>
        <w:adjustRightInd w:val="0"/>
        <w:snapToGrid w:val="0"/>
        <w:spacing w:line="360" w:lineRule="auto"/>
        <w:ind w:right="521" w:firstLine="640" w:firstLineChars="200"/>
        <w:rPr>
          <w:rFonts w:hint="eastAsia" w:ascii="黑体" w:hAnsi="Times New Roman" w:eastAsia="黑体" w:cs="黑体"/>
          <w:spacing w:val="0"/>
          <w:sz w:val="32"/>
          <w:szCs w:val="32"/>
          <w:lang w:eastAsia="zh-CN"/>
        </w:rPr>
      </w:pPr>
      <w:r>
        <w:rPr>
          <w:rFonts w:hint="eastAsia" w:ascii="黑体" w:hAnsi="Times New Roman" w:eastAsia="黑体" w:cs="黑体"/>
          <w:spacing w:val="0"/>
          <w:sz w:val="32"/>
          <w:szCs w:val="32"/>
          <w:lang w:eastAsia="zh-CN"/>
        </w:rPr>
        <w:t>第二部分 妇联</w:t>
      </w:r>
      <w:r>
        <w:rPr>
          <w:rFonts w:hint="eastAsia" w:ascii="黑体" w:hAnsi="Times New Roman" w:eastAsia="黑体" w:cs="黑体"/>
          <w:spacing w:val="0"/>
          <w:sz w:val="32"/>
          <w:szCs w:val="32"/>
          <w:lang w:val="en-US" w:eastAsia="zh-CN"/>
        </w:rPr>
        <w:t>2019</w:t>
      </w:r>
      <w:r>
        <w:rPr>
          <w:rFonts w:hint="eastAsia" w:ascii="黑体" w:hAnsi="Times New Roman" w:eastAsia="黑体" w:cs="黑体"/>
          <w:spacing w:val="0"/>
          <w:sz w:val="32"/>
          <w:szCs w:val="32"/>
          <w:lang w:eastAsia="zh-CN"/>
        </w:rPr>
        <w:t xml:space="preserve">年部门预算情况说明 </w:t>
      </w:r>
    </w:p>
    <w:p>
      <w:pPr>
        <w:kinsoku w:val="0"/>
        <w:overflowPunct w:val="0"/>
        <w:adjustRightInd w:val="0"/>
        <w:snapToGrid w:val="0"/>
        <w:spacing w:line="360" w:lineRule="auto"/>
        <w:ind w:right="521" w:firstLine="640" w:firstLineChars="200"/>
        <w:rPr>
          <w:rFonts w:ascii="黑体" w:hAnsi="Times New Roman" w:eastAsia="黑体" w:cs="黑体"/>
          <w:sz w:val="32"/>
          <w:szCs w:val="32"/>
        </w:rPr>
      </w:pPr>
      <w:r>
        <w:rPr>
          <w:rFonts w:hint="eastAsia" w:ascii="黑体" w:hAnsi="Times New Roman" w:eastAsia="黑体" w:cs="黑体"/>
          <w:sz w:val="32"/>
          <w:szCs w:val="32"/>
        </w:rPr>
        <w:t>第三部分</w:t>
      </w:r>
      <w:r>
        <w:rPr>
          <w:rFonts w:ascii="黑体" w:hAnsi="Times New Roman" w:eastAsia="黑体" w:cs="黑体"/>
          <w:spacing w:val="-32"/>
          <w:sz w:val="32"/>
          <w:szCs w:val="32"/>
        </w:rPr>
        <w:t xml:space="preserve"> </w:t>
      </w:r>
      <w:r>
        <w:rPr>
          <w:rFonts w:hint="eastAsia" w:ascii="黑体" w:hAnsi="Times New Roman" w:eastAsia="黑体" w:cs="黑体"/>
          <w:sz w:val="32"/>
          <w:szCs w:val="32"/>
        </w:rPr>
        <w:t>名词解释</w:t>
      </w:r>
    </w:p>
    <w:p>
      <w:pPr>
        <w:kinsoku w:val="0"/>
        <w:overflowPunct w:val="0"/>
        <w:adjustRightInd w:val="0"/>
        <w:snapToGrid w:val="0"/>
        <w:spacing w:line="360" w:lineRule="auto"/>
        <w:ind w:firstLine="640" w:firstLineChars="200"/>
        <w:rPr>
          <w:rFonts w:ascii="黑体" w:hAnsi="Times New Roman" w:eastAsia="黑体" w:cs="黑体"/>
          <w:sz w:val="32"/>
          <w:szCs w:val="32"/>
        </w:rPr>
      </w:pPr>
      <w:r>
        <w:rPr>
          <w:rFonts w:hint="eastAsia" w:ascii="黑体" w:hAnsi="Times New Roman" w:eastAsia="黑体" w:cs="黑体"/>
          <w:sz w:val="32"/>
          <w:szCs w:val="32"/>
        </w:rPr>
        <w:t>附件：</w:t>
      </w:r>
      <w:r>
        <w:rPr>
          <w:rFonts w:ascii="黑体" w:hAnsi="Times New Roman" w:eastAsia="黑体" w:cs="黑体"/>
          <w:spacing w:val="-32"/>
          <w:sz w:val="32"/>
          <w:szCs w:val="32"/>
        </w:rPr>
        <w:t xml:space="preserve"> </w:t>
      </w:r>
      <w:r>
        <w:rPr>
          <w:rFonts w:hint="eastAsia" w:ascii="黑体" w:hAnsi="Times New Roman" w:eastAsia="黑体" w:cs="黑体"/>
          <w:spacing w:val="-32"/>
          <w:sz w:val="32"/>
          <w:szCs w:val="32"/>
          <w:lang w:eastAsia="zh-CN"/>
        </w:rPr>
        <w:t>妇联</w:t>
      </w:r>
      <w:r>
        <w:rPr>
          <w:rFonts w:hint="eastAsia" w:ascii="黑体" w:hAnsi="Times New Roman" w:eastAsia="黑体" w:cs="黑体"/>
          <w:spacing w:val="0"/>
          <w:sz w:val="32"/>
          <w:szCs w:val="32"/>
        </w:rPr>
        <w:t>20</w:t>
      </w:r>
      <w:r>
        <w:rPr>
          <w:rFonts w:hint="eastAsia" w:ascii="黑体" w:hAnsi="Times New Roman" w:eastAsia="黑体" w:cs="黑体"/>
          <w:spacing w:val="0"/>
          <w:sz w:val="32"/>
          <w:szCs w:val="32"/>
          <w:lang w:val="en-US" w:eastAsia="zh-CN"/>
        </w:rPr>
        <w:t>1</w:t>
      </w:r>
      <w:r>
        <w:rPr>
          <w:rFonts w:hint="eastAsia" w:ascii="黑体" w:hAnsi="Times New Roman" w:eastAsia="黑体" w:cs="黑体"/>
          <w:sz w:val="32"/>
          <w:szCs w:val="32"/>
          <w:lang w:val="en-US" w:eastAsia="zh-CN"/>
        </w:rPr>
        <w:t>9</w:t>
      </w:r>
      <w:r>
        <w:rPr>
          <w:rFonts w:hint="eastAsia" w:ascii="黑体" w:hAnsi="Times New Roman" w:eastAsia="黑体" w:cs="黑体"/>
          <w:sz w:val="32"/>
          <w:szCs w:val="32"/>
        </w:rPr>
        <w:t>年部门预算表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lang w:eastAsia="zh-CN"/>
        </w:rPr>
        <w:t>七</w:t>
      </w:r>
      <w:r>
        <w:rPr>
          <w:rFonts w:hint="eastAsia" w:ascii="仿宋_GB2312" w:hAnsi="Times New Roman" w:eastAsia="仿宋_GB2312" w:cs="仿宋_GB2312"/>
          <w:sz w:val="32"/>
          <w:szCs w:val="32"/>
        </w:rPr>
        <w:t>、</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eastAsia="zh-CN"/>
        </w:rPr>
        <w:t>八</w:t>
      </w:r>
      <w:r>
        <w:rPr>
          <w:rFonts w:hint="eastAsia" w:ascii="仿宋_GB2312" w:hAnsi="Times New Roman" w:eastAsia="仿宋_GB2312" w:cs="仿宋_GB2312"/>
          <w:sz w:val="32"/>
          <w:szCs w:val="32"/>
        </w:rPr>
        <w:t>、</w:t>
      </w:r>
      <w:r>
        <w:rPr>
          <w:rFonts w:hint="eastAsia" w:ascii="仿宋_GB2312" w:eastAsia="仿宋_GB2312"/>
          <w:sz w:val="32"/>
          <w:szCs w:val="32"/>
        </w:rPr>
        <w:t>政府性基金预算支出情况表</w:t>
      </w:r>
    </w:p>
    <w:p>
      <w:pPr>
        <w:kinsoku w:val="0"/>
        <w:overflowPunct w:val="0"/>
        <w:adjustRightInd w:val="0"/>
        <w:snapToGrid w:val="0"/>
        <w:spacing w:line="360" w:lineRule="auto"/>
        <w:ind w:right="51" w:firstLine="960" w:firstLineChars="300"/>
        <w:jc w:val="left"/>
        <w:rPr>
          <w:rFonts w:hint="eastAsia" w:ascii="仿宋_GB2312" w:eastAsia="仿宋_GB2312" w:cs="Times New Roman"/>
          <w:sz w:val="32"/>
          <w:szCs w:val="32"/>
        </w:rPr>
      </w:pPr>
      <w:r>
        <w:rPr>
          <w:rFonts w:hint="eastAsia" w:ascii="仿宋_GB2312" w:eastAsia="仿宋_GB2312" w:cs="Times New Roman"/>
          <w:sz w:val="32"/>
          <w:szCs w:val="32"/>
        </w:rPr>
        <w:t>九、国有资本经营预算支出情况表</w:t>
      </w:r>
    </w:p>
    <w:p>
      <w:pPr>
        <w:kinsoku w:val="0"/>
        <w:overflowPunct w:val="0"/>
        <w:adjustRightInd w:val="0"/>
        <w:snapToGrid w:val="0"/>
        <w:spacing w:line="360" w:lineRule="auto"/>
        <w:ind w:right="51" w:firstLine="960" w:firstLineChars="300"/>
        <w:jc w:val="left"/>
        <w:rPr>
          <w:rFonts w:hint="eastAsia" w:ascii="仿宋_GB2312" w:eastAsia="仿宋_GB2312" w:cs="Times New Roman"/>
          <w:sz w:val="32"/>
          <w:szCs w:val="32"/>
        </w:rPr>
      </w:pPr>
    </w:p>
    <w:p>
      <w:pPr>
        <w:kinsoku w:val="0"/>
        <w:overflowPunct w:val="0"/>
        <w:adjustRightInd w:val="0"/>
        <w:snapToGrid w:val="0"/>
        <w:spacing w:line="360" w:lineRule="auto"/>
        <w:ind w:right="51" w:firstLine="960" w:firstLineChars="300"/>
        <w:jc w:val="left"/>
        <w:rPr>
          <w:rFonts w:hint="eastAsia" w:ascii="仿宋_GB2312" w:eastAsia="仿宋_GB2312" w:cs="Times New Roman"/>
          <w:sz w:val="32"/>
          <w:szCs w:val="32"/>
        </w:rPr>
      </w:pPr>
    </w:p>
    <w:p>
      <w:pPr>
        <w:kinsoku w:val="0"/>
        <w:overflowPunct w:val="0"/>
        <w:adjustRightInd w:val="0"/>
        <w:snapToGrid w:val="0"/>
        <w:spacing w:line="360" w:lineRule="auto"/>
        <w:ind w:right="51" w:firstLine="960" w:firstLineChars="300"/>
        <w:jc w:val="left"/>
        <w:rPr>
          <w:rFonts w:hint="eastAsia" w:ascii="仿宋_GB2312" w:eastAsia="仿宋_GB2312" w:cs="Times New Roman"/>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第一部分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lang w:eastAsia="zh-CN"/>
        </w:rPr>
        <w:t>南阳市卧龙区妇女联合会</w:t>
      </w:r>
      <w:r>
        <w:rPr>
          <w:rFonts w:hint="eastAsia" w:ascii="黑体" w:hAnsi="黑体" w:eastAsia="黑体"/>
          <w:sz w:val="32"/>
          <w:szCs w:val="32"/>
        </w:rPr>
        <w:t>概况</w:t>
      </w: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妇联</w:t>
      </w:r>
      <w:r>
        <w:rPr>
          <w:rFonts w:hint="eastAsia" w:ascii="黑体" w:hAnsi="黑体" w:eastAsia="黑体"/>
          <w:sz w:val="32"/>
          <w:szCs w:val="32"/>
        </w:rPr>
        <w:t>主要职责</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依据《中华全国妇女联合会章程》规定，南阳市卧龙区妇女联合会的主要职能是：</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（一）</w:t>
      </w:r>
      <w:r>
        <w:rPr>
          <w:rFonts w:hint="eastAsia" w:ascii="仿宋_GB2312" w:eastAsia="仿宋_GB2312"/>
          <w:kern w:val="0"/>
          <w:sz w:val="32"/>
          <w:szCs w:val="32"/>
        </w:rPr>
        <w:t>根据党的中心任务，指导全区各级妇女组织依据《中华全国妇女联合会章程》及全国、省、市、区妇女代表大会的决议，开展妇女儿童工作，联系团体会员，并给予业务指导。</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（二）</w:t>
      </w:r>
      <w:r>
        <w:rPr>
          <w:rFonts w:hint="eastAsia" w:ascii="仿宋_GB2312" w:eastAsia="仿宋_GB2312"/>
          <w:kern w:val="0"/>
          <w:sz w:val="32"/>
          <w:szCs w:val="32"/>
        </w:rPr>
        <w:t>组织动员各族各界妇女投身改革开放和社会主义现代化建设，指导和推动全区农村妇女的“双学双比”活动及城镇妇女的“巾帼建功”活动。</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（三）</w:t>
      </w:r>
      <w:r>
        <w:rPr>
          <w:rFonts w:hint="eastAsia" w:ascii="仿宋_GB2312" w:eastAsia="仿宋_GB2312"/>
          <w:kern w:val="0"/>
          <w:sz w:val="32"/>
          <w:szCs w:val="32"/>
        </w:rPr>
        <w:t>教育、引导广大妇女树立自尊、自信、自立、自强的精神，表彰各行各业的先进妇女。</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（四）</w:t>
      </w:r>
      <w:r>
        <w:rPr>
          <w:rFonts w:hint="eastAsia" w:ascii="仿宋_GB2312" w:eastAsia="仿宋_GB2312"/>
          <w:kern w:val="0"/>
          <w:sz w:val="32"/>
          <w:szCs w:val="32"/>
        </w:rPr>
        <w:t>开展妇女职业技术培训和多层次的妇女干部培训，全面提高妇女素质，促进妇女人才成长。</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（五）</w:t>
      </w:r>
      <w:r>
        <w:rPr>
          <w:rFonts w:hint="eastAsia" w:ascii="仿宋_GB2312" w:eastAsia="仿宋_GB2312"/>
          <w:kern w:val="0"/>
          <w:sz w:val="32"/>
          <w:szCs w:val="32"/>
        </w:rPr>
        <w:t>代表妇女参与政府和社会事务的民主管理、民主监督，促进妇女参政，参与有关妇女儿童发展规划的拟定，维护妇女儿童的合法权益。</w:t>
      </w:r>
    </w:p>
    <w:p>
      <w:pPr>
        <w:widowControl/>
        <w:shd w:val="clear" w:color="auto" w:fill="FFFFFF"/>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（六）</w:t>
      </w:r>
      <w:r>
        <w:rPr>
          <w:rFonts w:hint="eastAsia" w:ascii="仿宋_GB2312" w:eastAsia="仿宋_GB2312"/>
          <w:kern w:val="0"/>
          <w:sz w:val="32"/>
          <w:szCs w:val="32"/>
        </w:rPr>
        <w:t>加强与社会各界的联系，协调和推动社会各界为妇女儿童办实事、办好事。巩固和扩大各族各界妇女的大团结，发展同省内、国内妇女的友好往来，增进友谊，加强合作。</w:t>
      </w:r>
    </w:p>
    <w:p>
      <w:pPr>
        <w:widowControl/>
        <w:ind w:firstLine="640" w:firstLineChars="200"/>
        <w:jc w:val="left"/>
        <w:outlineLvl w:val="1"/>
        <w:rPr>
          <w:rFonts w:ascii="黑体" w:hAnsi="黑体" w:eastAsia="黑体" w:cs="黑体"/>
          <w:kern w:val="0"/>
          <w:sz w:val="32"/>
          <w:szCs w:val="32"/>
        </w:rPr>
      </w:pPr>
      <w:r>
        <w:rPr>
          <w:rFonts w:ascii="仿宋_GB2312" w:eastAsia="仿宋_GB2312"/>
          <w:kern w:val="0"/>
          <w:sz w:val="32"/>
          <w:szCs w:val="32"/>
        </w:rPr>
        <w:t>7</w:t>
      </w:r>
      <w:r>
        <w:rPr>
          <w:rFonts w:hint="eastAsia" w:ascii="仿宋_GB2312" w:eastAsia="仿宋_GB2312"/>
          <w:kern w:val="0"/>
          <w:sz w:val="32"/>
          <w:szCs w:val="32"/>
        </w:rPr>
        <w:t>、承办区委、区政府交办的其它工作。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、南阳市卧龙区妇女联合会</w:t>
      </w:r>
      <w:r>
        <w:rPr>
          <w:rFonts w:hint="eastAsia" w:ascii="仿宋_GB2312" w:hAnsi="仿宋_GB2312" w:eastAsia="仿宋_GB2312" w:cs="仿宋_GB2312"/>
          <w:kern w:val="0"/>
          <w:sz w:val="32"/>
          <w:szCs w:val="32"/>
          <w:lang w:val="en-US" w:eastAsia="zh-CN"/>
        </w:rPr>
        <w:t>按照三定方案规定，</w:t>
      </w:r>
      <w:r>
        <w:rPr>
          <w:rFonts w:hint="eastAsia" w:ascii="仿宋_GB2312" w:hAnsi="仿宋_GB2312" w:eastAsia="仿宋_GB2312" w:cs="仿宋_GB2312"/>
          <w:kern w:val="0"/>
          <w:sz w:val="32"/>
          <w:szCs w:val="32"/>
        </w:rPr>
        <w:t>无内设机构</w:t>
      </w:r>
      <w:r>
        <w:rPr>
          <w:rFonts w:hint="eastAsia" w:ascii="仿宋_GB2312" w:hAnsi="仿宋_GB2312" w:eastAsia="仿宋_GB2312" w:cs="仿宋_GB2312"/>
          <w:kern w:val="0"/>
          <w:sz w:val="32"/>
          <w:szCs w:val="32"/>
          <w:lang w:val="en-US" w:eastAsia="zh-CN"/>
        </w:rPr>
        <w:t>和二级单位</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、从</w:t>
      </w:r>
      <w:r>
        <w:rPr>
          <w:rFonts w:hint="eastAsia" w:ascii="仿宋_GB2312" w:hAnsi="仿宋_GB2312" w:eastAsia="仿宋_GB2312" w:cs="仿宋_GB2312"/>
          <w:kern w:val="0"/>
          <w:sz w:val="32"/>
          <w:szCs w:val="32"/>
          <w:lang w:val="en-US" w:eastAsia="zh-CN"/>
        </w:rPr>
        <w:t>预算</w:t>
      </w:r>
      <w:r>
        <w:rPr>
          <w:rFonts w:hint="eastAsia" w:ascii="仿宋_GB2312" w:hAnsi="仿宋_GB2312" w:eastAsia="仿宋_GB2312" w:cs="仿宋_GB2312"/>
          <w:kern w:val="0"/>
          <w:sz w:val="32"/>
          <w:szCs w:val="32"/>
        </w:rPr>
        <w:t>单位构成看，包含南阳市卧龙区妇女联合部门本级</w:t>
      </w:r>
      <w:r>
        <w:rPr>
          <w:rFonts w:hint="eastAsia" w:ascii="仿宋_GB2312" w:hAnsi="仿宋_GB2312" w:eastAsia="仿宋_GB2312" w:cs="仿宋_GB2312"/>
          <w:kern w:val="0"/>
          <w:sz w:val="32"/>
          <w:szCs w:val="32"/>
          <w:lang w:val="en-US" w:eastAsia="zh-CN"/>
        </w:rPr>
        <w:t>预算</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年执行行政会计制度。</w:t>
      </w:r>
    </w:p>
    <w:p>
      <w:pPr>
        <w:widowControl/>
        <w:jc w:val="left"/>
        <w:rPr>
          <w:rFonts w:ascii="黑体" w:hAnsi="宋体" w:eastAsia="黑体" w:cs="宋体"/>
          <w:kern w:val="0"/>
          <w:sz w:val="28"/>
          <w:szCs w:val="28"/>
        </w:rPr>
      </w:pPr>
    </w:p>
    <w:p>
      <w:pPr>
        <w:adjustRightInd w:val="0"/>
        <w:snapToGrid w:val="0"/>
        <w:spacing w:line="360" w:lineRule="auto"/>
        <w:jc w:val="center"/>
        <w:rPr>
          <w:rFonts w:ascii="黑体" w:hAnsi="Times New Roman" w:eastAsia="黑体" w:cs="黑体"/>
          <w:spacing w:val="-38"/>
          <w:sz w:val="32"/>
          <w:szCs w:val="32"/>
        </w:rPr>
      </w:pPr>
      <w:r>
        <w:rPr>
          <w:rFonts w:hint="eastAsia" w:ascii="黑体" w:hAnsi="Times New Roman" w:eastAsia="黑体" w:cs="黑体"/>
          <w:sz w:val="32"/>
          <w:szCs w:val="32"/>
        </w:rPr>
        <w:t>第二部分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lang w:eastAsia="zh-CN"/>
        </w:rPr>
        <w:t>南阳市卧龙区妇女联合会</w:t>
      </w:r>
      <w:r>
        <w:rPr>
          <w:rFonts w:ascii="黑体" w:hAnsi="Times New Roman" w:eastAsia="黑体" w:cs="黑体"/>
          <w:sz w:val="32"/>
          <w:szCs w:val="32"/>
        </w:rPr>
        <w:t>20</w:t>
      </w:r>
      <w:r>
        <w:rPr>
          <w:rFonts w:hint="eastAsia" w:ascii="黑体" w:hAnsi="Times New Roman" w:eastAsia="黑体" w:cs="黑体"/>
          <w:sz w:val="32"/>
          <w:szCs w:val="32"/>
          <w:lang w:val="en-US" w:eastAsia="zh-CN"/>
        </w:rPr>
        <w:t>19</w:t>
      </w:r>
      <w:r>
        <w:rPr>
          <w:rFonts w:hint="eastAsia" w:ascii="黑体" w:hAnsi="Times New Roman" w:eastAsia="黑体" w:cs="黑体"/>
          <w:sz w:val="32"/>
          <w:szCs w:val="32"/>
        </w:rPr>
        <w:t>年部门预算情况说明</w:t>
      </w:r>
    </w:p>
    <w:p>
      <w:pPr>
        <w:adjustRightInd w:val="0"/>
        <w:snapToGrid w:val="0"/>
        <w:spacing w:line="360" w:lineRule="auto"/>
        <w:ind w:firstLine="640" w:firstLineChars="200"/>
        <w:rPr>
          <w:rFonts w:ascii="黑体" w:hAnsi="黑体" w:eastAsia="黑体"/>
          <w:sz w:val="32"/>
          <w:szCs w:val="32"/>
        </w:rPr>
      </w:pPr>
    </w:p>
    <w:p>
      <w:pPr>
        <w:numPr>
          <w:ilvl w:val="0"/>
          <w:numId w:val="1"/>
        </w:numPr>
        <w:adjustRightInd w:val="0"/>
        <w:snapToGrid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收入支出预算总体情况说明</w:t>
      </w:r>
    </w:p>
    <w:p>
      <w:pPr>
        <w:numPr>
          <w:numId w:val="0"/>
        </w:num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hint="eastAsia" w:ascii="仿宋_GB2312" w:eastAsia="仿宋_GB2312"/>
          <w:color w:val="auto"/>
          <w:kern w:val="0"/>
          <w:sz w:val="30"/>
          <w:szCs w:val="30"/>
          <w:highlight w:val="none"/>
        </w:rPr>
        <w:t>收入总计</w:t>
      </w:r>
      <w:r>
        <w:rPr>
          <w:rFonts w:hint="eastAsia" w:ascii="仿宋_GB2312" w:eastAsia="仿宋_GB2312"/>
          <w:color w:val="auto"/>
          <w:kern w:val="0"/>
          <w:sz w:val="30"/>
          <w:szCs w:val="30"/>
          <w:highlight w:val="none"/>
          <w:lang w:val="en-US" w:eastAsia="zh-CN"/>
        </w:rPr>
        <w:t>94.01</w:t>
      </w:r>
      <w:r>
        <w:rPr>
          <w:rFonts w:hint="eastAsia" w:ascii="仿宋_GB2312" w:eastAsia="仿宋_GB2312"/>
          <w:color w:val="auto"/>
          <w:kern w:val="0"/>
          <w:sz w:val="30"/>
          <w:szCs w:val="30"/>
          <w:highlight w:val="none"/>
        </w:rPr>
        <w:t>万元，支出总计</w:t>
      </w:r>
      <w:r>
        <w:rPr>
          <w:rFonts w:hint="eastAsia" w:ascii="仿宋_GB2312" w:eastAsia="仿宋_GB2312"/>
          <w:color w:val="auto"/>
          <w:kern w:val="0"/>
          <w:sz w:val="30"/>
          <w:szCs w:val="30"/>
          <w:highlight w:val="none"/>
          <w:lang w:val="en-US" w:eastAsia="zh-CN"/>
        </w:rPr>
        <w:t>94.01</w:t>
      </w:r>
      <w:r>
        <w:rPr>
          <w:rFonts w:hint="eastAsia" w:ascii="仿宋_GB2312" w:eastAsia="仿宋_GB2312"/>
          <w:color w:val="auto"/>
          <w:kern w:val="0"/>
          <w:sz w:val="30"/>
          <w:szCs w:val="30"/>
          <w:highlight w:val="none"/>
        </w:rPr>
        <w:t>万元</w:t>
      </w:r>
      <w:r>
        <w:rPr>
          <w:rFonts w:hint="eastAsia" w:ascii="仿宋_GB2312" w:hAnsi="仿宋_GB2312" w:eastAsia="仿宋_GB2312" w:cs="仿宋_GB2312"/>
          <w:sz w:val="32"/>
          <w:szCs w:val="32"/>
        </w:rPr>
        <w:t>。与上年度相比，收、支总计各减少</w:t>
      </w:r>
      <w:r>
        <w:rPr>
          <w:rFonts w:hint="eastAsia" w:ascii="仿宋_GB2312" w:hAnsi="仿宋_GB2312" w:eastAsia="仿宋_GB2312" w:cs="仿宋_GB2312"/>
          <w:sz w:val="32"/>
          <w:szCs w:val="32"/>
          <w:lang w:val="en-US" w:eastAsia="zh-CN"/>
        </w:rPr>
        <w:t>159.45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62.91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。主要原因是河南省免费开展预防出生缺陷产前筛查和新生儿疾病筛查及农村贫困妇女宫颈癌、乳腺癌筛查两项民生实事资金不再通过南阳市卧龙区妇女联合会拨付。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二、收入预算总体情况说明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lang w:eastAsia="zh-CN"/>
        </w:rPr>
        <w:t>妇联</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94.01</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lang w:val="en-US" w:eastAsia="zh-CN"/>
        </w:rPr>
        <w:t>94.01</w:t>
      </w:r>
      <w:r>
        <w:rPr>
          <w:rFonts w:hint="eastAsia" w:ascii="仿宋_GB2312" w:hAnsi="仿宋_GB2312" w:eastAsia="仿宋_GB2312" w:cs="仿宋_GB2312"/>
          <w:sz w:val="32"/>
          <w:szCs w:val="32"/>
        </w:rPr>
        <w:t>万元。</w:t>
      </w:r>
    </w:p>
    <w:p>
      <w:pPr>
        <w:spacing w:line="560" w:lineRule="exact"/>
        <w:ind w:firstLine="640" w:firstLineChars="200"/>
        <w:rPr>
          <w:rFonts w:ascii="黑体" w:hAnsi="宋体" w:eastAsia="黑体" w:cs="宋体"/>
          <w:kern w:val="0"/>
          <w:sz w:val="28"/>
          <w:szCs w:val="28"/>
        </w:rPr>
      </w:pPr>
      <w:r>
        <w:rPr>
          <w:rFonts w:hint="eastAsia" w:ascii="黑体" w:hAnsi="黑体" w:eastAsia="黑体"/>
          <w:sz w:val="32"/>
          <w:szCs w:val="32"/>
        </w:rPr>
        <w:t>三、支出预算总体情况说明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妇联</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94.01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83.35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88.66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11.34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highlight w:val="none"/>
        </w:rPr>
        <w:t>四、财政拨款收入支出预算总体情况说明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妇联</w:t>
      </w:r>
      <w:r>
        <w:rPr>
          <w:rFonts w:hint="eastAsia" w:ascii="仿宋_GB2312" w:hAnsi="仿宋_GB2312" w:eastAsia="仿宋_GB2312" w:cs="仿宋_GB2312"/>
          <w:sz w:val="32"/>
          <w:szCs w:val="32"/>
        </w:rPr>
        <w:t>2019年度财政拨款收入</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94.01万元，支出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94.01万元，与上年相比，财政拨款收支</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减少159.45万元，下降62.91%。主要原因</w:t>
      </w:r>
      <w:r>
        <w:rPr>
          <w:rFonts w:hint="eastAsia" w:ascii="仿宋_GB2312" w:hAnsi="仿宋_GB2312" w:eastAsia="仿宋_GB2312" w:cs="仿宋_GB2312"/>
          <w:sz w:val="32"/>
          <w:szCs w:val="32"/>
          <w:lang w:eastAsia="zh-CN"/>
        </w:rPr>
        <w:t>：项目支出减少。</w:t>
      </w:r>
    </w:p>
    <w:p>
      <w:pPr>
        <w:widowControl/>
        <w:numPr>
          <w:ilvl w:val="0"/>
          <w:numId w:val="2"/>
        </w:num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一般公共预算支出预算情况说明</w:t>
      </w:r>
    </w:p>
    <w:p>
      <w:pPr>
        <w:spacing w:line="560" w:lineRule="exact"/>
        <w:ind w:firstLine="640" w:firstLineChars="200"/>
        <w:rPr>
          <w:rFonts w:hint="eastAsia" w:ascii="仿宋_GB2312" w:hAnsi="宋体" w:eastAsia="仿宋_GB2312" w:cs="Courier New"/>
          <w:sz w:val="32"/>
          <w:szCs w:val="32"/>
        </w:rPr>
      </w:pPr>
      <w:r>
        <w:rPr>
          <w:rFonts w:hint="eastAsia" w:ascii="仿宋_GB2312" w:eastAsia="仿宋_GB2312"/>
          <w:sz w:val="32"/>
          <w:szCs w:val="32"/>
          <w:lang w:eastAsia="zh-CN"/>
        </w:rPr>
        <w:t>妇联</w:t>
      </w:r>
      <w:r>
        <w:rPr>
          <w:rFonts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年一般公共预算支出年初预算为</w:t>
      </w:r>
      <w:r>
        <w:rPr>
          <w:rFonts w:hint="eastAsia" w:ascii="仿宋_GB2312" w:hAnsi="仿宋_GB2312" w:eastAsia="仿宋_GB2312" w:cs="仿宋_GB2312"/>
          <w:sz w:val="32"/>
          <w:szCs w:val="32"/>
        </w:rPr>
        <w:t>94.01</w:t>
      </w:r>
      <w:r>
        <w:rPr>
          <w:rFonts w:hint="eastAsia" w:ascii="仿宋_GB2312" w:hAnsi="宋体" w:eastAsia="仿宋_GB2312" w:cs="Courier New"/>
          <w:sz w:val="32"/>
          <w:szCs w:val="32"/>
        </w:rPr>
        <w:t>万元。主要用于以下方面：一般公共服务（类）支出</w:t>
      </w:r>
      <w:r>
        <w:rPr>
          <w:rFonts w:hint="eastAsia" w:ascii="仿宋_GB2312" w:eastAsia="仿宋_GB2312"/>
          <w:sz w:val="32"/>
          <w:szCs w:val="32"/>
          <w:lang w:val="en-US" w:eastAsia="zh-CN"/>
        </w:rPr>
        <w:t>56.14</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59.72</w:t>
      </w:r>
      <w:r>
        <w:rPr>
          <w:rFonts w:hint="eastAsia" w:ascii="仿宋_GB2312" w:eastAsia="仿宋_GB2312"/>
          <w:sz w:val="32"/>
          <w:szCs w:val="32"/>
        </w:rPr>
        <w:t>%</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社会保障和就业（类）支出</w:t>
      </w:r>
      <w:r>
        <w:rPr>
          <w:rFonts w:hint="eastAsia" w:ascii="仿宋_GB2312" w:eastAsia="仿宋_GB2312"/>
          <w:sz w:val="32"/>
          <w:szCs w:val="32"/>
          <w:lang w:val="en-US" w:eastAsia="zh-CN"/>
        </w:rPr>
        <w:t>30.68</w:t>
      </w:r>
      <w:r>
        <w:rPr>
          <w:rFonts w:hint="eastAsia" w:ascii="仿宋_GB2312" w:hAnsi="宋体" w:eastAsia="仿宋_GB2312" w:cs="Courier New"/>
          <w:sz w:val="32"/>
          <w:szCs w:val="32"/>
          <w:lang w:val="en-US" w:eastAsia="zh-CN"/>
        </w:rPr>
        <w:t>万元，占</w:t>
      </w:r>
      <w:r>
        <w:rPr>
          <w:rFonts w:hint="eastAsia" w:ascii="仿宋_GB2312" w:eastAsia="仿宋_GB2312"/>
          <w:sz w:val="32"/>
          <w:szCs w:val="32"/>
          <w:lang w:val="en-US" w:eastAsia="zh-CN"/>
        </w:rPr>
        <w:t>32.63</w:t>
      </w:r>
      <w:r>
        <w:rPr>
          <w:rFonts w:hint="eastAsia" w:ascii="仿宋_GB2312" w:eastAsia="仿宋_GB2312"/>
          <w:sz w:val="32"/>
          <w:szCs w:val="32"/>
        </w:rPr>
        <w:t>%</w:t>
      </w:r>
      <w:r>
        <w:rPr>
          <w:rFonts w:hint="eastAsia" w:ascii="仿宋_GB2312" w:hAnsi="宋体" w:eastAsia="仿宋_GB2312" w:cs="Courier New"/>
          <w:sz w:val="32"/>
          <w:szCs w:val="32"/>
          <w:lang w:eastAsia="zh-CN"/>
        </w:rPr>
        <w:t>；卫生健康（类）支出</w:t>
      </w:r>
      <w:r>
        <w:rPr>
          <w:rFonts w:hint="eastAsia" w:ascii="仿宋_GB2312" w:eastAsia="仿宋_GB2312"/>
          <w:sz w:val="32"/>
          <w:szCs w:val="32"/>
          <w:lang w:val="en-US" w:eastAsia="zh-CN"/>
        </w:rPr>
        <w:t>3.83</w:t>
      </w:r>
      <w:r>
        <w:rPr>
          <w:rFonts w:hint="eastAsia" w:ascii="仿宋_GB2312" w:hAnsi="宋体" w:eastAsia="仿宋_GB2312" w:cs="Courier New"/>
          <w:sz w:val="32"/>
          <w:szCs w:val="32"/>
          <w:lang w:val="en-US" w:eastAsia="zh-CN"/>
        </w:rPr>
        <w:t>万元，占</w:t>
      </w:r>
      <w:r>
        <w:rPr>
          <w:rFonts w:hint="eastAsia" w:ascii="仿宋_GB2312" w:eastAsia="仿宋_GB2312"/>
          <w:sz w:val="32"/>
          <w:szCs w:val="32"/>
          <w:lang w:val="en-US" w:eastAsia="zh-CN"/>
        </w:rPr>
        <w:t>4.07</w:t>
      </w:r>
      <w:r>
        <w:rPr>
          <w:rFonts w:hint="eastAsia" w:ascii="仿宋_GB2312" w:eastAsia="仿宋_GB2312"/>
          <w:sz w:val="32"/>
          <w:szCs w:val="32"/>
        </w:rPr>
        <w:t>%</w:t>
      </w:r>
      <w:r>
        <w:rPr>
          <w:rFonts w:hint="eastAsia" w:ascii="仿宋_GB2312" w:hAnsi="宋体" w:eastAsia="仿宋_GB2312" w:cs="Courier New"/>
          <w:sz w:val="32"/>
          <w:szCs w:val="32"/>
          <w:lang w:val="en-US" w:eastAsia="zh-CN"/>
        </w:rPr>
        <w:t>；</w:t>
      </w:r>
      <w:r>
        <w:rPr>
          <w:rFonts w:hint="eastAsia" w:ascii="仿宋_GB2312" w:hAnsi="宋体" w:eastAsia="仿宋_GB2312" w:cs="Courier New"/>
          <w:sz w:val="32"/>
          <w:szCs w:val="32"/>
        </w:rPr>
        <w:t>住房保障（类）支出</w:t>
      </w:r>
      <w:r>
        <w:rPr>
          <w:rFonts w:hint="eastAsia" w:ascii="仿宋_GB2312" w:eastAsia="仿宋_GB2312"/>
          <w:sz w:val="32"/>
          <w:szCs w:val="32"/>
          <w:lang w:val="en-US" w:eastAsia="zh-CN"/>
        </w:rPr>
        <w:t>3.37</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3.58</w:t>
      </w:r>
      <w:r>
        <w:rPr>
          <w:rFonts w:hint="eastAsia" w:ascii="仿宋_GB2312" w:eastAsia="仿宋_GB2312"/>
          <w:sz w:val="32"/>
          <w:szCs w:val="32"/>
        </w:rPr>
        <w:t>%</w:t>
      </w:r>
      <w:r>
        <w:rPr>
          <w:rFonts w:hint="eastAsia" w:ascii="仿宋_GB2312" w:hAnsi="宋体" w:eastAsia="仿宋_GB2312" w:cs="Courier New"/>
          <w:sz w:val="32"/>
          <w:szCs w:val="32"/>
        </w:rPr>
        <w:t>。</w:t>
      </w:r>
    </w:p>
    <w:p>
      <w:pPr>
        <w:spacing w:line="560" w:lineRule="exact"/>
        <w:ind w:firstLine="640" w:firstLineChars="200"/>
        <w:rPr>
          <w:rFonts w:hint="eastAsia" w:ascii="黑体" w:hAnsi="Times New Roman" w:eastAsia="黑体" w:cs="黑体"/>
          <w:kern w:val="0"/>
          <w:sz w:val="32"/>
          <w:szCs w:val="32"/>
          <w:highlight w:val="none"/>
        </w:rPr>
      </w:pPr>
      <w:r>
        <w:rPr>
          <w:rFonts w:hint="eastAsia" w:ascii="黑体" w:hAnsi="Times New Roman" w:eastAsia="黑体" w:cs="黑体"/>
          <w:kern w:val="0"/>
          <w:sz w:val="32"/>
          <w:szCs w:val="32"/>
          <w:highlight w:val="none"/>
        </w:rPr>
        <w:t>六、支出预算经济分类情况说明</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按照《财政部关于印发&lt;支出经济分类科目改革方案&gt;的通知》（财预〔2017〕98号）要求，从201</w:t>
      </w:r>
      <w:r>
        <w:rPr>
          <w:rFonts w:ascii="仿宋_GB2312" w:eastAsia="仿宋_GB2312"/>
          <w:sz w:val="32"/>
          <w:szCs w:val="32"/>
          <w:highlight w:val="none"/>
        </w:rPr>
        <w:t>8</w:t>
      </w:r>
      <w:r>
        <w:rPr>
          <w:rFonts w:hint="eastAsia" w:ascii="仿宋_GB2312" w:eastAsia="仿宋_GB2312"/>
          <w:sz w:val="32"/>
          <w:szCs w:val="32"/>
          <w:highlight w:val="none"/>
        </w:rPr>
        <w:t>年起全面实施支出经济分类科目改革，根据政府预算管理和部门预算管理的不同特点，分设部门预算支出经济分类科目和政府预算支出经济分类科目，两套科目之间保持对应关系。</w:t>
      </w:r>
      <w:r>
        <w:rPr>
          <w:rFonts w:hint="eastAsia" w:ascii="仿宋_GB2312" w:eastAsia="仿宋_GB2312"/>
          <w:sz w:val="32"/>
          <w:szCs w:val="32"/>
          <w:highlight w:val="none"/>
          <w:lang w:eastAsia="zh-CN"/>
        </w:rPr>
        <w:t>我单位</w:t>
      </w:r>
      <w:r>
        <w:rPr>
          <w:rFonts w:hint="eastAsia" w:ascii="仿宋_GB2312" w:eastAsia="仿宋_GB2312"/>
          <w:sz w:val="32"/>
          <w:szCs w:val="32"/>
          <w:highlight w:val="none"/>
        </w:rPr>
        <w:t>《支出经济分类汇总表》, 按两套经济分类科目分别反映不同资金来源的全部预算支出。</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妇联2019年一般公共预算基本支出</w:t>
      </w:r>
      <w:r>
        <w:rPr>
          <w:rFonts w:hint="eastAsia" w:ascii="仿宋_GB2312" w:hAnsi="仿宋_GB2312" w:eastAsia="仿宋_GB2312" w:cs="仿宋_GB2312"/>
          <w:sz w:val="32"/>
          <w:szCs w:val="32"/>
          <w:lang w:val="en-US" w:eastAsia="zh-CN"/>
        </w:rPr>
        <w:t>83.35</w:t>
      </w:r>
      <w:r>
        <w:rPr>
          <w:rFonts w:hint="eastAsia" w:ascii="仿宋_GB2312" w:eastAsia="仿宋_GB2312"/>
          <w:sz w:val="32"/>
          <w:szCs w:val="32"/>
          <w:highlight w:val="none"/>
          <w:lang w:val="en-US" w:eastAsia="zh-CN"/>
        </w:rPr>
        <w:t>万元，其中：人员经费82.05万元，主要包括：基本工资、津贴补贴、奖金、社会保障缴费、伙食补助费、绩效工资、其他工</w:t>
      </w:r>
      <w:r>
        <w:rPr>
          <w:rFonts w:hint="eastAsia" w:ascii="仿宋_GB2312" w:eastAsia="仿宋_GB2312" w:cs="Times New Roman"/>
          <w:sz w:val="32"/>
          <w:szCs w:val="32"/>
          <w:highlight w:val="none"/>
          <w:lang w:val="en-US" w:eastAsia="zh-CN"/>
        </w:rPr>
        <w:t>资福利支出、离休费、退休费、退职（役</w:t>
      </w:r>
      <w:r>
        <w:rPr>
          <w:rFonts w:hint="eastAsia" w:ascii="仿宋_GB2312" w:eastAsia="仿宋_GB2312"/>
          <w:sz w:val="32"/>
          <w:szCs w:val="32"/>
          <w:highlight w:val="none"/>
          <w:lang w:val="en-US" w:eastAsia="zh-CN"/>
        </w:rPr>
        <w:t>）费、抚恤金、生活补助、医疗费、助学金、奖励金、住房公积金、提租补贴、购房补贴、其他对个人和家庭的补助支出；公用经费</w:t>
      </w:r>
      <w:r>
        <w:rPr>
          <w:rFonts w:hint="eastAsia" w:ascii="仿宋_GB2312" w:eastAsia="仿宋_GB2312" w:cs="Times New Roman"/>
          <w:sz w:val="32"/>
          <w:szCs w:val="32"/>
          <w:highlight w:val="none"/>
          <w:lang w:val="en-US" w:eastAsia="zh-CN"/>
        </w:rPr>
        <w:t>1.30</w:t>
      </w:r>
      <w:r>
        <w:rPr>
          <w:rFonts w:hint="eastAsia" w:ascii="仿宋_GB2312" w:eastAsia="仿宋_GB2312"/>
          <w:sz w:val="32"/>
          <w:szCs w:val="32"/>
          <w:highlight w:val="none"/>
          <w:lang w:val="en-US" w:eastAsia="zh-CN"/>
        </w:rPr>
        <w:t>万元，主要包括：办公费、印刷费、咨询费、手续费、水费、电费、邮电费、取暖费、物业管理费、差旅费、因公出国（境）费、维 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pPr>
        <w:spacing w:line="560" w:lineRule="exact"/>
        <w:ind w:firstLine="640" w:firstLineChars="200"/>
        <w:rPr>
          <w:rFonts w:hint="eastAsia" w:ascii="仿宋_GB2312" w:eastAsia="仿宋_GB2312"/>
          <w:sz w:val="32"/>
          <w:szCs w:val="32"/>
        </w:rPr>
      </w:pPr>
      <w:r>
        <w:rPr>
          <w:rFonts w:hint="eastAsia" w:ascii="黑体" w:hAnsi="Times New Roman" w:eastAsia="黑体" w:cs="黑体"/>
          <w:kern w:val="0"/>
          <w:sz w:val="32"/>
          <w:szCs w:val="32"/>
          <w:lang w:eastAsia="zh-CN"/>
        </w:rPr>
        <w:t>七</w:t>
      </w:r>
      <w:r>
        <w:rPr>
          <w:rFonts w:hint="eastAsia" w:ascii="黑体" w:hAnsi="Times New Roman" w:eastAsia="黑体" w:cs="黑体"/>
          <w:kern w:val="0"/>
          <w:sz w:val="32"/>
          <w:szCs w:val="32"/>
        </w:rPr>
        <w:t>、“三公”经费支出预算情况说明</w:t>
      </w:r>
    </w:p>
    <w:p>
      <w:pPr>
        <w:spacing w:line="560" w:lineRule="exact"/>
        <w:ind w:firstLine="640" w:firstLineChars="200"/>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eastAsia="仿宋_GB2312"/>
          <w:sz w:val="32"/>
          <w:szCs w:val="32"/>
          <w:lang w:val="en-US" w:eastAsia="zh-CN"/>
        </w:rPr>
        <w:t>局</w:t>
      </w: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年“三公”经费预算为</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万元。20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年“三公”经费支出预算数</w:t>
      </w:r>
      <w:r>
        <w:rPr>
          <w:rFonts w:hint="eastAsia" w:ascii="仿宋_GB2312" w:hAnsi="宋体" w:eastAsia="仿宋_GB2312" w:cs="Courier New"/>
          <w:sz w:val="32"/>
          <w:szCs w:val="32"/>
          <w:lang w:eastAsia="zh-CN"/>
        </w:rPr>
        <w:t>与上</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持平</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具体支出情况如下：</w:t>
      </w:r>
    </w:p>
    <w:p>
      <w:pPr>
        <w:numPr>
          <w:ilvl w:val="0"/>
          <w:numId w:val="3"/>
        </w:numPr>
        <w:kinsoku w:val="0"/>
        <w:overflowPunct w:val="0"/>
        <w:autoSpaceDE w:val="0"/>
        <w:autoSpaceDN w:val="0"/>
        <w:adjustRightInd w:val="0"/>
        <w:snapToGrid w:val="0"/>
        <w:spacing w:line="360" w:lineRule="auto"/>
        <w:ind w:firstLine="639" w:firstLineChars="200"/>
        <w:rPr>
          <w:rFonts w:hint="eastAsia" w:ascii="仿宋_GB2312" w:hAnsi="宋体" w:eastAsia="仿宋_GB2312" w:cs="Courier New"/>
          <w:sz w:val="32"/>
          <w:szCs w:val="32"/>
          <w:lang w:eastAsia="zh-CN"/>
        </w:rPr>
      </w:pPr>
      <w:r>
        <w:rPr>
          <w:rFonts w:hint="eastAsia" w:ascii="仿宋_GB2312" w:hAnsi="Times New Roman" w:eastAsia="仿宋_GB2312" w:cs="仿宋_GB2312"/>
          <w:b/>
          <w:spacing w:val="-1"/>
          <w:kern w:val="0"/>
          <w:sz w:val="32"/>
          <w:szCs w:val="32"/>
        </w:rPr>
        <w:t>因公出国（境）费</w:t>
      </w:r>
      <w:r>
        <w:rPr>
          <w:rFonts w:hint="eastAsia" w:ascii="仿宋_GB2312" w:eastAsia="仿宋_GB2312"/>
          <w:sz w:val="32"/>
          <w:szCs w:val="32"/>
          <w:lang w:val="en-US" w:eastAsia="zh-CN"/>
        </w:rPr>
        <w:t>0</w:t>
      </w:r>
      <w:r>
        <w:rPr>
          <w:rFonts w:hint="eastAsia" w:ascii="仿宋_GB2312" w:hAnsi="Times New Roman" w:eastAsia="仿宋_GB2312" w:cs="仿宋_GB2312"/>
          <w:spacing w:val="-1"/>
          <w:kern w:val="0"/>
          <w:sz w:val="32"/>
          <w:szCs w:val="32"/>
        </w:rPr>
        <w:t>万元，</w:t>
      </w:r>
      <w:r>
        <w:rPr>
          <w:rFonts w:hint="eastAsia" w:ascii="仿宋_GB2312" w:hAnsi="宋体" w:eastAsia="仿宋_GB2312" w:cs="Courier New"/>
          <w:sz w:val="32"/>
          <w:szCs w:val="32"/>
          <w:lang w:eastAsia="zh-CN"/>
        </w:rPr>
        <w:t>与上年持平。</w:t>
      </w:r>
    </w:p>
    <w:p>
      <w:pPr>
        <w:numPr>
          <w:ilvl w:val="0"/>
          <w:numId w:val="3"/>
        </w:numPr>
        <w:kinsoku w:val="0"/>
        <w:overflowPunct w:val="0"/>
        <w:autoSpaceDE w:val="0"/>
        <w:autoSpaceDN w:val="0"/>
        <w:adjustRightInd w:val="0"/>
        <w:snapToGrid w:val="0"/>
        <w:spacing w:line="360" w:lineRule="auto"/>
        <w:ind w:firstLine="639" w:firstLineChars="200"/>
        <w:rPr>
          <w:rFonts w:hint="eastAsia" w:ascii="仿宋_GB2312" w:eastAsia="仿宋_GB2312"/>
          <w:sz w:val="32"/>
          <w:szCs w:val="32"/>
          <w:highlight w:val="none"/>
          <w:lang w:val="en-US" w:eastAsia="zh-CN"/>
        </w:rPr>
      </w:pPr>
      <w:r>
        <w:rPr>
          <w:rFonts w:hint="eastAsia" w:ascii="仿宋_GB2312" w:hAnsi="Times New Roman" w:eastAsia="仿宋_GB2312" w:cs="仿宋_GB2312"/>
          <w:b/>
          <w:spacing w:val="-1"/>
          <w:kern w:val="0"/>
          <w:sz w:val="32"/>
          <w:szCs w:val="32"/>
        </w:rPr>
        <w:t>公务用车购置及运行费</w:t>
      </w:r>
      <w:r>
        <w:rPr>
          <w:rFonts w:hint="eastAsia" w:ascii="仿宋_GB2312" w:hAnsi="Times New Roman" w:eastAsia="仿宋_GB2312" w:cs="仿宋_GB2312"/>
          <w:kern w:val="0"/>
          <w:sz w:val="32"/>
          <w:szCs w:val="32"/>
          <w:lang w:val="en-US" w:eastAsia="zh-CN"/>
        </w:rPr>
        <w:t>0</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w:t>
      </w:r>
      <w:r>
        <w:rPr>
          <w:rFonts w:hint="eastAsia" w:ascii="仿宋_GB2312" w:eastAsia="仿宋_GB2312"/>
          <w:sz w:val="32"/>
          <w:szCs w:val="32"/>
          <w:lang w:val="en-US" w:eastAsia="zh-CN"/>
        </w:rPr>
        <w:t>0</w:t>
      </w:r>
      <w:r>
        <w:rPr>
          <w:rFonts w:hint="eastAsia" w:ascii="仿宋_GB2312" w:hAnsi="宋体" w:eastAsia="仿宋_GB2312" w:cs="Courier New"/>
          <w:sz w:val="32"/>
          <w:szCs w:val="32"/>
        </w:rPr>
        <w:t>万元；公务用车运行维护费</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万元，主要用于开展工作所需公务用车的燃料费、维修费、过路过桥费、保险费、安全奖励费用等支出。公务用车购置费预算数</w:t>
      </w:r>
      <w:r>
        <w:rPr>
          <w:rFonts w:hint="eastAsia" w:ascii="仿宋_GB2312" w:hAnsi="宋体" w:eastAsia="仿宋_GB2312" w:cs="Courier New"/>
          <w:sz w:val="32"/>
          <w:szCs w:val="32"/>
          <w:lang w:eastAsia="zh-CN"/>
        </w:rPr>
        <w:t>与上年持平</w:t>
      </w:r>
      <w:r>
        <w:rPr>
          <w:rFonts w:hint="eastAsia" w:ascii="仿宋_GB2312" w:hAnsi="宋体" w:eastAsia="仿宋_GB2312" w:cs="Courier New"/>
          <w:sz w:val="32"/>
          <w:szCs w:val="32"/>
        </w:rPr>
        <w:t>。公务用车运行维护费预算数</w:t>
      </w:r>
      <w:r>
        <w:rPr>
          <w:rFonts w:hint="eastAsia" w:ascii="仿宋_GB2312" w:hAnsi="宋体" w:eastAsia="仿宋_GB2312" w:cs="Courier New"/>
          <w:sz w:val="32"/>
          <w:szCs w:val="32"/>
          <w:lang w:eastAsia="zh-CN"/>
        </w:rPr>
        <w:t>比上年持平</w:t>
      </w:r>
      <w:r>
        <w:rPr>
          <w:rFonts w:hint="eastAsia" w:ascii="仿宋_GB2312" w:hAnsi="宋体" w:eastAsia="仿宋_GB2312" w:cs="Courier New"/>
          <w:sz w:val="32"/>
          <w:szCs w:val="32"/>
        </w:rPr>
        <w:t>。</w:t>
      </w:r>
    </w:p>
    <w:p>
      <w:pPr>
        <w:numPr>
          <w:ilvl w:val="0"/>
          <w:numId w:val="3"/>
        </w:numPr>
        <w:kinsoku w:val="0"/>
        <w:overflowPunct w:val="0"/>
        <w:autoSpaceDE w:val="0"/>
        <w:autoSpaceDN w:val="0"/>
        <w:adjustRightInd w:val="0"/>
        <w:snapToGrid w:val="0"/>
        <w:spacing w:line="360" w:lineRule="auto"/>
        <w:ind w:firstLine="639" w:firstLineChars="200"/>
        <w:rPr>
          <w:rFonts w:hint="eastAsia" w:ascii="仿宋_GB2312" w:eastAsia="仿宋_GB2312"/>
          <w:sz w:val="32"/>
          <w:szCs w:val="32"/>
          <w:highlight w:val="none"/>
          <w:lang w:val="en-US" w:eastAsia="zh-CN"/>
        </w:rPr>
      </w:pPr>
      <w:r>
        <w:rPr>
          <w:rFonts w:hint="eastAsia" w:ascii="仿宋_GB2312" w:hAnsi="Times New Roman" w:eastAsia="仿宋_GB2312" w:cs="仿宋_GB2312"/>
          <w:b/>
          <w:spacing w:val="-1"/>
          <w:kern w:val="0"/>
          <w:sz w:val="32"/>
          <w:szCs w:val="32"/>
        </w:rPr>
        <w:t>公务接待费</w:t>
      </w:r>
      <w:r>
        <w:rPr>
          <w:rFonts w:hint="eastAsia" w:ascii="仿宋_GB2312" w:hAnsi="Times New Roman" w:eastAsia="仿宋_GB2312" w:cs="仿宋_GB2312"/>
          <w:b/>
          <w:spacing w:val="-1"/>
          <w:kern w:val="0"/>
          <w:sz w:val="32"/>
          <w:szCs w:val="32"/>
          <w:lang w:val="en-US" w:eastAsia="zh-CN"/>
        </w:rPr>
        <w:t>1</w:t>
      </w:r>
      <w:r>
        <w:rPr>
          <w:rFonts w:hint="eastAsia" w:ascii="仿宋_GB2312" w:hAnsi="宋体" w:eastAsia="仿宋_GB2312" w:cs="Courier New"/>
          <w:sz w:val="32"/>
          <w:szCs w:val="32"/>
        </w:rPr>
        <w:t>万元，主要用于按规定开支的各类公务接待支出。</w:t>
      </w:r>
      <w:r>
        <w:rPr>
          <w:rFonts w:hint="eastAsia" w:ascii="仿宋_GB2312" w:hAnsi="宋体" w:eastAsia="仿宋_GB2312" w:cs="Courier New"/>
          <w:sz w:val="32"/>
          <w:szCs w:val="32"/>
          <w:lang w:eastAsia="zh-CN"/>
        </w:rPr>
        <w:t>预算数与上年持平</w:t>
      </w:r>
      <w:r>
        <w:rPr>
          <w:rFonts w:hint="eastAsia" w:ascii="仿宋_GB2312" w:hAnsi="宋体" w:eastAsia="仿宋_GB2312" w:cs="Courier New"/>
          <w:sz w:val="32"/>
          <w:szCs w:val="32"/>
        </w:rPr>
        <w:t>。</w:t>
      </w:r>
    </w:p>
    <w:p>
      <w:pPr>
        <w:keepNext w:val="0"/>
        <w:keepLines w:val="0"/>
        <w:pageBreakBefore w:val="0"/>
        <w:widowControl w:val="0"/>
        <w:wordWrap/>
        <w:topLinePunct w:val="0"/>
        <w:bidi w:val="0"/>
        <w:spacing w:line="360" w:lineRule="auto"/>
        <w:ind w:firstLine="640" w:firstLineChars="200"/>
        <w:textAlignment w:val="auto"/>
        <w:rPr>
          <w:rFonts w:hint="eastAsia" w:ascii="仿宋_GB2312" w:eastAsia="仿宋_GB2312"/>
          <w:sz w:val="32"/>
          <w:szCs w:val="32"/>
        </w:rPr>
      </w:pPr>
      <w:r>
        <w:rPr>
          <w:rFonts w:hint="eastAsia" w:ascii="黑体" w:hAnsi="Times New Roman" w:eastAsia="黑体" w:cs="黑体"/>
          <w:kern w:val="0"/>
          <w:sz w:val="32"/>
          <w:szCs w:val="32"/>
          <w:lang w:eastAsia="zh-CN"/>
        </w:rPr>
        <w:t>八</w:t>
      </w:r>
      <w:r>
        <w:rPr>
          <w:rFonts w:hint="eastAsia" w:ascii="黑体" w:hAnsi="Times New Roman" w:eastAsia="黑体" w:cs="黑体"/>
          <w:kern w:val="0"/>
          <w:sz w:val="32"/>
          <w:szCs w:val="32"/>
        </w:rPr>
        <w:t>、政府性基金预算支出情况说明</w:t>
      </w:r>
    </w:p>
    <w:p>
      <w:pPr>
        <w:keepNext w:val="0"/>
        <w:keepLines w:val="0"/>
        <w:pageBreakBefore w:val="0"/>
        <w:widowControl w:val="0"/>
        <w:wordWrap/>
        <w:topLinePunct w:val="0"/>
        <w:bidi w:val="0"/>
        <w:spacing w:line="360" w:lineRule="auto"/>
        <w:ind w:firstLine="640" w:firstLineChars="200"/>
        <w:textAlignment w:val="auto"/>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无使用政府性基金预算拨款安排的支出</w:t>
      </w:r>
      <w:r>
        <w:rPr>
          <w:rFonts w:hint="eastAsia" w:ascii="仿宋_GB2312" w:hAnsi="宋体" w:eastAsia="仿宋_GB2312" w:cs="Courier New"/>
          <w:sz w:val="32"/>
          <w:szCs w:val="32"/>
        </w:rPr>
        <w:t>。</w:t>
      </w:r>
    </w:p>
    <w:p>
      <w:pPr>
        <w:keepNext w:val="0"/>
        <w:keepLines w:val="0"/>
        <w:pageBreakBefore w:val="0"/>
        <w:widowControl w:val="0"/>
        <w:numPr>
          <w:ilvl w:val="0"/>
          <w:numId w:val="4"/>
        </w:numPr>
        <w:wordWrap/>
        <w:topLinePunct w:val="0"/>
        <w:bidi w:val="0"/>
        <w:spacing w:line="360" w:lineRule="auto"/>
        <w:ind w:firstLine="640" w:firstLineChars="200"/>
        <w:textAlignment w:val="auto"/>
        <w:rPr>
          <w:rFonts w:hint="eastAsia" w:ascii="黑体" w:hAnsi="Times New Roman" w:eastAsia="黑体" w:cs="黑体"/>
          <w:kern w:val="0"/>
          <w:sz w:val="32"/>
          <w:szCs w:val="32"/>
          <w:lang w:val="en-US" w:eastAsia="zh-CN"/>
        </w:rPr>
      </w:pPr>
      <w:r>
        <w:rPr>
          <w:rFonts w:hint="eastAsia" w:ascii="黑体" w:hAnsi="Times New Roman" w:eastAsia="黑体" w:cs="黑体"/>
          <w:kern w:val="0"/>
          <w:sz w:val="32"/>
          <w:szCs w:val="32"/>
          <w:lang w:val="en-US" w:eastAsia="zh-CN"/>
        </w:rPr>
        <w:t>国有资本经营预算支出情况说明</w:t>
      </w:r>
    </w:p>
    <w:p>
      <w:pPr>
        <w:keepNext w:val="0"/>
        <w:keepLines w:val="0"/>
        <w:pageBreakBefore w:val="0"/>
        <w:widowControl w:val="0"/>
        <w:wordWrap/>
        <w:topLinePunct w:val="0"/>
        <w:bidi w:val="0"/>
        <w:spacing w:line="360" w:lineRule="auto"/>
        <w:ind w:firstLine="640" w:firstLineChars="200"/>
        <w:textAlignment w:val="auto"/>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无使用国有资本经营预算拨款安排的支出</w:t>
      </w:r>
      <w:r>
        <w:rPr>
          <w:rFonts w:hint="eastAsia" w:ascii="仿宋_GB2312" w:hAnsi="宋体" w:eastAsia="仿宋_GB2312" w:cs="Courier New"/>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36" w:firstLineChars="200"/>
        <w:textAlignment w:val="auto"/>
        <w:rPr>
          <w:rFonts w:hint="eastAsia" w:ascii="仿宋_GB2312" w:eastAsia="仿宋_GB2312"/>
          <w:sz w:val="32"/>
          <w:szCs w:val="32"/>
          <w:highlight w:val="none"/>
          <w:lang w:val="en-US" w:eastAsia="zh-CN"/>
        </w:rPr>
      </w:pPr>
      <w:r>
        <w:rPr>
          <w:rFonts w:hint="eastAsia" w:ascii="黑体" w:hAnsi="Times New Roman" w:eastAsia="黑体" w:cs="黑体"/>
          <w:spacing w:val="-1"/>
          <w:kern w:val="0"/>
          <w:sz w:val="32"/>
          <w:szCs w:val="32"/>
          <w:lang w:eastAsia="zh-CN"/>
        </w:rPr>
        <w:t>十</w:t>
      </w:r>
      <w:r>
        <w:rPr>
          <w:rFonts w:hint="eastAsia" w:ascii="黑体" w:hAnsi="Times New Roman" w:eastAsia="黑体" w:cs="黑体"/>
          <w:spacing w:val="-1"/>
          <w:kern w:val="0"/>
          <w:sz w:val="32"/>
          <w:szCs w:val="32"/>
        </w:rPr>
        <w:t>、其他重要事项情况说明</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Times New Roman" w:eastAsia="仿宋_GB2312" w:cs="仿宋_GB2312"/>
          <w:b/>
          <w:kern w:val="0"/>
          <w:sz w:val="32"/>
          <w:szCs w:val="32"/>
        </w:rPr>
        <w:t>（一）机关运行经费支出情况</w:t>
      </w:r>
    </w:p>
    <w:p>
      <w:pPr>
        <w:kinsoku w:val="0"/>
        <w:overflowPunct w:val="0"/>
        <w:autoSpaceDE w:val="0"/>
        <w:autoSpaceDN w:val="0"/>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cs="Courier New"/>
          <w:sz w:val="32"/>
          <w:szCs w:val="32"/>
          <w:lang w:eastAsia="zh-CN"/>
        </w:rPr>
        <w:t>妇联</w:t>
      </w:r>
      <w:r>
        <w:rPr>
          <w:rFonts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ascii="仿宋_GB2312" w:hAnsi="宋体" w:eastAsia="仿宋_GB2312" w:cs="Courier New"/>
          <w:sz w:val="32"/>
          <w:szCs w:val="32"/>
        </w:rPr>
        <w:t>年</w:t>
      </w:r>
      <w:r>
        <w:rPr>
          <w:rFonts w:hint="eastAsia" w:ascii="仿宋_GB2312" w:hAnsi="宋体" w:eastAsia="仿宋_GB2312" w:cs="Courier New"/>
          <w:sz w:val="32"/>
          <w:szCs w:val="32"/>
        </w:rPr>
        <w:t>机关运行经费支出预算</w:t>
      </w:r>
      <w:r>
        <w:rPr>
          <w:rFonts w:hint="eastAsia" w:ascii="仿宋_GB2312" w:eastAsia="仿宋_GB2312"/>
          <w:sz w:val="32"/>
          <w:szCs w:val="32"/>
          <w:lang w:val="en-US" w:eastAsia="zh-CN"/>
        </w:rPr>
        <w:t>1.3</w:t>
      </w:r>
      <w:r>
        <w:rPr>
          <w:rFonts w:hint="eastAsia" w:ascii="仿宋_GB2312" w:hAnsi="宋体" w:eastAsia="仿宋_GB2312" w:cs="Courier New"/>
          <w:sz w:val="32"/>
          <w:szCs w:val="32"/>
        </w:rPr>
        <w:t>万元，</w:t>
      </w:r>
      <w:r>
        <w:rPr>
          <w:rFonts w:hint="eastAsia" w:ascii="仿宋_GB2312" w:eastAsia="仿宋_GB2312"/>
          <w:sz w:val="32"/>
          <w:szCs w:val="32"/>
        </w:rPr>
        <w:t>主要</w:t>
      </w:r>
      <w:r>
        <w:rPr>
          <w:rFonts w:hint="eastAsia" w:ascii="仿宋_GB2312" w:eastAsia="仿宋_GB2312"/>
          <w:sz w:val="32"/>
          <w:szCs w:val="32"/>
          <w:lang w:eastAsia="zh-CN"/>
        </w:rPr>
        <w:t>用于</w:t>
      </w:r>
      <w:r>
        <w:rPr>
          <w:rFonts w:hint="eastAsia" w:ascii="仿宋_GB2312" w:eastAsia="仿宋_GB2312"/>
          <w:sz w:val="32"/>
          <w:szCs w:val="32"/>
        </w:rPr>
        <w:t>保障机构正常运转及正常履职需要。</w:t>
      </w:r>
    </w:p>
    <w:p>
      <w:pPr>
        <w:kinsoku w:val="0"/>
        <w:overflowPunct w:val="0"/>
        <w:autoSpaceDE w:val="0"/>
        <w:autoSpaceDN w:val="0"/>
        <w:adjustRightInd w:val="0"/>
        <w:snapToGrid w:val="0"/>
        <w:spacing w:line="360" w:lineRule="auto"/>
        <w:ind w:firstLine="643" w:firstLineChars="200"/>
        <w:rPr>
          <w:rFonts w:hint="eastAsia" w:ascii="仿宋_GB2312" w:hAnsi="Times New Roman" w:eastAsia="仿宋_GB2312" w:cs="仿宋_GB2312"/>
          <w:b/>
          <w:kern w:val="0"/>
          <w:sz w:val="32"/>
          <w:szCs w:val="32"/>
        </w:rPr>
      </w:pPr>
      <w:r>
        <w:rPr>
          <w:rFonts w:hint="eastAsia" w:ascii="仿宋_GB2312" w:hAnsi="Times New Roman" w:eastAsia="仿宋_GB2312" w:cs="仿宋_GB2312"/>
          <w:b/>
          <w:kern w:val="0"/>
          <w:sz w:val="32"/>
          <w:szCs w:val="32"/>
        </w:rPr>
        <w:t>（二）政府采购支出情况</w:t>
      </w:r>
    </w:p>
    <w:p>
      <w:pPr>
        <w:kinsoku w:val="0"/>
        <w:overflowPunct w:val="0"/>
        <w:autoSpaceDE w:val="0"/>
        <w:autoSpaceDN w:val="0"/>
        <w:adjustRightInd w:val="0"/>
        <w:snapToGrid w:val="0"/>
        <w:spacing w:line="360" w:lineRule="auto"/>
        <w:ind w:firstLine="640" w:firstLineChars="200"/>
        <w:rPr>
          <w:rFonts w:hint="eastAsia" w:ascii="楷体_GB2312" w:hAnsi="Times New Roman" w:eastAsia="仿宋_GB2312" w:cs="仿宋_GB2312"/>
          <w:b/>
          <w:kern w:val="0"/>
          <w:sz w:val="32"/>
          <w:szCs w:val="32"/>
          <w:lang w:eastAsia="zh-CN"/>
        </w:rPr>
      </w:pPr>
      <w:r>
        <w:rPr>
          <w:rFonts w:hint="eastAsia" w:ascii="仿宋_GB2312" w:eastAsia="仿宋_GB2312"/>
          <w:sz w:val="32"/>
          <w:szCs w:val="32"/>
          <w:lang w:eastAsia="zh-CN"/>
        </w:rPr>
        <w:t>我</w:t>
      </w:r>
      <w:r>
        <w:rPr>
          <w:rFonts w:hint="eastAsia" w:ascii="仿宋_GB2312" w:eastAsia="仿宋_GB2312"/>
          <w:sz w:val="32"/>
          <w:szCs w:val="32"/>
          <w:lang w:val="en-US" w:eastAsia="zh-CN"/>
        </w:rPr>
        <w:t>单位</w:t>
      </w:r>
      <w:r>
        <w:rPr>
          <w:rFonts w:hint="eastAsia" w:ascii="仿宋_GB2312" w:eastAsia="仿宋_GB2312"/>
          <w:sz w:val="32"/>
          <w:szCs w:val="32"/>
        </w:rPr>
        <w:t>20</w:t>
      </w:r>
      <w:r>
        <w:rPr>
          <w:rFonts w:hint="eastAsia" w:ascii="仿宋_GB2312" w:eastAsia="仿宋_GB2312"/>
          <w:sz w:val="32"/>
          <w:szCs w:val="32"/>
          <w:lang w:val="en-US" w:eastAsia="zh-CN"/>
        </w:rPr>
        <w:t>19</w:t>
      </w:r>
      <w:r>
        <w:rPr>
          <w:rFonts w:hint="eastAsia" w:ascii="仿宋_GB2312" w:eastAsia="仿宋_GB2312"/>
          <w:sz w:val="32"/>
          <w:szCs w:val="32"/>
        </w:rPr>
        <w:t>年政府采购预算安排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kinsoku w:val="0"/>
        <w:overflowPunct w:val="0"/>
        <w:autoSpaceDE w:val="0"/>
        <w:autoSpaceDN w:val="0"/>
        <w:adjustRightInd w:val="0"/>
        <w:snapToGrid w:val="0"/>
        <w:spacing w:line="360" w:lineRule="auto"/>
        <w:ind w:firstLine="643" w:firstLineChars="200"/>
        <w:rPr>
          <w:rFonts w:hint="eastAsia" w:ascii="仿宋_GB2312" w:hAnsi="Times New Roman" w:eastAsia="仿宋_GB2312" w:cs="仿宋_GB2312"/>
          <w:b/>
          <w:kern w:val="0"/>
          <w:sz w:val="32"/>
          <w:szCs w:val="32"/>
        </w:rPr>
      </w:pPr>
      <w:r>
        <w:rPr>
          <w:rFonts w:hint="eastAsia" w:ascii="仿宋_GB2312" w:hAnsi="Times New Roman" w:eastAsia="仿宋_GB2312" w:cs="仿宋_GB2312"/>
          <w:b/>
          <w:kern w:val="0"/>
          <w:sz w:val="32"/>
          <w:szCs w:val="32"/>
        </w:rPr>
        <w:t>（三）绩效</w:t>
      </w:r>
      <w:r>
        <w:rPr>
          <w:rFonts w:ascii="仿宋_GB2312" w:hAnsi="Times New Roman" w:eastAsia="仿宋_GB2312" w:cs="仿宋_GB2312"/>
          <w:b/>
          <w:kern w:val="0"/>
          <w:sz w:val="32"/>
          <w:szCs w:val="32"/>
        </w:rPr>
        <w:t>目标设置情况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eastAsia="zh-CN"/>
        </w:rPr>
      </w:pPr>
      <w:r>
        <w:rPr>
          <w:rFonts w:hint="eastAsia" w:ascii="仿宋_GB2312" w:hAnsi="宋体" w:eastAsia="仿宋_GB2312" w:cs="Courier New"/>
          <w:sz w:val="32"/>
          <w:szCs w:val="32"/>
        </w:rPr>
        <w:t>20</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年我</w:t>
      </w:r>
      <w:r>
        <w:rPr>
          <w:rFonts w:hint="eastAsia" w:ascii="仿宋_GB2312" w:eastAsia="仿宋_GB2312"/>
          <w:sz w:val="32"/>
          <w:szCs w:val="32"/>
          <w:lang w:val="en-US" w:eastAsia="zh-CN"/>
        </w:rPr>
        <w:t>单位</w:t>
      </w:r>
      <w:r>
        <w:rPr>
          <w:rFonts w:hint="eastAsia" w:ascii="仿宋_GB2312" w:hAnsi="宋体" w:eastAsia="仿宋_GB2312" w:cs="Courier New"/>
          <w:sz w:val="32"/>
          <w:szCs w:val="32"/>
        </w:rPr>
        <w:t>未安排预算绩效目标</w:t>
      </w:r>
      <w:r>
        <w:rPr>
          <w:rFonts w:hint="eastAsia" w:ascii="仿宋_GB2312" w:hAnsi="宋体" w:eastAsia="仿宋_GB2312" w:cs="Courier New"/>
          <w:sz w:val="32"/>
          <w:szCs w:val="32"/>
          <w:lang w:eastAsia="zh-CN"/>
        </w:rPr>
        <w:t>。</w:t>
      </w:r>
    </w:p>
    <w:p>
      <w:pPr>
        <w:kinsoku w:val="0"/>
        <w:overflowPunct w:val="0"/>
        <w:autoSpaceDE w:val="0"/>
        <w:autoSpaceDN w:val="0"/>
        <w:adjustRightInd w:val="0"/>
        <w:snapToGrid w:val="0"/>
        <w:spacing w:line="360" w:lineRule="auto"/>
        <w:ind w:firstLine="643" w:firstLineChars="200"/>
        <w:rPr>
          <w:rFonts w:ascii="仿宋_GB2312" w:hAnsi="Times New Roman" w:eastAsia="仿宋_GB2312" w:cs="仿宋_GB2312"/>
          <w:b/>
          <w:kern w:val="0"/>
          <w:sz w:val="32"/>
          <w:szCs w:val="32"/>
        </w:rPr>
      </w:pPr>
      <w:r>
        <w:rPr>
          <w:rFonts w:hint="eastAsia" w:ascii="仿宋_GB2312" w:hAnsi="Times New Roman" w:eastAsia="仿宋_GB2312" w:cs="仿宋_GB2312"/>
          <w:b/>
          <w:kern w:val="0"/>
          <w:sz w:val="32"/>
          <w:szCs w:val="32"/>
        </w:rPr>
        <w:t>（四）国有资产占用情况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eastAsia="zh-CN"/>
        </w:rPr>
      </w:pPr>
      <w:r>
        <w:rPr>
          <w:rFonts w:ascii="仿宋_GB2312" w:hAnsi="宋体" w:eastAsia="仿宋_GB2312" w:cs="Courier New"/>
          <w:sz w:val="32"/>
          <w:szCs w:val="32"/>
        </w:rPr>
        <w:t>20</w:t>
      </w:r>
      <w:r>
        <w:rPr>
          <w:rFonts w:hint="eastAsia" w:ascii="仿宋_GB2312" w:hAnsi="宋体" w:eastAsia="仿宋_GB2312" w:cs="Courier New"/>
          <w:sz w:val="32"/>
          <w:szCs w:val="32"/>
          <w:lang w:val="en-US" w:eastAsia="zh-CN"/>
        </w:rPr>
        <w:t>18</w:t>
      </w:r>
      <w:r>
        <w:rPr>
          <w:rFonts w:hint="eastAsia" w:ascii="仿宋_GB2312" w:hAnsi="宋体" w:eastAsia="仿宋_GB2312" w:cs="Courier New"/>
          <w:sz w:val="32"/>
          <w:szCs w:val="32"/>
        </w:rPr>
        <w:t>年期末，我</w:t>
      </w:r>
      <w:r>
        <w:rPr>
          <w:rFonts w:hint="eastAsia" w:ascii="仿宋_GB2312" w:hAnsi="宋体" w:eastAsia="仿宋_GB2312" w:cs="Courier New"/>
          <w:sz w:val="32"/>
          <w:szCs w:val="32"/>
          <w:lang w:val="en-US" w:eastAsia="zh-CN"/>
        </w:rPr>
        <w:t>局</w:t>
      </w:r>
      <w:r>
        <w:rPr>
          <w:rFonts w:hint="eastAsia" w:ascii="仿宋_GB2312" w:hAnsi="宋体" w:eastAsia="仿宋_GB2312" w:cs="Courier New"/>
          <w:sz w:val="32"/>
          <w:szCs w:val="32"/>
        </w:rPr>
        <w:t>共有车辆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辆，其中：一般公务用车</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辆</w:t>
      </w:r>
      <w:r>
        <w:rPr>
          <w:rFonts w:hint="eastAsia" w:ascii="仿宋_GB2312" w:hAnsi="宋体" w:eastAsia="仿宋_GB2312" w:cs="Courier New"/>
          <w:sz w:val="32"/>
          <w:szCs w:val="32"/>
          <w:lang w:eastAsia="zh-CN"/>
        </w:rPr>
        <w:t>；</w:t>
      </w:r>
      <w:r>
        <w:rPr>
          <w:rFonts w:hint="eastAsia" w:ascii="仿宋_GB2312" w:hAnsi="仿宋_GB2312" w:eastAsia="仿宋_GB2312" w:cs="仿宋_GB2312"/>
          <w:sz w:val="32"/>
          <w:szCs w:val="32"/>
          <w:lang w:val="en-US" w:eastAsia="zh-CN"/>
        </w:rPr>
        <w:t xml:space="preserve">其他固定资产总计9.15万元，主要为通用办公设备，如电脑、空调、办公桌椅等。 </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sz w:val="32"/>
          <w:szCs w:val="32"/>
        </w:rPr>
      </w:pPr>
      <w:r>
        <w:rPr>
          <w:rFonts w:hint="eastAsia" w:ascii="仿宋_GB2312" w:hAnsi="宋体" w:eastAsia="仿宋_GB2312" w:cs="Courier New"/>
          <w:b/>
          <w:sz w:val="32"/>
          <w:szCs w:val="32"/>
        </w:rPr>
        <w:t>（五）专项转移支付项目情况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rPr>
        <w:t>我</w:t>
      </w:r>
      <w:r>
        <w:rPr>
          <w:rFonts w:hint="eastAsia" w:ascii="仿宋_GB2312" w:hAnsi="宋体" w:eastAsia="仿宋_GB2312" w:cs="Courier New"/>
          <w:sz w:val="32"/>
          <w:szCs w:val="32"/>
          <w:lang w:val="en-US" w:eastAsia="zh-CN"/>
        </w:rPr>
        <w:t>局</w:t>
      </w:r>
      <w:r>
        <w:rPr>
          <w:rFonts w:hint="eastAsia" w:ascii="仿宋_GB2312" w:hAnsi="宋体" w:eastAsia="仿宋_GB2312" w:cs="Courier New"/>
          <w:sz w:val="32"/>
          <w:szCs w:val="32"/>
        </w:rPr>
        <w:t>无使用专项转移制度的项目</w:t>
      </w:r>
      <w:r>
        <w:rPr>
          <w:rFonts w:hint="eastAsia" w:ascii="仿宋_GB2312" w:hAnsi="宋体" w:eastAsia="仿宋_GB2312" w:cs="Courier New"/>
          <w:sz w:val="32"/>
          <w:szCs w:val="32"/>
          <w:lang w:val="en-US" w:eastAsia="zh-CN"/>
        </w:rPr>
        <w:t>。</w:t>
      </w: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r>
        <w:rPr>
          <w:rFonts w:hint="eastAsia" w:ascii="黑体" w:hAnsi="黑体" w:eastAsia="黑体"/>
          <w:sz w:val="32"/>
          <w:szCs w:val="32"/>
        </w:rPr>
        <w:t>第三部分</w:t>
      </w:r>
    </w:p>
    <w:p>
      <w:pPr>
        <w:adjustRightInd w:val="0"/>
        <w:snapToGrid w:val="0"/>
        <w:spacing w:line="360" w:lineRule="auto"/>
        <w:jc w:val="center"/>
        <w:rPr>
          <w:rFonts w:hint="eastAsia" w:ascii="黑体" w:hAnsi="黑体" w:eastAsia="黑体"/>
          <w:sz w:val="32"/>
          <w:szCs w:val="32"/>
        </w:rPr>
      </w:pPr>
      <w:r>
        <w:rPr>
          <w:rFonts w:hint="eastAsia" w:ascii="黑体" w:hAnsi="黑体" w:eastAsia="黑体"/>
          <w:sz w:val="32"/>
          <w:szCs w:val="32"/>
        </w:rPr>
        <w:t>名词解释</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一、财政拨款收入：是指省级财政当年拨付的资金。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 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360" w:lineRule="auto"/>
        <w:rPr>
          <w:rFonts w:hint="eastAsia" w:ascii="黑体" w:hAnsi="黑体" w:eastAsia="黑体"/>
          <w:sz w:val="32"/>
          <w:szCs w:val="32"/>
        </w:rPr>
      </w:pPr>
    </w:p>
    <w:p>
      <w:pPr>
        <w:adjustRightInd w:val="0"/>
        <w:snapToGrid w:val="0"/>
        <w:spacing w:line="360" w:lineRule="auto"/>
        <w:rPr>
          <w:rFonts w:ascii="黑体" w:hAnsi="黑体" w:eastAsia="黑体"/>
          <w:sz w:val="32"/>
          <w:szCs w:val="32"/>
        </w:rPr>
      </w:pPr>
      <w:r>
        <w:rPr>
          <w:rFonts w:hint="eastAsia" w:ascii="黑体" w:hAnsi="黑体" w:eastAsia="黑体"/>
          <w:sz w:val="32"/>
          <w:szCs w:val="32"/>
        </w:rPr>
        <w:t>附件：</w:t>
      </w:r>
      <w:bookmarkStart w:id="0" w:name="_GoBack"/>
      <w:bookmarkEnd w:id="0"/>
    </w:p>
    <w:p>
      <w:pPr>
        <w:adjustRightInd w:val="0"/>
        <w:snapToGrid w:val="0"/>
        <w:spacing w:line="360" w:lineRule="auto"/>
        <w:jc w:val="center"/>
        <w:rPr>
          <w:rFonts w:hint="eastAsia" w:ascii="黑体" w:hAnsi="黑体" w:eastAsia="黑体"/>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sz w:val="32"/>
          <w:szCs w:val="32"/>
          <w:lang w:eastAsia="zh-CN"/>
        </w:rPr>
        <w:t>南阳市卧龙区妇女联合会</w:t>
      </w:r>
      <w:r>
        <w:rPr>
          <w:rFonts w:hint="eastAsia" w:ascii="黑体" w:hAnsi="黑体" w:eastAsia="黑体"/>
          <w:sz w:val="32"/>
          <w:szCs w:val="32"/>
        </w:rPr>
        <w:t>20</w:t>
      </w:r>
      <w:r>
        <w:rPr>
          <w:rFonts w:hint="eastAsia" w:ascii="黑体" w:hAnsi="黑体" w:eastAsia="黑体"/>
          <w:sz w:val="32"/>
          <w:szCs w:val="32"/>
          <w:lang w:val="en-US" w:eastAsia="zh-CN"/>
        </w:rPr>
        <w:t>19</w:t>
      </w:r>
      <w:r>
        <w:rPr>
          <w:rFonts w:hint="eastAsia" w:ascii="黑体" w:hAnsi="黑体" w:eastAsia="黑体"/>
          <w:sz w:val="32"/>
          <w:szCs w:val="32"/>
        </w:rPr>
        <w:t>年部门预算</w:t>
      </w:r>
    </w:p>
    <w:p>
      <w:pPr>
        <w:tabs>
          <w:tab w:val="left" w:pos="847"/>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35287"/>
    <w:multiLevelType w:val="singleLevel"/>
    <w:tmpl w:val="87D35287"/>
    <w:lvl w:ilvl="0" w:tentative="0">
      <w:start w:val="1"/>
      <w:numFmt w:val="chineseCounting"/>
      <w:suff w:val="nothing"/>
      <w:lvlText w:val="%1、"/>
      <w:lvlJc w:val="left"/>
      <w:rPr>
        <w:rFonts w:hint="eastAsia"/>
      </w:rPr>
    </w:lvl>
  </w:abstractNum>
  <w:abstractNum w:abstractNumId="1">
    <w:nsid w:val="9E9AC8E8"/>
    <w:multiLevelType w:val="singleLevel"/>
    <w:tmpl w:val="9E9AC8E8"/>
    <w:lvl w:ilvl="0" w:tentative="0">
      <w:start w:val="5"/>
      <w:numFmt w:val="chineseCounting"/>
      <w:suff w:val="nothing"/>
      <w:lvlText w:val="%1、"/>
      <w:lvlJc w:val="left"/>
      <w:rPr>
        <w:rFonts w:hint="eastAsia"/>
      </w:rPr>
    </w:lvl>
  </w:abstractNum>
  <w:abstractNum w:abstractNumId="2">
    <w:nsid w:val="1528553A"/>
    <w:multiLevelType w:val="singleLevel"/>
    <w:tmpl w:val="1528553A"/>
    <w:lvl w:ilvl="0" w:tentative="0">
      <w:start w:val="1"/>
      <w:numFmt w:val="chineseCounting"/>
      <w:suff w:val="nothing"/>
      <w:lvlText w:val="（%1）"/>
      <w:lvlJc w:val="left"/>
      <w:rPr>
        <w:rFonts w:hint="eastAsia"/>
      </w:rPr>
    </w:lvl>
  </w:abstractNum>
  <w:abstractNum w:abstractNumId="3">
    <w:nsid w:val="47923CB7"/>
    <w:multiLevelType w:val="singleLevel"/>
    <w:tmpl w:val="47923CB7"/>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F70FD"/>
    <w:rsid w:val="3D6F70FD"/>
    <w:rsid w:val="4F65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2021-06-10T04:23:00Z</dcterms:created>
  <dc:creator>DELL</dc:creator>
  <cp:lastModifiedBy>DELL</cp:lastModifiedBy>
  <dcterms:modified xsi:type="dcterms:W3CDTF">2021-06-10T04:46:01Z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F71ABB7768E44E88969F49263848555D</vt:lpwstr>
  </property>
</Properties>
</file>