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firstLine="602" w:firstLineChars="200"/>
        <w:jc w:val="center"/>
        <w:rPr>
          <w:rFonts w:ascii="仿宋_GB2312" w:hAnsi="MingLiU" w:cs="宋体"/>
          <w:b/>
          <w:color w:val="000000"/>
          <w:kern w:val="0"/>
          <w:sz w:val="30"/>
          <w:szCs w:val="30"/>
        </w:rPr>
      </w:pPr>
      <w:r>
        <w:rPr>
          <w:rFonts w:ascii="仿宋_GB2312" w:hAnsi="仿宋_GB2312" w:cs="宋体"/>
          <w:b/>
          <w:bCs/>
          <w:color w:val="000000"/>
          <w:kern w:val="0"/>
          <w:sz w:val="30"/>
          <w:szCs w:val="30"/>
        </w:rPr>
        <w:t>目录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" w:cs="宋体"/>
          <w:color w:val="000000"/>
          <w:kern w:val="0"/>
          <w:sz w:val="30"/>
          <w:szCs w:val="30"/>
        </w:rPr>
      </w:pPr>
      <w:r>
        <w:rPr>
          <w:rFonts w:ascii="仿宋_GB2312" w:hAnsi="仿宋_GB2312" w:cs="宋体"/>
          <w:color w:val="000000"/>
          <w:kern w:val="0"/>
          <w:sz w:val="30"/>
          <w:szCs w:val="30"/>
        </w:rPr>
        <w:t>第一部分部门概况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" w:cs="宋体"/>
          <w:color w:val="000000"/>
          <w:kern w:val="0"/>
          <w:sz w:val="30"/>
          <w:szCs w:val="30"/>
        </w:rPr>
      </w:pPr>
      <w:r>
        <w:rPr>
          <w:rFonts w:ascii="仿宋_GB2312" w:hAnsi="仿宋_GB2312" w:cs="宋体"/>
          <w:color w:val="000000"/>
          <w:kern w:val="0"/>
          <w:sz w:val="30"/>
          <w:szCs w:val="30"/>
        </w:rPr>
        <w:t>一、主要职责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" w:cs="宋体"/>
          <w:color w:val="000000"/>
          <w:kern w:val="0"/>
          <w:sz w:val="30"/>
          <w:szCs w:val="30"/>
        </w:rPr>
      </w:pPr>
      <w:r>
        <w:rPr>
          <w:rFonts w:ascii="仿宋_GB2312" w:hAnsi="仿宋_GB2312" w:cs="宋体"/>
          <w:color w:val="000000"/>
          <w:kern w:val="0"/>
          <w:sz w:val="30"/>
          <w:szCs w:val="30"/>
        </w:rPr>
        <w:t>二、部门预算单位构成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" w:cs="宋体"/>
          <w:color w:val="000000"/>
          <w:kern w:val="0"/>
          <w:sz w:val="30"/>
          <w:szCs w:val="30"/>
        </w:rPr>
      </w:pPr>
      <w:r>
        <w:rPr>
          <w:rFonts w:ascii="仿宋_GB2312" w:hAnsi="仿宋_GB2312" w:cs="宋体"/>
          <w:color w:val="000000"/>
          <w:kern w:val="0"/>
          <w:sz w:val="30"/>
          <w:szCs w:val="30"/>
        </w:rPr>
        <w:t>第二部分卧龙区退役军人事务局2019年部门预算情况说明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" w:cs="宋体"/>
          <w:color w:val="000000"/>
          <w:kern w:val="0"/>
          <w:sz w:val="30"/>
          <w:szCs w:val="30"/>
        </w:rPr>
      </w:pPr>
      <w:r>
        <w:rPr>
          <w:rFonts w:ascii="仿宋_GB2312" w:hAnsi="仿宋_GB2312" w:cs="宋体"/>
          <w:color w:val="000000"/>
          <w:kern w:val="0"/>
          <w:sz w:val="30"/>
          <w:szCs w:val="30"/>
        </w:rPr>
        <w:t>第三部分名词解释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" w:cs="宋体"/>
          <w:color w:val="000000"/>
          <w:kern w:val="0"/>
          <w:sz w:val="30"/>
          <w:szCs w:val="30"/>
        </w:rPr>
      </w:pPr>
      <w:r>
        <w:rPr>
          <w:rFonts w:ascii="仿宋_GB2312" w:hAnsi="仿宋_GB2312" w:cs="宋体"/>
          <w:color w:val="000000"/>
          <w:kern w:val="0"/>
          <w:sz w:val="30"/>
          <w:szCs w:val="30"/>
        </w:rPr>
        <w:t>附件：退役军人事务局2019年度部门预算表</w:t>
      </w:r>
    </w:p>
    <w:p>
      <w:pPr>
        <w:widowControl/>
        <w:shd w:val="clear" w:color="auto" w:fill="FFFFFF"/>
        <w:spacing w:line="560" w:lineRule="exact"/>
        <w:ind w:firstLine="1500" w:firstLineChars="500"/>
        <w:jc w:val="left"/>
        <w:rPr>
          <w:rFonts w:ascii="仿宋_GB2312" w:hAnsi="MingLiU" w:cs="宋体"/>
          <w:color w:val="000000"/>
          <w:kern w:val="0"/>
          <w:sz w:val="30"/>
          <w:szCs w:val="30"/>
        </w:rPr>
      </w:pPr>
      <w:r>
        <w:rPr>
          <w:rFonts w:ascii="仿宋_GB2312" w:hAnsi="仿宋_GB2312" w:cs="宋体"/>
          <w:color w:val="000000"/>
          <w:kern w:val="0"/>
          <w:sz w:val="30"/>
          <w:szCs w:val="30"/>
        </w:rPr>
        <w:t>表一、部门收支总体情况表</w:t>
      </w:r>
    </w:p>
    <w:p>
      <w:pPr>
        <w:widowControl/>
        <w:shd w:val="clear" w:color="auto" w:fill="FFFFFF"/>
        <w:spacing w:line="560" w:lineRule="exact"/>
        <w:ind w:firstLine="1500" w:firstLineChars="500"/>
        <w:jc w:val="left"/>
        <w:rPr>
          <w:rFonts w:ascii="仿宋_GB2312" w:hAnsi="MingLiU" w:cs="宋体"/>
          <w:color w:val="000000"/>
          <w:kern w:val="0"/>
          <w:sz w:val="30"/>
          <w:szCs w:val="30"/>
        </w:rPr>
      </w:pPr>
      <w:r>
        <w:rPr>
          <w:rFonts w:ascii="仿宋_GB2312" w:hAnsi="仿宋_GB2312" w:cs="宋体"/>
          <w:color w:val="000000"/>
          <w:kern w:val="0"/>
          <w:sz w:val="30"/>
          <w:szCs w:val="30"/>
        </w:rPr>
        <w:t>表二、部门收入总体情况表</w:t>
      </w:r>
    </w:p>
    <w:p>
      <w:pPr>
        <w:widowControl/>
        <w:shd w:val="clear" w:color="auto" w:fill="FFFFFF"/>
        <w:spacing w:line="560" w:lineRule="exact"/>
        <w:ind w:firstLine="1500" w:firstLineChars="500"/>
        <w:jc w:val="left"/>
        <w:rPr>
          <w:rFonts w:ascii="仿宋_GB2312" w:hAnsi="MingLiU" w:cs="宋体"/>
          <w:color w:val="000000"/>
          <w:kern w:val="0"/>
          <w:sz w:val="30"/>
          <w:szCs w:val="30"/>
        </w:rPr>
      </w:pPr>
      <w:r>
        <w:rPr>
          <w:rFonts w:ascii="仿宋_GB2312" w:hAnsi="仿宋_GB2312" w:cs="宋体"/>
          <w:color w:val="000000"/>
          <w:kern w:val="0"/>
          <w:sz w:val="30"/>
          <w:szCs w:val="30"/>
        </w:rPr>
        <w:t>表三、部门支出总体情况表</w:t>
      </w:r>
    </w:p>
    <w:p>
      <w:pPr>
        <w:widowControl/>
        <w:shd w:val="clear" w:color="auto" w:fill="FFFFFF"/>
        <w:spacing w:line="560" w:lineRule="exact"/>
        <w:ind w:firstLine="1500" w:firstLineChars="500"/>
        <w:jc w:val="left"/>
        <w:rPr>
          <w:rFonts w:ascii="仿宋_GB2312" w:hAnsi="MingLiU" w:cs="宋体"/>
          <w:color w:val="000000"/>
          <w:kern w:val="0"/>
          <w:sz w:val="30"/>
          <w:szCs w:val="30"/>
        </w:rPr>
      </w:pPr>
      <w:r>
        <w:rPr>
          <w:rFonts w:ascii="仿宋_GB2312" w:hAnsi="仿宋_GB2312" w:cs="宋体"/>
          <w:color w:val="000000"/>
          <w:kern w:val="0"/>
          <w:sz w:val="30"/>
          <w:szCs w:val="30"/>
        </w:rPr>
        <w:t>表四、财政拨款收支总体情况表</w:t>
      </w:r>
    </w:p>
    <w:p>
      <w:pPr>
        <w:widowControl/>
        <w:shd w:val="clear" w:color="auto" w:fill="FFFFFF"/>
        <w:spacing w:line="560" w:lineRule="exact"/>
        <w:ind w:firstLine="1500" w:firstLineChars="500"/>
        <w:jc w:val="left"/>
        <w:rPr>
          <w:rFonts w:ascii="仿宋_GB2312" w:hAnsi="MingLiU" w:cs="宋体"/>
          <w:color w:val="000000"/>
          <w:kern w:val="0"/>
          <w:sz w:val="30"/>
          <w:szCs w:val="30"/>
        </w:rPr>
      </w:pPr>
      <w:r>
        <w:rPr>
          <w:rFonts w:ascii="仿宋_GB2312" w:hAnsi="仿宋_GB2312" w:cs="宋体"/>
          <w:color w:val="000000"/>
          <w:kern w:val="0"/>
          <w:sz w:val="30"/>
          <w:szCs w:val="30"/>
        </w:rPr>
        <w:t>表五、一般公共预算预算支出情况表</w:t>
      </w:r>
    </w:p>
    <w:p>
      <w:pPr>
        <w:widowControl/>
        <w:shd w:val="clear" w:color="auto" w:fill="FFFFFF"/>
        <w:spacing w:line="560" w:lineRule="exact"/>
        <w:ind w:firstLine="1500" w:firstLineChars="500"/>
        <w:jc w:val="left"/>
        <w:rPr>
          <w:rFonts w:ascii="仿宋_GB2312" w:hAnsi="MingLiU" w:cs="宋体"/>
          <w:color w:val="000000"/>
          <w:kern w:val="0"/>
          <w:sz w:val="30"/>
          <w:szCs w:val="30"/>
        </w:rPr>
      </w:pPr>
      <w:r>
        <w:rPr>
          <w:rFonts w:ascii="仿宋_GB2312" w:hAnsi="仿宋_GB2312" w:cs="宋体"/>
          <w:color w:val="000000"/>
          <w:kern w:val="0"/>
          <w:sz w:val="30"/>
          <w:szCs w:val="30"/>
        </w:rPr>
        <w:t>表六、一般公共预算基本支出情况表</w:t>
      </w:r>
    </w:p>
    <w:p>
      <w:pPr>
        <w:widowControl/>
        <w:shd w:val="clear" w:color="auto" w:fill="FFFFFF"/>
        <w:spacing w:line="560" w:lineRule="exact"/>
        <w:ind w:firstLine="1500" w:firstLineChars="500"/>
        <w:jc w:val="left"/>
        <w:rPr>
          <w:rFonts w:ascii="仿宋_GB2312" w:hAnsi="MingLiU" w:cs="宋体"/>
          <w:color w:val="000000"/>
          <w:kern w:val="0"/>
          <w:sz w:val="30"/>
          <w:szCs w:val="30"/>
        </w:rPr>
      </w:pPr>
      <w:r>
        <w:rPr>
          <w:rFonts w:ascii="仿宋_GB2312" w:hAnsi="仿宋_GB2312" w:cs="宋体"/>
          <w:color w:val="000000"/>
          <w:kern w:val="0"/>
          <w:sz w:val="30"/>
          <w:szCs w:val="30"/>
        </w:rPr>
        <w:t>表七、一般公共预算“三公”经费支出情况表</w:t>
      </w:r>
    </w:p>
    <w:p>
      <w:pPr>
        <w:widowControl/>
        <w:shd w:val="clear" w:color="auto" w:fill="FFFFFF"/>
        <w:spacing w:line="560" w:lineRule="exact"/>
        <w:ind w:firstLine="1500" w:firstLineChars="500"/>
        <w:jc w:val="left"/>
        <w:rPr>
          <w:rFonts w:ascii="仿宋_GB2312" w:hAnsi="MingLiU" w:cs="宋体"/>
          <w:color w:val="000000"/>
          <w:kern w:val="0"/>
          <w:sz w:val="30"/>
          <w:szCs w:val="30"/>
        </w:rPr>
      </w:pPr>
      <w:r>
        <w:rPr>
          <w:rFonts w:ascii="仿宋_GB2312" w:hAnsi="仿宋_GB2312" w:cs="宋体"/>
          <w:color w:val="000000"/>
          <w:kern w:val="0"/>
          <w:sz w:val="30"/>
          <w:szCs w:val="30"/>
        </w:rPr>
        <w:t>表八、政府性基金预算支出情况表</w:t>
      </w:r>
    </w:p>
    <w:p>
      <w:pPr>
        <w:widowControl/>
        <w:shd w:val="clear" w:color="auto" w:fill="FFFFFF"/>
        <w:spacing w:line="560" w:lineRule="exact"/>
        <w:ind w:firstLine="1500" w:firstLineChars="500"/>
        <w:jc w:val="left"/>
        <w:rPr>
          <w:rFonts w:ascii="仿宋_GB2312" w:hAnsi="MingLiU" w:cs="宋体"/>
          <w:color w:val="000000"/>
          <w:kern w:val="0"/>
          <w:sz w:val="30"/>
          <w:szCs w:val="30"/>
        </w:rPr>
      </w:pPr>
      <w:r>
        <w:rPr>
          <w:rFonts w:ascii="仿宋_GB2312" w:hAnsi="仿宋_GB2312" w:cs="宋体"/>
          <w:color w:val="000000"/>
          <w:kern w:val="0"/>
          <w:sz w:val="30"/>
          <w:szCs w:val="30"/>
        </w:rPr>
        <w:t>表九、国有资本经营预算支出情况表</w:t>
      </w:r>
    </w:p>
    <w:p>
      <w:pPr>
        <w:widowControl/>
        <w:shd w:val="clear" w:color="auto" w:fill="FFFFFF"/>
        <w:spacing w:after="240" w:line="560" w:lineRule="exact"/>
        <w:ind w:firstLine="602" w:firstLineChars="200"/>
        <w:jc w:val="center"/>
        <w:rPr>
          <w:rFonts w:ascii="仿宋_GB2312" w:hAnsi="宋体" w:cs="宋体"/>
          <w:b/>
          <w:bCs/>
          <w:color w:val="000000"/>
          <w:kern w:val="0"/>
          <w:sz w:val="30"/>
          <w:szCs w:val="30"/>
        </w:rPr>
      </w:pPr>
      <w:r>
        <w:rPr>
          <w:rFonts w:ascii="仿宋_GB2312" w:hAnsi="宋体" w:cs="宋体"/>
          <w:b/>
          <w:bCs/>
          <w:color w:val="000000"/>
          <w:kern w:val="0"/>
          <w:sz w:val="30"/>
          <w:szCs w:val="30"/>
        </w:rPr>
        <w:t xml:space="preserve"> </w:t>
      </w:r>
    </w:p>
    <w:p>
      <w:pPr>
        <w:widowControl/>
        <w:shd w:val="clear" w:color="auto" w:fill="FFFFFF"/>
        <w:spacing w:after="240" w:line="560" w:lineRule="exact"/>
        <w:ind w:firstLine="602" w:firstLineChars="200"/>
        <w:jc w:val="center"/>
        <w:rPr>
          <w:rFonts w:ascii="仿宋_GB2312" w:hAnsi="宋体" w:cs="宋体"/>
          <w:b/>
          <w:bCs/>
          <w:color w:val="000000"/>
          <w:kern w:val="0"/>
          <w:sz w:val="30"/>
          <w:szCs w:val="30"/>
        </w:rPr>
      </w:pPr>
      <w:r>
        <w:rPr>
          <w:rFonts w:ascii="仿宋_GB2312" w:hAnsi="宋体" w:cs="宋体"/>
          <w:b/>
          <w:bCs/>
          <w:color w:val="000000"/>
          <w:kern w:val="0"/>
          <w:sz w:val="30"/>
          <w:szCs w:val="30"/>
        </w:rPr>
        <w:t xml:space="preserve"> </w:t>
      </w:r>
    </w:p>
    <w:p>
      <w:pPr>
        <w:widowControl/>
        <w:shd w:val="clear" w:color="auto" w:fill="FFFFFF"/>
        <w:spacing w:after="240" w:line="560" w:lineRule="exact"/>
        <w:ind w:firstLine="602" w:firstLineChars="200"/>
        <w:jc w:val="center"/>
        <w:rPr>
          <w:rFonts w:ascii="仿宋_GB2312" w:hAnsi="宋体" w:cs="宋体"/>
          <w:b/>
          <w:bCs/>
          <w:color w:val="000000"/>
          <w:kern w:val="0"/>
          <w:sz w:val="30"/>
          <w:szCs w:val="30"/>
        </w:rPr>
      </w:pPr>
      <w:r>
        <w:rPr>
          <w:rFonts w:ascii="仿宋_GB2312" w:hAnsi="宋体" w:cs="宋体"/>
          <w:b/>
          <w:bCs/>
          <w:color w:val="000000"/>
          <w:kern w:val="0"/>
          <w:sz w:val="30"/>
          <w:szCs w:val="30"/>
        </w:rPr>
        <w:t xml:space="preserve"> </w:t>
      </w:r>
    </w:p>
    <w:p>
      <w:pPr>
        <w:widowControl/>
        <w:shd w:val="clear" w:color="auto" w:fill="FFFFFF"/>
        <w:spacing w:after="240" w:line="560" w:lineRule="exact"/>
        <w:ind w:firstLine="602" w:firstLineChars="200"/>
        <w:jc w:val="center"/>
        <w:rPr>
          <w:rFonts w:ascii="仿宋_GB2312" w:hAnsi="宋体" w:cs="宋体"/>
          <w:b/>
          <w:bCs/>
          <w:color w:val="000000"/>
          <w:kern w:val="0"/>
          <w:sz w:val="30"/>
          <w:szCs w:val="30"/>
        </w:rPr>
      </w:pPr>
      <w:r>
        <w:rPr>
          <w:rFonts w:ascii="仿宋_GB2312" w:hAnsi="宋体" w:cs="宋体"/>
          <w:b/>
          <w:bCs/>
          <w:color w:val="000000"/>
          <w:kern w:val="0"/>
          <w:sz w:val="30"/>
          <w:szCs w:val="30"/>
        </w:rPr>
        <w:t xml:space="preserve"> </w:t>
      </w:r>
    </w:p>
    <w:p>
      <w:pPr>
        <w:widowControl/>
        <w:shd w:val="clear" w:color="auto" w:fill="FFFFFF"/>
        <w:spacing w:after="240" w:line="560" w:lineRule="exact"/>
        <w:ind w:firstLine="602" w:firstLineChars="200"/>
        <w:jc w:val="center"/>
        <w:rPr>
          <w:rFonts w:ascii="仿宋_GB2312" w:hAnsi="宋体" w:cs="宋体"/>
          <w:b/>
          <w:bCs/>
          <w:color w:val="000000"/>
          <w:kern w:val="0"/>
          <w:sz w:val="30"/>
          <w:szCs w:val="30"/>
        </w:rPr>
      </w:pPr>
      <w:r>
        <w:rPr>
          <w:rFonts w:ascii="仿宋_GB2312" w:hAnsi="宋体" w:cs="宋体"/>
          <w:b/>
          <w:bCs/>
          <w:color w:val="000000"/>
          <w:kern w:val="0"/>
          <w:sz w:val="30"/>
          <w:szCs w:val="30"/>
        </w:rPr>
        <w:t xml:space="preserve"> </w:t>
      </w:r>
    </w:p>
    <w:p>
      <w:pPr>
        <w:widowControl/>
        <w:shd w:val="clear" w:color="auto" w:fill="FFFFFF"/>
        <w:spacing w:after="240" w:line="560" w:lineRule="exact"/>
        <w:ind w:firstLine="602" w:firstLineChars="200"/>
        <w:jc w:val="center"/>
        <w:rPr>
          <w:rFonts w:ascii="仿宋_GB2312" w:hAnsi="宋体" w:cs="宋体"/>
          <w:b/>
          <w:bCs/>
          <w:color w:val="000000"/>
          <w:kern w:val="0"/>
          <w:sz w:val="30"/>
          <w:szCs w:val="30"/>
        </w:rPr>
      </w:pPr>
      <w:r>
        <w:rPr>
          <w:rFonts w:ascii="仿宋_GB2312" w:hAnsi="宋体" w:cs="宋体"/>
          <w:b/>
          <w:bCs/>
          <w:color w:val="000000"/>
          <w:kern w:val="0"/>
          <w:sz w:val="30"/>
          <w:szCs w:val="30"/>
        </w:rPr>
        <w:t xml:space="preserve"> </w:t>
      </w:r>
    </w:p>
    <w:p>
      <w:pPr>
        <w:widowControl/>
        <w:shd w:val="clear" w:color="auto" w:fill="FFFFFF"/>
        <w:spacing w:after="240" w:line="560" w:lineRule="exact"/>
        <w:ind w:firstLine="602" w:firstLineChars="200"/>
        <w:jc w:val="center"/>
        <w:rPr>
          <w:rFonts w:ascii="仿宋_GB2312" w:hAnsi="MingLiU" w:cs="宋体"/>
          <w:color w:val="000000"/>
          <w:kern w:val="0"/>
          <w:sz w:val="30"/>
          <w:szCs w:val="30"/>
        </w:rPr>
      </w:pPr>
      <w:r>
        <w:rPr>
          <w:rFonts w:ascii="仿宋_GB2312" w:hAnsi="仿宋_GB2312" w:cs="宋体"/>
          <w:b/>
          <w:bCs/>
          <w:color w:val="000000"/>
          <w:kern w:val="0"/>
          <w:sz w:val="30"/>
          <w:szCs w:val="30"/>
        </w:rPr>
        <w:t>退役军人事务局2019年部门预算公开</w:t>
      </w:r>
    </w:p>
    <w:p>
      <w:pPr>
        <w:widowControl/>
        <w:shd w:val="clear" w:color="auto" w:fill="FFFFFF"/>
        <w:spacing w:line="560" w:lineRule="exact"/>
        <w:ind w:firstLine="602" w:firstLineChars="200"/>
        <w:jc w:val="center"/>
        <w:rPr>
          <w:rFonts w:ascii="仿宋_GB2312" w:hAnsi="MingLiU" w:cs="宋体"/>
          <w:b/>
          <w:color w:val="000000"/>
          <w:kern w:val="0"/>
          <w:sz w:val="30"/>
          <w:szCs w:val="30"/>
        </w:rPr>
      </w:pPr>
      <w:r>
        <w:rPr>
          <w:rFonts w:ascii="仿宋_GB2312" w:hAnsi="仿宋_GB2312" w:cs="宋体"/>
          <w:b/>
          <w:color w:val="000000"/>
          <w:kern w:val="0"/>
          <w:sz w:val="30"/>
          <w:szCs w:val="30"/>
        </w:rPr>
        <w:t>第一部分</w:t>
      </w:r>
    </w:p>
    <w:p>
      <w:pPr>
        <w:widowControl/>
        <w:shd w:val="clear" w:color="auto" w:fill="FFFFFF"/>
        <w:spacing w:line="560" w:lineRule="exact"/>
        <w:ind w:firstLine="602" w:firstLineChars="200"/>
        <w:jc w:val="center"/>
        <w:rPr>
          <w:rFonts w:ascii="仿宋_GB2312" w:hAnsi="MingLiU" w:cs="宋体"/>
          <w:color w:val="000000"/>
          <w:kern w:val="0"/>
          <w:sz w:val="30"/>
          <w:szCs w:val="30"/>
        </w:rPr>
      </w:pPr>
      <w:r>
        <w:rPr>
          <w:rFonts w:ascii="仿宋_GB2312" w:hAnsi="仿宋_GB2312"/>
          <w:b/>
          <w:bCs/>
          <w:color w:val="000000"/>
          <w:kern w:val="0"/>
          <w:sz w:val="30"/>
          <w:szCs w:val="30"/>
        </w:rPr>
        <w:t>退役军人事务局概况</w:t>
      </w:r>
    </w:p>
    <w:p>
      <w:pPr>
        <w:widowControl/>
        <w:shd w:val="clear" w:color="auto" w:fill="FFFFFF"/>
        <w:spacing w:line="560" w:lineRule="exact"/>
        <w:ind w:firstLine="602" w:firstLineChars="200"/>
        <w:jc w:val="left"/>
        <w:rPr>
          <w:rFonts w:ascii="仿宋_GB2312" w:hAnsi="MingLiU" w:cs="宋体"/>
          <w:b/>
          <w:bCs/>
          <w:color w:val="000000"/>
          <w:kern w:val="0"/>
          <w:sz w:val="30"/>
          <w:szCs w:val="30"/>
        </w:rPr>
      </w:pPr>
      <w:r>
        <w:rPr>
          <w:rFonts w:ascii="仿宋_GB2312" w:hAnsi="仿宋_GB2312"/>
          <w:b/>
          <w:bCs/>
          <w:color w:val="000000"/>
          <w:kern w:val="0"/>
          <w:sz w:val="30"/>
          <w:szCs w:val="30"/>
        </w:rPr>
        <w:t>一、退役军人事务局主要职责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仿宋_GB2312"/>
          <w:color w:val="000000"/>
          <w:kern w:val="0"/>
          <w:sz w:val="30"/>
          <w:szCs w:val="30"/>
        </w:rPr>
      </w:pPr>
      <w:r>
        <w:rPr>
          <w:rFonts w:ascii="仿宋_GB2312" w:hAnsi="仿宋_GB2312"/>
          <w:color w:val="000000"/>
          <w:kern w:val="0"/>
          <w:sz w:val="30"/>
          <w:szCs w:val="30"/>
        </w:rPr>
        <w:t>（一）贯彻党和国家退役军人思想政治、管理保障和优抚安置等工作政策法规并组织实施，褒扬彰显退役军人为党、国家和人民牺牲奉献的精神风范和价值导向。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仿宋_GB2312"/>
          <w:color w:val="000000"/>
          <w:kern w:val="0"/>
          <w:sz w:val="30"/>
          <w:szCs w:val="30"/>
        </w:rPr>
      </w:pPr>
      <w:r>
        <w:rPr>
          <w:rFonts w:ascii="仿宋_GB2312" w:hAnsi="仿宋_GB2312"/>
          <w:color w:val="000000"/>
          <w:kern w:val="0"/>
          <w:sz w:val="30"/>
          <w:szCs w:val="30"/>
        </w:rPr>
        <w:t>（二）指导全区退役军人事务工作的改革与发展，拟订全区退役军人事业发展规划并组织实施。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仿宋_GB2312"/>
          <w:color w:val="000000"/>
          <w:kern w:val="0"/>
          <w:sz w:val="30"/>
          <w:szCs w:val="30"/>
        </w:rPr>
      </w:pPr>
      <w:r>
        <w:rPr>
          <w:rFonts w:ascii="仿宋_GB2312" w:hAnsi="仿宋_GB2312"/>
          <w:color w:val="000000"/>
          <w:kern w:val="0"/>
          <w:sz w:val="30"/>
          <w:szCs w:val="30"/>
        </w:rPr>
        <w:t>（三）负责全区军队转业干部、复员干部、离退休干部、退役士兵和无军籍退休退职职工的移交安置工作，做好自主择业、自主就业退役军人服务管理工作。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仿宋_GB2312"/>
          <w:color w:val="000000"/>
          <w:kern w:val="0"/>
          <w:sz w:val="30"/>
          <w:szCs w:val="30"/>
        </w:rPr>
      </w:pPr>
      <w:r>
        <w:rPr>
          <w:rFonts w:ascii="仿宋_GB2312" w:hAnsi="仿宋_GB2312"/>
          <w:color w:val="000000"/>
          <w:kern w:val="0"/>
          <w:sz w:val="30"/>
          <w:szCs w:val="30"/>
        </w:rPr>
        <w:t>（四）组织指导全区退役军人教育培训工作，协调扶持退役军人和随军随调家属就业创业。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仿宋_GB2312"/>
          <w:color w:val="000000"/>
          <w:kern w:val="0"/>
          <w:sz w:val="30"/>
          <w:szCs w:val="30"/>
        </w:rPr>
      </w:pPr>
      <w:r>
        <w:rPr>
          <w:rFonts w:ascii="仿宋_GB2312" w:hAnsi="仿宋_GB2312"/>
          <w:color w:val="000000"/>
          <w:kern w:val="0"/>
          <w:sz w:val="30"/>
          <w:szCs w:val="30"/>
        </w:rPr>
        <w:t>（五）贯彻落实党和国家关于退役军人特殊保障政策，会同有关部门制定我区相关政策并组织实施，建立健全多方联动协调机制。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仿宋_GB2312"/>
          <w:color w:val="000000"/>
          <w:kern w:val="0"/>
          <w:sz w:val="30"/>
          <w:szCs w:val="30"/>
        </w:rPr>
      </w:pPr>
      <w:r>
        <w:rPr>
          <w:rFonts w:ascii="仿宋_GB2312" w:hAnsi="仿宋_GB2312"/>
          <w:color w:val="000000"/>
          <w:kern w:val="0"/>
          <w:sz w:val="30"/>
          <w:szCs w:val="30"/>
        </w:rPr>
        <w:t>（六）组织协调落实移交我区的离退休军人、符合条件的其他退役军人和无军籍退休退职职工的住房保障工作，以及退役军人医疗保障、社会保险等待遇保障工作；落实军队离退休干部（遗属）、无军籍退休退职职工相关待遇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仿宋_GB2312"/>
          <w:color w:val="000000"/>
          <w:kern w:val="0"/>
          <w:sz w:val="30"/>
          <w:szCs w:val="30"/>
        </w:rPr>
      </w:pPr>
      <w:r>
        <w:rPr>
          <w:rFonts w:ascii="仿宋_GB2312" w:hAnsi="仿宋_GB2312"/>
          <w:color w:val="000000"/>
          <w:kern w:val="0"/>
          <w:sz w:val="30"/>
          <w:szCs w:val="30"/>
        </w:rPr>
        <w:t>（七）组织指导全区伤病残退役军人服务管理和抚恤工作；承担全区不适宜继续服役的伤病残军人相关工作。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仿宋_GB2312"/>
          <w:color w:val="000000"/>
          <w:kern w:val="0"/>
          <w:sz w:val="30"/>
          <w:szCs w:val="30"/>
        </w:rPr>
      </w:pPr>
      <w:r>
        <w:rPr>
          <w:rFonts w:ascii="仿宋_GB2312" w:hAnsi="仿宋_GB2312"/>
          <w:color w:val="000000"/>
          <w:kern w:val="0"/>
          <w:sz w:val="30"/>
          <w:szCs w:val="30"/>
        </w:rPr>
        <w:t>（八）组织指导开展全区拥军优属拥政爱民工作。负责现役军人、退役军人、军队文职人员和军属的优待、抚恤等工作；贯彻落实国民党抗战老兵等有关人员优待政策并组织实施。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仿宋_GB2312"/>
          <w:color w:val="000000"/>
          <w:kern w:val="0"/>
          <w:sz w:val="30"/>
          <w:szCs w:val="30"/>
        </w:rPr>
      </w:pPr>
      <w:r>
        <w:rPr>
          <w:rFonts w:ascii="仿宋_GB2312" w:hAnsi="仿宋_GB2312"/>
          <w:color w:val="000000"/>
          <w:kern w:val="0"/>
          <w:sz w:val="30"/>
          <w:szCs w:val="30"/>
        </w:rPr>
        <w:t>（九）负责全区烈士褒扬及退役军人荣誉奖励、纪念活动等工作，依法承担英雄烈士保护相关工作，指导全区烈士纪念设施等机构的服务管理工作，总结表彰和宣扬退役军人、退役军人工作单位和个人先进典型事迹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仿宋_GB2312"/>
          <w:color w:val="000000"/>
          <w:kern w:val="0"/>
          <w:sz w:val="30"/>
          <w:szCs w:val="30"/>
        </w:rPr>
      </w:pPr>
      <w:r>
        <w:rPr>
          <w:rFonts w:ascii="仿宋_GB2312" w:hAnsi="仿宋_GB2312"/>
          <w:color w:val="000000"/>
          <w:kern w:val="0"/>
          <w:sz w:val="30"/>
          <w:szCs w:val="30"/>
        </w:rPr>
        <w:t>（十）负责全区退役军人法律法规宣传工作，指导并监督检查关于退役军人相关法律法规和政策措施的落实；组织开展退役军人权益维护和有关人员的帮扶援助工作。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仿宋_GB2312"/>
          <w:color w:val="000000"/>
          <w:kern w:val="0"/>
          <w:sz w:val="30"/>
          <w:szCs w:val="30"/>
        </w:rPr>
      </w:pPr>
      <w:r>
        <w:rPr>
          <w:rFonts w:ascii="仿宋_GB2312" w:hAnsi="仿宋_GB2312"/>
          <w:color w:val="000000"/>
          <w:kern w:val="0"/>
          <w:sz w:val="30"/>
          <w:szCs w:val="30"/>
        </w:rPr>
        <w:t>（十一）推进退役军人服务保障体系建设，夯实退役军人服务管理保障工作基础，提升退役军人服务管理保障工作水平。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仿宋_GB2312"/>
          <w:color w:val="000000"/>
          <w:kern w:val="0"/>
          <w:sz w:val="30"/>
          <w:szCs w:val="30"/>
        </w:rPr>
      </w:pPr>
      <w:r>
        <w:rPr>
          <w:rFonts w:ascii="仿宋_GB2312" w:hAnsi="仿宋_GB2312"/>
          <w:color w:val="000000"/>
          <w:kern w:val="0"/>
          <w:sz w:val="30"/>
          <w:szCs w:val="30"/>
        </w:rPr>
        <w:t>（十二）完成区委、区政府交办的其他工作。</w:t>
      </w:r>
    </w:p>
    <w:p>
      <w:pPr>
        <w:widowControl/>
        <w:shd w:val="clear" w:color="auto" w:fill="FFFFFF"/>
        <w:spacing w:line="560" w:lineRule="exact"/>
        <w:ind w:firstLine="602" w:firstLineChars="200"/>
        <w:jc w:val="left"/>
        <w:rPr>
          <w:rFonts w:ascii="仿宋_GB2312" w:hAnsi="MingLiU" w:cs="宋体"/>
          <w:b/>
          <w:bCs/>
          <w:color w:val="000000"/>
          <w:kern w:val="0"/>
          <w:sz w:val="30"/>
          <w:szCs w:val="30"/>
        </w:rPr>
      </w:pPr>
      <w:r>
        <w:rPr>
          <w:rFonts w:ascii="仿宋_GB2312" w:hAnsi="仿宋_GB2312"/>
          <w:b/>
          <w:bCs/>
          <w:color w:val="000000"/>
          <w:kern w:val="0"/>
          <w:sz w:val="30"/>
          <w:szCs w:val="30"/>
        </w:rPr>
        <w:t>二、机构设置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仿宋_GB2312"/>
          <w:color w:val="000000"/>
          <w:kern w:val="0"/>
          <w:sz w:val="30"/>
          <w:szCs w:val="30"/>
        </w:rPr>
      </w:pPr>
      <w:r>
        <w:rPr>
          <w:rFonts w:ascii="仿宋_GB2312" w:hAnsi="仿宋_GB2312"/>
          <w:color w:val="000000"/>
          <w:kern w:val="0"/>
          <w:sz w:val="30"/>
          <w:szCs w:val="30"/>
        </w:rPr>
        <w:t xml:space="preserve">1.卧龙区退役军人事务局内设机构9个：局机关设有办公室、优抚与褒扬股、思想政治和权益维护股、安置就业股四个机构、卧龙区退役军人服务中心下设综合办公室、信息数据管理股、权益维护接待股、就业创业服务股、帮扶援助服务股五个机构。    </w:t>
      </w:r>
    </w:p>
    <w:p>
      <w:pPr>
        <w:widowControl/>
        <w:shd w:val="clear" w:color="auto" w:fill="FFFFFF"/>
        <w:spacing w:line="560" w:lineRule="exact"/>
        <w:ind w:firstLine="600" w:firstLineChars="200"/>
        <w:jc w:val="center"/>
        <w:rPr>
          <w:rFonts w:ascii="仿宋_GB2312" w:hAnsi="MingLiU" w:cs="宋体"/>
          <w:color w:val="000000"/>
          <w:kern w:val="0"/>
          <w:sz w:val="30"/>
          <w:szCs w:val="30"/>
        </w:rPr>
      </w:pPr>
      <w:r>
        <w:rPr>
          <w:rFonts w:ascii="仿宋_GB2312" w:hAnsi="仿宋_GB2312"/>
          <w:color w:val="000000"/>
          <w:kern w:val="0"/>
          <w:sz w:val="30"/>
          <w:szCs w:val="30"/>
        </w:rPr>
        <w:t>2.从预算单位构成看，卧龙区退役军人事务局包括退役军人事务局本级预算。另有非独立核算，由卧龙区退役军人事务局本级进行预算，统一管理财务及资产。卧龙区退役军人服务中心、卧龙区军队离退休干部服务中心2个编制独立的事业单位纳入卧龙区退役军人事务局预算。2019年度执行新政府会计制度。</w:t>
      </w:r>
    </w:p>
    <w:p>
      <w:pPr>
        <w:widowControl/>
        <w:shd w:val="clear" w:color="auto" w:fill="FFFFFF"/>
        <w:spacing w:line="560" w:lineRule="exact"/>
        <w:ind w:firstLine="600" w:firstLineChars="200"/>
        <w:jc w:val="center"/>
        <w:rPr>
          <w:rFonts w:ascii="仿宋_GB2312" w:hAnsi="MingLiU" w:cs="宋体"/>
          <w:color w:val="000000"/>
          <w:kern w:val="0"/>
          <w:sz w:val="30"/>
          <w:szCs w:val="30"/>
        </w:rPr>
      </w:pPr>
      <w:r>
        <w:rPr>
          <w:rFonts w:ascii="仿宋_GB2312" w:hAnsi="MingLiU" w:cs="宋体"/>
          <w:color w:val="000000"/>
          <w:kern w:val="0"/>
          <w:sz w:val="30"/>
          <w:szCs w:val="30"/>
        </w:rPr>
        <w:t xml:space="preserve"> </w:t>
      </w:r>
    </w:p>
    <w:p>
      <w:pPr>
        <w:widowControl/>
        <w:shd w:val="clear" w:color="auto" w:fill="FFFFFF"/>
        <w:spacing w:line="560" w:lineRule="exact"/>
        <w:ind w:firstLine="602" w:firstLineChars="200"/>
        <w:jc w:val="center"/>
        <w:rPr>
          <w:rFonts w:ascii="仿宋_GB2312" w:hAnsi="MingLiU" w:cs="宋体"/>
          <w:b/>
          <w:color w:val="000000"/>
          <w:kern w:val="0"/>
          <w:sz w:val="30"/>
          <w:szCs w:val="30"/>
        </w:rPr>
      </w:pPr>
      <w:r>
        <w:rPr>
          <w:rFonts w:ascii="仿宋_GB2312" w:hAnsi="仿宋_GB2312" w:cs="宋体"/>
          <w:b/>
          <w:color w:val="000000"/>
          <w:kern w:val="0"/>
          <w:sz w:val="30"/>
          <w:szCs w:val="30"/>
        </w:rPr>
        <w:t>第二部分</w:t>
      </w:r>
    </w:p>
    <w:p>
      <w:pPr>
        <w:widowControl/>
        <w:shd w:val="clear" w:color="auto" w:fill="FFFFFF"/>
        <w:spacing w:line="560" w:lineRule="exact"/>
        <w:ind w:firstLine="602" w:firstLineChars="200"/>
        <w:jc w:val="center"/>
        <w:rPr>
          <w:rFonts w:ascii="仿宋_GB2312" w:hAnsi="MingLiU" w:cs="宋体"/>
          <w:color w:val="000000"/>
          <w:kern w:val="0"/>
          <w:sz w:val="30"/>
          <w:szCs w:val="30"/>
        </w:rPr>
      </w:pPr>
      <w:r>
        <w:rPr>
          <w:rFonts w:ascii="仿宋_GB2312" w:hAnsi="仿宋_GB2312"/>
          <w:b/>
          <w:bCs/>
          <w:color w:val="000000"/>
          <w:kern w:val="0"/>
          <w:sz w:val="30"/>
          <w:szCs w:val="30"/>
        </w:rPr>
        <w:t>退役军人事务局2019年度部门预算情况说明</w:t>
      </w:r>
    </w:p>
    <w:p>
      <w:pPr>
        <w:widowControl/>
        <w:shd w:val="clear" w:color="auto" w:fill="FFFFFF"/>
        <w:spacing w:line="560" w:lineRule="exact"/>
        <w:ind w:firstLine="602" w:firstLineChars="200"/>
        <w:jc w:val="left"/>
        <w:rPr>
          <w:rFonts w:ascii="仿宋_GB2312" w:hAnsi="MingLiU" w:cs="宋体"/>
          <w:b/>
          <w:bCs/>
          <w:color w:val="000000"/>
          <w:kern w:val="0"/>
          <w:sz w:val="30"/>
          <w:szCs w:val="30"/>
        </w:rPr>
      </w:pPr>
      <w:r>
        <w:rPr>
          <w:rFonts w:ascii="仿宋_GB2312" w:hAnsi="仿宋_GB2312"/>
          <w:b/>
          <w:bCs/>
          <w:color w:val="000000"/>
          <w:kern w:val="0"/>
          <w:sz w:val="30"/>
          <w:szCs w:val="30"/>
        </w:rPr>
        <w:t>一、收入支出预算总体情况说明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hint="default" w:ascii="仿宋_GB2312" w:hAnsi="MingLiU" w:eastAsia="宋体" w:cs="宋体"/>
          <w:color w:val="000000"/>
          <w:kern w:val="0"/>
          <w:sz w:val="30"/>
          <w:szCs w:val="30"/>
          <w:lang w:val="en-US" w:eastAsia="zh-CN"/>
        </w:rPr>
      </w:pPr>
      <w:r>
        <w:rPr>
          <w:rFonts w:ascii="仿宋_GB2312" w:hAnsi="仿宋_GB2312"/>
          <w:color w:val="000000"/>
          <w:kern w:val="0"/>
          <w:sz w:val="30"/>
          <w:szCs w:val="30"/>
        </w:rPr>
        <w:t>退役军人事务局2019年收入总计 3877.33 万元，支出总计   3877.33万元。与去年相比增减变化及原因：</w:t>
      </w:r>
      <w:r>
        <w:rPr>
          <w:rFonts w:hint="eastAsia" w:ascii="仿宋_GB2312" w:hAnsi="仿宋_GB2312"/>
          <w:color w:val="000000"/>
          <w:kern w:val="0"/>
          <w:sz w:val="30"/>
          <w:szCs w:val="30"/>
          <w:lang w:eastAsia="zh-CN"/>
        </w:rPr>
        <w:t>增加，</w:t>
      </w:r>
      <w:r>
        <w:rPr>
          <w:rFonts w:ascii="仿宋_GB2312" w:hAnsi="仿宋_GB2312"/>
          <w:color w:val="000000"/>
          <w:kern w:val="0"/>
          <w:sz w:val="30"/>
          <w:szCs w:val="30"/>
        </w:rPr>
        <w:t>退役军人事务局是2019年机构改革后新成立单位，之前年度无预算安排</w:t>
      </w:r>
      <w:r>
        <w:rPr>
          <w:rFonts w:hint="eastAsia" w:ascii="仿宋_GB2312" w:hAnsi="仿宋_GB2312"/>
          <w:color w:val="000000"/>
          <w:kern w:val="0"/>
          <w:sz w:val="30"/>
          <w:szCs w:val="30"/>
          <w:lang w:eastAsia="zh-CN"/>
        </w:rPr>
        <w:t>。故与去年相比增加</w:t>
      </w:r>
      <w:r>
        <w:rPr>
          <w:rFonts w:hint="eastAsia" w:ascii="仿宋_GB2312" w:hAnsi="仿宋_GB2312"/>
          <w:color w:val="000000"/>
          <w:kern w:val="0"/>
          <w:sz w:val="30"/>
          <w:szCs w:val="30"/>
          <w:lang w:val="en-US" w:eastAsia="zh-CN"/>
        </w:rPr>
        <w:t>3877.33万元。</w:t>
      </w:r>
    </w:p>
    <w:p>
      <w:pPr>
        <w:widowControl/>
        <w:shd w:val="clear" w:color="auto" w:fill="FFFFFF"/>
        <w:spacing w:line="560" w:lineRule="exact"/>
        <w:ind w:firstLine="602" w:firstLineChars="200"/>
        <w:jc w:val="left"/>
        <w:rPr>
          <w:rFonts w:ascii="仿宋_GB2312" w:hAnsi="MingLiU" w:cs="宋体"/>
          <w:b/>
          <w:bCs/>
          <w:color w:val="000000"/>
          <w:kern w:val="0"/>
          <w:sz w:val="30"/>
          <w:szCs w:val="30"/>
        </w:rPr>
      </w:pPr>
      <w:r>
        <w:rPr>
          <w:rFonts w:ascii="仿宋_GB2312" w:hAnsi="仿宋_GB2312"/>
          <w:b/>
          <w:bCs/>
          <w:color w:val="000000"/>
          <w:kern w:val="0"/>
          <w:sz w:val="30"/>
          <w:szCs w:val="30"/>
        </w:rPr>
        <w:t>二、收入预算总体情况说明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" w:cs="宋体"/>
          <w:color w:val="000000"/>
          <w:kern w:val="0"/>
          <w:sz w:val="30"/>
          <w:szCs w:val="30"/>
        </w:rPr>
      </w:pPr>
      <w:r>
        <w:rPr>
          <w:rFonts w:ascii="仿宋_GB2312" w:hAnsi="仿宋_GB2312"/>
          <w:color w:val="000000"/>
          <w:kern w:val="0"/>
          <w:sz w:val="30"/>
          <w:szCs w:val="30"/>
        </w:rPr>
        <w:t>退役军人事务局2019年收入合计 3877.33 万元，其中：一般公共预算3877.33元。</w:t>
      </w:r>
    </w:p>
    <w:p>
      <w:pPr>
        <w:widowControl/>
        <w:shd w:val="clear" w:color="auto" w:fill="FFFFFF"/>
        <w:spacing w:line="560" w:lineRule="exact"/>
        <w:ind w:firstLine="602" w:firstLineChars="200"/>
        <w:jc w:val="left"/>
        <w:rPr>
          <w:rFonts w:ascii="仿宋_GB2312" w:hAnsi="MingLiU" w:cs="宋体"/>
          <w:b/>
          <w:bCs/>
          <w:color w:val="000000"/>
          <w:kern w:val="0"/>
          <w:sz w:val="30"/>
          <w:szCs w:val="30"/>
        </w:rPr>
      </w:pPr>
      <w:r>
        <w:rPr>
          <w:rFonts w:ascii="仿宋_GB2312" w:hAnsi="仿宋_GB2312"/>
          <w:b/>
          <w:bCs/>
          <w:color w:val="000000"/>
          <w:kern w:val="0"/>
          <w:sz w:val="30"/>
          <w:szCs w:val="30"/>
        </w:rPr>
        <w:t>三、支出预算总体情况说明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" w:cs="宋体"/>
          <w:color w:val="000000"/>
          <w:kern w:val="0"/>
          <w:sz w:val="30"/>
          <w:szCs w:val="30"/>
        </w:rPr>
      </w:pPr>
      <w:r>
        <w:rPr>
          <w:rFonts w:ascii="仿宋_GB2312" w:hAnsi="仿宋_GB2312"/>
          <w:color w:val="000000"/>
          <w:kern w:val="0"/>
          <w:sz w:val="30"/>
          <w:szCs w:val="30"/>
        </w:rPr>
        <w:t>退役军人事务局2019年支出合计3877.33万元，其中：无基本支出，项目支出3877.33万元。</w:t>
      </w:r>
    </w:p>
    <w:p>
      <w:pPr>
        <w:widowControl/>
        <w:shd w:val="clear" w:color="auto" w:fill="FFFFFF"/>
        <w:spacing w:line="560" w:lineRule="exact"/>
        <w:ind w:firstLine="602" w:firstLineChars="200"/>
        <w:jc w:val="left"/>
        <w:rPr>
          <w:rFonts w:ascii="仿宋_GB2312" w:hAnsi="MingLiU" w:cs="宋体"/>
          <w:b/>
          <w:bCs/>
          <w:color w:val="000000"/>
          <w:kern w:val="0"/>
          <w:sz w:val="30"/>
          <w:szCs w:val="30"/>
        </w:rPr>
      </w:pPr>
      <w:r>
        <w:rPr>
          <w:rFonts w:ascii="仿宋_GB2312" w:hAnsi="仿宋_GB2312"/>
          <w:b/>
          <w:bCs/>
          <w:color w:val="000000"/>
          <w:kern w:val="0"/>
          <w:sz w:val="30"/>
          <w:szCs w:val="30"/>
        </w:rPr>
        <w:t>四、一般公共预算支出预算情况说明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" w:cs="宋体"/>
          <w:color w:val="000000"/>
          <w:kern w:val="0"/>
          <w:sz w:val="30"/>
          <w:szCs w:val="30"/>
        </w:rPr>
      </w:pPr>
      <w:r>
        <w:rPr>
          <w:rFonts w:ascii="仿宋_GB2312" w:hAnsi="仿宋_GB2312"/>
          <w:color w:val="000000"/>
          <w:kern w:val="0"/>
          <w:sz w:val="30"/>
          <w:szCs w:val="30"/>
        </w:rPr>
        <w:t>退役军人事务局2019年一般公共预算支出年初预算为3877.33万元。其中，主要用于以下方面：（无工资福利支出，无商品和服务支出，无对个人和家庭补助支出，项目支出3877.33  万元。）</w:t>
      </w:r>
    </w:p>
    <w:p>
      <w:pPr>
        <w:widowControl/>
        <w:shd w:val="clear" w:color="auto" w:fill="FFFFFF"/>
        <w:spacing w:line="560" w:lineRule="exact"/>
        <w:ind w:firstLine="602" w:firstLineChars="200"/>
        <w:jc w:val="left"/>
        <w:rPr>
          <w:rFonts w:ascii="仿宋_GB2312" w:hAnsi="MingLiU" w:cs="宋体"/>
          <w:b/>
          <w:bCs/>
          <w:color w:val="000000"/>
          <w:kern w:val="0"/>
          <w:sz w:val="30"/>
          <w:szCs w:val="30"/>
        </w:rPr>
      </w:pPr>
      <w:r>
        <w:rPr>
          <w:rFonts w:ascii="仿宋_GB2312" w:hAnsi="仿宋_GB2312"/>
          <w:b/>
          <w:bCs/>
          <w:color w:val="000000"/>
          <w:kern w:val="0"/>
          <w:sz w:val="30"/>
          <w:szCs w:val="30"/>
        </w:rPr>
        <w:t>五、一般公共预算基本支出预算情况说明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" w:cs="宋体"/>
          <w:color w:val="000000"/>
          <w:kern w:val="0"/>
          <w:sz w:val="30"/>
          <w:szCs w:val="30"/>
        </w:rPr>
      </w:pPr>
      <w:r>
        <w:rPr>
          <w:rFonts w:ascii="仿宋_GB2312" w:hAnsi="仿宋_GB2312"/>
          <w:color w:val="000000"/>
          <w:kern w:val="0"/>
          <w:sz w:val="30"/>
          <w:szCs w:val="30"/>
        </w:rPr>
        <w:t>2019年一般公共预算无基本支出。其中：无人员经费，主要包括：基本工资、津贴补贴、奖金、社会保障缴费、绩效工资、其他工资福利支出、离休费、退休费、退职（役）费、抚恤金、生活补助、奖励金、住房公积金、其他对个人和家庭的补助支出；无公用经费，主要包括：办公费、印刷费、咨询费、手续费、水费、电费、邮电费、取暖费、物业管理费、差旅费、因公出国（境）费、维修（护）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>
      <w:pPr>
        <w:widowControl/>
        <w:shd w:val="clear" w:color="auto" w:fill="FFFFFF"/>
        <w:spacing w:line="560" w:lineRule="exact"/>
        <w:ind w:firstLine="602" w:firstLineChars="200"/>
        <w:jc w:val="left"/>
        <w:rPr>
          <w:rFonts w:ascii="仿宋_GB2312" w:hAnsi="MingLiU" w:cs="宋体"/>
          <w:color w:val="000000"/>
          <w:kern w:val="0"/>
          <w:sz w:val="30"/>
          <w:szCs w:val="30"/>
        </w:rPr>
      </w:pPr>
      <w:r>
        <w:rPr>
          <w:rFonts w:ascii="仿宋_GB2312" w:hAnsi="仿宋_GB2312"/>
          <w:b/>
          <w:bCs/>
          <w:color w:val="000000"/>
          <w:kern w:val="0"/>
          <w:sz w:val="30"/>
          <w:szCs w:val="30"/>
        </w:rPr>
        <w:t>六、政府性基金预算支出情况说明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仿宋_GB2312"/>
          <w:color w:val="000000"/>
          <w:kern w:val="0"/>
          <w:sz w:val="30"/>
          <w:szCs w:val="30"/>
        </w:rPr>
      </w:pPr>
      <w:r>
        <w:rPr>
          <w:rFonts w:ascii="仿宋_GB2312" w:hAnsi="仿宋_GB2312"/>
          <w:color w:val="000000"/>
          <w:kern w:val="0"/>
          <w:sz w:val="30"/>
          <w:szCs w:val="30"/>
        </w:rPr>
        <w:t>2019年无政府性基金预算支出。</w:t>
      </w:r>
    </w:p>
    <w:p>
      <w:pPr>
        <w:widowControl/>
        <w:shd w:val="clear" w:color="auto" w:fill="FFFFFF"/>
        <w:spacing w:line="560" w:lineRule="exact"/>
        <w:ind w:firstLine="602" w:firstLineChars="200"/>
        <w:jc w:val="left"/>
        <w:rPr>
          <w:rFonts w:ascii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hAnsi="仿宋_GB2312" w:cs="宋体"/>
          <w:b/>
          <w:color w:val="000000"/>
          <w:kern w:val="0"/>
          <w:sz w:val="30"/>
          <w:szCs w:val="30"/>
        </w:rPr>
        <w:t>七、国有资本经营预算情况说明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宋体" w:cs="宋体"/>
          <w:b/>
          <w:bCs/>
          <w:color w:val="000000"/>
          <w:kern w:val="0"/>
          <w:sz w:val="30"/>
          <w:szCs w:val="30"/>
        </w:rPr>
      </w:pPr>
      <w:r>
        <w:rPr>
          <w:rFonts w:ascii="仿宋_GB2312" w:hAnsi="仿宋_GB2312" w:cs="宋体"/>
          <w:color w:val="000000"/>
          <w:kern w:val="0"/>
          <w:sz w:val="30"/>
          <w:szCs w:val="30"/>
        </w:rPr>
        <w:t>2019年无国有资本经营预算。</w:t>
      </w:r>
    </w:p>
    <w:p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="602" w:firstLineChars="200"/>
        <w:jc w:val="left"/>
        <w:rPr>
          <w:rFonts w:ascii="仿宋_GB2312" w:hAnsi="仿宋_GB2312"/>
          <w:b/>
          <w:bCs/>
          <w:color w:val="000000"/>
          <w:kern w:val="0"/>
          <w:sz w:val="30"/>
          <w:szCs w:val="30"/>
        </w:rPr>
      </w:pPr>
      <w:r>
        <w:rPr>
          <w:rFonts w:ascii="仿宋_GB2312" w:hAnsi="仿宋_GB2312"/>
          <w:b/>
          <w:bCs/>
          <w:color w:val="000000"/>
          <w:kern w:val="0"/>
          <w:sz w:val="30"/>
          <w:szCs w:val="30"/>
        </w:rPr>
        <w:t>“三公”经费支出预算情况说明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宋体" w:eastAsia="仿宋_GB2312" w:cs="Courier New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19</w:t>
      </w:r>
      <w:r>
        <w:rPr>
          <w:rFonts w:hint="eastAsia" w:ascii="仿宋_GB2312" w:hAnsi="宋体" w:eastAsia="仿宋_GB2312" w:cs="Courier New"/>
          <w:sz w:val="32"/>
          <w:szCs w:val="32"/>
        </w:rPr>
        <w:t>年“三公”经费预算为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万元。20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19</w:t>
      </w:r>
      <w:r>
        <w:rPr>
          <w:rFonts w:hint="eastAsia" w:ascii="仿宋_GB2312" w:hAnsi="宋体" w:eastAsia="仿宋_GB2312" w:cs="Courier New"/>
          <w:sz w:val="32"/>
          <w:szCs w:val="32"/>
        </w:rPr>
        <w:t>年“三公”经费支出预算数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与上</w:t>
      </w:r>
      <w:r>
        <w:rPr>
          <w:rFonts w:hint="eastAsia" w:ascii="仿宋_GB2312" w:hAnsi="宋体" w:eastAsia="仿宋_GB2312" w:cs="Courier New"/>
          <w:sz w:val="32"/>
          <w:szCs w:val="32"/>
        </w:rPr>
        <w:t>年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持平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具体支出情况如下：</w:t>
      </w:r>
    </w:p>
    <w:p>
      <w:pPr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9" w:firstLineChars="200"/>
        <w:rPr>
          <w:rFonts w:hint="eastAsia" w:ascii="仿宋_GB2312" w:hAnsi="宋体" w:eastAsia="仿宋_GB2312" w:cs="Courier New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因公出国（境）费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spacing w:val="-1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与上年持平。</w:t>
      </w:r>
    </w:p>
    <w:p>
      <w:pPr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9" w:firstLineChars="20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公务用车购置及运行费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Courier New"/>
          <w:sz w:val="32"/>
          <w:szCs w:val="32"/>
        </w:rPr>
        <w:t>元，其中，公务用车购置费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万元；公务用车运行维护费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万元。公务用车购置费预算数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和</w:t>
      </w:r>
      <w:r>
        <w:rPr>
          <w:rFonts w:hint="eastAsia" w:ascii="仿宋_GB2312" w:hAnsi="宋体" w:eastAsia="仿宋_GB2312" w:cs="Courier New"/>
          <w:sz w:val="32"/>
          <w:szCs w:val="32"/>
        </w:rPr>
        <w:t>公务用车运行维护费预算数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与上年持平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>
      <w:pPr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9" w:firstLineChars="200"/>
        <w:rPr>
          <w:rFonts w:ascii="仿宋_GB2312" w:hAnsi="仿宋_GB2312"/>
          <w:b/>
          <w:bCs/>
          <w:color w:val="000000"/>
          <w:kern w:val="0"/>
          <w:sz w:val="30"/>
          <w:szCs w:val="30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公务接待费</w:t>
      </w:r>
      <w:r>
        <w:rPr>
          <w:rFonts w:hint="eastAsia" w:ascii="仿宋_GB2312" w:eastAsia="仿宋_GB2312" w:cs="仿宋_GB2312"/>
          <w:b/>
          <w:spacing w:val="-1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万元。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预算数与上年持平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  <w:bookmarkStart w:id="0" w:name="_GoBack"/>
      <w:bookmarkEnd w:id="0"/>
    </w:p>
    <w:p>
      <w:pPr>
        <w:widowControl/>
        <w:shd w:val="clear" w:color="auto" w:fill="FFFFFF"/>
        <w:spacing w:line="560" w:lineRule="exact"/>
        <w:ind w:firstLine="602" w:firstLineChars="200"/>
        <w:jc w:val="left"/>
        <w:rPr>
          <w:rFonts w:ascii="仿宋_GB2312" w:hAnsi="仿宋_GB2312"/>
          <w:b/>
          <w:bCs/>
          <w:color w:val="000000"/>
          <w:kern w:val="0"/>
          <w:sz w:val="30"/>
          <w:szCs w:val="30"/>
        </w:rPr>
      </w:pPr>
      <w:r>
        <w:rPr>
          <w:rFonts w:ascii="仿宋_GB2312" w:hAnsi="仿宋_GB2312"/>
          <w:b/>
          <w:bCs/>
          <w:color w:val="000000"/>
          <w:kern w:val="0"/>
          <w:sz w:val="30"/>
          <w:szCs w:val="30"/>
        </w:rPr>
        <w:t>九、国有资产占用情况说明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" w:cs="宋体"/>
          <w:color w:val="000000"/>
          <w:kern w:val="0"/>
          <w:sz w:val="30"/>
          <w:szCs w:val="30"/>
        </w:rPr>
      </w:pPr>
      <w:r>
        <w:rPr>
          <w:rFonts w:ascii="仿宋_GB2312" w:hAnsi="仿宋_GB2312"/>
          <w:color w:val="000000"/>
          <w:kern w:val="0"/>
          <w:sz w:val="30"/>
          <w:szCs w:val="30"/>
        </w:rPr>
        <w:t>2019年期末，我部门共有</w:t>
      </w:r>
      <w:r>
        <w:rPr>
          <w:rFonts w:hint="eastAsia" w:ascii="仿宋_GB2312" w:hAnsi="仿宋_GB2312"/>
          <w:color w:val="000000"/>
          <w:kern w:val="0"/>
          <w:sz w:val="30"/>
          <w:szCs w:val="30"/>
        </w:rPr>
        <w:t>一</w:t>
      </w:r>
      <w:r>
        <w:rPr>
          <w:rFonts w:ascii="仿宋_GB2312" w:hAnsi="仿宋_GB2312"/>
          <w:color w:val="000000"/>
          <w:kern w:val="0"/>
          <w:sz w:val="30"/>
          <w:szCs w:val="30"/>
        </w:rPr>
        <w:t xml:space="preserve">辆轿车，为区委区政府协调借用给我单位长期使用。单位价值50万元以上通用设备0台（套），单位价值100万元以上专用设备0套。 </w:t>
      </w:r>
    </w:p>
    <w:p>
      <w:pPr>
        <w:widowControl/>
        <w:shd w:val="clear" w:color="auto" w:fill="FFFFFF"/>
        <w:spacing w:line="560" w:lineRule="exact"/>
        <w:ind w:firstLine="602" w:firstLineChars="200"/>
        <w:jc w:val="left"/>
        <w:rPr>
          <w:rFonts w:ascii="仿宋_GB2312" w:hAnsi="MingLiU" w:cs="宋体"/>
          <w:color w:val="000000"/>
          <w:kern w:val="0"/>
          <w:sz w:val="30"/>
          <w:szCs w:val="30"/>
        </w:rPr>
      </w:pPr>
      <w:r>
        <w:rPr>
          <w:rFonts w:ascii="仿宋_GB2312" w:hAnsi="仿宋_GB2312"/>
          <w:b/>
          <w:bCs/>
          <w:color w:val="000000"/>
          <w:kern w:val="0"/>
          <w:sz w:val="30"/>
          <w:szCs w:val="30"/>
        </w:rPr>
        <w:t>十、其他重要事项的情况说明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" w:cs="宋体"/>
          <w:color w:val="000000"/>
          <w:kern w:val="0"/>
          <w:sz w:val="30"/>
          <w:szCs w:val="30"/>
        </w:rPr>
      </w:pPr>
      <w:r>
        <w:rPr>
          <w:rFonts w:ascii="仿宋_GB2312" w:hAnsi="仿宋_GB2312"/>
          <w:color w:val="000000"/>
          <w:kern w:val="0"/>
          <w:sz w:val="30"/>
          <w:szCs w:val="30"/>
        </w:rPr>
        <w:t>（一）机关运行经费支出情况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" w:cs="宋体"/>
          <w:color w:val="000000"/>
          <w:kern w:val="0"/>
          <w:sz w:val="30"/>
          <w:szCs w:val="30"/>
        </w:rPr>
      </w:pPr>
      <w:r>
        <w:rPr>
          <w:rFonts w:ascii="仿宋_GB2312" w:hAnsi="仿宋_GB2312"/>
          <w:color w:val="000000"/>
          <w:kern w:val="0"/>
          <w:sz w:val="30"/>
          <w:szCs w:val="30"/>
        </w:rPr>
        <w:t>2019年无机关运行经费支出预算 ，主要保障机关正常运转及正常履职需要。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" w:cs="宋体"/>
          <w:color w:val="000000"/>
          <w:kern w:val="0"/>
          <w:sz w:val="30"/>
          <w:szCs w:val="30"/>
        </w:rPr>
      </w:pPr>
      <w:r>
        <w:rPr>
          <w:rFonts w:ascii="仿宋_GB2312" w:hAnsi="仿宋_GB2312"/>
          <w:color w:val="000000"/>
          <w:kern w:val="0"/>
          <w:sz w:val="30"/>
          <w:szCs w:val="30"/>
        </w:rPr>
        <w:t>（二）政府采购支出情况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" w:cs="宋体"/>
          <w:color w:val="000000"/>
          <w:kern w:val="0"/>
          <w:sz w:val="30"/>
          <w:szCs w:val="30"/>
        </w:rPr>
      </w:pPr>
      <w:r>
        <w:rPr>
          <w:rFonts w:ascii="仿宋_GB2312" w:hAnsi="仿宋_GB2312"/>
          <w:color w:val="000000"/>
          <w:kern w:val="0"/>
          <w:sz w:val="30"/>
          <w:szCs w:val="30"/>
        </w:rPr>
        <w:t>2019年没有安排政府采购预算。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" w:cs="宋体"/>
          <w:color w:val="000000"/>
          <w:kern w:val="0"/>
          <w:sz w:val="30"/>
          <w:szCs w:val="30"/>
        </w:rPr>
      </w:pPr>
      <w:r>
        <w:rPr>
          <w:rFonts w:ascii="仿宋_GB2312" w:hAnsi="仿宋_GB2312"/>
          <w:color w:val="000000"/>
          <w:kern w:val="0"/>
          <w:sz w:val="30"/>
          <w:szCs w:val="30"/>
        </w:rPr>
        <w:t>（三）关于预算绩效管理工作开展情况说明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" w:cs="宋体"/>
          <w:color w:val="000000"/>
          <w:kern w:val="0"/>
          <w:sz w:val="30"/>
          <w:szCs w:val="30"/>
        </w:rPr>
      </w:pPr>
      <w:r>
        <w:rPr>
          <w:rFonts w:ascii="仿宋_GB2312" w:hAnsi="仿宋_GB2312"/>
          <w:color w:val="000000"/>
          <w:kern w:val="0"/>
          <w:sz w:val="30"/>
          <w:szCs w:val="30"/>
        </w:rPr>
        <w:t>2019年无开展预算绩效管理工作。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" w:cs="宋体"/>
          <w:color w:val="000000"/>
          <w:kern w:val="0"/>
          <w:sz w:val="30"/>
          <w:szCs w:val="30"/>
        </w:rPr>
      </w:pPr>
      <w:r>
        <w:rPr>
          <w:rFonts w:ascii="仿宋_GB2312" w:hAnsi="仿宋_GB2312"/>
          <w:color w:val="000000"/>
          <w:kern w:val="0"/>
          <w:sz w:val="30"/>
          <w:szCs w:val="30"/>
        </w:rPr>
        <w:t>（四）关于专项转移支付项目情况说明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" w:cs="宋体"/>
          <w:color w:val="000000"/>
          <w:kern w:val="0"/>
          <w:sz w:val="30"/>
          <w:szCs w:val="30"/>
        </w:rPr>
      </w:pPr>
      <w:r>
        <w:rPr>
          <w:rFonts w:ascii="仿宋_GB2312" w:hAnsi="仿宋_GB2312"/>
          <w:color w:val="000000"/>
          <w:kern w:val="0"/>
          <w:sz w:val="30"/>
          <w:szCs w:val="30"/>
        </w:rPr>
        <w:t>2019年，无使用专项转移制度的项目。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" w:cs="宋体"/>
          <w:color w:val="000000"/>
          <w:kern w:val="0"/>
          <w:sz w:val="30"/>
          <w:szCs w:val="30"/>
        </w:rPr>
      </w:pPr>
      <w:r>
        <w:rPr>
          <w:rFonts w:ascii="仿宋_GB2312" w:hAnsi="MingLiU" w:cs="宋体"/>
          <w:color w:val="000000"/>
          <w:kern w:val="0"/>
          <w:sz w:val="30"/>
          <w:szCs w:val="30"/>
        </w:rPr>
        <w:t xml:space="preserve"> </w:t>
      </w:r>
    </w:p>
    <w:p>
      <w:pPr>
        <w:widowControl/>
        <w:shd w:val="clear" w:color="auto" w:fill="FFFFFF"/>
        <w:spacing w:line="560" w:lineRule="exact"/>
        <w:ind w:firstLine="602" w:firstLineChars="200"/>
        <w:jc w:val="center"/>
        <w:rPr>
          <w:rFonts w:ascii="仿宋_GB2312" w:hAnsi="MingLiU" w:cs="宋体"/>
          <w:b/>
          <w:color w:val="000000"/>
          <w:kern w:val="0"/>
          <w:sz w:val="30"/>
          <w:szCs w:val="30"/>
        </w:rPr>
      </w:pPr>
      <w:r>
        <w:rPr>
          <w:rFonts w:ascii="仿宋_GB2312" w:hAnsi="仿宋_GB2312" w:cs="宋体"/>
          <w:b/>
          <w:color w:val="000000"/>
          <w:kern w:val="0"/>
          <w:sz w:val="30"/>
          <w:szCs w:val="30"/>
        </w:rPr>
        <w:t>第三部分</w:t>
      </w:r>
    </w:p>
    <w:p>
      <w:pPr>
        <w:widowControl/>
        <w:shd w:val="clear" w:color="auto" w:fill="FFFFFF"/>
        <w:spacing w:line="560" w:lineRule="exact"/>
        <w:ind w:firstLine="602" w:firstLineChars="200"/>
        <w:jc w:val="center"/>
        <w:rPr>
          <w:rFonts w:ascii="仿宋_GB2312" w:hAnsi="MingLiU" w:cs="宋体"/>
          <w:color w:val="000000"/>
          <w:kern w:val="0"/>
          <w:sz w:val="30"/>
          <w:szCs w:val="30"/>
        </w:rPr>
      </w:pPr>
      <w:r>
        <w:rPr>
          <w:rFonts w:ascii="仿宋_GB2312" w:hAnsi="仿宋_GB2312"/>
          <w:b/>
          <w:bCs/>
          <w:color w:val="000000"/>
          <w:kern w:val="0"/>
          <w:sz w:val="30"/>
          <w:szCs w:val="30"/>
        </w:rPr>
        <w:t>名词解释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" w:cs="宋体"/>
          <w:color w:val="000000"/>
          <w:kern w:val="0"/>
          <w:sz w:val="30"/>
          <w:szCs w:val="30"/>
        </w:rPr>
      </w:pPr>
      <w:r>
        <w:rPr>
          <w:rFonts w:ascii="仿宋_GB2312" w:hAnsi="仿宋_GB2312"/>
          <w:color w:val="000000"/>
          <w:kern w:val="0"/>
          <w:sz w:val="30"/>
          <w:szCs w:val="30"/>
        </w:rPr>
        <w:t>一、财政拨款收入：是指各级财政当年拨付的资金。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" w:cs="宋体"/>
          <w:color w:val="000000"/>
          <w:kern w:val="0"/>
          <w:sz w:val="30"/>
          <w:szCs w:val="30"/>
        </w:rPr>
      </w:pPr>
      <w:r>
        <w:rPr>
          <w:rFonts w:ascii="仿宋_GB2312" w:hAnsi="仿宋_GB2312"/>
          <w:color w:val="000000"/>
          <w:kern w:val="0"/>
          <w:sz w:val="30"/>
          <w:szCs w:val="30"/>
        </w:rPr>
        <w:t>二、事业收入：是指事业单位开展专业活动及辅助活动所取得的收入。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" w:cs="宋体"/>
          <w:color w:val="000000"/>
          <w:kern w:val="0"/>
          <w:sz w:val="30"/>
          <w:szCs w:val="30"/>
        </w:rPr>
      </w:pPr>
      <w:r>
        <w:rPr>
          <w:rFonts w:ascii="仿宋_GB2312" w:hAnsi="仿宋_GB2312"/>
          <w:color w:val="000000"/>
          <w:kern w:val="0"/>
          <w:sz w:val="30"/>
          <w:szCs w:val="30"/>
        </w:rPr>
        <w:t>三、其他收入：是指部门取得的除“财政拨款”、“事业收入”、“事业单位经营收入”等以外的收入。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" w:cs="宋体"/>
          <w:color w:val="000000"/>
          <w:kern w:val="0"/>
          <w:sz w:val="30"/>
          <w:szCs w:val="30"/>
        </w:rPr>
      </w:pPr>
      <w:r>
        <w:rPr>
          <w:rFonts w:ascii="仿宋_GB2312" w:hAnsi="仿宋_GB2312"/>
          <w:color w:val="000000"/>
          <w:kern w:val="0"/>
          <w:sz w:val="30"/>
          <w:szCs w:val="30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" w:cs="宋体"/>
          <w:color w:val="000000"/>
          <w:kern w:val="0"/>
          <w:sz w:val="30"/>
          <w:szCs w:val="30"/>
        </w:rPr>
      </w:pPr>
      <w:r>
        <w:rPr>
          <w:rFonts w:ascii="仿宋_GB2312" w:hAnsi="仿宋_GB2312"/>
          <w:color w:val="000000"/>
          <w:kern w:val="0"/>
          <w:sz w:val="30"/>
          <w:szCs w:val="30"/>
        </w:rPr>
        <w:t>五、基本支出：是指为保障机构正常运转、完成日常工作任务所必需的开支，其内容包括人员经费和日常公用经费两部分。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" w:cs="宋体"/>
          <w:color w:val="000000"/>
          <w:kern w:val="0"/>
          <w:sz w:val="30"/>
          <w:szCs w:val="30"/>
        </w:rPr>
      </w:pPr>
      <w:r>
        <w:rPr>
          <w:rFonts w:ascii="仿宋_GB2312" w:hAnsi="仿宋_GB2312"/>
          <w:color w:val="000000"/>
          <w:kern w:val="0"/>
          <w:sz w:val="30"/>
          <w:szCs w:val="30"/>
        </w:rPr>
        <w:t>六、项目支出：是指在基本支出之外，为完成特定的行政工作任务或事业发展目标所发生的支出。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" w:cs="宋体"/>
          <w:color w:val="000000"/>
          <w:kern w:val="0"/>
          <w:sz w:val="30"/>
          <w:szCs w:val="30"/>
        </w:rPr>
      </w:pPr>
      <w:r>
        <w:rPr>
          <w:rFonts w:ascii="仿宋_GB2312" w:hAnsi="仿宋_GB2312"/>
          <w:color w:val="000000"/>
          <w:kern w:val="0"/>
          <w:sz w:val="30"/>
          <w:szCs w:val="30"/>
        </w:rPr>
        <w:t>七、“三公”经费：是指纳入本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仿宋_GB2312"/>
          <w:color w:val="000000"/>
          <w:kern w:val="0"/>
          <w:sz w:val="30"/>
          <w:szCs w:val="30"/>
        </w:rPr>
      </w:pPr>
      <w:r>
        <w:rPr>
          <w:rFonts w:ascii="仿宋_GB2312" w:hAnsi="仿宋_GB2312"/>
          <w:color w:val="000000"/>
          <w:kern w:val="0"/>
          <w:sz w:val="30"/>
          <w:szCs w:val="30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widowControl/>
        <w:shd w:val="clear" w:color="auto" w:fill="FFFFFF"/>
        <w:spacing w:line="560" w:lineRule="exact"/>
        <w:ind w:firstLine="600" w:firstLineChars="200"/>
        <w:jc w:val="left"/>
        <w:rPr>
          <w:rFonts w:ascii="仿宋_GB2312" w:hAnsi="MingLiU" w:cs="宋体"/>
          <w:color w:val="000000"/>
          <w:kern w:val="0"/>
          <w:sz w:val="30"/>
          <w:szCs w:val="30"/>
        </w:rPr>
      </w:pPr>
      <w:r>
        <w:rPr>
          <w:rFonts w:ascii="仿宋_GB2312" w:hAnsi="仿宋_GB2312"/>
          <w:color w:val="000000"/>
          <w:kern w:val="0"/>
          <w:sz w:val="30"/>
          <w:szCs w:val="30"/>
        </w:rPr>
        <w:t>附件：退役军人事务局2019年度部门预算表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2D5081"/>
    <w:multiLevelType w:val="singleLevel"/>
    <w:tmpl w:val="8D2D5081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528553A"/>
    <w:multiLevelType w:val="singleLevel"/>
    <w:tmpl w:val="1528553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EB"/>
    <w:rsid w:val="007A4B78"/>
    <w:rsid w:val="007F783D"/>
    <w:rsid w:val="00C333EB"/>
    <w:rsid w:val="18B31380"/>
    <w:rsid w:val="1C8C48C2"/>
    <w:rsid w:val="24F83DDA"/>
    <w:rsid w:val="3F4D554E"/>
    <w:rsid w:val="47AE48D0"/>
    <w:rsid w:val="60BD29B5"/>
    <w:rsid w:val="64D5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464</Words>
  <Characters>2651</Characters>
  <Lines>22</Lines>
  <Paragraphs>6</Paragraphs>
  <TotalTime>1</TotalTime>
  <ScaleCrop>false</ScaleCrop>
  <LinksUpToDate>false</LinksUpToDate>
  <CharactersWithSpaces>3109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2021-05-26T01:31:00Z</dcterms:created>
  <dc:creator>Administrator</dc:creator>
  <cp:lastModifiedBy>DELL</cp:lastModifiedBy>
  <dcterms:modified xsi:type="dcterms:W3CDTF">2021-06-10T05:34:05Z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7F4CDC6EDF2D433E806D9544C94A440A</vt:lpwstr>
  </property>
</Properties>
</file>