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bCs/>
          <w:color w:val="666666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MingLiU" w:eastAsia="仿宋_GB2312" w:cs="宋体"/>
          <w:b/>
          <w:bCs/>
          <w:color w:val="666666"/>
          <w:kern w:val="0"/>
          <w:sz w:val="30"/>
          <w:szCs w:val="30"/>
        </w:rPr>
        <w:t>目录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第一部分部门概况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一、主要职责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val="en-US" w:eastAsia="zh-CN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二、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eastAsia="zh-CN"/>
        </w:rPr>
        <w:t>机构设置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部门预算单位构成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第二部分卧龙区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201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年部门预算情况说明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附件：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201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年度部门预算表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color w:val="666666"/>
          <w:kern w:val="0"/>
          <w:sz w:val="30"/>
          <w:szCs w:val="30"/>
        </w:rPr>
        <w:t>表九、国有资本经营预算支出情况表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  <w:t>201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0"/>
          <w:szCs w:val="30"/>
        </w:rPr>
        <w:t>年部门预算公开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  <w:t>第一部分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概况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一、林业局主要职责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负责全区林业及其生态建设监督管理。拟订林业及其生态建设的发展战略、中长期规划并监督实施。参与拟订有关地方标准和规程并指导实施。组织开展森林资源、陆生野生动植物资源、湿地和荒漠调查、林业有害生物普查、动态监测和评估,并发布相关信息。承担林业生态文明建设有关工作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组织、协调、指导和监督全区造林绿化工作。制定全区造林绿化指导性计划,拟订相关地方标准和规程并监督执行,指导各类公益林和商品林(包括用材林、经济林、薪炭林、药用林、竹林、特种用途林)培育,指导植树造林、封山育林和采用植树种草等生物措施防治水土流失工作;指导、监督全民义务植树、造林绿化工作；承担林业应对气候变化相关工作；承担全区花卉管理和林木种子工作。承担卧龙区绿化委员会的具体工作。</w:t>
      </w:r>
    </w:p>
    <w:p>
      <w:pPr>
        <w:widowControl/>
        <w:spacing w:before="100" w:beforeAutospacing="1" w:after="100" w:afterAutospacing="1" w:line="560" w:lineRule="atLeast"/>
        <w:ind w:firstLine="900" w:firstLineChars="3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承担全区森林资源保护发展、监督管理责任。组织编制并监督执行全区森林采伐限额,监督检查林木凭证采伐、运输；组织拟订林地保护利用规划并指导实施,依法承担应由区政府批准的林地征用、占用的初审工作,管理国有林场(苗圃)的国有森林资源,承担国有林场(苗圃)的国有森林资源资产产权变动审核工作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 　（四）组织、协调、指导和监督全区湿地保护工作。拟订全区湿地保护规划和有关地方标准及规定，组织开展湿地保护小区、湿地公园等保护管理工作,监督湿地的合理利用,组织、协调有关国际《湿地公约》的履约工作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 　（五）组织、协调、指导和监督全区荒漠化防治工作。组织拟订全区防沙治沙、石漠化防治及沙化土地封禁保护区建设规划,参与拟订相关地方标准和规定并监督实施,监督沙化土地的合理利用,组织、指导建设项目对土地沙化影响的审核,组织、协调有关《联合国防治荒漠化公约》的履约工作。组织、协调、指导全区长江防护林体系工程建设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（六）组织、指导全区陆生野生动植物资源的保护和合理开发利用。依法组织、指导陆生野生动植物救护繁育、栖息地恢复发展、疫源疫病监测,监督管理全区陆生野生动植物猎捕或采集、驯养繁殖或培植、经营利用，监督管理陆生野生动植物进出口。承担全区濒危物种进出口和国家保护的陆生野生动物、珍稀树种、珍稀野生植物及其产品出口的上报审核工作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    （七）负责全区林业系统自然保护区监督管理。在国家级和省级自然保护区区划、规划原则的指导下,依法指导森林、湿地、荒漠化和陆生野生动物类型自然保护区建设和管理,监督管理林业生物种质资源、转基因生物安全、植物新品种保护,组织、协调有关国际公约履约工作。按分工负责生物多样性保护有关工作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 （八）承担推进全区林业改革、维护农民经营林业合法权益的责任。拟订全区集体林权制度、国有林场等重大林业改革意见并指导监督实施。拟订全区农村林业发展、维护农民经营林业合法权益的措施,指导、监督农村林地承包经营和林权流转,指导林权纠纷调处和林地承包合同纠纷仲裁。指导农民林业专业合作组织建设,组织、协调全区林下经济发展工作。依法负责退耕还林工作。指导国有林场（苗圃）、湿地公园、森林公园和基层林业工作机构建设和管理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九）负责全区林业产业工作。对全区森林、湿地、荒漠和陆生野生动植物资源的开发利用进行监督检查。拟订林业产业发展规划、全区林业资源优化配置措施、林业产业地方标准并监督实施,组织指导全区林产品质量监督。指导全区山区综合开发；拟订蚕、茶业发展规划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（十）组织、协调、指导、监督全区森林防火工作,组织、协调、指导专业森林扑火队伍防扑火工作。承担区政府护林防火指挥部的具体工作。承担林业行政执法，查处破坏森林和野生动植物资源的行政案件。做好检疫性有害生物的普查监测工作，指导林业有害生物测报、防治、检疫工作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(十一)参与拟订全区林业及其生态建设的财政、金融、价格、贸易等经济调节措施,组织、指导全区林业及其生态建设生态补偿制度的建立和实施。编制部门预算并组织实施,提出区级财政林业专项转移支付资金的预算建议,管理监督区级林业资金,管理区级林业国有资产,负责提出林业固定资产投资规模和方向、区级财政性资金使用一件，按照规定权限，对规划内和年度计划内固定资产投资项目进行初审，编制全区林业生态建设的生产计划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 (十二)组织、指导全区林业及其生态建设的科技、教育和外事工作,指导全区林业队伍建设。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(十三)承办区政府交办的其他事项。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二、机构设置</w:t>
      </w:r>
    </w:p>
    <w:p>
      <w:pPr>
        <w:widowControl/>
        <w:spacing w:before="100" w:beforeAutospacing="1" w:after="100" w:afterAutospacing="1" w:line="560" w:lineRule="atLeast"/>
        <w:ind w:firstLine="60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卧龙区林业局内设机构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个：办公室、发展规划与资金管理股、森林资源管理股、综合业务股。另设有卧龙区林业技术推广站、卧龙区独山园艺场两个下属单位。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从决算单位构成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看，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部门决算包括：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南阳市南阳市卧龙区林业局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本级、所属二级预算单位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个。本决算为汇总决算，纳入本部门20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年度部门决算编报范围的二级预算单位如下：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1、区林业局机关本级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林业技术推广站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独山园艺场</w:t>
      </w:r>
    </w:p>
    <w:p>
      <w:pPr>
        <w:widowControl/>
        <w:shd w:val="clear" w:color="auto" w:fill="FFFFFF"/>
        <w:spacing w:line="560" w:lineRule="exact"/>
        <w:ind w:firstLine="600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  <w:t>第二部分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333333"/>
          <w:kern w:val="0"/>
          <w:sz w:val="30"/>
          <w:szCs w:val="30"/>
        </w:rPr>
        <w:t>年度部门预算情况说明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年收入总计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万元，支出总计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万元。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与去年比增减变化及原因：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1.单位人员工资、社保费用增加因此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人员经费略有增加，与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2018年人员经费的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404.321278万元相比2019年度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增加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66.85万，增加16.53%；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2.专项支出大幅度下降，以前年度由卧龙区安排的南水北调河两侧绿化、高速公路绿化、白河绿化三大绿化任务，2019年度卧龙区不在进行补贴，造成区级安排预算林业专项经费大幅度减少，与2018年度专项经费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2746万元相比2019年度减少2482.44，减少90.4%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年收入合计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万元，其中：一般公共预算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年支出合计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万元，其中：基本支出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484.543865万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元，占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64.77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%；项目支出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263.564万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元，占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35.23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%。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财政拨款收入支出预算总体情况说明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 xml:space="preserve">      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eastAsia="zh-CN"/>
        </w:rPr>
        <w:t>林业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  <w:t>局2019年一般公共预算收支预算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  <w:t>万元，政府性基金收支预算0万元。与2018年相比，一般公共预算收支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3158.031278万元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eastAsia="zh-CN"/>
        </w:rPr>
        <w:t>减少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val="en-US" w:eastAsia="zh-CN"/>
        </w:rPr>
        <w:t>2409.923413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  <w:t xml:space="preserve"> 万元，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eastAsia="zh-CN"/>
        </w:rPr>
        <w:t>减少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val="en-US" w:eastAsia="zh-CN"/>
        </w:rPr>
        <w:t>76.31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  <w:t xml:space="preserve"> %，主要原因：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eastAsia="zh-CN"/>
        </w:rPr>
        <w:t>上级安排林业专项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val="en-US" w:eastAsia="zh-CN"/>
        </w:rPr>
        <w:t>-</w:t>
      </w:r>
      <w:r>
        <w:rPr>
          <w:rFonts w:hint="eastAsia" w:ascii="仿宋_GB2312" w:hAnsi="MingLiU" w:eastAsia="仿宋_GB2312" w:cs="宋体"/>
          <w:color w:val="333333"/>
          <w:kern w:val="0"/>
          <w:sz w:val="30"/>
          <w:szCs w:val="30"/>
          <w:lang w:eastAsia="zh-CN"/>
        </w:rPr>
        <w:t>植树造林工作任务较少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。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因此需要安排的林业预算资金大幅减少。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、一般公共预算支出预算情况说明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FF0000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年一般公共预算支出年初预算为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748.107865万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元。主要用于以下方面：（工资福利支出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428.416152万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元，商品和服务支出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13.374768万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元，对个人和家庭补助支出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42.752945万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元，项目支出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263.564万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元。）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、一般公共预算基本支出预算情况说明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年一般公共预算基本支出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484.543865万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元，其中：人员经费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471.169097万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元，主要包括：基本工资、津贴补贴、奖金、社会保障缴费、绩效工资、其他工资福利支出、离休费、退休费、退职（役）费、抚恤金、生活补助、奖励金、住房公积金、其他对个人和家庭的补助支出；公用经费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13.374768万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元，主要包括：办公费、印刷费、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  <w:lang w:eastAsia="zh-CN"/>
        </w:rPr>
        <w:t>七</w:t>
      </w: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、“三公”经费支出预算情况说明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年“三公”经费预算为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万元。具体支出情况如下：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（一）因公出国（境）费：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，与去年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变化。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（二）公务用车购置及运行费：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万元，其中，公务用车购置：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无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；公务用车运行费：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万元。与去年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持平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： 招商引资、成品油市场管理、精准扶贫及信访维稳工作任务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较重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（三）公务接待费：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万元，与去年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持平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：加强公务接待管理，严格执行公务接待派餐单制度，增强勤俭节约意识，加强节约型机关建设。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  <w:lang w:eastAsia="zh-CN"/>
        </w:rPr>
        <w:t>八</w:t>
      </w: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、政府性基金预算支出情况说明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年无政府性基金预算支出。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666666"/>
          <w:kern w:val="0"/>
          <w:sz w:val="30"/>
          <w:szCs w:val="30"/>
          <w:lang w:eastAsia="zh-CN"/>
        </w:rPr>
        <w:t>九</w:t>
      </w:r>
      <w:r>
        <w:rPr>
          <w:rFonts w:hint="eastAsia" w:ascii="仿宋_GB2312" w:hAnsi="宋体" w:eastAsia="仿宋_GB2312" w:cs="宋体"/>
          <w:b/>
          <w:color w:val="666666"/>
          <w:kern w:val="0"/>
          <w:sz w:val="30"/>
          <w:szCs w:val="30"/>
        </w:rPr>
        <w:t>、国有资本经营预算情况说明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  <w:t>201</w:t>
      </w:r>
      <w:r>
        <w:rPr>
          <w:rFonts w:hint="eastAsia" w:ascii="仿宋_GB2312" w:hAnsi="宋体" w:eastAsia="仿宋_GB2312" w:cs="宋体"/>
          <w:color w:val="666666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666666"/>
          <w:kern w:val="0"/>
          <w:sz w:val="30"/>
          <w:szCs w:val="30"/>
        </w:rPr>
        <w:t>年无国有资本经营预算。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  <w:lang w:eastAsia="zh-CN"/>
        </w:rPr>
        <w:t>十</w:t>
      </w: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、其他重要事项的情况说明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年机关运行经费支出预算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13.374768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万元，主要保障机关正常运转及正常履职需要。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年没有安排政府采购预算。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年无开展预算绩效管理工作。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年，无使用专项转移制度的项目。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（五）国有资产占用情况说明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2019年期末，我部门共有车辆3辆，其中：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eastAsia="zh-CN"/>
        </w:rPr>
        <w:t>执法执勤车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2辆，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其他用车</w:t>
      </w:r>
      <w:r>
        <w:rPr>
          <w:rFonts w:hint="eastAsia" w:ascii="仿宋_GB2312" w:eastAsia="仿宋_GB2312"/>
          <w:color w:val="4A4B4B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4A4B4B"/>
          <w:kern w:val="0"/>
          <w:sz w:val="30"/>
          <w:szCs w:val="30"/>
        </w:rPr>
        <w:t>辆；单位价值50万元以上通用设备0台（套），单位价值100万元以上专用设备0台（套）。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MingLiU" w:eastAsia="仿宋_GB2312" w:cs="宋体"/>
          <w:b/>
          <w:color w:val="4A4B4B"/>
          <w:kern w:val="0"/>
          <w:sz w:val="30"/>
          <w:szCs w:val="30"/>
        </w:rPr>
        <w:t>第三部分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4A4B4B"/>
          <w:kern w:val="0"/>
          <w:sz w:val="30"/>
          <w:szCs w:val="30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MingLiU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eastAsia="仿宋_GB2312"/>
          <w:color w:val="4A4B4B"/>
          <w:kern w:val="0"/>
          <w:sz w:val="30"/>
          <w:szCs w:val="30"/>
        </w:rPr>
      </w:pPr>
      <w:r>
        <w:rPr>
          <w:rFonts w:hint="eastAsia" w:ascii="仿宋_GB2312" w:eastAsia="仿宋_GB2312"/>
          <w:color w:val="4A4B4B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30"/>
          <w:szCs w:val="30"/>
        </w:rPr>
        <w:t>附件：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eastAsia="zh-CN"/>
        </w:rPr>
        <w:t>林业局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201</w:t>
      </w:r>
      <w:r>
        <w:rPr>
          <w:rFonts w:hint="eastAsia" w:ascii="仿宋_GB2312" w:eastAsia="仿宋_GB2312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t>年度部门预算表</w:t>
      </w:r>
      <w:r>
        <w:rPr>
          <w:rFonts w:hint="eastAsia" w:ascii="仿宋_GB2312" w:eastAsia="仿宋_GB2312"/>
          <w:color w:val="333333"/>
          <w:kern w:val="0"/>
          <w:sz w:val="30"/>
          <w:szCs w:val="30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5">
            <o:LockedField>false</o:LockedField>
          </o:OLEObject>
        </w:obje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1AD7E"/>
    <w:multiLevelType w:val="singleLevel"/>
    <w:tmpl w:val="A291AD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B"/>
    <w:rsid w:val="00064446"/>
    <w:rsid w:val="000915A0"/>
    <w:rsid w:val="000D4399"/>
    <w:rsid w:val="000E55A5"/>
    <w:rsid w:val="000F7E79"/>
    <w:rsid w:val="00165C33"/>
    <w:rsid w:val="00191EAC"/>
    <w:rsid w:val="001A363E"/>
    <w:rsid w:val="001E166C"/>
    <w:rsid w:val="00225B48"/>
    <w:rsid w:val="00287993"/>
    <w:rsid w:val="002F336D"/>
    <w:rsid w:val="003300B8"/>
    <w:rsid w:val="003B4328"/>
    <w:rsid w:val="003F54E2"/>
    <w:rsid w:val="0040349E"/>
    <w:rsid w:val="00483224"/>
    <w:rsid w:val="004A00C7"/>
    <w:rsid w:val="004A6648"/>
    <w:rsid w:val="004E46C4"/>
    <w:rsid w:val="004F45DB"/>
    <w:rsid w:val="005612DC"/>
    <w:rsid w:val="00644B1B"/>
    <w:rsid w:val="00696022"/>
    <w:rsid w:val="006A1E1C"/>
    <w:rsid w:val="00703B76"/>
    <w:rsid w:val="00743FAE"/>
    <w:rsid w:val="007731FA"/>
    <w:rsid w:val="007A28BF"/>
    <w:rsid w:val="007C5059"/>
    <w:rsid w:val="007D0DC6"/>
    <w:rsid w:val="007F0E72"/>
    <w:rsid w:val="00853A59"/>
    <w:rsid w:val="00877406"/>
    <w:rsid w:val="00AF6FAD"/>
    <w:rsid w:val="00B36960"/>
    <w:rsid w:val="00B675FA"/>
    <w:rsid w:val="00B8187B"/>
    <w:rsid w:val="00BF4839"/>
    <w:rsid w:val="00C3042D"/>
    <w:rsid w:val="00CD0E90"/>
    <w:rsid w:val="00DC57E4"/>
    <w:rsid w:val="00E33E55"/>
    <w:rsid w:val="00E81AE2"/>
    <w:rsid w:val="00F07D06"/>
    <w:rsid w:val="00F733D5"/>
    <w:rsid w:val="0A2F0B26"/>
    <w:rsid w:val="0B410154"/>
    <w:rsid w:val="0C0B774E"/>
    <w:rsid w:val="16D3370A"/>
    <w:rsid w:val="181545CB"/>
    <w:rsid w:val="1B01627D"/>
    <w:rsid w:val="23353351"/>
    <w:rsid w:val="271954C8"/>
    <w:rsid w:val="285B0C5E"/>
    <w:rsid w:val="28C24870"/>
    <w:rsid w:val="29800C6E"/>
    <w:rsid w:val="2F5340A7"/>
    <w:rsid w:val="2F8B07CE"/>
    <w:rsid w:val="373C7D69"/>
    <w:rsid w:val="3A960B56"/>
    <w:rsid w:val="3B4F0E4B"/>
    <w:rsid w:val="4111056F"/>
    <w:rsid w:val="43FC5983"/>
    <w:rsid w:val="48782BD8"/>
    <w:rsid w:val="488C7224"/>
    <w:rsid w:val="48DA7228"/>
    <w:rsid w:val="4A462B9E"/>
    <w:rsid w:val="4D4061DB"/>
    <w:rsid w:val="4D483214"/>
    <w:rsid w:val="4F913AB9"/>
    <w:rsid w:val="57BC5B7F"/>
    <w:rsid w:val="59B640C4"/>
    <w:rsid w:val="676416DC"/>
    <w:rsid w:val="68791189"/>
    <w:rsid w:val="687C4F6B"/>
    <w:rsid w:val="6B0514DC"/>
    <w:rsid w:val="71E062FE"/>
    <w:rsid w:val="72CD34F3"/>
    <w:rsid w:val="75CD45C4"/>
    <w:rsid w:val="75EB452A"/>
    <w:rsid w:val="7A353E05"/>
    <w:rsid w:val="7C194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 Char Char"/>
    <w:link w:val="2"/>
    <w:qFormat/>
    <w:uiPriority w:val="99"/>
    <w:rPr>
      <w:kern w:val="2"/>
      <w:sz w:val="18"/>
      <w:szCs w:val="18"/>
    </w:rPr>
  </w:style>
  <w:style w:type="character" w:customStyle="1" w:styleId="8">
    <w:name w:val=" Char Char1"/>
    <w:link w:val="3"/>
    <w:uiPriority w:val="0"/>
    <w:rPr>
      <w:kern w:val="2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342</Words>
  <Characters>1954</Characters>
  <Lines>16</Lines>
  <Paragraphs>4</Paragraphs>
  <TotalTime>21</TotalTime>
  <ScaleCrop>false</ScaleCrop>
  <LinksUpToDate>false</LinksUpToDate>
  <CharactersWithSpaces>2292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2018-05-18T01:09:00Z</dcterms:created>
  <dc:creator>微软用户</dc:creator>
  <cp:lastModifiedBy>凉白开</cp:lastModifiedBy>
  <cp:lastPrinted>2021-05-26T03:38:00Z</cp:lastPrinted>
  <dcterms:modified xsi:type="dcterms:W3CDTF">2021-05-31T03:53:50Z</dcterms:modified>
  <dc:title>目  录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52DFB0A054FB45F7BE2813C622C7E8ED</vt:lpwstr>
  </property>
</Properties>
</file>