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color w:val="000000"/>
          <w:kern w:val="0"/>
          <w:sz w:val="48"/>
          <w:szCs w:val="48"/>
          <w:lang w:val="en-US" w:eastAsia="zh-CN" w:bidi="ar"/>
        </w:rPr>
      </w:pPr>
    </w:p>
    <w:p>
      <w:pPr>
        <w:keepNext w:val="0"/>
        <w:keepLines w:val="0"/>
        <w:widowControl/>
        <w:suppressLineNumbers w:val="0"/>
        <w:jc w:val="center"/>
        <w:rPr>
          <w:rFonts w:hint="eastAsia" w:ascii="宋体" w:hAnsi="宋体" w:eastAsia="宋体" w:cs="宋体"/>
          <w:b/>
          <w:color w:val="000000"/>
          <w:kern w:val="0"/>
          <w:sz w:val="48"/>
          <w:szCs w:val="48"/>
          <w:lang w:val="en-US" w:eastAsia="zh-CN" w:bidi="ar"/>
        </w:rPr>
      </w:pPr>
    </w:p>
    <w:p>
      <w:pPr>
        <w:keepNext w:val="0"/>
        <w:keepLines w:val="0"/>
        <w:widowControl/>
        <w:suppressLineNumbers w:val="0"/>
        <w:jc w:val="center"/>
        <w:rPr>
          <w:rFonts w:hint="eastAsia" w:ascii="宋体" w:hAnsi="宋体" w:eastAsia="宋体" w:cs="宋体"/>
          <w:b/>
          <w:color w:val="000000"/>
          <w:kern w:val="0"/>
          <w:sz w:val="48"/>
          <w:szCs w:val="48"/>
          <w:lang w:val="en-US" w:eastAsia="zh-CN" w:bidi="ar"/>
        </w:rPr>
      </w:pPr>
    </w:p>
    <w:p>
      <w:pPr>
        <w:keepNext w:val="0"/>
        <w:keepLines w:val="0"/>
        <w:widowControl/>
        <w:suppressLineNumbers w:val="0"/>
        <w:jc w:val="center"/>
        <w:rPr>
          <w:rFonts w:hint="eastAsia" w:ascii="宋体" w:hAnsi="宋体" w:eastAsia="宋体" w:cs="宋体"/>
          <w:b/>
          <w:color w:val="000000"/>
          <w:kern w:val="0"/>
          <w:sz w:val="48"/>
          <w:szCs w:val="48"/>
          <w:lang w:val="en-US" w:eastAsia="zh-CN" w:bidi="ar"/>
        </w:rPr>
      </w:pPr>
    </w:p>
    <w:p>
      <w:pPr>
        <w:keepNext w:val="0"/>
        <w:keepLines w:val="0"/>
        <w:widowControl/>
        <w:suppressLineNumbers w:val="0"/>
        <w:jc w:val="center"/>
        <w:rPr>
          <w:rFonts w:hint="eastAsia" w:ascii="宋体" w:hAnsi="宋体" w:eastAsia="宋体" w:cs="宋体"/>
          <w:b/>
          <w:color w:val="000000"/>
          <w:kern w:val="0"/>
          <w:sz w:val="48"/>
          <w:szCs w:val="48"/>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b/>
          <w:color w:val="000000"/>
          <w:kern w:val="0"/>
          <w:sz w:val="52"/>
          <w:szCs w:val="52"/>
          <w:lang w:val="en-US" w:eastAsia="zh-CN" w:bidi="ar"/>
        </w:rPr>
        <w:t>南阳市卧龙区七里园乡人民政府</w:t>
      </w:r>
    </w:p>
    <w:p>
      <w:pPr>
        <w:keepNext w:val="0"/>
        <w:keepLines w:val="0"/>
        <w:widowControl/>
        <w:suppressLineNumbers w:val="0"/>
        <w:jc w:val="center"/>
        <w:rPr>
          <w:rFonts w:hint="eastAsia" w:ascii="方正小标宋简体" w:hAnsi="方正小标宋简体" w:eastAsia="方正小标宋简体" w:cs="方正小标宋简体"/>
          <w:b/>
          <w:color w:val="000000"/>
          <w:kern w:val="0"/>
          <w:sz w:val="52"/>
          <w:szCs w:val="52"/>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b/>
          <w:color w:val="000000"/>
          <w:kern w:val="0"/>
          <w:sz w:val="52"/>
          <w:szCs w:val="52"/>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b/>
          <w:color w:val="000000"/>
          <w:kern w:val="0"/>
          <w:sz w:val="52"/>
          <w:szCs w:val="52"/>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b/>
          <w:color w:val="000000"/>
          <w:kern w:val="0"/>
          <w:sz w:val="52"/>
          <w:szCs w:val="52"/>
          <w:lang w:val="en-US" w:eastAsia="zh-CN" w:bidi="ar"/>
        </w:rPr>
        <w:t>2020年度部门决算</w:t>
      </w:r>
    </w:p>
    <w:p>
      <w:pPr>
        <w:keepNext w:val="0"/>
        <w:keepLines w:val="0"/>
        <w:widowControl/>
        <w:suppressLineNumbers w:val="0"/>
        <w:jc w:val="left"/>
        <w:rPr>
          <w:rFonts w:hint="eastAsia" w:ascii="宋体" w:hAnsi="宋体" w:eastAsia="宋体" w:cs="宋体"/>
          <w:b/>
          <w:color w:val="000000"/>
          <w:kern w:val="0"/>
          <w:sz w:val="36"/>
          <w:szCs w:val="36"/>
          <w:lang w:val="en-US" w:eastAsia="zh-CN" w:bidi="ar"/>
        </w:rPr>
      </w:pPr>
    </w:p>
    <w:p>
      <w:pPr>
        <w:keepNext w:val="0"/>
        <w:keepLines w:val="0"/>
        <w:widowControl/>
        <w:suppressLineNumbers w:val="0"/>
        <w:jc w:val="left"/>
        <w:rPr>
          <w:rFonts w:hint="eastAsia" w:ascii="宋体" w:hAnsi="宋体" w:eastAsia="宋体" w:cs="宋体"/>
          <w:b/>
          <w:color w:val="000000"/>
          <w:kern w:val="0"/>
          <w:sz w:val="36"/>
          <w:szCs w:val="36"/>
          <w:lang w:val="en-US" w:eastAsia="zh-CN" w:bidi="ar"/>
        </w:rPr>
      </w:pPr>
    </w:p>
    <w:p>
      <w:pPr>
        <w:keepNext w:val="0"/>
        <w:keepLines w:val="0"/>
        <w:widowControl/>
        <w:suppressLineNumbers w:val="0"/>
        <w:jc w:val="left"/>
        <w:rPr>
          <w:rFonts w:hint="eastAsia" w:ascii="宋体" w:hAnsi="宋体" w:eastAsia="宋体" w:cs="宋体"/>
          <w:b/>
          <w:color w:val="000000"/>
          <w:kern w:val="0"/>
          <w:sz w:val="36"/>
          <w:szCs w:val="36"/>
          <w:lang w:val="en-US" w:eastAsia="zh-CN" w:bidi="ar"/>
        </w:rPr>
      </w:pPr>
    </w:p>
    <w:p>
      <w:pPr>
        <w:keepNext w:val="0"/>
        <w:keepLines w:val="0"/>
        <w:widowControl/>
        <w:suppressLineNumbers w:val="0"/>
        <w:jc w:val="left"/>
        <w:rPr>
          <w:rFonts w:hint="eastAsia" w:ascii="宋体" w:hAnsi="宋体" w:eastAsia="宋体" w:cs="宋体"/>
          <w:b/>
          <w:color w:val="000000"/>
          <w:kern w:val="0"/>
          <w:sz w:val="36"/>
          <w:szCs w:val="36"/>
          <w:lang w:val="en-US" w:eastAsia="zh-CN" w:bidi="ar"/>
        </w:rPr>
      </w:pPr>
    </w:p>
    <w:p>
      <w:pPr>
        <w:keepNext w:val="0"/>
        <w:keepLines w:val="0"/>
        <w:widowControl/>
        <w:suppressLineNumbers w:val="0"/>
        <w:jc w:val="left"/>
        <w:rPr>
          <w:rFonts w:hint="eastAsia" w:ascii="宋体" w:hAnsi="宋体" w:eastAsia="宋体" w:cs="宋体"/>
          <w:b/>
          <w:color w:val="000000"/>
          <w:kern w:val="0"/>
          <w:sz w:val="36"/>
          <w:szCs w:val="36"/>
          <w:lang w:val="en-US" w:eastAsia="zh-CN" w:bidi="ar"/>
        </w:rPr>
      </w:pPr>
    </w:p>
    <w:p>
      <w:pPr>
        <w:keepNext w:val="0"/>
        <w:keepLines w:val="0"/>
        <w:widowControl/>
        <w:suppressLineNumbers w:val="0"/>
        <w:jc w:val="left"/>
        <w:rPr>
          <w:rFonts w:hint="eastAsia" w:ascii="宋体" w:hAnsi="宋体" w:eastAsia="宋体" w:cs="宋体"/>
          <w:b/>
          <w:color w:val="000000"/>
          <w:kern w:val="0"/>
          <w:sz w:val="36"/>
          <w:szCs w:val="36"/>
          <w:lang w:val="en-US" w:eastAsia="zh-CN" w:bidi="ar"/>
        </w:rPr>
      </w:pPr>
    </w:p>
    <w:p>
      <w:pPr>
        <w:keepNext w:val="0"/>
        <w:keepLines w:val="0"/>
        <w:widowControl/>
        <w:suppressLineNumbers w:val="0"/>
        <w:jc w:val="left"/>
        <w:rPr>
          <w:rFonts w:hint="eastAsia" w:ascii="宋体" w:hAnsi="宋体" w:eastAsia="宋体" w:cs="宋体"/>
          <w:b/>
          <w:color w:val="000000"/>
          <w:kern w:val="0"/>
          <w:sz w:val="36"/>
          <w:szCs w:val="36"/>
          <w:lang w:val="en-US" w:eastAsia="zh-CN" w:bidi="ar"/>
        </w:rPr>
      </w:pPr>
    </w:p>
    <w:p>
      <w:pPr>
        <w:keepNext w:val="0"/>
        <w:keepLines w:val="0"/>
        <w:widowControl/>
        <w:suppressLineNumbers w:val="0"/>
        <w:jc w:val="left"/>
        <w:rPr>
          <w:rFonts w:hint="eastAsia" w:ascii="宋体" w:hAnsi="宋体" w:eastAsia="宋体" w:cs="宋体"/>
          <w:b/>
          <w:color w:val="000000"/>
          <w:kern w:val="0"/>
          <w:sz w:val="36"/>
          <w:szCs w:val="36"/>
          <w:lang w:val="en-US" w:eastAsia="zh-CN" w:bidi="ar"/>
        </w:rPr>
      </w:pPr>
    </w:p>
    <w:p>
      <w:pPr>
        <w:keepNext w:val="0"/>
        <w:keepLines w:val="0"/>
        <w:widowControl/>
        <w:suppressLineNumbers w:val="0"/>
        <w:ind w:firstLine="5421" w:firstLineChars="1500"/>
        <w:jc w:val="left"/>
        <w:rPr>
          <w:rFonts w:hint="eastAsia" w:ascii="宋体" w:hAnsi="宋体" w:eastAsia="宋体" w:cs="宋体"/>
          <w:b/>
          <w:color w:val="000000"/>
          <w:kern w:val="0"/>
          <w:sz w:val="36"/>
          <w:szCs w:val="36"/>
          <w:lang w:val="en-US" w:eastAsia="zh-CN" w:bidi="ar"/>
        </w:rPr>
      </w:pPr>
      <w:r>
        <w:rPr>
          <w:rFonts w:hint="eastAsia" w:ascii="宋体" w:hAnsi="宋体" w:eastAsia="宋体" w:cs="宋体"/>
          <w:b/>
          <w:color w:val="000000"/>
          <w:kern w:val="0"/>
          <w:sz w:val="36"/>
          <w:szCs w:val="36"/>
          <w:lang w:val="en-US" w:eastAsia="zh-CN" w:bidi="ar"/>
        </w:rPr>
        <w:t>二</w:t>
      </w:r>
      <w:r>
        <w:rPr>
          <w:rFonts w:hint="eastAsia" w:ascii="Times New Roman" w:hAnsi="Times New Roman" w:eastAsia="宋体" w:cs="Times New Roman"/>
          <w:b/>
          <w:color w:val="000000"/>
          <w:kern w:val="0"/>
          <w:sz w:val="36"/>
          <w:szCs w:val="36"/>
          <w:lang w:val="en-US" w:eastAsia="zh-CN" w:bidi="ar"/>
        </w:rPr>
        <w:t>零</w:t>
      </w:r>
      <w:r>
        <w:rPr>
          <w:rFonts w:hint="eastAsia" w:ascii="宋体" w:hAnsi="宋体" w:eastAsia="宋体" w:cs="宋体"/>
          <w:b/>
          <w:color w:val="000000"/>
          <w:kern w:val="0"/>
          <w:sz w:val="36"/>
          <w:szCs w:val="36"/>
          <w:lang w:val="en-US" w:eastAsia="zh-CN" w:bidi="ar"/>
        </w:rPr>
        <w:t>二</w:t>
      </w:r>
      <w:r>
        <w:rPr>
          <w:rFonts w:hint="eastAsia" w:ascii="Times New Roman" w:hAnsi="Times New Roman" w:eastAsia="宋体" w:cs="Times New Roman"/>
          <w:b/>
          <w:color w:val="000000"/>
          <w:kern w:val="0"/>
          <w:sz w:val="36"/>
          <w:szCs w:val="36"/>
          <w:lang w:val="en-US" w:eastAsia="zh-CN" w:bidi="ar"/>
        </w:rPr>
        <w:t>零</w:t>
      </w:r>
      <w:r>
        <w:rPr>
          <w:rFonts w:hint="eastAsia" w:ascii="宋体" w:hAnsi="宋体" w:eastAsia="宋体" w:cs="宋体"/>
          <w:b/>
          <w:color w:val="000000"/>
          <w:kern w:val="0"/>
          <w:sz w:val="36"/>
          <w:szCs w:val="36"/>
          <w:lang w:val="en-US" w:eastAsia="zh-CN" w:bidi="ar"/>
        </w:rPr>
        <w:t>年十月</w:t>
      </w:r>
    </w:p>
    <w:p>
      <w:pPr>
        <w:keepNext w:val="0"/>
        <w:keepLines w:val="0"/>
        <w:pageBreakBefore w:val="0"/>
        <w:widowControl/>
        <w:suppressLineNumbers w:val="0"/>
        <w:kinsoku/>
        <w:wordWrap/>
        <w:overflowPunct/>
        <w:topLinePunct w:val="0"/>
        <w:autoSpaceDE/>
        <w:autoSpaceDN/>
        <w:bidi w:val="0"/>
        <w:adjustRightInd/>
        <w:snapToGrid/>
        <w:spacing w:line="900" w:lineRule="exact"/>
        <w:ind w:firstLine="3080" w:firstLineChars="700"/>
        <w:jc w:val="both"/>
        <w:textAlignment w:val="auto"/>
        <w:rPr>
          <w:rFonts w:hint="eastAsia" w:ascii="黑体" w:hAnsi="宋体" w:eastAsia="黑体" w:cs="黑体"/>
          <w:color w:val="000000"/>
          <w:kern w:val="0"/>
          <w:sz w:val="44"/>
          <w:szCs w:val="44"/>
          <w:lang w:val="en-US" w:eastAsia="zh-CN" w:bidi="ar"/>
        </w:rPr>
      </w:pPr>
      <w:r>
        <w:rPr>
          <w:rFonts w:ascii="黑体" w:hAnsi="宋体" w:eastAsia="黑体" w:cs="黑体"/>
          <w:color w:val="000000"/>
          <w:kern w:val="0"/>
          <w:sz w:val="44"/>
          <w:szCs w:val="44"/>
          <w:lang w:val="en-US" w:eastAsia="zh-CN" w:bidi="ar"/>
        </w:rPr>
        <w:t>目</w:t>
      </w:r>
      <w:r>
        <w:rPr>
          <w:rFonts w:hint="eastAsia" w:ascii="黑体" w:hAnsi="宋体" w:eastAsia="黑体" w:cs="黑体"/>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 xml:space="preserve"> </w:t>
      </w:r>
      <w:r>
        <w:rPr>
          <w:rFonts w:hint="eastAsia" w:ascii="黑体" w:hAnsi="宋体" w:eastAsia="黑体" w:cs="黑体"/>
          <w:color w:val="000000"/>
          <w:kern w:val="0"/>
          <w:sz w:val="44"/>
          <w:szCs w:val="44"/>
          <w:lang w:val="en-US" w:eastAsia="zh-CN" w:bidi="ar"/>
        </w:rPr>
        <w:t>录</w:t>
      </w:r>
    </w:p>
    <w:p>
      <w:pPr>
        <w:keepNext w:val="0"/>
        <w:keepLines w:val="0"/>
        <w:pageBreakBefore w:val="0"/>
        <w:widowControl/>
        <w:suppressLineNumbers w:val="0"/>
        <w:kinsoku/>
        <w:wordWrap/>
        <w:overflowPunct/>
        <w:topLinePunct w:val="0"/>
        <w:autoSpaceDE/>
        <w:autoSpaceDN/>
        <w:bidi w:val="0"/>
        <w:adjustRightInd/>
        <w:snapToGrid/>
        <w:spacing w:line="900" w:lineRule="exact"/>
        <w:ind w:firstLine="3600" w:firstLineChars="1000"/>
        <w:jc w:val="both"/>
        <w:textAlignment w:val="auto"/>
        <w:rPr>
          <w:rFonts w:hint="eastAsia" w:ascii="黑体" w:hAnsi="宋体" w:eastAsia="黑体" w:cs="黑体"/>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sz w:val="36"/>
          <w:szCs w:val="36"/>
        </w:rPr>
      </w:pPr>
      <w:r>
        <w:rPr>
          <w:rFonts w:hint="eastAsia" w:ascii="黑体" w:hAnsi="宋体" w:eastAsia="黑体" w:cs="黑体"/>
          <w:color w:val="000000"/>
          <w:kern w:val="0"/>
          <w:sz w:val="36"/>
          <w:szCs w:val="36"/>
          <w:lang w:val="en-US" w:eastAsia="zh-CN" w:bidi="ar"/>
        </w:rPr>
        <w:t xml:space="preserve">第一部分 七里园乡人民政府概况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一、部门职责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黑体" w:hAnsi="宋体" w:eastAsia="黑体" w:cs="黑体"/>
          <w:color w:val="000000"/>
          <w:kern w:val="0"/>
          <w:sz w:val="36"/>
          <w:szCs w:val="36"/>
          <w:lang w:val="en-US" w:eastAsia="zh-CN" w:bidi="ar"/>
        </w:rPr>
      </w:pPr>
      <w:r>
        <w:rPr>
          <w:rFonts w:hint="eastAsia" w:ascii="仿宋_GB2312" w:hAnsi="仿宋_GB2312" w:eastAsia="仿宋_GB2312" w:cs="仿宋_GB2312"/>
          <w:color w:val="000000"/>
          <w:kern w:val="0"/>
          <w:sz w:val="32"/>
          <w:szCs w:val="32"/>
          <w:lang w:val="en-US" w:eastAsia="zh-CN" w:bidi="ar"/>
        </w:rPr>
        <w:t xml:space="preserve">二、机构设置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pPr>
      <w:r>
        <w:rPr>
          <w:rFonts w:hint="eastAsia" w:ascii="黑体" w:hAnsi="宋体" w:eastAsia="黑体" w:cs="黑体"/>
          <w:color w:val="000000"/>
          <w:kern w:val="0"/>
          <w:sz w:val="36"/>
          <w:szCs w:val="36"/>
          <w:lang w:val="en-US" w:eastAsia="zh-CN" w:bidi="ar"/>
        </w:rPr>
        <w:t>第二部分 七里园乡人民政府2020年度部门决算表</w:t>
      </w:r>
      <w:r>
        <w:rPr>
          <w:rFonts w:hint="eastAsia" w:ascii="黑体" w:hAnsi="宋体" w:eastAsia="黑体" w:cs="黑体"/>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一、收入支出决算总表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二、收入决算表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三、支出决算表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四、财政拨款收入支出决算总表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五、一般公共预算财政拨款支出决算表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六、一般公共预算财政拨款基本支出决算表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七、一般公共预算财政拨款“三公”经费支出决算表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黑体" w:hAnsi="宋体" w:eastAsia="黑体" w:cs="黑体"/>
          <w:color w:val="000000"/>
          <w:kern w:val="0"/>
          <w:sz w:val="36"/>
          <w:szCs w:val="36"/>
          <w:lang w:val="en-US" w:eastAsia="zh-CN" w:bidi="ar"/>
        </w:rPr>
      </w:pPr>
      <w:r>
        <w:rPr>
          <w:rFonts w:hint="eastAsia" w:ascii="仿宋_GB2312" w:hAnsi="仿宋_GB2312" w:eastAsia="仿宋_GB2312" w:cs="仿宋_GB2312"/>
          <w:color w:val="000000"/>
          <w:kern w:val="0"/>
          <w:sz w:val="32"/>
          <w:szCs w:val="32"/>
          <w:lang w:val="en-US" w:eastAsia="zh-CN" w:bidi="ar"/>
        </w:rPr>
        <w:t>八、政府性基金预算财政拨款收入支出决算表</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pPr>
      <w:r>
        <w:rPr>
          <w:rFonts w:hint="eastAsia" w:ascii="黑体" w:hAnsi="宋体" w:eastAsia="黑体" w:cs="黑体"/>
          <w:color w:val="000000"/>
          <w:kern w:val="0"/>
          <w:sz w:val="36"/>
          <w:szCs w:val="36"/>
          <w:lang w:val="en-US" w:eastAsia="zh-CN" w:bidi="ar"/>
        </w:rPr>
        <w:t>第三部分 七里园乡人民政府2020年度部门决算情况说明</w:t>
      </w:r>
      <w:r>
        <w:rPr>
          <w:rFonts w:hint="eastAsia" w:ascii="黑体" w:hAnsi="宋体" w:eastAsia="黑体" w:cs="黑体"/>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一、收入支出决算总体情况说明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二、收入决算情况说明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三、支出决算情况说明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四、财政拨款收入支出决算总体情况说明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五、一般公共预算财政拨款支出决算情况说明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六、一般公共预算财政拨款基本支出决算情况说明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七、一般公共预算财政拨款“三公”经费支出决算情况说明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八、预算绩效情况说明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九、政府性基金预算财政拨款支出决算情况说明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十、机关运行经费支出情况说明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十一、政府采购支出情况说明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黑体" w:hAnsi="宋体" w:eastAsia="黑体" w:cs="黑体"/>
          <w:color w:val="000000"/>
          <w:kern w:val="0"/>
          <w:sz w:val="36"/>
          <w:szCs w:val="36"/>
          <w:lang w:val="en-US" w:eastAsia="zh-CN" w:bidi="ar"/>
        </w:rPr>
      </w:pPr>
      <w:r>
        <w:rPr>
          <w:rFonts w:hint="eastAsia" w:ascii="仿宋_GB2312" w:hAnsi="仿宋_GB2312" w:eastAsia="仿宋_GB2312" w:cs="仿宋_GB2312"/>
          <w:color w:val="000000"/>
          <w:kern w:val="0"/>
          <w:sz w:val="32"/>
          <w:szCs w:val="32"/>
          <w:lang w:val="en-US" w:eastAsia="zh-CN" w:bidi="ar"/>
        </w:rPr>
        <w:t xml:space="preserve">十二、国有资产占用情况说明 </w:t>
      </w:r>
    </w:p>
    <w:p>
      <w:pPr>
        <w:keepNext w:val="0"/>
        <w:keepLines w:val="0"/>
        <w:pageBreakBefore w:val="0"/>
        <w:widowControl/>
        <w:suppressLineNumbers w:val="0"/>
        <w:kinsoku/>
        <w:wordWrap/>
        <w:overflowPunct/>
        <w:topLinePunct w:val="0"/>
        <w:autoSpaceDE/>
        <w:autoSpaceDN/>
        <w:bidi w:val="0"/>
        <w:adjustRightInd/>
        <w:snapToGrid/>
        <w:spacing w:line="900" w:lineRule="exact"/>
        <w:jc w:val="left"/>
        <w:textAlignment w:val="auto"/>
        <w:rPr>
          <w:rFonts w:hint="eastAsia" w:ascii="黑体" w:hAnsi="宋体" w:eastAsia="黑体" w:cs="黑体"/>
          <w:color w:val="000000"/>
          <w:kern w:val="0"/>
          <w:sz w:val="36"/>
          <w:szCs w:val="36"/>
          <w:lang w:val="en-US" w:eastAsia="zh-CN" w:bidi="ar"/>
        </w:rPr>
      </w:pPr>
      <w:r>
        <w:rPr>
          <w:rFonts w:hint="eastAsia" w:ascii="黑体" w:hAnsi="宋体" w:eastAsia="黑体" w:cs="黑体"/>
          <w:color w:val="000000"/>
          <w:kern w:val="0"/>
          <w:sz w:val="36"/>
          <w:szCs w:val="36"/>
          <w:lang w:val="en-US" w:eastAsia="zh-CN" w:bidi="ar"/>
        </w:rPr>
        <w:t>第四部分 名词解释</w:t>
      </w:r>
    </w:p>
    <w:p>
      <w:pPr>
        <w:keepNext w:val="0"/>
        <w:keepLines w:val="0"/>
        <w:widowControl/>
        <w:suppressLineNumbers w:val="0"/>
        <w:jc w:val="left"/>
        <w:rPr>
          <w:rFonts w:hint="eastAsia" w:ascii="黑体" w:hAnsi="宋体" w:eastAsia="黑体" w:cs="黑体"/>
          <w:color w:val="000000"/>
          <w:kern w:val="0"/>
          <w:sz w:val="36"/>
          <w:szCs w:val="36"/>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ind w:firstLine="3120" w:firstLineChars="600"/>
        <w:jc w:val="both"/>
        <w:rPr>
          <w:rFonts w:hint="eastAsia" w:ascii="黑体" w:hAnsi="黑体" w:eastAsia="黑体" w:cs="黑体"/>
          <w:b w:val="0"/>
          <w:bCs/>
          <w:color w:val="000000"/>
          <w:kern w:val="0"/>
          <w:sz w:val="52"/>
          <w:szCs w:val="52"/>
          <w:lang w:val="en-US" w:eastAsia="zh-CN" w:bidi="ar"/>
        </w:rPr>
      </w:pPr>
      <w:r>
        <w:rPr>
          <w:rFonts w:hint="eastAsia" w:ascii="黑体" w:hAnsi="黑体" w:eastAsia="黑体" w:cs="黑体"/>
          <w:b w:val="0"/>
          <w:bCs/>
          <w:color w:val="000000"/>
          <w:kern w:val="0"/>
          <w:sz w:val="52"/>
          <w:szCs w:val="52"/>
          <w:lang w:val="en-US" w:eastAsia="zh-CN" w:bidi="ar"/>
        </w:rPr>
        <w:t>第一部分</w:t>
      </w:r>
    </w:p>
    <w:p>
      <w:pPr>
        <w:keepNext w:val="0"/>
        <w:keepLines w:val="0"/>
        <w:widowControl/>
        <w:suppressLineNumbers w:val="0"/>
        <w:jc w:val="center"/>
        <w:rPr>
          <w:rFonts w:hint="eastAsia" w:ascii="黑体" w:hAnsi="黑体" w:eastAsia="黑体" w:cs="黑体"/>
          <w:b w:val="0"/>
          <w:bCs/>
          <w:sz w:val="52"/>
          <w:szCs w:val="52"/>
        </w:rPr>
      </w:pPr>
      <w:r>
        <w:rPr>
          <w:rFonts w:hint="eastAsia" w:ascii="黑体" w:hAnsi="黑体" w:eastAsia="黑体" w:cs="黑体"/>
          <w:b w:val="0"/>
          <w:bCs/>
          <w:color w:val="000000"/>
          <w:kern w:val="0"/>
          <w:sz w:val="52"/>
          <w:szCs w:val="52"/>
          <w:lang w:val="en-US" w:eastAsia="zh-CN" w:bidi="ar"/>
        </w:rPr>
        <w:t>七里园乡人民政府概况</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widowControl/>
        <w:spacing w:line="590" w:lineRule="exact"/>
        <w:ind w:firstLine="640" w:firstLineChars="200"/>
        <w:rPr>
          <w:rFonts w:hint="eastAsia" w:ascii="仿宋" w:hAnsi="仿宋" w:eastAsia="仿宋" w:cs="仿宋_GB2312"/>
          <w:sz w:val="32"/>
          <w:szCs w:val="32"/>
        </w:rPr>
      </w:pPr>
    </w:p>
    <w:p>
      <w:pPr>
        <w:widowControl/>
        <w:spacing w:line="59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一、部门职责</w:t>
      </w:r>
    </w:p>
    <w:p>
      <w:pPr>
        <w:widowControl/>
        <w:spacing w:line="59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七里园乡人民政府承担职能情况</w:t>
      </w:r>
    </w:p>
    <w:p>
      <w:pPr>
        <w:widowControl/>
        <w:spacing w:line="59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全面贯彻党的十九大精神，以习近平新时代中国特色社会主义思想为指导，紧紧围绕统筹推进“五位一体”总体布局和协调推进“四个全面”战略布局，主动适应经济社会发展新要求和人民群众新需要，加强党的领导，积极实施乡村振兴战略，推进辖区发展。准确把握实现基本公共服务均等化的发展方向，以深化乡镇政府配套改革为突破，以优化服务资源配置为手段，以创新服务供给方式为途径，以增强乡镇干部宗旨意识为关键，加快乡镇政府职能转变步伐，着力强化公共服务职能，确保辖区公共安全，完善乡镇财政管理体制，为推动高质量发展走在前列、建设美丽七里园奠定坚实基础。</w:t>
      </w:r>
    </w:p>
    <w:p>
      <w:pPr>
        <w:widowControl/>
        <w:spacing w:line="59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二、机构设置</w:t>
      </w:r>
    </w:p>
    <w:p>
      <w:pPr>
        <w:ind w:firstLine="648"/>
        <w:rPr>
          <w:rFonts w:hint="eastAsia" w:ascii="仿宋" w:hAnsi="仿宋" w:eastAsia="仿宋"/>
          <w:sz w:val="32"/>
        </w:rPr>
      </w:pPr>
      <w:r>
        <w:rPr>
          <w:rFonts w:hint="eastAsia" w:ascii="仿宋" w:hAnsi="仿宋" w:eastAsia="仿宋"/>
          <w:sz w:val="32"/>
        </w:rPr>
        <w:t>1、党政机构按3个设置，即党政办公室（加挂社会治安综合治理办公室牌子）、社会事务办公室（加挂卫生和计划生育办公室牌子）、经济发展办公室。事业单位按</w:t>
      </w:r>
      <w:r>
        <w:rPr>
          <w:rFonts w:hint="eastAsia" w:ascii="仿宋" w:hAnsi="仿宋" w:eastAsia="仿宋"/>
          <w:sz w:val="32"/>
          <w:lang w:val="en-US" w:eastAsia="zh-CN"/>
        </w:rPr>
        <w:t>5</w:t>
      </w:r>
      <w:r>
        <w:rPr>
          <w:rFonts w:hint="eastAsia" w:ascii="仿宋" w:hAnsi="仿宋" w:eastAsia="仿宋"/>
          <w:sz w:val="32"/>
        </w:rPr>
        <w:t>个中心设置，即农业服务中心、文化服务中心、村镇建设发展中心和计划生育技术服务中心。</w:t>
      </w:r>
    </w:p>
    <w:p>
      <w:pPr>
        <w:spacing w:line="360" w:lineRule="auto"/>
        <w:ind w:firstLine="640" w:firstLineChars="200"/>
        <w:jc w:val="left"/>
        <w:rPr>
          <w:rFonts w:hint="eastAsia" w:ascii="仿宋" w:hAnsi="仿宋" w:eastAsia="仿宋"/>
          <w:sz w:val="32"/>
        </w:rPr>
      </w:pP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年度，</w:t>
      </w:r>
      <w:r>
        <w:rPr>
          <w:rFonts w:hint="eastAsia" w:ascii="仿宋" w:hAnsi="仿宋" w:eastAsia="仿宋"/>
          <w:sz w:val="32"/>
        </w:rPr>
        <w:t>纳入七里园乡人民政府部门决算编制范围的单位包括：</w:t>
      </w:r>
    </w:p>
    <w:p>
      <w:pPr>
        <w:numPr>
          <w:ilvl w:val="0"/>
          <w:numId w:val="1"/>
        </w:numPr>
        <w:spacing w:line="360" w:lineRule="auto"/>
        <w:ind w:firstLine="640" w:firstLineChars="200"/>
        <w:jc w:val="left"/>
        <w:rPr>
          <w:rFonts w:hint="eastAsia" w:ascii="仿宋" w:hAnsi="仿宋" w:eastAsia="仿宋"/>
          <w:sz w:val="32"/>
        </w:rPr>
      </w:pPr>
      <w:r>
        <w:rPr>
          <w:rFonts w:hint="eastAsia" w:ascii="仿宋" w:hAnsi="仿宋" w:eastAsia="仿宋"/>
          <w:sz w:val="32"/>
        </w:rPr>
        <w:t>七里园乡人民政府</w:t>
      </w:r>
    </w:p>
    <w:p>
      <w:pPr>
        <w:numPr>
          <w:ilvl w:val="0"/>
          <w:numId w:val="2"/>
        </w:numPr>
        <w:spacing w:line="360" w:lineRule="auto"/>
        <w:ind w:firstLine="640" w:firstLineChars="200"/>
        <w:jc w:val="left"/>
        <w:rPr>
          <w:rFonts w:hint="eastAsia" w:ascii="仿宋" w:hAnsi="仿宋" w:eastAsia="仿宋"/>
          <w:sz w:val="32"/>
        </w:rPr>
      </w:pPr>
      <w:r>
        <w:rPr>
          <w:rFonts w:hint="eastAsia" w:ascii="仿宋" w:hAnsi="仿宋" w:eastAsia="仿宋"/>
          <w:sz w:val="32"/>
        </w:rPr>
        <w:t>七里园乡财政所</w:t>
      </w:r>
    </w:p>
    <w:p>
      <w:pPr>
        <w:numPr>
          <w:ilvl w:val="0"/>
          <w:numId w:val="2"/>
        </w:numPr>
        <w:spacing w:line="360" w:lineRule="auto"/>
        <w:ind w:firstLine="640" w:firstLineChars="200"/>
        <w:jc w:val="left"/>
        <w:rPr>
          <w:rFonts w:hint="eastAsia" w:ascii="仿宋" w:hAnsi="仿宋" w:eastAsia="仿宋"/>
          <w:sz w:val="32"/>
        </w:rPr>
      </w:pPr>
      <w:r>
        <w:rPr>
          <w:rFonts w:hint="eastAsia" w:ascii="仿宋" w:hAnsi="仿宋" w:eastAsia="仿宋"/>
          <w:sz w:val="32"/>
        </w:rPr>
        <w:t>七里园乡卫生健康办公室</w:t>
      </w:r>
    </w:p>
    <w:p>
      <w:pPr>
        <w:numPr>
          <w:ilvl w:val="0"/>
          <w:numId w:val="2"/>
        </w:numPr>
        <w:spacing w:line="360" w:lineRule="auto"/>
        <w:ind w:firstLine="640" w:firstLineChars="200"/>
        <w:jc w:val="left"/>
        <w:rPr>
          <w:rFonts w:hint="eastAsia" w:ascii="仿宋" w:hAnsi="仿宋" w:eastAsia="仿宋"/>
          <w:sz w:val="32"/>
        </w:rPr>
      </w:pPr>
      <w:r>
        <w:rPr>
          <w:rFonts w:hint="eastAsia" w:ascii="仿宋" w:hAnsi="仿宋" w:eastAsia="仿宋"/>
          <w:sz w:val="32"/>
        </w:rPr>
        <w:t>七里园乡工业办公室</w:t>
      </w:r>
    </w:p>
    <w:p>
      <w:pPr>
        <w:numPr>
          <w:ilvl w:val="0"/>
          <w:numId w:val="2"/>
        </w:numPr>
        <w:spacing w:line="360" w:lineRule="auto"/>
        <w:ind w:firstLine="640" w:firstLineChars="200"/>
        <w:jc w:val="left"/>
        <w:rPr>
          <w:rFonts w:hint="eastAsia" w:ascii="仿宋" w:hAnsi="仿宋" w:eastAsia="仿宋"/>
          <w:sz w:val="32"/>
        </w:rPr>
      </w:pPr>
      <w:r>
        <w:rPr>
          <w:rFonts w:hint="eastAsia" w:ascii="仿宋" w:hAnsi="仿宋" w:eastAsia="仿宋"/>
          <w:sz w:val="32"/>
        </w:rPr>
        <w:t>七里园乡建设管理所</w:t>
      </w:r>
    </w:p>
    <w:p>
      <w:pPr>
        <w:numPr>
          <w:ilvl w:val="0"/>
          <w:numId w:val="2"/>
        </w:numPr>
        <w:spacing w:line="360" w:lineRule="auto"/>
        <w:ind w:firstLine="640" w:firstLineChars="200"/>
        <w:jc w:val="left"/>
        <w:rPr>
          <w:rFonts w:hint="eastAsia" w:ascii="仿宋" w:hAnsi="仿宋" w:eastAsia="仿宋"/>
          <w:sz w:val="32"/>
        </w:rPr>
      </w:pPr>
      <w:r>
        <w:rPr>
          <w:rFonts w:hint="eastAsia" w:ascii="仿宋" w:hAnsi="仿宋" w:eastAsia="仿宋"/>
          <w:sz w:val="32"/>
        </w:rPr>
        <w:t>七里园乡民政所</w:t>
      </w:r>
    </w:p>
    <w:p>
      <w:pPr>
        <w:numPr>
          <w:ilvl w:val="0"/>
          <w:numId w:val="2"/>
        </w:numPr>
        <w:spacing w:line="360" w:lineRule="auto"/>
        <w:ind w:firstLine="640" w:firstLineChars="200"/>
        <w:jc w:val="left"/>
        <w:rPr>
          <w:rFonts w:hint="eastAsia" w:ascii="仿宋" w:hAnsi="仿宋" w:eastAsia="仿宋"/>
          <w:sz w:val="32"/>
        </w:rPr>
      </w:pPr>
      <w:r>
        <w:rPr>
          <w:rFonts w:hint="eastAsia" w:ascii="仿宋" w:hAnsi="仿宋" w:eastAsia="仿宋"/>
          <w:sz w:val="32"/>
        </w:rPr>
        <w:t>七里园乡农业办公室</w:t>
      </w:r>
    </w:p>
    <w:p>
      <w:pPr>
        <w:numPr>
          <w:ilvl w:val="0"/>
          <w:numId w:val="2"/>
        </w:numPr>
        <w:spacing w:line="360" w:lineRule="auto"/>
        <w:ind w:firstLine="640" w:firstLineChars="200"/>
        <w:jc w:val="left"/>
        <w:rPr>
          <w:rFonts w:hint="eastAsia" w:ascii="仿宋" w:hAnsi="仿宋" w:eastAsia="仿宋"/>
          <w:sz w:val="32"/>
        </w:rPr>
      </w:pPr>
      <w:r>
        <w:rPr>
          <w:rFonts w:hint="eastAsia" w:ascii="仿宋" w:hAnsi="仿宋" w:eastAsia="仿宋"/>
          <w:sz w:val="32"/>
        </w:rPr>
        <w:t>七里园乡纪律检查委员会</w:t>
      </w:r>
    </w:p>
    <w:p>
      <w:pPr>
        <w:numPr>
          <w:ilvl w:val="0"/>
          <w:numId w:val="2"/>
        </w:numPr>
        <w:spacing w:line="360" w:lineRule="auto"/>
        <w:ind w:firstLine="640" w:firstLineChars="200"/>
        <w:jc w:val="left"/>
        <w:rPr>
          <w:rFonts w:hint="eastAsia" w:ascii="仿宋" w:hAnsi="仿宋" w:eastAsia="仿宋"/>
          <w:sz w:val="32"/>
        </w:rPr>
      </w:pPr>
      <w:r>
        <w:rPr>
          <w:rFonts w:hint="eastAsia" w:ascii="仿宋" w:hAnsi="仿宋" w:eastAsia="仿宋"/>
          <w:sz w:val="32"/>
        </w:rPr>
        <w:t>七里园乡人民政府信访办公室</w:t>
      </w:r>
    </w:p>
    <w:p>
      <w:pPr>
        <w:numPr>
          <w:ilvl w:val="0"/>
          <w:numId w:val="2"/>
        </w:numPr>
        <w:spacing w:line="360" w:lineRule="auto"/>
        <w:ind w:firstLine="640" w:firstLineChars="200"/>
        <w:jc w:val="left"/>
        <w:rPr>
          <w:rFonts w:hint="eastAsia" w:ascii="仿宋" w:hAnsi="仿宋" w:eastAsia="仿宋"/>
          <w:sz w:val="32"/>
        </w:rPr>
      </w:pPr>
      <w:r>
        <w:rPr>
          <w:rFonts w:hint="eastAsia" w:ascii="仿宋" w:hAnsi="仿宋" w:eastAsia="仿宋"/>
          <w:sz w:val="32"/>
        </w:rPr>
        <w:t>七里园乡环境卫生管理所</w:t>
      </w:r>
    </w:p>
    <w:p>
      <w:pPr>
        <w:numPr>
          <w:ilvl w:val="0"/>
          <w:numId w:val="2"/>
        </w:numPr>
        <w:spacing w:line="360" w:lineRule="auto"/>
        <w:ind w:firstLine="640" w:firstLineChars="200"/>
        <w:jc w:val="left"/>
        <w:rPr>
          <w:rFonts w:hint="eastAsia" w:ascii="仿宋" w:hAnsi="仿宋" w:eastAsia="仿宋"/>
          <w:sz w:val="32"/>
        </w:rPr>
      </w:pPr>
      <w:r>
        <w:rPr>
          <w:rFonts w:hint="eastAsia" w:ascii="仿宋" w:hAnsi="仿宋" w:eastAsia="仿宋"/>
          <w:sz w:val="32"/>
        </w:rPr>
        <w:t>七里园乡“三资”委托代理服务中心</w:t>
      </w:r>
    </w:p>
    <w:p>
      <w:pPr>
        <w:numPr>
          <w:ilvl w:val="0"/>
          <w:numId w:val="2"/>
        </w:numPr>
        <w:spacing w:line="360" w:lineRule="auto"/>
        <w:ind w:firstLine="640" w:firstLineChars="200"/>
        <w:jc w:val="left"/>
        <w:rPr>
          <w:rFonts w:hint="eastAsia" w:ascii="仿宋" w:hAnsi="仿宋" w:eastAsia="仿宋"/>
          <w:sz w:val="32"/>
        </w:rPr>
      </w:pPr>
      <w:r>
        <w:rPr>
          <w:rFonts w:hint="eastAsia" w:ascii="仿宋" w:hAnsi="仿宋" w:eastAsia="仿宋"/>
          <w:sz w:val="32"/>
        </w:rPr>
        <w:t>七里园乡中心学校</w:t>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r>
        <w:rPr>
          <w:rFonts w:hint="eastAsia" w:ascii="黑体" w:hAnsi="宋体" w:eastAsia="黑体" w:cs="黑体"/>
          <w:color w:val="000000"/>
          <w:kern w:val="0"/>
          <w:sz w:val="52"/>
          <w:szCs w:val="52"/>
          <w:lang w:val="en-US" w:eastAsia="zh-CN" w:bidi="ar"/>
        </w:rPr>
        <w:t>第二部分</w:t>
      </w: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r>
        <w:rPr>
          <w:rFonts w:hint="eastAsia" w:ascii="黑体" w:hAnsi="宋体" w:eastAsia="黑体" w:cs="黑体"/>
          <w:color w:val="000000"/>
          <w:kern w:val="0"/>
          <w:sz w:val="52"/>
          <w:szCs w:val="52"/>
          <w:lang w:val="en-US" w:eastAsia="zh-CN" w:bidi="ar"/>
        </w:rPr>
        <w:t>2020年度部门决算表</w:t>
      </w: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both"/>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30"/>
          <w:szCs w:val="30"/>
          <w:u w:val="none"/>
          <w:lang w:val="en-US" w:eastAsia="zh-CN" w:bidi="ar"/>
        </w:rPr>
        <w:sectPr>
          <w:pgSz w:w="11906" w:h="16838"/>
          <w:pgMar w:top="1440" w:right="1800" w:bottom="1440" w:left="1800" w:header="851" w:footer="992" w:gutter="0"/>
          <w:cols w:space="425" w:num="1"/>
          <w:docGrid w:type="lines" w:linePitch="312" w:charSpace="0"/>
        </w:sectPr>
      </w:pPr>
    </w:p>
    <w:tbl>
      <w:tblPr>
        <w:tblStyle w:val="2"/>
        <w:tblW w:w="5000" w:type="pct"/>
        <w:tblInd w:w="0" w:type="dxa"/>
        <w:shd w:val="clear" w:color="auto" w:fill="auto"/>
        <w:tblLayout w:type="autofit"/>
        <w:tblCellMar>
          <w:top w:w="0" w:type="dxa"/>
          <w:left w:w="0" w:type="dxa"/>
          <w:bottom w:w="0" w:type="dxa"/>
          <w:right w:w="0" w:type="dxa"/>
        </w:tblCellMar>
      </w:tblPr>
      <w:tblGrid>
        <w:gridCol w:w="5113"/>
        <w:gridCol w:w="683"/>
        <w:gridCol w:w="1318"/>
        <w:gridCol w:w="4795"/>
        <w:gridCol w:w="708"/>
        <w:gridCol w:w="1371"/>
      </w:tblGrid>
      <w:tr>
        <w:tblPrEx>
          <w:shd w:val="clear" w:color="auto" w:fill="auto"/>
          <w:tblCellMar>
            <w:top w:w="0" w:type="dxa"/>
            <w:left w:w="0" w:type="dxa"/>
            <w:bottom w:w="0" w:type="dxa"/>
            <w:right w:w="0" w:type="dxa"/>
          </w:tblCellMar>
        </w:tblPrEx>
        <w:trPr>
          <w:trHeight w:val="390" w:hRule="atLeast"/>
        </w:trPr>
        <w:tc>
          <w:tcPr>
            <w:tcW w:w="5000" w:type="pct"/>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收入支出决算总表</w:t>
            </w:r>
          </w:p>
        </w:tc>
      </w:tr>
      <w:tr>
        <w:tblPrEx>
          <w:shd w:val="clear" w:color="auto" w:fill="auto"/>
          <w:tblCellMar>
            <w:top w:w="0" w:type="dxa"/>
            <w:left w:w="0" w:type="dxa"/>
            <w:bottom w:w="0" w:type="dxa"/>
            <w:right w:w="0" w:type="dxa"/>
          </w:tblCellMar>
        </w:tblPrEx>
        <w:trPr>
          <w:trHeight w:val="255" w:hRule="atLeast"/>
        </w:trPr>
        <w:tc>
          <w:tcPr>
            <w:tcW w:w="1828"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24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1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41"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shd w:val="clear" w:color="auto" w:fill="auto"/>
          <w:tblCellMar>
            <w:top w:w="0" w:type="dxa"/>
            <w:left w:w="0" w:type="dxa"/>
            <w:bottom w:w="0" w:type="dxa"/>
            <w:right w:w="0" w:type="dxa"/>
          </w:tblCellMar>
        </w:tblPrEx>
        <w:trPr>
          <w:trHeight w:val="255" w:hRule="atLeast"/>
        </w:trPr>
        <w:tc>
          <w:tcPr>
            <w:tcW w:w="2543"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部门：南阳市卧龙区七里园乡</w:t>
            </w:r>
          </w:p>
        </w:tc>
        <w:tc>
          <w:tcPr>
            <w:tcW w:w="171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41"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254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2456" w:type="pct"/>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3,877.12</w:t>
            </w: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2,157.85</w:t>
            </w: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110.00</w:t>
            </w: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257.64</w:t>
            </w: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174.49</w:t>
            </w: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86.72</w:t>
            </w: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628.44</w:t>
            </w:r>
          </w:p>
        </w:tc>
      </w:tr>
      <w:tr>
        <w:tblPrEx>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1,194.99</w:t>
            </w:r>
          </w:p>
        </w:tc>
      </w:tr>
      <w:tr>
        <w:tblPrEx>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r>
      <w:tr>
        <w:tblPrEx>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11.47</w:t>
            </w: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5.46</w:t>
            </w: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3,987.12</w:t>
            </w: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4,525.06</w:t>
            </w: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1,129.09</w:t>
            </w: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591.15</w:t>
            </w: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82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44" w:type="pct"/>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5,116.22</w:t>
            </w:r>
          </w:p>
        </w:tc>
        <w:tc>
          <w:tcPr>
            <w:tcW w:w="17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4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5,116.22</w:t>
            </w:r>
          </w:p>
        </w:tc>
      </w:tr>
      <w:tr>
        <w:tblPrEx>
          <w:shd w:val="clear" w:color="auto" w:fill="auto"/>
          <w:tblCellMar>
            <w:top w:w="0" w:type="dxa"/>
            <w:left w:w="0" w:type="dxa"/>
            <w:bottom w:w="0" w:type="dxa"/>
            <w:right w:w="0" w:type="dxa"/>
          </w:tblCellMar>
        </w:tblPrEx>
        <w:trPr>
          <w:trHeight w:val="308" w:hRule="atLeast"/>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注：本表反映部门本年度的总收支和年末结转结余情况。本套报表金额单位转换时可能存在尾数误差。</w:t>
            </w:r>
          </w:p>
        </w:tc>
      </w:tr>
    </w:tbl>
    <w:p>
      <w:pPr>
        <w:keepNext w:val="0"/>
        <w:keepLines w:val="0"/>
        <w:widowControl/>
        <w:suppressLineNumbers w:val="0"/>
        <w:jc w:val="both"/>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4396"/>
        <w:gridCol w:w="1243"/>
        <w:gridCol w:w="1243"/>
        <w:gridCol w:w="803"/>
        <w:gridCol w:w="803"/>
        <w:gridCol w:w="803"/>
        <w:gridCol w:w="804"/>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98"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2"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98"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部门：南阳市卧龙区七里园乡</w:t>
            </w: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2"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0"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10"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355"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355"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355"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355"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357"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245"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1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5"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5"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5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00"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5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200"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3,987.12</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3,987.12</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1,223.44</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1,223.44</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596.45</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596.45</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313.80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313.80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228.44</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228.44</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54.22</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54.22</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18.92</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18.92</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18.92</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18.92</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21.74</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21.74</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21.74</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21.74</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宣传事务</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2013399</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其他宣传事务支出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574.31</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574.31</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574.31</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574.31</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教育支出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职业教育</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2050399</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其他职业教育支出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2070199</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109.99</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109.99</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38.57</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38.57</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2080201</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19.22</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19.22</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2080202</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16.71</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16.71</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16.71</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16.71</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2080705</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公益性岗位补贴</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最低生活保障</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2081902</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农村最低生活保障金支出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12.78</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12.78</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12.78</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12.78</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16.24</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16.24</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2082801</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2082804</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拥军优属</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2089901</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196.96</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196.96</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112.36</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112.36</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112.36</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112.36</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107.42</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107.42</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107.42</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107.42</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107.42</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107.42</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862.14</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862.14</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343.87</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343.87</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158.36</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158.36</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185.51</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185.51</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24.08</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24.08</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379.57</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379.57</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379.57</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379.57</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2120803</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城市建设支出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2129901</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1,451.24</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1,451.24</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266.06</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266.06</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2130102</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47.15</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47.15</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310.30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310.30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2130205</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森林资源培育</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147.66</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147.66</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其他林业和草原支出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162.64</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162.64</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水利工程建设</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862.77</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862.77</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对村级一事一议的补助</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18.87</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18.87</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748.90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748.90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2240701</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中央自然灾害生活补助</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2296004</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用于教育事业的彩票公益金支出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2299901</w:t>
            </w:r>
          </w:p>
        </w:tc>
        <w:tc>
          <w:tcPr>
            <w:tcW w:w="124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222"/>
        <w:gridCol w:w="222"/>
        <w:gridCol w:w="3517"/>
        <w:gridCol w:w="1501"/>
        <w:gridCol w:w="1502"/>
        <w:gridCol w:w="1502"/>
        <w:gridCol w:w="950"/>
        <w:gridCol w:w="950"/>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3"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82"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93"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部门：南阳市卧龙区七里园乡</w:t>
            </w: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4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3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3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82"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9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30"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530"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30"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335"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335"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347"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240"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3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0"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3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0"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3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5"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90"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3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90"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4,525.06</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2,694.32</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1,830.74</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2,157.85</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1,355.11</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802.74</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1,507.07</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1,278.63</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228.44</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1,224.41</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1,224.41</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228.44</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228.44</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54.22</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54.22</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18.92</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18.92</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18.92</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18.92</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15.74</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15.74</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15.74</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15.74</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574.31</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574.31</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574.31</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574.31</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257.64</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229.07</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28.57</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186.24</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166.89</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2080201</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166.89</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166.89</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2080202</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16.71</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16.71</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16.71</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16.71</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2080705</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公益性岗位补贴</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最低生活保障</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2081902</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农村最低生活保障金支出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12.77</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12.77</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12.77</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12.77</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16.24</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2082801</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2082804</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拥军优属</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2089901</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174.49</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164.49</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62.13</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62.13</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62.13</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62.13</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112.36</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102.36</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112.36</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102.36</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86.72</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27.12</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59.60</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86.72</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27.12</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59.60</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86.72</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27.12</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59.60</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628.44</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552.52</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75.92</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283.52</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283.52</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164.81</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164.81</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118.71</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118.71</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24.08</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24.08</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311.21</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235.29</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75.92</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311.21</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235.29</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75.92</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2129901</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1,194.99</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341.09</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853.90</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170.41</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141.65</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2130102</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47.15</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47.15</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94.50</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94.50</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273.20</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273.20</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2130205</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森林资源培育</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122.55</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122.55</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其他林业和草原支出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150.64</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150.64</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747.28</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308.23</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439.05</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对村级一事一议的补助</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18.87</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18.87</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678.41</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289.36</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389.05</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2240701</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中央自然灾害生活补助</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49"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2299901</w:t>
            </w:r>
          </w:p>
        </w:tc>
        <w:tc>
          <w:tcPr>
            <w:tcW w:w="12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5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53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3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5"/>
        <w:gridCol w:w="522"/>
        <w:gridCol w:w="1443"/>
        <w:gridCol w:w="3727"/>
        <w:gridCol w:w="522"/>
        <w:gridCol w:w="1137"/>
        <w:gridCol w:w="1440"/>
        <w:gridCol w:w="1330"/>
        <w:gridCol w:w="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30"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3"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804" w:type="pct"/>
            <w:gridSpan w:val="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部门：南阳市卧龙区七里园乡</w:t>
            </w:r>
          </w:p>
        </w:tc>
        <w:tc>
          <w:tcPr>
            <w:tcW w:w="12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3"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195" w:type="pct"/>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13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9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7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90"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9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55"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39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13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0"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9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9"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9"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3,877.12</w:t>
            </w: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2,157.85</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2,157.85</w:t>
            </w: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257.64</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257.64</w:t>
            </w: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174.49</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174.49</w:t>
            </w: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86.72</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86.72</w:t>
            </w: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628.44</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628.44</w:t>
            </w: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1,194.99</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1,194.99</w:t>
            </w: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3,987.12</w:t>
            </w: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4,525.06</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4,525.06</w:t>
            </w: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1,129.09</w:t>
            </w: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591.15</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481.15</w:t>
            </w:r>
          </w:p>
        </w:tc>
        <w:tc>
          <w:tcPr>
            <w:tcW w:w="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1,129.09</w:t>
            </w:r>
          </w:p>
        </w:tc>
        <w:tc>
          <w:tcPr>
            <w:tcW w:w="127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7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9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9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5"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30"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9" w:type="pct"/>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5,116.22</w:t>
            </w:r>
          </w:p>
        </w:tc>
        <w:tc>
          <w:tcPr>
            <w:tcW w:w="1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9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5,116.22</w:t>
            </w:r>
          </w:p>
        </w:tc>
        <w:tc>
          <w:tcPr>
            <w:tcW w:w="4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5,006.22</w:t>
            </w:r>
          </w:p>
        </w:tc>
        <w:tc>
          <w:tcPr>
            <w:tcW w:w="4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c>
          <w:tcPr>
            <w:tcW w:w="3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601"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398"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0"/>
        <w:gridCol w:w="391"/>
        <w:gridCol w:w="397"/>
        <w:gridCol w:w="5344"/>
        <w:gridCol w:w="2546"/>
        <w:gridCol w:w="2546"/>
        <w:gridCol w:w="2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8"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8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99"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301" w:type="pct"/>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部门：南阳市卧龙区七里园乡</w:t>
            </w:r>
          </w:p>
        </w:tc>
        <w:tc>
          <w:tcPr>
            <w:tcW w:w="89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99"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698"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884"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9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9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00"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16"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4"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84"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9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9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00"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301"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4,525.06</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2,694.32</w:t>
            </w: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1,830.74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2,157.85</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1,355.11</w:t>
            </w: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1,507.07</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1,278.63</w:t>
            </w: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1,224.41</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1,224.41</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228.44</w:t>
            </w:r>
          </w:p>
        </w:tc>
        <w:tc>
          <w:tcPr>
            <w:tcW w:w="8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54.22</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54.22</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统计信息事务</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18.92</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18.92</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18.92</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18.92</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财政事务</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纪检监察事务</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组织事务</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15.74</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15.74</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15.74</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15.74</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574.31</w:t>
            </w:r>
          </w:p>
        </w:tc>
        <w:tc>
          <w:tcPr>
            <w:tcW w:w="8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2019999</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574.31</w:t>
            </w:r>
          </w:p>
        </w:tc>
        <w:tc>
          <w:tcPr>
            <w:tcW w:w="8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257.64</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229.07</w:t>
            </w: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186.24</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166.89</w:t>
            </w: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2080201</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166.89</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166.89</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2080202</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w:t>
            </w:r>
          </w:p>
        </w:tc>
        <w:tc>
          <w:tcPr>
            <w:tcW w:w="8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16.71</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16.71</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事业单位离退休</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16.71</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16.71</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2080705</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公益性岗位补贴</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最低生活保障</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2081902</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农村最低生活保障金支出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12.77</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12.77</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临时救助支出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12.77</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12.77</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退役军人管理事务</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16.24</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2082801</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2082804</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拥军优属</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w:t>
            </w:r>
          </w:p>
        </w:tc>
        <w:tc>
          <w:tcPr>
            <w:tcW w:w="8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2089901</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174.49</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164.49</w:t>
            </w: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62.13</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62.13</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2100410</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62.13</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62.13</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计划生育事务</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112.36</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102.36</w:t>
            </w: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112.36</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102.36</w:t>
            </w: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86.72</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27.12</w:t>
            </w: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86.72</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27.12</w:t>
            </w: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农村环境保护</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86.72</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27.12</w:t>
            </w: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628.44</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552.52</w:t>
            </w: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城乡社区管理事务</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283.52</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283.52</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2120101</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164.81</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164.81</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2120199</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118.71</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118.71</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城乡社区公共设施</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24.08</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24.08</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2120303</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2120399</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城乡社区环境卫生</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311.21</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235.29</w:t>
            </w: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2120501</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311.21</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235.29</w:t>
            </w: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2129901</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1,194.99</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341.09</w:t>
            </w: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170.41</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w:t>
            </w: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2130102</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47.15</w:t>
            </w:r>
          </w:p>
        </w:tc>
        <w:tc>
          <w:tcPr>
            <w:tcW w:w="8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其他农业农村支出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94.50</w:t>
            </w:r>
          </w:p>
        </w:tc>
        <w:tc>
          <w:tcPr>
            <w:tcW w:w="8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林业和草原</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273.20</w:t>
            </w:r>
          </w:p>
        </w:tc>
        <w:tc>
          <w:tcPr>
            <w:tcW w:w="8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2130205</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森林资源培育</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122.55</w:t>
            </w:r>
          </w:p>
        </w:tc>
        <w:tc>
          <w:tcPr>
            <w:tcW w:w="8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其他林业和草原支出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150.64</w:t>
            </w:r>
          </w:p>
        </w:tc>
        <w:tc>
          <w:tcPr>
            <w:tcW w:w="8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农村综合改革</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747.28</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308.23</w:t>
            </w: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对村级一事一议的补助</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18.87</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18.87</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678.41</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289.36</w:t>
            </w: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2130706</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对村集体经济组织的补助</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89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0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自然灾害救灾及恢复重建支出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2240701</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中央自然灾害生活补助</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16"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2299901</w:t>
            </w:r>
          </w:p>
        </w:tc>
        <w:tc>
          <w:tcPr>
            <w:tcW w:w="18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89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90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tbl>
      <w:tblPr>
        <w:tblStyle w:val="2"/>
        <w:tblW w:w="5085" w:type="pct"/>
        <w:tblInd w:w="-240" w:type="dxa"/>
        <w:shd w:val="clear" w:color="auto" w:fill="auto"/>
        <w:tblLayout w:type="fixed"/>
        <w:tblCellMar>
          <w:top w:w="0" w:type="dxa"/>
          <w:left w:w="0" w:type="dxa"/>
          <w:bottom w:w="0" w:type="dxa"/>
          <w:right w:w="0" w:type="dxa"/>
        </w:tblCellMar>
      </w:tblPr>
      <w:tblGrid>
        <w:gridCol w:w="696"/>
        <w:gridCol w:w="3381"/>
        <w:gridCol w:w="894"/>
        <w:gridCol w:w="673"/>
        <w:gridCol w:w="2082"/>
        <w:gridCol w:w="893"/>
        <w:gridCol w:w="711"/>
        <w:gridCol w:w="3997"/>
        <w:gridCol w:w="898"/>
      </w:tblGrid>
      <w:tr>
        <w:tblPrEx>
          <w:shd w:val="clear" w:color="auto" w:fill="auto"/>
          <w:tblCellMar>
            <w:top w:w="0" w:type="dxa"/>
            <w:left w:w="0" w:type="dxa"/>
            <w:bottom w:w="0" w:type="dxa"/>
            <w:right w:w="0" w:type="dxa"/>
          </w:tblCellMar>
        </w:tblPrEx>
        <w:trPr>
          <w:trHeight w:val="3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一般公共预算财政拨款基本支出决算表</w:t>
            </w:r>
          </w:p>
        </w:tc>
      </w:tr>
      <w:tr>
        <w:tblPrEx>
          <w:shd w:val="clear" w:color="auto" w:fill="auto"/>
          <w:tblCellMar>
            <w:top w:w="0" w:type="dxa"/>
            <w:left w:w="0" w:type="dxa"/>
            <w:bottom w:w="0" w:type="dxa"/>
            <w:right w:w="0" w:type="dxa"/>
          </w:tblCellMar>
        </w:tblPrEx>
        <w:trPr>
          <w:trHeight w:val="340" w:hRule="atLeast"/>
        </w:trPr>
        <w:tc>
          <w:tcPr>
            <w:tcW w:w="244"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18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1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3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3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1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shd w:val="clear" w:color="auto" w:fill="auto"/>
          <w:tblCellMar>
            <w:top w:w="0" w:type="dxa"/>
            <w:left w:w="0" w:type="dxa"/>
            <w:bottom w:w="0" w:type="dxa"/>
            <w:right w:w="0" w:type="dxa"/>
          </w:tblCellMar>
        </w:tblPrEx>
        <w:trPr>
          <w:trHeight w:val="255" w:hRule="atLeast"/>
        </w:trPr>
        <w:tc>
          <w:tcPr>
            <w:tcW w:w="1747"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部门：南阳市卧龙区七里园乡</w:t>
            </w:r>
          </w:p>
        </w:tc>
        <w:tc>
          <w:tcPr>
            <w:tcW w:w="23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3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1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174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3252"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shd w:val="clear" w:color="auto" w:fill="auto"/>
          <w:tblCellMar>
            <w:top w:w="0" w:type="dxa"/>
            <w:left w:w="0" w:type="dxa"/>
            <w:bottom w:w="0" w:type="dxa"/>
            <w:right w:w="0" w:type="dxa"/>
          </w:tblCellMar>
        </w:tblPrEx>
        <w:trPr>
          <w:trHeight w:val="308" w:hRule="atLeast"/>
        </w:trPr>
        <w:tc>
          <w:tcPr>
            <w:tcW w:w="24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1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1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23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73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1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24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40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308" w:hRule="atLeast"/>
        </w:trPr>
        <w:tc>
          <w:tcPr>
            <w:tcW w:w="24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0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1,177.12</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1,103.82</w:t>
            </w: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493.00</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216.83</w:t>
            </w: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w:t>
            </w: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208.65</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200.20</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15.75</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18.28</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0.96</w:t>
            </w: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166.35</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90.86</w:t>
            </w: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68.28</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413.38</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6.18</w:t>
            </w: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0.59</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9.23</w:t>
            </w: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16.12</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14.31</w:t>
            </w: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54.60</w:t>
            </w: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21.89</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171.78</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200.01</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648.21</w:t>
            </w: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13.74</w:t>
            </w: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9.89</w:t>
            </w: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w:t>
            </w: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7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3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26.86</w:t>
            </w:r>
          </w:p>
        </w:tc>
        <w:tc>
          <w:tcPr>
            <w:tcW w:w="2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433"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3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1,590.50</w:t>
            </w:r>
          </w:p>
        </w:tc>
        <w:tc>
          <w:tcPr>
            <w:tcW w:w="2936"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3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1,103.82</w:t>
            </w:r>
          </w:p>
        </w:tc>
      </w:tr>
      <w:tr>
        <w:tblPrEx>
          <w:shd w:val="clear" w:color="auto" w:fill="auto"/>
          <w:tblCellMar>
            <w:top w:w="0" w:type="dxa"/>
            <w:left w:w="0" w:type="dxa"/>
            <w:bottom w:w="0" w:type="dxa"/>
            <w:right w:w="0" w:type="dxa"/>
          </w:tblCellMar>
        </w:tblPrEx>
        <w:trPr>
          <w:trHeight w:val="308" w:hRule="atLeast"/>
        </w:trPr>
        <w:tc>
          <w:tcPr>
            <w:tcW w:w="5000" w:type="pct"/>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tbl>
      <w:tblPr>
        <w:tblStyle w:val="2"/>
        <w:tblW w:w="5000" w:type="pct"/>
        <w:tblInd w:w="0" w:type="dxa"/>
        <w:shd w:val="clear" w:color="auto" w:fill="auto"/>
        <w:tblLayout w:type="autofit"/>
        <w:tblCellMar>
          <w:top w:w="0" w:type="dxa"/>
          <w:left w:w="0" w:type="dxa"/>
          <w:bottom w:w="0" w:type="dxa"/>
          <w:right w:w="0" w:type="dxa"/>
        </w:tblCellMar>
      </w:tblPr>
      <w:tblGrid>
        <w:gridCol w:w="1163"/>
        <w:gridCol w:w="1163"/>
        <w:gridCol w:w="1167"/>
        <w:gridCol w:w="1164"/>
        <w:gridCol w:w="1164"/>
        <w:gridCol w:w="1167"/>
        <w:gridCol w:w="1164"/>
        <w:gridCol w:w="1164"/>
        <w:gridCol w:w="1164"/>
        <w:gridCol w:w="1164"/>
        <w:gridCol w:w="1169"/>
        <w:gridCol w:w="1175"/>
      </w:tblGrid>
      <w:tr>
        <w:tblPrEx>
          <w:shd w:val="clear" w:color="auto" w:fill="auto"/>
          <w:tblCellMar>
            <w:top w:w="0" w:type="dxa"/>
            <w:left w:w="0" w:type="dxa"/>
            <w:bottom w:w="0" w:type="dxa"/>
            <w:right w:w="0" w:type="dxa"/>
          </w:tblCellMar>
        </w:tblPrEx>
        <w:trPr>
          <w:trHeight w:val="540" w:hRule="atLeast"/>
        </w:trPr>
        <w:tc>
          <w:tcPr>
            <w:tcW w:w="5000" w:type="pct"/>
            <w:gridSpan w:val="1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一般公共预算财政拨款“三公”经费支出决算表</w:t>
            </w:r>
          </w:p>
        </w:tc>
      </w:tr>
      <w:tr>
        <w:tblPrEx>
          <w:tblCellMar>
            <w:top w:w="0" w:type="dxa"/>
            <w:left w:w="0" w:type="dxa"/>
            <w:bottom w:w="0" w:type="dxa"/>
            <w:right w:w="0" w:type="dxa"/>
          </w:tblCellMar>
        </w:tblPrEx>
        <w:trPr>
          <w:trHeight w:val="255" w:hRule="atLeast"/>
        </w:trPr>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35"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shd w:val="clear" w:color="auto" w:fill="auto"/>
          <w:tblCellMar>
            <w:top w:w="0" w:type="dxa"/>
            <w:left w:w="0" w:type="dxa"/>
            <w:bottom w:w="0" w:type="dxa"/>
            <w:right w:w="0" w:type="dxa"/>
          </w:tblCellMar>
        </w:tblPrEx>
        <w:trPr>
          <w:trHeight w:val="255" w:hRule="atLeast"/>
        </w:trPr>
        <w:tc>
          <w:tcPr>
            <w:tcW w:w="1249"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部门：南阳市卧龙区七里园乡</w:t>
            </w:r>
          </w:p>
        </w:tc>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35"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2498"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2501" w:type="pct"/>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08" w:hRule="atLeast"/>
        </w:trPr>
        <w:tc>
          <w:tcPr>
            <w:tcW w:w="41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1249" w:type="pct"/>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41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41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1250" w:type="pct"/>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41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shd w:val="clear" w:color="auto" w:fill="auto"/>
          <w:tblCellMar>
            <w:top w:w="0" w:type="dxa"/>
            <w:left w:w="0" w:type="dxa"/>
            <w:bottom w:w="0" w:type="dxa"/>
            <w:right w:w="0" w:type="dxa"/>
          </w:tblCellMar>
        </w:tblPrEx>
        <w:trPr>
          <w:trHeight w:val="615" w:hRule="atLeast"/>
        </w:trPr>
        <w:tc>
          <w:tcPr>
            <w:tcW w:w="41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41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41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41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41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417"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41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4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1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1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1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1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1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1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1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1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1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17"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shd w:val="clear" w:color="auto" w:fill="auto"/>
          <w:tblCellMar>
            <w:top w:w="0" w:type="dxa"/>
            <w:left w:w="0" w:type="dxa"/>
            <w:bottom w:w="0" w:type="dxa"/>
            <w:right w:w="0" w:type="dxa"/>
          </w:tblCellMar>
        </w:tblPrEx>
        <w:trPr>
          <w:trHeight w:val="308" w:hRule="atLeast"/>
        </w:trPr>
        <w:tc>
          <w:tcPr>
            <w:tcW w:w="41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4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4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14.31</w:t>
            </w:r>
          </w:p>
        </w:tc>
        <w:tc>
          <w:tcPr>
            <w:tcW w:w="4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14.31</w:t>
            </w:r>
          </w:p>
        </w:tc>
      </w:tr>
      <w:tr>
        <w:tblPrEx>
          <w:shd w:val="clear" w:color="auto" w:fill="auto"/>
          <w:tblCellMar>
            <w:top w:w="0" w:type="dxa"/>
            <w:left w:w="0" w:type="dxa"/>
            <w:bottom w:w="0" w:type="dxa"/>
            <w:right w:w="0" w:type="dxa"/>
          </w:tblCellMar>
        </w:tblPrEx>
        <w:trPr>
          <w:trHeight w:val="615" w:hRule="atLeast"/>
        </w:trPr>
        <w:tc>
          <w:tcPr>
            <w:tcW w:w="5000" w:type="pct"/>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tbl>
      <w:tblPr>
        <w:tblStyle w:val="2"/>
        <w:tblW w:w="5000" w:type="pct"/>
        <w:tblInd w:w="0" w:type="dxa"/>
        <w:shd w:val="clear" w:color="auto" w:fill="auto"/>
        <w:tblLayout w:type="autofit"/>
        <w:tblCellMar>
          <w:top w:w="0" w:type="dxa"/>
          <w:left w:w="0" w:type="dxa"/>
          <w:bottom w:w="0" w:type="dxa"/>
          <w:right w:w="0" w:type="dxa"/>
        </w:tblCellMar>
      </w:tblPr>
      <w:tblGrid>
        <w:gridCol w:w="264"/>
        <w:gridCol w:w="264"/>
        <w:gridCol w:w="272"/>
        <w:gridCol w:w="5336"/>
        <w:gridCol w:w="1212"/>
        <w:gridCol w:w="1496"/>
        <w:gridCol w:w="1213"/>
        <w:gridCol w:w="1213"/>
        <w:gridCol w:w="1216"/>
        <w:gridCol w:w="1502"/>
      </w:tblGrid>
      <w:tr>
        <w:tblPrEx>
          <w:shd w:val="clear" w:color="auto" w:fill="auto"/>
        </w:tblPrEx>
        <w:trPr>
          <w:trHeight w:val="39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shd w:val="clear" w:color="auto" w:fill="auto"/>
          <w:tblCellMar>
            <w:top w:w="0" w:type="dxa"/>
            <w:left w:w="0" w:type="dxa"/>
            <w:bottom w:w="0" w:type="dxa"/>
            <w:right w:w="0" w:type="dxa"/>
          </w:tblCellMar>
        </w:tblPrEx>
        <w:trPr>
          <w:trHeight w:val="255" w:hRule="atLeast"/>
        </w:trPr>
        <w:tc>
          <w:tcPr>
            <w:tcW w:w="84"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8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1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79"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shd w:val="clear" w:color="auto" w:fill="auto"/>
          <w:tblCellMar>
            <w:top w:w="0" w:type="dxa"/>
            <w:left w:w="0" w:type="dxa"/>
            <w:bottom w:w="0" w:type="dxa"/>
            <w:right w:w="0" w:type="dxa"/>
          </w:tblCellMar>
        </w:tblPrEx>
        <w:trPr>
          <w:trHeight w:val="255" w:hRule="atLeast"/>
        </w:trPr>
        <w:tc>
          <w:tcPr>
            <w:tcW w:w="2167"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部门：南阳市卧龙区七里园乡</w:t>
            </w: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79"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216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38"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539"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1315"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540"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shd w:val="clear" w:color="auto" w:fill="auto"/>
          <w:tblCellMar>
            <w:top w:w="0" w:type="dxa"/>
            <w:left w:w="0" w:type="dxa"/>
            <w:bottom w:w="0" w:type="dxa"/>
            <w:right w:w="0" w:type="dxa"/>
          </w:tblCellMar>
        </w:tblPrEx>
        <w:trPr>
          <w:trHeight w:val="308" w:hRule="atLeast"/>
        </w:trPr>
        <w:tc>
          <w:tcPr>
            <w:tcW w:w="255" w:type="pct"/>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911" w:type="pct"/>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438"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9"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43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43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540"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55" w:type="pct"/>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1"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8"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9"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55" w:type="pct"/>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11" w:type="pct"/>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8"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9"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167"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308" w:hRule="atLeast"/>
        </w:trPr>
        <w:tc>
          <w:tcPr>
            <w:tcW w:w="2167"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110.00</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110.00</w:t>
            </w:r>
          </w:p>
        </w:tc>
      </w:tr>
      <w:tr>
        <w:tblPrEx>
          <w:shd w:val="clear" w:color="auto" w:fill="auto"/>
          <w:tblCellMar>
            <w:top w:w="0" w:type="dxa"/>
            <w:left w:w="0" w:type="dxa"/>
            <w:bottom w:w="0" w:type="dxa"/>
            <w:right w:w="0" w:type="dxa"/>
          </w:tblCellMar>
        </w:tblPrEx>
        <w:trPr>
          <w:trHeight w:val="308" w:hRule="atLeast"/>
        </w:trPr>
        <w:tc>
          <w:tcPr>
            <w:tcW w:w="25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19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105.00</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105.00</w:t>
            </w:r>
          </w:p>
        </w:tc>
      </w:tr>
      <w:tr>
        <w:tblPrEx>
          <w:shd w:val="clear" w:color="auto" w:fill="auto"/>
          <w:tblCellMar>
            <w:top w:w="0" w:type="dxa"/>
            <w:left w:w="0" w:type="dxa"/>
            <w:bottom w:w="0" w:type="dxa"/>
            <w:right w:w="0" w:type="dxa"/>
          </w:tblCellMar>
        </w:tblPrEx>
        <w:trPr>
          <w:trHeight w:val="308" w:hRule="atLeast"/>
        </w:trPr>
        <w:tc>
          <w:tcPr>
            <w:tcW w:w="25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19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105.00</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105.00</w:t>
            </w:r>
          </w:p>
        </w:tc>
      </w:tr>
      <w:tr>
        <w:tblPrEx>
          <w:shd w:val="clear" w:color="auto" w:fill="auto"/>
          <w:tblCellMar>
            <w:top w:w="0" w:type="dxa"/>
            <w:left w:w="0" w:type="dxa"/>
            <w:bottom w:w="0" w:type="dxa"/>
            <w:right w:w="0" w:type="dxa"/>
          </w:tblCellMar>
        </w:tblPrEx>
        <w:trPr>
          <w:trHeight w:val="308" w:hRule="atLeast"/>
        </w:trPr>
        <w:tc>
          <w:tcPr>
            <w:tcW w:w="25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2120803</w:t>
            </w:r>
          </w:p>
        </w:tc>
        <w:tc>
          <w:tcPr>
            <w:tcW w:w="19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城市建设支出</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r>
      <w:tr>
        <w:tblPrEx>
          <w:shd w:val="clear" w:color="auto" w:fill="auto"/>
          <w:tblCellMar>
            <w:top w:w="0" w:type="dxa"/>
            <w:left w:w="0" w:type="dxa"/>
            <w:bottom w:w="0" w:type="dxa"/>
            <w:right w:w="0" w:type="dxa"/>
          </w:tblCellMar>
        </w:tblPrEx>
        <w:trPr>
          <w:trHeight w:val="308" w:hRule="atLeast"/>
        </w:trPr>
        <w:tc>
          <w:tcPr>
            <w:tcW w:w="25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19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shd w:val="clear" w:color="auto" w:fill="auto"/>
          <w:tblCellMar>
            <w:top w:w="0" w:type="dxa"/>
            <w:left w:w="0" w:type="dxa"/>
            <w:bottom w:w="0" w:type="dxa"/>
            <w:right w:w="0" w:type="dxa"/>
          </w:tblCellMar>
        </w:tblPrEx>
        <w:trPr>
          <w:trHeight w:val="308" w:hRule="atLeast"/>
        </w:trPr>
        <w:tc>
          <w:tcPr>
            <w:tcW w:w="25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19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shd w:val="clear" w:color="auto" w:fill="auto"/>
          <w:tblCellMar>
            <w:top w:w="0" w:type="dxa"/>
            <w:left w:w="0" w:type="dxa"/>
            <w:bottom w:w="0" w:type="dxa"/>
            <w:right w:w="0" w:type="dxa"/>
          </w:tblCellMar>
        </w:tblPrEx>
        <w:trPr>
          <w:trHeight w:val="308" w:hRule="atLeast"/>
        </w:trPr>
        <w:tc>
          <w:tcPr>
            <w:tcW w:w="25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w:t>
            </w:r>
          </w:p>
        </w:tc>
        <w:tc>
          <w:tcPr>
            <w:tcW w:w="19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shd w:val="clear" w:color="auto" w:fill="auto"/>
          <w:tblCellMar>
            <w:top w:w="0" w:type="dxa"/>
            <w:left w:w="0" w:type="dxa"/>
            <w:bottom w:w="0" w:type="dxa"/>
            <w:right w:w="0" w:type="dxa"/>
          </w:tblCellMar>
        </w:tblPrEx>
        <w:trPr>
          <w:trHeight w:val="308" w:hRule="atLeast"/>
        </w:trPr>
        <w:tc>
          <w:tcPr>
            <w:tcW w:w="25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2296004</w:t>
            </w:r>
          </w:p>
        </w:tc>
        <w:tc>
          <w:tcPr>
            <w:tcW w:w="19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用于教育事业的彩票公益金支出</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shd w:val="clear" w:color="auto" w:fill="auto"/>
          <w:tblCellMar>
            <w:top w:w="0" w:type="dxa"/>
            <w:left w:w="0" w:type="dxa"/>
            <w:bottom w:w="0" w:type="dxa"/>
            <w:right w:w="0" w:type="dxa"/>
          </w:tblCellMar>
        </w:tblPrEx>
        <w:trPr>
          <w:trHeight w:val="308" w:hRule="atLeast"/>
        </w:trPr>
        <w:tc>
          <w:tcPr>
            <w:tcW w:w="25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5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5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keepNext w:val="0"/>
        <w:keepLines w:val="0"/>
        <w:widowControl/>
        <w:suppressLineNumbers w:val="0"/>
        <w:jc w:val="left"/>
        <w:rPr>
          <w:rFonts w:hint="eastAsia" w:ascii="黑体" w:hAnsi="宋体" w:eastAsia="黑体" w:cs="黑体"/>
          <w:color w:val="000000"/>
          <w:kern w:val="0"/>
          <w:sz w:val="52"/>
          <w:szCs w:val="52"/>
          <w:lang w:val="en-US" w:eastAsia="zh-CN" w:bidi="ar"/>
        </w:rPr>
        <w:sectPr>
          <w:pgSz w:w="16838" w:h="11906" w:orient="landscape"/>
          <w:pgMar w:top="1800" w:right="1440" w:bottom="1800" w:left="1440" w:header="851" w:footer="992" w:gutter="0"/>
          <w:cols w:space="425" w:num="1"/>
          <w:docGrid w:type="lines" w:linePitch="312" w:charSpace="0"/>
        </w:sectPr>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r>
        <w:rPr>
          <w:rFonts w:hint="eastAsia" w:ascii="黑体" w:hAnsi="宋体" w:eastAsia="黑体" w:cs="黑体"/>
          <w:color w:val="000000"/>
          <w:kern w:val="0"/>
          <w:sz w:val="52"/>
          <w:szCs w:val="52"/>
          <w:lang w:val="en-US" w:eastAsia="zh-CN" w:bidi="ar"/>
        </w:rPr>
        <w:t>第三部分</w:t>
      </w: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900" w:lineRule="exact"/>
        <w:jc w:val="center"/>
        <w:textAlignment w:val="auto"/>
        <w:rPr>
          <w:rFonts w:hint="eastAsia" w:ascii="黑体" w:hAnsi="宋体" w:eastAsia="黑体" w:cs="黑体"/>
          <w:color w:val="000000"/>
          <w:kern w:val="0"/>
          <w:sz w:val="52"/>
          <w:szCs w:val="52"/>
          <w:lang w:val="en-US" w:eastAsia="zh-CN" w:bidi="ar"/>
        </w:rPr>
      </w:pPr>
      <w:r>
        <w:rPr>
          <w:rFonts w:hint="eastAsia" w:ascii="黑体" w:hAnsi="宋体" w:eastAsia="黑体" w:cs="黑体"/>
          <w:color w:val="000000"/>
          <w:kern w:val="0"/>
          <w:sz w:val="52"/>
          <w:szCs w:val="52"/>
          <w:lang w:val="en-US" w:eastAsia="zh-CN" w:bidi="ar"/>
        </w:rPr>
        <w:t>七里园乡人民政府</w:t>
      </w:r>
    </w:p>
    <w:p>
      <w:pPr>
        <w:keepNext w:val="0"/>
        <w:keepLines w:val="0"/>
        <w:pageBreakBefore w:val="0"/>
        <w:widowControl/>
        <w:suppressLineNumbers w:val="0"/>
        <w:kinsoku/>
        <w:wordWrap/>
        <w:overflowPunct/>
        <w:topLinePunct w:val="0"/>
        <w:autoSpaceDE/>
        <w:autoSpaceDN/>
        <w:bidi w:val="0"/>
        <w:adjustRightInd/>
        <w:snapToGrid/>
        <w:spacing w:line="900" w:lineRule="exact"/>
        <w:jc w:val="center"/>
        <w:textAlignment w:val="auto"/>
        <w:rPr>
          <w:sz w:val="52"/>
          <w:szCs w:val="52"/>
        </w:rPr>
      </w:pPr>
      <w:r>
        <w:rPr>
          <w:rFonts w:hint="eastAsia" w:ascii="黑体" w:hAnsi="宋体" w:eastAsia="黑体" w:cs="黑体"/>
          <w:color w:val="000000"/>
          <w:kern w:val="0"/>
          <w:sz w:val="52"/>
          <w:szCs w:val="52"/>
          <w:lang w:val="en-US" w:eastAsia="zh-CN" w:bidi="ar"/>
        </w:rPr>
        <w:t>2020年度部门决算情况说明</w:t>
      </w:r>
    </w:p>
    <w:p>
      <w:pPr>
        <w:keepNext w:val="0"/>
        <w:keepLines w:val="0"/>
        <w:widowControl/>
        <w:suppressLineNumbers w:val="0"/>
        <w:jc w:val="center"/>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pageBreakBefore w:val="0"/>
        <w:widowControl w:val="0"/>
        <w:kinsoku/>
        <w:wordWrap/>
        <w:overflowPunct/>
        <w:topLinePunct w:val="0"/>
        <w:autoSpaceDE/>
        <w:autoSpaceDN/>
        <w:bidi w:val="0"/>
        <w:adjustRightInd/>
        <w:snapToGrid/>
        <w:spacing w:beforeLines="0" w:afterLines="0" w:line="580" w:lineRule="exact"/>
        <w:jc w:val="left"/>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一、收入支出决算总体情况说明</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2020年度收、支总计均为5,116.22万元。与上年度相比，收、支总计各增加（减少）720.83万元，增长（下降）16.4%。主要原因是</w:t>
      </w:r>
      <w:r>
        <w:rPr>
          <w:rFonts w:hint="eastAsia" w:ascii="仿宋" w:hAnsi="仿宋" w:eastAsia="仿宋" w:cs="仿宋_GB2312"/>
          <w:sz w:val="32"/>
          <w:szCs w:val="32"/>
        </w:rPr>
        <w:t>当年区级追加指标</w:t>
      </w:r>
      <w:r>
        <w:rPr>
          <w:rFonts w:hint="eastAsia" w:ascii="仿宋" w:hAnsi="仿宋" w:eastAsia="仿宋" w:cs="仿宋_GB2312"/>
          <w:sz w:val="32"/>
          <w:szCs w:val="32"/>
          <w:lang w:val="en-US" w:eastAsia="zh-CN"/>
        </w:rPr>
        <w:t>增多</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left"/>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二、收入决算情况说明</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2020年度收入合计3,987.12万元，其中：财政拨款收入3,</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77.12万元，占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left"/>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三、支出决算情况说明</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黑体" w:hAnsi="黑体" w:eastAsia="黑体" w:cs="黑体"/>
          <w:sz w:val="32"/>
          <w:szCs w:val="32"/>
          <w:lang w:val="zh-CN"/>
        </w:rPr>
      </w:pPr>
      <w:r>
        <w:rPr>
          <w:rFonts w:hint="eastAsia" w:ascii="仿宋_GB2312" w:hAnsi="仿宋_GB2312" w:eastAsia="仿宋_GB2312" w:cs="仿宋_GB2312"/>
          <w:sz w:val="32"/>
          <w:szCs w:val="32"/>
          <w:lang w:val="zh-CN"/>
        </w:rPr>
        <w:t>2020年度支出合计4,525.06万元，其中：基本支出2,694.32万元，占59.54%；项目支出1,830.74万元，占40.46%。</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left"/>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2020年度财政拨款收、支总计均为5,116.22万元。与上年度相比，财政拨款收、支总计各增加720.84万元，增长16.40%。主要原因是当年区级追加指标增加。</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left"/>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（一）总体情况。</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2020年度一般公共预算财政拨款支出4,525.06万元，占支出合计的100%。与上年度相比，一般公共预算财政拨款支出增加1,258.81万元，增长28.64%。主要原因是当年区级追加指标增加。</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（二）结构情况。</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2020年度一般公共预算财政拨款支出4,525.06万元，主要用于以下方面：一般公共服务（类）支出2157.85万元，占47.69%；社会保障和就业（类）支出257.64万元，占5.69%；卫生健康（类）支出174.49万元，占3.86%；节能环保（类）支出86.72万元，占1.92%；城乡社区（类）支出628.44万元，占13.89%；农林水（类）支出1194.99万元，占26.41%；交通运输支出8万元，占0.18%；灾害防治及应急管理支出11.47万元，占0.25%；其他支出5.46万元，占0.12%。</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（三）具体情况。</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2020年度一般公共预算财政拨款支出年初预算为</w:t>
      </w:r>
      <w:r>
        <w:rPr>
          <w:rFonts w:hint="eastAsia" w:ascii="仿宋_GB2312" w:hAnsi="仿宋_GB2312" w:eastAsia="仿宋_GB2312" w:cs="仿宋_GB2312"/>
          <w:sz w:val="32"/>
          <w:szCs w:val="32"/>
          <w:lang w:val="en-US" w:eastAsia="zh-CN"/>
        </w:rPr>
        <w:t>4545</w:t>
      </w:r>
      <w:r>
        <w:rPr>
          <w:rFonts w:hint="eastAsia" w:ascii="仿宋_GB2312" w:hAnsi="仿宋_GB2312" w:eastAsia="仿宋_GB2312" w:cs="仿宋_GB2312"/>
          <w:sz w:val="32"/>
          <w:szCs w:val="32"/>
          <w:lang w:val="zh-CN"/>
        </w:rPr>
        <w:t>万元，支出决算为4,525.06万元，完成年初预算</w:t>
      </w:r>
      <w:r>
        <w:rPr>
          <w:rFonts w:hint="eastAsia" w:ascii="仿宋_GB2312" w:hAnsi="仿宋_GB2312" w:eastAsia="仿宋_GB2312" w:cs="仿宋_GB2312"/>
          <w:sz w:val="32"/>
          <w:szCs w:val="32"/>
          <w:lang w:val="en-US" w:eastAsia="zh-CN"/>
        </w:rPr>
        <w:t>的99.56%</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主要原因是压缩开支。</w:t>
      </w:r>
      <w:r>
        <w:rPr>
          <w:rFonts w:hint="eastAsia" w:ascii="仿宋_GB2312" w:hAnsi="仿宋_GB2312" w:eastAsia="仿宋_GB2312" w:cs="仿宋_GB2312"/>
          <w:sz w:val="32"/>
          <w:szCs w:val="32"/>
          <w:lang w:val="zh-CN"/>
        </w:rPr>
        <w:t>其中：</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 w:hAnsi="仿宋" w:eastAsia="仿宋" w:cs="仿宋_GB2312"/>
          <w:b/>
          <w:bCs/>
          <w:sz w:val="32"/>
          <w:szCs w:val="32"/>
        </w:rPr>
        <w:t>一般公共服务</w:t>
      </w:r>
      <w:r>
        <w:rPr>
          <w:rFonts w:hint="eastAsia" w:ascii="仿宋_GB2312" w:hAnsi="仿宋_GB2312" w:eastAsia="仿宋_GB2312" w:cs="仿宋_GB2312"/>
          <w:sz w:val="32"/>
          <w:szCs w:val="32"/>
          <w:lang w:val="zh-CN"/>
        </w:rPr>
        <w:t>（类）</w:t>
      </w:r>
      <w:r>
        <w:rPr>
          <w:rFonts w:hint="eastAsia" w:ascii="仿宋" w:hAnsi="仿宋" w:eastAsia="仿宋" w:cs="仿宋_GB2312"/>
          <w:b/>
          <w:bCs/>
          <w:sz w:val="32"/>
          <w:szCs w:val="32"/>
        </w:rPr>
        <w:t>政府办公厅（室）及相关机构事务</w:t>
      </w:r>
      <w:r>
        <w:rPr>
          <w:rFonts w:hint="eastAsia" w:ascii="仿宋_GB2312" w:hAnsi="仿宋_GB2312" w:eastAsia="仿宋_GB2312" w:cs="仿宋_GB2312"/>
          <w:sz w:val="32"/>
          <w:szCs w:val="32"/>
          <w:lang w:val="zh-CN"/>
        </w:rPr>
        <w:t>（款）</w:t>
      </w:r>
      <w:r>
        <w:rPr>
          <w:rFonts w:hint="eastAsia" w:ascii="仿宋" w:hAnsi="仿宋" w:eastAsia="仿宋" w:cs="仿宋_GB2312"/>
          <w:b/>
          <w:bCs/>
          <w:sz w:val="32"/>
          <w:szCs w:val="32"/>
        </w:rPr>
        <w:t>行政运行</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1225</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1224.41</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99.95</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 w:hAnsi="仿宋" w:eastAsia="仿宋" w:cs="仿宋_GB2312"/>
          <w:b/>
          <w:bCs/>
          <w:sz w:val="32"/>
          <w:szCs w:val="32"/>
        </w:rPr>
        <w:t>一般公共服务</w:t>
      </w:r>
      <w:r>
        <w:rPr>
          <w:rFonts w:hint="eastAsia" w:ascii="仿宋_GB2312" w:hAnsi="仿宋_GB2312" w:eastAsia="仿宋_GB2312" w:cs="仿宋_GB2312"/>
          <w:sz w:val="32"/>
          <w:szCs w:val="32"/>
          <w:lang w:val="zh-CN"/>
        </w:rPr>
        <w:t>（类）</w:t>
      </w:r>
      <w:r>
        <w:rPr>
          <w:rFonts w:hint="eastAsia" w:ascii="仿宋" w:hAnsi="仿宋" w:eastAsia="仿宋" w:cs="仿宋_GB2312"/>
          <w:b/>
          <w:bCs/>
          <w:sz w:val="32"/>
          <w:szCs w:val="32"/>
        </w:rPr>
        <w:t>政府办公厅（室）及相关机构事务</w:t>
      </w:r>
      <w:r>
        <w:rPr>
          <w:rFonts w:hint="eastAsia" w:ascii="仿宋_GB2312" w:hAnsi="仿宋_GB2312" w:eastAsia="仿宋_GB2312" w:cs="仿宋_GB2312"/>
          <w:sz w:val="32"/>
          <w:szCs w:val="32"/>
          <w:lang w:val="zh-CN"/>
        </w:rPr>
        <w:t>（款）</w:t>
      </w:r>
      <w:r>
        <w:rPr>
          <w:rFonts w:hint="eastAsia" w:ascii="仿宋" w:hAnsi="仿宋" w:eastAsia="仿宋" w:cs="仿宋_GB2312"/>
          <w:b/>
          <w:bCs/>
          <w:sz w:val="32"/>
          <w:szCs w:val="32"/>
          <w:lang w:val="zh-CN"/>
        </w:rPr>
        <w:t>一般行政管理事务</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230</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228.44</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99.32</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w:t>
      </w:r>
      <w:r>
        <w:rPr>
          <w:rFonts w:hint="eastAsia" w:ascii="仿宋" w:hAnsi="仿宋" w:eastAsia="仿宋" w:cs="仿宋_GB2312"/>
          <w:b/>
          <w:bCs/>
          <w:sz w:val="32"/>
          <w:szCs w:val="32"/>
        </w:rPr>
        <w:t>一般公共服务</w:t>
      </w:r>
      <w:r>
        <w:rPr>
          <w:rFonts w:hint="eastAsia" w:ascii="仿宋_GB2312" w:hAnsi="仿宋_GB2312" w:eastAsia="仿宋_GB2312" w:cs="仿宋_GB2312"/>
          <w:sz w:val="32"/>
          <w:szCs w:val="32"/>
          <w:lang w:val="zh-CN"/>
        </w:rPr>
        <w:t>（类）</w:t>
      </w:r>
      <w:r>
        <w:rPr>
          <w:rFonts w:hint="eastAsia" w:ascii="仿宋" w:hAnsi="仿宋" w:eastAsia="仿宋" w:cs="仿宋_GB2312"/>
          <w:b/>
          <w:bCs/>
          <w:sz w:val="32"/>
          <w:szCs w:val="32"/>
        </w:rPr>
        <w:t>政府办公厅（室）及相关机构事务</w:t>
      </w:r>
      <w:r>
        <w:rPr>
          <w:rFonts w:hint="eastAsia" w:ascii="仿宋_GB2312" w:hAnsi="仿宋_GB2312" w:eastAsia="仿宋_GB2312" w:cs="仿宋_GB2312"/>
          <w:sz w:val="32"/>
          <w:szCs w:val="32"/>
          <w:lang w:val="zh-CN"/>
        </w:rPr>
        <w:t>（款）</w:t>
      </w:r>
      <w:r>
        <w:rPr>
          <w:rFonts w:hint="eastAsia" w:ascii="仿宋" w:hAnsi="仿宋" w:eastAsia="仿宋" w:cs="仿宋_GB2312"/>
          <w:b/>
          <w:bCs/>
          <w:sz w:val="32"/>
          <w:szCs w:val="32"/>
          <w:lang w:val="zh-CN"/>
        </w:rPr>
        <w:t>信访事务</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54.22</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98.58%</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rPr>
        <w:t>一般公共服务</w:t>
      </w: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sz w:val="32"/>
          <w:szCs w:val="32"/>
          <w:lang w:val="zh-CN"/>
        </w:rPr>
        <w:t>类）</w:t>
      </w:r>
      <w:r>
        <w:rPr>
          <w:rFonts w:hint="eastAsia" w:ascii="仿宋" w:hAnsi="仿宋" w:eastAsia="仿宋" w:cs="仿宋_GB2312"/>
          <w:b/>
          <w:bCs/>
          <w:sz w:val="32"/>
          <w:szCs w:val="32"/>
          <w:lang w:val="zh-CN"/>
        </w:rPr>
        <w:t>统计信息事务</w:t>
      </w:r>
      <w:r>
        <w:rPr>
          <w:rFonts w:hint="eastAsia" w:ascii="仿宋_GB2312" w:hAnsi="仿宋_GB2312" w:eastAsia="仿宋_GB2312" w:cs="仿宋_GB2312"/>
          <w:sz w:val="32"/>
          <w:szCs w:val="32"/>
          <w:lang w:val="zh-CN"/>
        </w:rPr>
        <w:t>（款）</w:t>
      </w:r>
      <w:r>
        <w:rPr>
          <w:rFonts w:hint="eastAsia" w:ascii="仿宋" w:hAnsi="仿宋" w:eastAsia="仿宋" w:cs="仿宋_GB2312"/>
          <w:b/>
          <w:bCs/>
          <w:sz w:val="32"/>
          <w:szCs w:val="32"/>
          <w:lang w:val="zh-CN"/>
        </w:rPr>
        <w:t>专项普查活动</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18.92</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99.57</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rPr>
        <w:t>．</w:t>
      </w:r>
      <w:r>
        <w:rPr>
          <w:rFonts w:hint="eastAsia" w:ascii="仿宋" w:hAnsi="仿宋" w:eastAsia="仿宋" w:cs="仿宋_GB2312"/>
          <w:b/>
          <w:bCs/>
          <w:sz w:val="32"/>
          <w:szCs w:val="32"/>
          <w:lang w:val="zh-CN"/>
        </w:rPr>
        <w:t>一般公共服务支出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en-US" w:eastAsia="zh-CN"/>
        </w:rPr>
        <w:t>财政事务</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行政运行</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15.37</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96.06</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CN"/>
        </w:rPr>
        <w:t>．</w:t>
      </w:r>
      <w:r>
        <w:rPr>
          <w:rFonts w:hint="eastAsia" w:ascii="仿宋" w:hAnsi="仿宋" w:eastAsia="仿宋" w:cs="仿宋_GB2312"/>
          <w:b/>
          <w:bCs/>
          <w:sz w:val="32"/>
          <w:szCs w:val="32"/>
          <w:lang w:val="zh-CN"/>
        </w:rPr>
        <w:t>一般公共服务支出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纪检监察事务</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行政运行</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26.45</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97.96</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zh-CN"/>
        </w:rPr>
        <w:t>．</w:t>
      </w:r>
      <w:r>
        <w:rPr>
          <w:rFonts w:hint="eastAsia" w:ascii="仿宋" w:hAnsi="仿宋" w:eastAsia="仿宋" w:cs="仿宋_GB2312"/>
          <w:b/>
          <w:bCs/>
          <w:sz w:val="32"/>
          <w:szCs w:val="32"/>
          <w:lang w:val="zh-CN"/>
        </w:rPr>
        <w:t>一般公共服务支出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组织事务</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其他组织事务支出</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15.74</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314.8</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zh-CN"/>
        </w:rPr>
        <w:t>．</w:t>
      </w:r>
      <w:r>
        <w:rPr>
          <w:rFonts w:hint="eastAsia" w:ascii="仿宋" w:hAnsi="仿宋" w:eastAsia="仿宋" w:cs="仿宋_GB2312"/>
          <w:b/>
          <w:bCs/>
          <w:sz w:val="32"/>
          <w:szCs w:val="32"/>
          <w:lang w:val="zh-CN"/>
        </w:rPr>
        <w:t>一般公共服务支出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其他一般公共服务支出</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其他一般公共服务支出</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575</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574.31</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99.88</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社会保障和就业支出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民政管理事务</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行政运行</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167</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166.89</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99.93</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社会保障和就业支出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行政运行</w:t>
      </w:r>
      <w:r>
        <w:rPr>
          <w:rFonts w:hint="eastAsia" w:ascii="仿宋_GB2312" w:hAnsi="仿宋_GB2312" w:eastAsia="仿宋_GB2312" w:cs="仿宋_GB2312"/>
          <w:sz w:val="32"/>
          <w:szCs w:val="32"/>
          <w:lang w:val="zh-CN"/>
        </w:rPr>
        <w:t>（款）一</w:t>
      </w:r>
      <w:r>
        <w:rPr>
          <w:rFonts w:hint="eastAsia" w:ascii="仿宋_GB2312" w:hAnsi="仿宋_GB2312" w:eastAsia="仿宋_GB2312" w:cs="仿宋_GB2312"/>
          <w:b/>
          <w:bCs/>
          <w:sz w:val="32"/>
          <w:szCs w:val="32"/>
          <w:lang w:val="zh-CN"/>
        </w:rPr>
        <w:t>般行政管理事务</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19.35</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96.75</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社会保障和就业支出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行政事业单位养老支出</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事业单位离退休</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16.71</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98.29</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社会保障和就业支出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就业补助</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公益性岗位补贴</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8.55</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85.5</w:t>
      </w:r>
      <w:r>
        <w:rPr>
          <w:rFonts w:hint="eastAsia" w:ascii="仿宋_GB2312" w:hAnsi="仿宋_GB2312" w:eastAsia="仿宋_GB2312" w:cs="仿宋_GB2312"/>
          <w:sz w:val="32"/>
          <w:szCs w:val="32"/>
          <w:lang w:val="zh-CN"/>
        </w:rPr>
        <w:t>%。决算数与年初预算数存在差异的主要原因是</w:t>
      </w:r>
      <w:r>
        <w:rPr>
          <w:rFonts w:hint="eastAsia" w:ascii="仿宋_GB2312" w:hAnsi="仿宋_GB2312" w:eastAsia="仿宋_GB2312" w:cs="仿宋_GB2312"/>
          <w:sz w:val="32"/>
          <w:szCs w:val="32"/>
          <w:lang w:val="en-US" w:eastAsia="zh-CN"/>
        </w:rPr>
        <w:t>压缩支出</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b/>
          <w:bCs/>
          <w:sz w:val="32"/>
          <w:szCs w:val="32"/>
          <w:lang w:val="zh-CN"/>
        </w:rPr>
        <w:t>社会保障和就业支出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最低生活保障</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农村最低生活保障金支出</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社会保障和就业支出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临时救助</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临时救助支出</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12.77</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98.23</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社会保障和就业支出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退役军人管理事务</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行政运行</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7.02</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87.75</w:t>
      </w:r>
      <w:r>
        <w:rPr>
          <w:rFonts w:hint="eastAsia" w:ascii="仿宋_GB2312" w:hAnsi="仿宋_GB2312" w:eastAsia="仿宋_GB2312" w:cs="仿宋_GB2312"/>
          <w:sz w:val="32"/>
          <w:szCs w:val="32"/>
          <w:lang w:val="zh-CN"/>
        </w:rPr>
        <w:t>%。决算数与年初预算数存在差异的主要原因是</w:t>
      </w:r>
      <w:r>
        <w:rPr>
          <w:rFonts w:hint="eastAsia" w:ascii="仿宋_GB2312" w:hAnsi="仿宋_GB2312" w:eastAsia="仿宋_GB2312" w:cs="仿宋_GB2312"/>
          <w:sz w:val="32"/>
          <w:szCs w:val="32"/>
          <w:lang w:val="en-US" w:eastAsia="zh-CN"/>
        </w:rPr>
        <w:t>压缩支出</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社会保障和就业支出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退役军人管理事务</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拥军优属</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9.23</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92.3</w:t>
      </w:r>
      <w:r>
        <w:rPr>
          <w:rFonts w:hint="eastAsia" w:ascii="仿宋_GB2312" w:hAnsi="仿宋_GB2312" w:eastAsia="仿宋_GB2312" w:cs="仿宋_GB2312"/>
          <w:sz w:val="32"/>
          <w:szCs w:val="32"/>
          <w:lang w:val="zh-CN"/>
        </w:rPr>
        <w:t>%。决算数与年初预算数存在差异的主要原因是</w:t>
      </w:r>
      <w:r>
        <w:rPr>
          <w:rFonts w:hint="eastAsia" w:ascii="仿宋_GB2312" w:hAnsi="仿宋_GB2312" w:eastAsia="仿宋_GB2312" w:cs="仿宋_GB2312"/>
          <w:sz w:val="32"/>
          <w:szCs w:val="32"/>
          <w:lang w:val="en-US" w:eastAsia="zh-CN"/>
        </w:rPr>
        <w:t>压缩支出</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社会保障和就业支出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其他社会保障和就业支出</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其他社会保障和就业支出</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12.14</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93.38</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卫生健康支出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公共卫生</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突发公共卫生事件应急处理</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62.13</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98.61</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卫生健康支出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计划生育事务</w:t>
      </w:r>
      <w:r>
        <w:rPr>
          <w:rFonts w:hint="eastAsia" w:ascii="仿宋_GB2312" w:hAnsi="仿宋_GB2312" w:eastAsia="仿宋_GB2312" w:cs="仿宋_GB2312"/>
          <w:sz w:val="32"/>
          <w:szCs w:val="32"/>
          <w:lang w:val="zh-CN"/>
        </w:rPr>
        <w:t xml:space="preserve">（款） </w:t>
      </w:r>
      <w:r>
        <w:rPr>
          <w:rFonts w:hint="eastAsia" w:ascii="仿宋_GB2312" w:hAnsi="仿宋_GB2312" w:eastAsia="仿宋_GB2312" w:cs="仿宋_GB2312"/>
          <w:b/>
          <w:bCs/>
          <w:sz w:val="32"/>
          <w:szCs w:val="32"/>
          <w:lang w:val="zh-CN"/>
        </w:rPr>
        <w:t>计划生育机构</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113</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112.36</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99.43</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节能环保支出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自然生态保护</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农村环境保护</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86.72</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99.67</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城乡社区支出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城乡社区管理事务</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行政运行</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164.81</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99.88</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城乡社区支出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城乡社区管理事务</w:t>
      </w:r>
      <w:r>
        <w:rPr>
          <w:rFonts w:hint="eastAsia" w:ascii="仿宋_GB2312" w:hAnsi="仿宋_GB2312" w:eastAsia="仿宋_GB2312" w:cs="仿宋_GB2312"/>
          <w:sz w:val="32"/>
          <w:szCs w:val="32"/>
          <w:lang w:val="zh-CN"/>
        </w:rPr>
        <w:t xml:space="preserve">（款） </w:t>
      </w:r>
      <w:r>
        <w:rPr>
          <w:rFonts w:hint="eastAsia" w:ascii="仿宋_GB2312" w:hAnsi="仿宋_GB2312" w:eastAsia="仿宋_GB2312" w:cs="仿宋_GB2312"/>
          <w:b/>
          <w:bCs/>
          <w:sz w:val="32"/>
          <w:szCs w:val="32"/>
          <w:lang w:val="zh-CN"/>
        </w:rPr>
        <w:t>其他城乡社区管理事务支出</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118.71</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99.75</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城乡社区支出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城乡社区公共设施</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小城镇基础设施建设</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城乡社区支出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城乡社区公共设施</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其他城乡社区公共设施支出</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5.08</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84.67</w:t>
      </w:r>
      <w:r>
        <w:rPr>
          <w:rFonts w:hint="eastAsia" w:ascii="仿宋_GB2312" w:hAnsi="仿宋_GB2312" w:eastAsia="仿宋_GB2312" w:cs="仿宋_GB2312"/>
          <w:sz w:val="32"/>
          <w:szCs w:val="32"/>
          <w:lang w:val="zh-CN"/>
        </w:rPr>
        <w:t>%。决算数与年初预算数存在差异的主要原因是</w:t>
      </w:r>
      <w:r>
        <w:rPr>
          <w:rFonts w:hint="eastAsia" w:ascii="仿宋_GB2312" w:hAnsi="仿宋_GB2312" w:eastAsia="仿宋_GB2312" w:cs="仿宋_GB2312"/>
          <w:sz w:val="32"/>
          <w:szCs w:val="32"/>
          <w:lang w:val="en-US" w:eastAsia="zh-CN"/>
        </w:rPr>
        <w:t>压缩支出</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城乡社区支出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城乡社区环境卫生</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城乡社区环境卫生</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312</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311.21</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99.74</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城乡社区支出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其他城乡社区支出</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其他城乡社区支出</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9.63</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96.3</w:t>
      </w:r>
      <w:r>
        <w:rPr>
          <w:rFonts w:hint="eastAsia" w:ascii="仿宋_GB2312" w:hAnsi="仿宋_GB2312" w:eastAsia="仿宋_GB2312" w:cs="仿宋_GB2312"/>
          <w:sz w:val="32"/>
          <w:szCs w:val="32"/>
          <w:lang w:val="zh-CN"/>
        </w:rPr>
        <w:t>%。决算数与年初预算数存在差异的主要原因是</w:t>
      </w:r>
      <w:r>
        <w:rPr>
          <w:rFonts w:hint="eastAsia" w:ascii="仿宋_GB2312" w:hAnsi="仿宋_GB2312" w:eastAsia="仿宋_GB2312" w:cs="仿宋_GB2312"/>
          <w:sz w:val="32"/>
          <w:szCs w:val="32"/>
          <w:lang w:val="en-US" w:eastAsia="zh-CN"/>
        </w:rPr>
        <w:t>压缩支出</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农林水支出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农业农村</w:t>
      </w:r>
      <w:r>
        <w:rPr>
          <w:rFonts w:hint="eastAsia" w:ascii="仿宋_GB2312" w:hAnsi="仿宋_GB2312" w:eastAsia="仿宋_GB2312" w:cs="仿宋_GB2312"/>
          <w:sz w:val="32"/>
          <w:szCs w:val="32"/>
          <w:lang w:val="zh-CN"/>
        </w:rPr>
        <w:t xml:space="preserve">（款） </w:t>
      </w:r>
      <w:r>
        <w:rPr>
          <w:rFonts w:hint="eastAsia" w:ascii="仿宋_GB2312" w:hAnsi="仿宋_GB2312" w:eastAsia="仿宋_GB2312" w:cs="仿宋_GB2312"/>
          <w:b/>
          <w:bCs/>
          <w:sz w:val="32"/>
          <w:szCs w:val="32"/>
          <w:lang w:val="zh-CN"/>
        </w:rPr>
        <w:t>行政运行</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28.75</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99.13</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农林水支出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农业农村</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一般行政管理事务</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47.15</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98.26</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农林水支出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农业农村</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其他农业农村支出</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94.5</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99.41</w:t>
      </w:r>
      <w:r>
        <w:rPr>
          <w:rFonts w:hint="eastAsia" w:ascii="仿宋_GB2312" w:hAnsi="仿宋_GB2312" w:eastAsia="仿宋_GB2312" w:cs="仿宋_GB2312"/>
          <w:sz w:val="32"/>
          <w:szCs w:val="32"/>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农林水支出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林业和草原</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森林资源培育</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122.55</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99.63</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val="0"/>
          <w:bCs w:val="0"/>
          <w:sz w:val="32"/>
          <w:szCs w:val="32"/>
          <w:lang w:val="en-US" w:eastAsia="zh-CN"/>
        </w:rPr>
        <w:t>31.</w:t>
      </w:r>
      <w:r>
        <w:rPr>
          <w:rFonts w:hint="eastAsia" w:ascii="仿宋_GB2312" w:hAnsi="仿宋_GB2312" w:eastAsia="仿宋_GB2312" w:cs="仿宋_GB2312"/>
          <w:b/>
          <w:bCs/>
          <w:sz w:val="32"/>
          <w:szCs w:val="32"/>
          <w:lang w:val="zh-CN"/>
        </w:rPr>
        <w:t>农林水支出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林业和草原</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其他林业和草原支出</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151</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150.64</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99.76</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2．</w:t>
      </w:r>
      <w:r>
        <w:rPr>
          <w:rFonts w:hint="eastAsia" w:ascii="仿宋_GB2312" w:hAnsi="仿宋_GB2312" w:eastAsia="仿宋_GB2312" w:cs="仿宋_GB2312"/>
          <w:b/>
          <w:bCs/>
          <w:sz w:val="32"/>
          <w:szCs w:val="32"/>
          <w:lang w:val="zh-CN"/>
        </w:rPr>
        <w:t>农林水支出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水利</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其他水利支出</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4.11</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82.2</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农林水支出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农村综合改革</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对村级一事一议的补助</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18.87</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99.31</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农林水支出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农村综合改革</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对村民委员会和村党支部的补助</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680</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678.41</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99.77</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农林水支出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农村综合改革</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对村集体经济组织的补助</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交通运输支出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公路水路运输</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其他公路水路运输支出</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灾害防治及应急管理支出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自然灾害救灾及恢复重建支出</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中央自然灾害生活补助</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11.47</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95.58</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bookmarkStart w:id="0" w:name="_GoBack"/>
      <w:bookmarkEnd w:id="0"/>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
          <w:bCs/>
          <w:sz w:val="32"/>
          <w:szCs w:val="32"/>
          <w:lang w:val="zh-CN"/>
        </w:rPr>
        <w:t>其他支出</w:t>
      </w:r>
      <w:r>
        <w:rPr>
          <w:rFonts w:hint="eastAsia" w:ascii="仿宋_GB2312" w:hAnsi="仿宋_GB2312" w:eastAsia="仿宋_GB2312" w:cs="仿宋_GB2312"/>
          <w:sz w:val="32"/>
          <w:szCs w:val="32"/>
          <w:lang w:val="zh-CN"/>
        </w:rPr>
        <w:t>（类）</w:t>
      </w:r>
      <w:r>
        <w:rPr>
          <w:rFonts w:hint="eastAsia" w:ascii="仿宋_GB2312" w:hAnsi="仿宋_GB2312" w:eastAsia="仿宋_GB2312" w:cs="仿宋_GB2312"/>
          <w:b/>
          <w:bCs/>
          <w:sz w:val="32"/>
          <w:szCs w:val="32"/>
          <w:lang w:val="zh-CN"/>
        </w:rPr>
        <w:t>其他支出</w:t>
      </w:r>
      <w:r>
        <w:rPr>
          <w:rFonts w:hint="eastAsia" w:ascii="仿宋_GB2312" w:hAnsi="仿宋_GB2312" w:eastAsia="仿宋_GB2312" w:cs="仿宋_GB2312"/>
          <w:sz w:val="32"/>
          <w:szCs w:val="32"/>
          <w:lang w:val="zh-CN"/>
        </w:rPr>
        <w:t>（款）</w:t>
      </w:r>
      <w:r>
        <w:rPr>
          <w:rFonts w:hint="eastAsia" w:ascii="仿宋_GB2312" w:hAnsi="仿宋_GB2312" w:eastAsia="仿宋_GB2312" w:cs="仿宋_GB2312"/>
          <w:b/>
          <w:bCs/>
          <w:sz w:val="32"/>
          <w:szCs w:val="32"/>
          <w:lang w:val="zh-CN"/>
        </w:rPr>
        <w:t>其他支出</w:t>
      </w:r>
      <w:r>
        <w:rPr>
          <w:rFonts w:hint="eastAsia" w:ascii="仿宋_GB2312" w:hAnsi="仿宋_GB2312" w:eastAsia="仿宋_GB2312" w:cs="仿宋_GB2312"/>
          <w:sz w:val="32"/>
          <w:szCs w:val="32"/>
          <w:lang w:val="zh-CN"/>
        </w:rPr>
        <w:t>（项）。年初预算为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CN"/>
        </w:rPr>
        <w:t>万元，支出决算为</w:t>
      </w:r>
      <w:r>
        <w:rPr>
          <w:rFonts w:hint="eastAsia" w:ascii="仿宋_GB2312" w:hAnsi="仿宋_GB2312" w:eastAsia="仿宋_GB2312" w:cs="仿宋_GB2312"/>
          <w:sz w:val="32"/>
          <w:szCs w:val="32"/>
          <w:lang w:val="en-US" w:eastAsia="zh-CN"/>
        </w:rPr>
        <w:t>5.46</w:t>
      </w:r>
      <w:r>
        <w:rPr>
          <w:rFonts w:hint="eastAsia" w:ascii="仿宋_GB2312" w:hAnsi="仿宋_GB2312" w:eastAsia="仿宋_GB2312" w:cs="仿宋_GB2312"/>
          <w:sz w:val="32"/>
          <w:szCs w:val="32"/>
          <w:lang w:val="zh-CN"/>
        </w:rPr>
        <w:t>万元，完成年初预算的</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lang w:val="zh-CN"/>
        </w:rPr>
        <w:t>%。决算数与年初预算数存在差异的主要原因是</w:t>
      </w:r>
      <w:r>
        <w:rPr>
          <w:rFonts w:hint="eastAsia" w:ascii="仿宋_GB2312" w:hAnsi="仿宋_GB2312" w:eastAsia="仿宋_GB2312" w:cs="仿宋_GB2312"/>
          <w:sz w:val="32"/>
          <w:szCs w:val="32"/>
          <w:lang w:val="en-US" w:eastAsia="zh-CN"/>
        </w:rPr>
        <w:t>压缩支出</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left"/>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2020年度一般公共预算财政拨款基本支出2,694.32万元。其中：人员经费1,590.5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1,103.82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left"/>
        <w:textAlignment w:val="auto"/>
        <w:rPr>
          <w:rFonts w:hint="eastAsia" w:ascii="黑体" w:hAnsi="黑体" w:eastAsia="黑体" w:cs="黑体"/>
          <w:sz w:val="32"/>
          <w:szCs w:val="32"/>
          <w:highlight w:val="none"/>
          <w:lang w:val="zh-CN"/>
        </w:rPr>
      </w:pPr>
      <w:r>
        <w:rPr>
          <w:rFonts w:hint="eastAsia" w:ascii="黑体" w:hAnsi="黑体" w:eastAsia="黑体" w:cs="黑体"/>
          <w:sz w:val="32"/>
          <w:szCs w:val="32"/>
          <w:highlight w:val="none"/>
          <w:lang w:val="zh-CN"/>
        </w:rPr>
        <w:t>七、一般公共预算财政拨款“三公”经费支出决算情况说明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（一）“三公”经费财政拨款支出决算总体情况说明。</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left"/>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2020年度“三公”经费财政拨款支出预算为30万元，支出决算为14.31万元，完成预算的47.708%。2020年度“三公”经费支出决算数与预算数存在差异的主要原因是压缩一般性支出。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（二）“三公”经费财政拨款支出决算具体情况说明。</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left"/>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2020年度“三公”经费财政拨款支出决算中，因公出国（境）费支出决算0万元，完成预算的0%，占0%；公务用车购置及运行费支出决算0万元，完成预算的0%，占0%；公务接待费支出决算14.31万元，完成预算的47.708%，占100%。具体情况如下：</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1．因公出国（境）费年初预算为0万元，支出决算为0万元，完成年初预算的0%。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2．公务用车购置及运行费年初预算为0万元，支出决算为0万元，完成年初预算的0%。公务用车购置支出0万元，公务用车运行支出0万元。</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3.公务接待费年初预算为30万元，支出决算为14.31万元，完成年初预算的47.708%。决算数与年初预算数存在差异的主要原因是压缩一般性支出。其中：</w:t>
      </w:r>
    </w:p>
    <w:p>
      <w:pPr>
        <w:keepNext w:val="0"/>
        <w:keepLines w:val="0"/>
        <w:pageBreakBefore w:val="0"/>
        <w:widowControl w:val="0"/>
        <w:kinsoku/>
        <w:wordWrap/>
        <w:overflowPunct/>
        <w:topLinePunct w:val="0"/>
        <w:autoSpaceDE/>
        <w:autoSpaceDN/>
        <w:bidi w:val="0"/>
        <w:adjustRightInd/>
        <w:snapToGrid/>
        <w:spacing w:beforeLines="0" w:afterLines="0" w:line="540" w:lineRule="exact"/>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zh-CN"/>
        </w:rPr>
        <w:t>外宾接待支出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val="zh-CN"/>
        </w:rPr>
        <w:t>万元。2020年共接待国（境）外来访团组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val="zh-CN"/>
        </w:rPr>
        <w:t>个、来访外宾</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val="zh-CN"/>
        </w:rPr>
        <w:t>人次（不包括陪同人员）。国内公务接待支出</w:t>
      </w:r>
      <w:r>
        <w:rPr>
          <w:rFonts w:hint="eastAsia" w:ascii="仿宋_GB2312" w:hAnsi="仿宋_GB2312" w:eastAsia="仿宋_GB2312" w:cs="仿宋_GB2312"/>
          <w:sz w:val="32"/>
          <w:szCs w:val="32"/>
          <w:highlight w:val="none"/>
          <w:lang w:val="en-US" w:eastAsia="zh-CN"/>
        </w:rPr>
        <w:t>14.31</w:t>
      </w:r>
      <w:r>
        <w:rPr>
          <w:rFonts w:hint="eastAsia" w:ascii="仿宋_GB2312" w:hAnsi="仿宋_GB2312" w:eastAsia="仿宋_GB2312" w:cs="仿宋_GB2312"/>
          <w:sz w:val="32"/>
          <w:szCs w:val="32"/>
          <w:highlight w:val="none"/>
          <w:lang w:val="zh-CN"/>
        </w:rPr>
        <w:t>万元，</w:t>
      </w:r>
      <w:r>
        <w:rPr>
          <w:rFonts w:hint="eastAsia" w:ascii="仿宋_GB2312" w:hAnsi="仿宋_GB2312" w:eastAsia="仿宋_GB2312" w:cs="仿宋_GB2312"/>
          <w:sz w:val="32"/>
          <w:szCs w:val="32"/>
          <w:highlight w:val="none"/>
          <w:lang w:val="en-US" w:eastAsia="zh-CN"/>
        </w:rPr>
        <w:t>国内公务接待批次1002个，国内公务员接待人数5287人。</w:t>
      </w:r>
    </w:p>
    <w:p>
      <w:pPr>
        <w:keepNext w:val="0"/>
        <w:keepLines w:val="0"/>
        <w:pageBreakBefore w:val="0"/>
        <w:widowControl w:val="0"/>
        <w:kinsoku/>
        <w:wordWrap/>
        <w:overflowPunct/>
        <w:topLinePunct w:val="0"/>
        <w:autoSpaceDE/>
        <w:autoSpaceDN/>
        <w:bidi w:val="0"/>
        <w:adjustRightInd/>
        <w:snapToGrid/>
        <w:spacing w:beforeLines="0" w:afterLines="0" w:line="540" w:lineRule="exact"/>
        <w:jc w:val="left"/>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八、预算绩效情况说明</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（一）绩效管理工作开展情况。</w:t>
      </w:r>
    </w:p>
    <w:p>
      <w:pPr>
        <w:keepNext w:val="0"/>
        <w:keepLines w:val="0"/>
        <w:pageBreakBefore w:val="0"/>
        <w:widowControl w:val="0"/>
        <w:kinsoku/>
        <w:wordWrap/>
        <w:overflowPunct/>
        <w:topLinePunct w:val="0"/>
        <w:autoSpaceDE/>
        <w:autoSpaceDN/>
        <w:bidi w:val="0"/>
        <w:adjustRightInd/>
        <w:snapToGrid/>
        <w:spacing w:beforeLines="0" w:afterLines="0" w:line="54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 xml:space="preserve">2020年，南阳市卧龙区七里园乡没有需要开展绩效管 </w:t>
      </w:r>
    </w:p>
    <w:p>
      <w:pPr>
        <w:keepNext w:val="0"/>
        <w:keepLines w:val="0"/>
        <w:pageBreakBefore w:val="0"/>
        <w:widowControl w:val="0"/>
        <w:kinsoku/>
        <w:wordWrap/>
        <w:overflowPunct/>
        <w:topLinePunct w:val="0"/>
        <w:autoSpaceDE/>
        <w:autoSpaceDN/>
        <w:bidi w:val="0"/>
        <w:adjustRightInd/>
        <w:snapToGrid/>
        <w:spacing w:beforeLines="0" w:afterLines="0" w:line="54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理工作的项目。</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（二）项目绩效自评结果。</w:t>
      </w:r>
    </w:p>
    <w:p>
      <w:pPr>
        <w:keepNext w:val="0"/>
        <w:keepLines w:val="0"/>
        <w:pageBreakBefore w:val="0"/>
        <w:widowControl w:val="0"/>
        <w:kinsoku/>
        <w:wordWrap/>
        <w:overflowPunct/>
        <w:topLinePunct w:val="0"/>
        <w:autoSpaceDE/>
        <w:autoSpaceDN/>
        <w:bidi w:val="0"/>
        <w:adjustRightInd/>
        <w:snapToGrid/>
        <w:spacing w:beforeLines="0" w:afterLines="0" w:line="54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 xml:space="preserve">2020年，南阳市卧龙区七里园乡没有需要开展绩效管 </w:t>
      </w:r>
    </w:p>
    <w:p>
      <w:pPr>
        <w:keepNext w:val="0"/>
        <w:keepLines w:val="0"/>
        <w:pageBreakBefore w:val="0"/>
        <w:widowControl w:val="0"/>
        <w:kinsoku/>
        <w:wordWrap/>
        <w:overflowPunct/>
        <w:topLinePunct w:val="0"/>
        <w:autoSpaceDE/>
        <w:autoSpaceDN/>
        <w:bidi w:val="0"/>
        <w:adjustRightInd/>
        <w:snapToGrid/>
        <w:spacing w:beforeLines="0" w:afterLines="0" w:line="54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理工作的项目。</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（三）以单位为主体开展的重点绩效评价结果。</w:t>
      </w:r>
    </w:p>
    <w:p>
      <w:pPr>
        <w:keepNext w:val="0"/>
        <w:keepLines w:val="0"/>
        <w:pageBreakBefore w:val="0"/>
        <w:widowControl w:val="0"/>
        <w:kinsoku/>
        <w:wordWrap/>
        <w:overflowPunct/>
        <w:topLinePunct w:val="0"/>
        <w:autoSpaceDE/>
        <w:autoSpaceDN/>
        <w:bidi w:val="0"/>
        <w:adjustRightInd/>
        <w:snapToGrid/>
        <w:spacing w:beforeLines="0" w:afterLines="0" w:line="54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 xml:space="preserve">2020年，南阳市卧龙区七里园乡没有需要开展绩效管 </w:t>
      </w:r>
    </w:p>
    <w:p>
      <w:pPr>
        <w:keepNext w:val="0"/>
        <w:keepLines w:val="0"/>
        <w:pageBreakBefore w:val="0"/>
        <w:widowControl w:val="0"/>
        <w:kinsoku/>
        <w:wordWrap/>
        <w:overflowPunct/>
        <w:topLinePunct w:val="0"/>
        <w:autoSpaceDE/>
        <w:autoSpaceDN/>
        <w:bidi w:val="0"/>
        <w:adjustRightInd/>
        <w:snapToGrid/>
        <w:spacing w:beforeLines="0" w:afterLines="0" w:line="540" w:lineRule="exact"/>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理工作的项目。</w:t>
      </w:r>
    </w:p>
    <w:p>
      <w:pPr>
        <w:keepNext w:val="0"/>
        <w:keepLines w:val="0"/>
        <w:pageBreakBefore w:val="0"/>
        <w:widowControl w:val="0"/>
        <w:kinsoku/>
        <w:wordWrap/>
        <w:overflowPunct/>
        <w:topLinePunct w:val="0"/>
        <w:autoSpaceDE/>
        <w:autoSpaceDN/>
        <w:bidi w:val="0"/>
        <w:adjustRightInd/>
        <w:snapToGrid/>
        <w:spacing w:beforeLines="0" w:afterLines="0" w:line="540" w:lineRule="exact"/>
        <w:jc w:val="left"/>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九、政府性基金预算财政拨款支出决算情况说明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2020年度政府性基金预算财政拨款支出年初预算为110万元，支出决算为0万元，完成年初预算的0%。</w:t>
      </w:r>
    </w:p>
    <w:p>
      <w:pPr>
        <w:keepNext w:val="0"/>
        <w:keepLines w:val="0"/>
        <w:pageBreakBefore w:val="0"/>
        <w:widowControl w:val="0"/>
        <w:kinsoku/>
        <w:wordWrap/>
        <w:overflowPunct/>
        <w:topLinePunct w:val="0"/>
        <w:autoSpaceDE/>
        <w:autoSpaceDN/>
        <w:bidi w:val="0"/>
        <w:adjustRightInd/>
        <w:snapToGrid/>
        <w:spacing w:beforeLines="0" w:afterLines="0" w:line="540" w:lineRule="exact"/>
        <w:jc w:val="left"/>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十、机关运行经费支出情况说明</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2020年度机关运行经费为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w:t>
      </w:r>
      <w:r>
        <w:rPr>
          <w:rFonts w:hint="eastAsia" w:ascii="仿宋_GB2312" w:hAnsi="仿宋_GB2312" w:eastAsia="仿宋_GB2312" w:cs="仿宋_GB2312"/>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beforeLines="0" w:afterLines="0" w:line="540" w:lineRule="exact"/>
        <w:jc w:val="left"/>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十一、政府采购支出情况说明</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2020年度</w:t>
      </w:r>
      <w:r>
        <w:rPr>
          <w:rFonts w:hint="eastAsia" w:ascii="仿宋_GB2312" w:hAnsi="仿宋_GB2312" w:eastAsia="仿宋_GB2312" w:cs="仿宋_GB2312"/>
          <w:sz w:val="32"/>
          <w:szCs w:val="32"/>
          <w:lang w:val="en-US" w:eastAsia="zh-CN"/>
        </w:rPr>
        <w:t>无政府</w:t>
      </w:r>
      <w:r>
        <w:rPr>
          <w:rFonts w:hint="eastAsia" w:ascii="仿宋_GB2312" w:hAnsi="仿宋_GB2312" w:eastAsia="仿宋_GB2312" w:cs="仿宋_GB2312"/>
          <w:sz w:val="32"/>
          <w:szCs w:val="32"/>
          <w:lang w:val="zh-CN"/>
        </w:rPr>
        <w:t>采购</w:t>
      </w:r>
      <w:r>
        <w:rPr>
          <w:rFonts w:hint="eastAsia" w:ascii="仿宋_GB2312" w:hAnsi="仿宋_GB2312" w:eastAsia="仿宋_GB2312" w:cs="仿宋_GB2312"/>
          <w:sz w:val="32"/>
          <w:szCs w:val="32"/>
          <w:lang w:val="en-US" w:eastAsia="zh-CN"/>
        </w:rPr>
        <w:t>支出。</w:t>
      </w:r>
    </w:p>
    <w:p>
      <w:pPr>
        <w:keepNext w:val="0"/>
        <w:keepLines w:val="0"/>
        <w:pageBreakBefore w:val="0"/>
        <w:widowControl w:val="0"/>
        <w:kinsoku/>
        <w:wordWrap/>
        <w:overflowPunct/>
        <w:topLinePunct w:val="0"/>
        <w:autoSpaceDE/>
        <w:autoSpaceDN/>
        <w:bidi w:val="0"/>
        <w:adjustRightInd/>
        <w:snapToGrid/>
        <w:spacing w:beforeLines="0" w:afterLines="0" w:line="540" w:lineRule="exact"/>
        <w:jc w:val="left"/>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十二、国有资产占用情况说明</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left"/>
        <w:textAlignment w:val="auto"/>
        <w:rPr>
          <w:rFonts w:hint="eastAsia" w:ascii="宋体" w:hAnsi="宋体"/>
          <w:sz w:val="18"/>
          <w:lang w:val="zh-CN"/>
        </w:rPr>
      </w:pPr>
      <w:r>
        <w:rPr>
          <w:rFonts w:hint="eastAsia" w:ascii="仿宋_GB2312" w:hAnsi="仿宋_GB2312" w:eastAsia="仿宋_GB2312" w:cs="仿宋_GB2312"/>
          <w:sz w:val="32"/>
          <w:szCs w:val="32"/>
          <w:lang w:val="zh-CN"/>
        </w:rPr>
        <w:t>2020年期末，我单位共有车辆4辆，其中：省级领导干部用车0辆、主要领导干部用车0辆、机要通信用车0辆、应急保障车0辆、执法执勤用车0辆、特种专业技术用车0辆、离退休干部用车0辆、其他用车4辆；单位价值50万元以上通用设备0台（套），单位价值100万元以上专用设备0.台（套）。</w:t>
      </w: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both"/>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宋体" w:eastAsia="黑体" w:cs="黑体"/>
          <w:color w:val="000000"/>
          <w:kern w:val="0"/>
          <w:sz w:val="52"/>
          <w:szCs w:val="52"/>
          <w:lang w:val="en-US" w:eastAsia="zh-CN" w:bidi="ar"/>
        </w:rPr>
      </w:pPr>
      <w:r>
        <w:rPr>
          <w:rFonts w:hint="eastAsia" w:ascii="黑体" w:hAnsi="黑体" w:eastAsia="黑体" w:cs="黑体"/>
          <w:sz w:val="48"/>
          <w:szCs w:val="48"/>
        </w:rPr>
        <w:t>第四部分  名词解释</w:t>
      </w:r>
    </w:p>
    <w:p>
      <w:pPr>
        <w:widowControl/>
        <w:spacing w:line="590" w:lineRule="exact"/>
        <w:ind w:firstLine="640" w:firstLineChars="200"/>
        <w:jc w:val="left"/>
        <w:rPr>
          <w:rFonts w:hint="eastAsia" w:ascii="仿宋" w:hAnsi="仿宋" w:eastAsia="仿宋" w:cs="仿宋_GB2312"/>
          <w:sz w:val="32"/>
          <w:szCs w:val="32"/>
        </w:rPr>
      </w:pPr>
    </w:p>
    <w:p>
      <w:pPr>
        <w:widowControl/>
        <w:spacing w:line="590" w:lineRule="exact"/>
        <w:ind w:firstLine="640" w:firstLineChars="200"/>
        <w:jc w:val="left"/>
        <w:rPr>
          <w:rFonts w:hint="eastAsia" w:ascii="仿宋" w:hAnsi="仿宋" w:eastAsia="仿宋" w:cs="仿宋_GB2312"/>
          <w:sz w:val="32"/>
          <w:szCs w:val="32"/>
        </w:rPr>
      </w:pPr>
    </w:p>
    <w:p>
      <w:pPr>
        <w:widowControl/>
        <w:spacing w:line="590" w:lineRule="exact"/>
        <w:ind w:firstLine="640" w:firstLineChars="200"/>
        <w:jc w:val="left"/>
        <w:rPr>
          <w:rFonts w:hint="eastAsia" w:ascii="仿宋" w:hAnsi="仿宋" w:eastAsia="仿宋" w:cs="仿宋_GB2312"/>
          <w:sz w:val="32"/>
          <w:szCs w:val="32"/>
        </w:rPr>
      </w:pPr>
    </w:p>
    <w:p>
      <w:pPr>
        <w:widowControl/>
        <w:spacing w:line="590" w:lineRule="exact"/>
        <w:ind w:firstLine="640" w:firstLineChars="200"/>
        <w:jc w:val="left"/>
        <w:rPr>
          <w:rFonts w:hint="eastAsia" w:ascii="仿宋" w:hAnsi="仿宋" w:eastAsia="仿宋" w:cs="仿宋_GB2312"/>
          <w:sz w:val="32"/>
          <w:szCs w:val="32"/>
        </w:rPr>
      </w:pPr>
    </w:p>
    <w:p>
      <w:pPr>
        <w:widowControl/>
        <w:spacing w:line="590" w:lineRule="exact"/>
        <w:ind w:firstLine="640" w:firstLineChars="200"/>
        <w:jc w:val="left"/>
        <w:rPr>
          <w:rFonts w:hint="eastAsia" w:ascii="仿宋" w:hAnsi="仿宋" w:eastAsia="仿宋" w:cs="仿宋_GB2312"/>
          <w:sz w:val="32"/>
          <w:szCs w:val="32"/>
        </w:rPr>
      </w:pPr>
    </w:p>
    <w:p>
      <w:pPr>
        <w:widowControl/>
        <w:spacing w:line="590" w:lineRule="exact"/>
        <w:ind w:firstLine="640" w:firstLineChars="200"/>
        <w:jc w:val="left"/>
        <w:rPr>
          <w:rFonts w:hint="eastAsia" w:ascii="仿宋" w:hAnsi="仿宋" w:eastAsia="仿宋" w:cs="仿宋_GB2312"/>
          <w:sz w:val="32"/>
          <w:szCs w:val="32"/>
        </w:rPr>
      </w:pPr>
    </w:p>
    <w:p>
      <w:pPr>
        <w:widowControl/>
        <w:spacing w:line="590" w:lineRule="exact"/>
        <w:ind w:firstLine="640" w:firstLineChars="200"/>
        <w:jc w:val="left"/>
        <w:rPr>
          <w:rFonts w:hint="eastAsia" w:ascii="仿宋" w:hAnsi="仿宋" w:eastAsia="仿宋" w:cs="仿宋_GB2312"/>
          <w:sz w:val="32"/>
          <w:szCs w:val="32"/>
        </w:rPr>
      </w:pPr>
    </w:p>
    <w:p>
      <w:pPr>
        <w:widowControl/>
        <w:spacing w:line="590" w:lineRule="exact"/>
        <w:ind w:firstLine="640" w:firstLineChars="200"/>
        <w:jc w:val="left"/>
        <w:rPr>
          <w:rFonts w:hint="eastAsia" w:ascii="仿宋" w:hAnsi="仿宋" w:eastAsia="仿宋" w:cs="仿宋_GB2312"/>
          <w:sz w:val="32"/>
          <w:szCs w:val="32"/>
        </w:rPr>
      </w:pPr>
    </w:p>
    <w:p>
      <w:pPr>
        <w:widowControl/>
        <w:spacing w:line="590" w:lineRule="exact"/>
        <w:ind w:firstLine="640" w:firstLineChars="200"/>
        <w:jc w:val="left"/>
        <w:rPr>
          <w:rFonts w:hint="eastAsia" w:ascii="仿宋" w:hAnsi="仿宋" w:eastAsia="仿宋" w:cs="仿宋_GB2312"/>
          <w:sz w:val="32"/>
          <w:szCs w:val="32"/>
        </w:rPr>
      </w:pPr>
    </w:p>
    <w:p>
      <w:pPr>
        <w:widowControl/>
        <w:spacing w:line="590" w:lineRule="exact"/>
        <w:ind w:firstLine="640" w:firstLineChars="200"/>
        <w:jc w:val="left"/>
        <w:rPr>
          <w:rFonts w:hint="eastAsia" w:ascii="仿宋" w:hAnsi="仿宋" w:eastAsia="仿宋" w:cs="仿宋_GB2312"/>
          <w:sz w:val="32"/>
          <w:szCs w:val="32"/>
        </w:rPr>
      </w:pPr>
    </w:p>
    <w:p>
      <w:pPr>
        <w:widowControl/>
        <w:spacing w:line="590" w:lineRule="exact"/>
        <w:ind w:firstLine="640" w:firstLineChars="200"/>
        <w:jc w:val="left"/>
        <w:rPr>
          <w:rFonts w:hint="eastAsia" w:ascii="仿宋" w:hAnsi="仿宋" w:eastAsia="仿宋" w:cs="仿宋_GB2312"/>
          <w:sz w:val="32"/>
          <w:szCs w:val="32"/>
        </w:rPr>
      </w:pPr>
    </w:p>
    <w:p>
      <w:pPr>
        <w:widowControl/>
        <w:spacing w:line="590" w:lineRule="exact"/>
        <w:jc w:val="left"/>
        <w:rPr>
          <w:rFonts w:hint="eastAsia" w:ascii="仿宋" w:hAnsi="仿宋" w:eastAsia="仿宋" w:cs="仿宋_GB2312"/>
          <w:sz w:val="32"/>
          <w:szCs w:val="32"/>
        </w:rPr>
      </w:pP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十三、商品和服务支出：单位购买商品和服务的支出。</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黑体" w:hAnsi="宋体" w:eastAsia="仿宋" w:cs="黑体"/>
          <w:color w:val="000000"/>
          <w:kern w:val="0"/>
          <w:sz w:val="52"/>
          <w:szCs w:val="52"/>
          <w:lang w:val="en-US" w:eastAsia="zh-CN" w:bidi="ar"/>
        </w:rPr>
        <w:sectPr>
          <w:pgSz w:w="11906" w:h="16838"/>
          <w:pgMar w:top="1440" w:right="1800" w:bottom="1440" w:left="1800" w:header="851" w:footer="992" w:gutter="0"/>
          <w:cols w:space="425" w:num="1"/>
          <w:docGrid w:type="lines" w:linePitch="312" w:charSpace="0"/>
        </w:sectPr>
      </w:pPr>
      <w:r>
        <w:rPr>
          <w:rFonts w:hint="eastAsia" w:ascii="仿宋" w:hAnsi="仿宋" w:eastAsia="仿宋" w:cs="仿宋_GB2312"/>
          <w:sz w:val="32"/>
          <w:szCs w:val="32"/>
        </w:rPr>
        <w:t>十六、年末结余：本年度或以前年度预算安排，已执行完毕或因客观条件发生变化无法按原预算安排实施，不需要再使用或无法按原预算安排继续使用的资金</w:t>
      </w:r>
      <w:r>
        <w:rPr>
          <w:rFonts w:hint="eastAsia" w:ascii="仿宋" w:hAnsi="仿宋" w:eastAsia="仿宋" w:cs="仿宋_GB2312"/>
          <w:sz w:val="32"/>
          <w:szCs w:val="32"/>
          <w:lang w:eastAsia="zh-CN"/>
        </w:rPr>
        <w:t>。</w:t>
      </w:r>
    </w:p>
    <w:p>
      <w:pPr>
        <w:keepNext w:val="0"/>
        <w:keepLines w:val="0"/>
        <w:widowControl/>
        <w:suppressLineNumbers w:val="0"/>
        <w:jc w:val="left"/>
        <w:rPr>
          <w:rFonts w:hint="eastAsia" w:ascii="黑体" w:hAnsi="宋体" w:eastAsia="黑体" w:cs="黑体"/>
          <w:color w:val="000000"/>
          <w:kern w:val="0"/>
          <w:sz w:val="52"/>
          <w:szCs w:val="52"/>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C2CF"/>
    <w:multiLevelType w:val="multilevel"/>
    <w:tmpl w:val="5971C2CF"/>
    <w:lvl w:ilvl="0" w:tentative="0">
      <w:start w:val="1"/>
      <w:numFmt w:val="decimal"/>
      <w:suff w:val="nothing"/>
      <w:lvlText w:val="%1．"/>
      <w:lvlJc w:val="left"/>
      <w:pPr>
        <w:ind w:firstLine="400"/>
      </w:pPr>
      <w:rPr>
        <w:rFonts w:hint="default" w:ascii="Times New Roman" w:hAnsi="Times New Roman" w:eastAsia="宋体"/>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59AFB5F3"/>
    <w:multiLevelType w:val="multilevel"/>
    <w:tmpl w:val="59AFB5F3"/>
    <w:lvl w:ilvl="0" w:tentative="0">
      <w:start w:val="2"/>
      <w:numFmt w:val="decimal"/>
      <w:suff w:val="nothing"/>
      <w:lvlText w:val="%1、"/>
      <w:lvlJc w:val="left"/>
      <w:rPr>
        <w:rFonts w:hint="default" w:ascii="Times New Roman" w:hAnsi="Times New Roman" w:eastAsia="宋体"/>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E04B9"/>
    <w:rsid w:val="08FB6B92"/>
    <w:rsid w:val="0DB268BE"/>
    <w:rsid w:val="100373FC"/>
    <w:rsid w:val="18DC4DA7"/>
    <w:rsid w:val="24CC1DDA"/>
    <w:rsid w:val="2F716D82"/>
    <w:rsid w:val="32BE6D7D"/>
    <w:rsid w:val="364438FC"/>
    <w:rsid w:val="46CD511D"/>
    <w:rsid w:val="543E04B9"/>
    <w:rsid w:val="57A14E66"/>
    <w:rsid w:val="6BB07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2021-11-01T12:19:00Z</dcterms:created>
  <dc:creator>Administrator</dc:creator>
  <cp:lastModifiedBy>但行好事，莫问前程</cp:lastModifiedBy>
  <dcterms:modified xsi:type="dcterms:W3CDTF">2021-11-04T02:53:19Z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30EADEC4A64E442E8C7D1346A57DB176</vt:lpwstr>
  </property>
</Properties>
</file>