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仿宋" w:eastAsia="方正小标宋简体" w:cs="仿宋"/>
          <w:sz w:val="36"/>
          <w:szCs w:val="36"/>
          <w:lang w:val="en-US" w:eastAsia="zh-CN"/>
        </w:rPr>
      </w:pPr>
      <w:bookmarkStart w:id="0" w:name="_GoBack"/>
      <w:bookmarkEnd w:id="0"/>
      <w:r>
        <w:rPr>
          <w:rFonts w:hint="eastAsia" w:ascii="方正小标宋简体" w:hAnsi="仿宋" w:eastAsia="方正小标宋简体" w:cs="仿宋"/>
          <w:sz w:val="36"/>
          <w:szCs w:val="36"/>
          <w:lang w:val="en-US" w:eastAsia="zh-CN"/>
        </w:rPr>
        <w:t>南阳市人民政府行政规范性文件清理意见表</w:t>
      </w:r>
    </w:p>
    <w:p>
      <w:pPr>
        <w:spacing w:line="500" w:lineRule="exact"/>
        <w:rPr>
          <w:rFonts w:ascii="仿宋" w:hAnsi="仿宋" w:eastAsia="仿宋" w:cs="仿宋"/>
          <w:sz w:val="32"/>
          <w:szCs w:val="32"/>
        </w:rPr>
      </w:pPr>
      <w:r>
        <w:rPr>
          <w:rFonts w:hint="eastAsia" w:ascii="仿宋" w:hAnsi="仿宋" w:eastAsia="仿宋" w:cs="仿宋"/>
          <w:sz w:val="32"/>
          <w:szCs w:val="32"/>
        </w:rPr>
        <w:t>单位：</w:t>
      </w:r>
      <w:r>
        <w:rPr>
          <w:rFonts w:hint="eastAsia" w:ascii="仿宋" w:hAnsi="仿宋" w:eastAsia="仿宋" w:cs="仿宋"/>
          <w:sz w:val="32"/>
          <w:szCs w:val="32"/>
          <w:u w:val="single"/>
          <w:lang w:eastAsia="zh-CN"/>
        </w:rPr>
        <w:t>南阳市中医药发展局</w:t>
      </w:r>
      <w:r>
        <w:rPr>
          <w:rFonts w:hint="eastAsia" w:ascii="仿宋" w:hAnsi="仿宋" w:eastAsia="仿宋" w:cs="仿宋"/>
          <w:sz w:val="32"/>
          <w:szCs w:val="32"/>
          <w:u w:val="single"/>
        </w:rPr>
        <w:t xml:space="preserve">    </w:t>
      </w:r>
      <w:r>
        <w:rPr>
          <w:rFonts w:hint="eastAsia" w:ascii="仿宋" w:hAnsi="仿宋" w:eastAsia="仿宋" w:cs="仿宋"/>
          <w:sz w:val="32"/>
          <w:szCs w:val="32"/>
        </w:rPr>
        <w:t>时间</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2022年5月18日</w:t>
      </w:r>
      <w:r>
        <w:rPr>
          <w:rFonts w:hint="eastAsia" w:ascii="仿宋" w:hAnsi="仿宋" w:eastAsia="仿宋" w:cs="仿宋"/>
          <w:sz w:val="32"/>
          <w:szCs w:val="32"/>
          <w:u w:val="single"/>
        </w:rPr>
        <w:t xml:space="preserve">          </w:t>
      </w:r>
    </w:p>
    <w:tbl>
      <w:tblPr>
        <w:tblStyle w:val="2"/>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198"/>
        <w:gridCol w:w="1815"/>
        <w:gridCol w:w="1740"/>
        <w:gridCol w:w="1006"/>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419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rPr>
              <w:t>文件</w:t>
            </w:r>
            <w:r>
              <w:rPr>
                <w:rFonts w:hint="eastAsia" w:ascii="宋体" w:hAnsi="宋体" w:eastAsia="宋体" w:cs="宋体"/>
                <w:sz w:val="24"/>
                <w:szCs w:val="24"/>
                <w:lang w:eastAsia="zh-CN"/>
              </w:rPr>
              <w:t>名称</w:t>
            </w:r>
          </w:p>
        </w:tc>
        <w:tc>
          <w:tcPr>
            <w:tcW w:w="181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r>
              <w:rPr>
                <w:rFonts w:hint="eastAsia" w:ascii="宋体" w:hAnsi="宋体" w:eastAsia="宋体" w:cs="宋体"/>
                <w:sz w:val="24"/>
                <w:szCs w:val="24"/>
              </w:rPr>
              <w:t>文号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清理意见（修改的需要提出具体意见）</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理由</w:t>
            </w:r>
          </w:p>
        </w:tc>
        <w:tc>
          <w:tcPr>
            <w:tcW w:w="80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rPr>
              <w:t>备</w:t>
            </w:r>
            <w:r>
              <w:rPr>
                <w:rFonts w:hint="eastAsia" w:ascii="宋体" w:hAnsi="宋体" w:eastAsia="宋体" w:cs="宋体"/>
                <w:sz w:val="24"/>
                <w:szCs w:val="24"/>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0323" w:type="dxa"/>
            <w:gridSpan w:val="6"/>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宋体" w:hAnsi="宋体" w:eastAsia="宋体" w:cs="宋体"/>
                <w:sz w:val="24"/>
                <w:szCs w:val="24"/>
                <w:lang w:val="en-US" w:eastAsia="zh-CN"/>
              </w:rPr>
            </w:pPr>
            <w:r>
              <w:rPr>
                <w:rFonts w:hint="eastAsia" w:ascii="宋体" w:hAnsi="宋体" w:cs="宋体"/>
                <w:b/>
                <w:bCs/>
                <w:sz w:val="28"/>
                <w:szCs w:val="28"/>
                <w:lang w:val="en-US" w:eastAsia="zh-CN"/>
              </w:rPr>
              <w:t>2019年之前的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60" w:type="dxa"/>
            <w:vAlign w:val="center"/>
          </w:tcPr>
          <w:p>
            <w:pPr>
              <w:widowControl w:val="0"/>
              <w:autoSpaceDE w:val="0"/>
              <w:autoSpaceDN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1"/>
                <w:szCs w:val="21"/>
                <w:lang w:val="en-US" w:eastAsia="zh-CN"/>
              </w:rPr>
              <w:t>1</w:t>
            </w:r>
          </w:p>
        </w:tc>
        <w:tc>
          <w:tcPr>
            <w:tcW w:w="4198" w:type="dxa"/>
            <w:vAlign w:val="top"/>
          </w:tcPr>
          <w:p>
            <w:pPr>
              <w:jc w:val="center"/>
              <w:rPr>
                <w:rFonts w:hint="eastAsia" w:ascii="宋体" w:hAnsi="宋体" w:eastAsia="宋体" w:cs="宋体"/>
                <w:sz w:val="24"/>
                <w:szCs w:val="24"/>
                <w:vertAlign w:val="baseline"/>
                <w:lang w:val="en-US" w:eastAsia="zh-CN"/>
              </w:rPr>
            </w:pPr>
            <w:r>
              <w:rPr>
                <w:rFonts w:hint="eastAsia" w:ascii="宋体" w:hAnsi="宋体" w:cs="宋体"/>
                <w:color w:val="000000"/>
                <w:sz w:val="21"/>
                <w:szCs w:val="21"/>
                <w:lang w:val="en-US" w:eastAsia="zh-CN"/>
              </w:rPr>
              <w:t>南阳市人民政府关于印发南阳市加快中医药事业发展若干扶持措施的调整</w:t>
            </w:r>
          </w:p>
        </w:tc>
        <w:tc>
          <w:tcPr>
            <w:tcW w:w="1815"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宛中医药【20</w:t>
            </w:r>
            <w:r>
              <w:rPr>
                <w:rFonts w:hint="eastAsia" w:ascii="宋体" w:hAnsi="宋体" w:cs="宋体"/>
                <w:sz w:val="21"/>
                <w:szCs w:val="21"/>
                <w:lang w:val="en-US" w:eastAsia="zh-CN"/>
              </w:rPr>
              <w:t>13</w:t>
            </w:r>
            <w:r>
              <w:rPr>
                <w:rFonts w:hint="eastAsia" w:ascii="宋体" w:hAnsi="宋体" w:eastAsia="宋体" w:cs="宋体"/>
                <w:sz w:val="21"/>
                <w:szCs w:val="21"/>
              </w:rPr>
              <w:t>】</w:t>
            </w:r>
            <w:r>
              <w:rPr>
                <w:rFonts w:hint="eastAsia" w:ascii="宋体" w:hAnsi="宋体" w:cs="宋体"/>
                <w:sz w:val="21"/>
                <w:szCs w:val="21"/>
                <w:lang w:val="en-US" w:eastAsia="zh-CN"/>
              </w:rPr>
              <w:t>20</w:t>
            </w:r>
            <w:r>
              <w:rPr>
                <w:rFonts w:hint="eastAsia" w:ascii="宋体" w:hAnsi="宋体" w:eastAsia="宋体" w:cs="宋体"/>
                <w:sz w:val="21"/>
                <w:szCs w:val="21"/>
              </w:rPr>
              <w:t>号</w:t>
            </w:r>
          </w:p>
        </w:tc>
        <w:tc>
          <w:tcPr>
            <w:tcW w:w="1740" w:type="dxa"/>
            <w:vAlign w:val="top"/>
          </w:tcPr>
          <w:p>
            <w:pPr>
              <w:jc w:val="center"/>
              <w:rPr>
                <w:rFonts w:hint="eastAsia" w:ascii="宋体" w:hAnsi="宋体" w:cs="宋体"/>
                <w:sz w:val="21"/>
                <w:szCs w:val="21"/>
                <w:lang w:val="en-US" w:eastAsia="zh-CN"/>
              </w:rPr>
            </w:pPr>
          </w:p>
          <w:p>
            <w:pPr>
              <w:jc w:val="center"/>
              <w:rPr>
                <w:rFonts w:hint="eastAsia" w:ascii="宋体" w:hAnsi="宋体" w:cs="宋体"/>
                <w:sz w:val="24"/>
                <w:szCs w:val="24"/>
                <w:lang w:val="en-US" w:eastAsia="zh-CN"/>
              </w:rPr>
            </w:pPr>
            <w:r>
              <w:rPr>
                <w:rFonts w:hint="eastAsia" w:ascii="宋体" w:hAnsi="宋体" w:cs="宋体"/>
                <w:sz w:val="21"/>
                <w:szCs w:val="21"/>
                <w:lang w:val="en-US" w:eastAsia="zh-CN"/>
              </w:rPr>
              <w:t>废除</w:t>
            </w:r>
          </w:p>
        </w:tc>
        <w:tc>
          <w:tcPr>
            <w:tcW w:w="1006" w:type="dxa"/>
            <w:vAlign w:val="top"/>
          </w:tcPr>
          <w:p>
            <w:pPr>
              <w:rPr>
                <w:rFonts w:hint="eastAsia" w:ascii="宋体" w:hAnsi="宋体" w:cs="宋体"/>
                <w:sz w:val="24"/>
                <w:szCs w:val="24"/>
                <w:lang w:eastAsia="zh-CN"/>
              </w:rPr>
            </w:pPr>
            <w:r>
              <w:rPr>
                <w:rFonts w:hint="eastAsia" w:ascii="宋体" w:hAnsi="宋体" w:cs="宋体"/>
                <w:sz w:val="21"/>
                <w:szCs w:val="21"/>
                <w:lang w:eastAsia="zh-CN"/>
              </w:rPr>
              <w:t>有新文件代替</w:t>
            </w:r>
          </w:p>
        </w:tc>
        <w:tc>
          <w:tcPr>
            <w:tcW w:w="804"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60" w:type="dxa"/>
            <w:vAlign w:val="center"/>
          </w:tcPr>
          <w:p>
            <w:pPr>
              <w:widowControl w:val="0"/>
              <w:autoSpaceDE w:val="0"/>
              <w:autoSpaceDN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1"/>
                <w:szCs w:val="21"/>
                <w:lang w:val="en-US" w:eastAsia="zh-CN"/>
              </w:rPr>
              <w:t>2</w:t>
            </w:r>
          </w:p>
        </w:tc>
        <w:tc>
          <w:tcPr>
            <w:tcW w:w="4198" w:type="dxa"/>
            <w:vAlign w:val="top"/>
          </w:tcPr>
          <w:p>
            <w:pPr>
              <w:jc w:val="center"/>
              <w:rPr>
                <w:rFonts w:hint="eastAsia" w:ascii="宋体" w:hAnsi="宋体" w:eastAsia="宋体" w:cs="宋体"/>
                <w:sz w:val="24"/>
                <w:szCs w:val="24"/>
                <w:vertAlign w:val="baseline"/>
                <w:lang w:val="en-US" w:eastAsia="zh-CN"/>
              </w:rPr>
            </w:pPr>
            <w:r>
              <w:rPr>
                <w:rFonts w:hint="eastAsia" w:ascii="宋体" w:hAnsi="宋体" w:cs="宋体"/>
                <w:color w:val="000000"/>
                <w:sz w:val="21"/>
                <w:szCs w:val="21"/>
                <w:lang w:val="en-US" w:eastAsia="zh-CN"/>
              </w:rPr>
              <w:t>南阳市人民政府办公室关于印发南阳市国家中医药综合改革综合改革试验区建设实施方案的通知</w:t>
            </w:r>
          </w:p>
        </w:tc>
        <w:tc>
          <w:tcPr>
            <w:tcW w:w="1815"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宛中医药【20</w:t>
            </w:r>
            <w:r>
              <w:rPr>
                <w:rFonts w:hint="eastAsia" w:ascii="宋体" w:hAnsi="宋体" w:cs="宋体"/>
                <w:sz w:val="21"/>
                <w:szCs w:val="21"/>
                <w:lang w:val="en-US" w:eastAsia="zh-CN"/>
              </w:rPr>
              <w:t>17</w:t>
            </w:r>
            <w:r>
              <w:rPr>
                <w:rFonts w:hint="eastAsia" w:ascii="宋体" w:hAnsi="宋体" w:eastAsia="宋体" w:cs="宋体"/>
                <w:sz w:val="21"/>
                <w:szCs w:val="21"/>
              </w:rPr>
              <w:t>】</w:t>
            </w:r>
            <w:r>
              <w:rPr>
                <w:rFonts w:hint="eastAsia" w:ascii="宋体" w:hAnsi="宋体" w:cs="宋体"/>
                <w:sz w:val="21"/>
                <w:szCs w:val="21"/>
                <w:lang w:val="en-US" w:eastAsia="zh-CN"/>
              </w:rPr>
              <w:t>52</w:t>
            </w:r>
            <w:r>
              <w:rPr>
                <w:rFonts w:hint="eastAsia" w:ascii="宋体" w:hAnsi="宋体" w:eastAsia="宋体" w:cs="宋体"/>
                <w:sz w:val="21"/>
                <w:szCs w:val="21"/>
              </w:rPr>
              <w:t>号</w:t>
            </w:r>
          </w:p>
        </w:tc>
        <w:tc>
          <w:tcPr>
            <w:tcW w:w="1740" w:type="dxa"/>
            <w:vAlign w:val="top"/>
          </w:tcPr>
          <w:p>
            <w:pPr>
              <w:jc w:val="center"/>
              <w:rPr>
                <w:rFonts w:hint="eastAsia" w:ascii="宋体" w:hAnsi="宋体" w:cs="宋体"/>
                <w:sz w:val="21"/>
                <w:szCs w:val="21"/>
                <w:lang w:val="en-US" w:eastAsia="zh-CN"/>
              </w:rPr>
            </w:pP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top"/>
          </w:tcPr>
          <w:p>
            <w:pP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0323" w:type="dxa"/>
            <w:gridSpan w:val="6"/>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24"/>
                <w:szCs w:val="24"/>
              </w:rPr>
            </w:pPr>
            <w:r>
              <w:rPr>
                <w:rFonts w:hint="eastAsia" w:ascii="宋体" w:hAnsi="宋体" w:cs="宋体"/>
                <w:b/>
                <w:bCs/>
                <w:sz w:val="28"/>
                <w:szCs w:val="28"/>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419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南阳市中医药发展局关于三定方案有关工作的建议</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宛中医药〔2019〕1号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清理</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新文件代替</w:t>
            </w:r>
          </w:p>
        </w:tc>
        <w:tc>
          <w:tcPr>
            <w:tcW w:w="80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419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关于《南阳市中医药发展局职能配置、内设机构和人员编制规定》的报告</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宛中医药〔2019〕4号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清理</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新文件代替</w:t>
            </w:r>
          </w:p>
        </w:tc>
        <w:tc>
          <w:tcPr>
            <w:tcW w:w="80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419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2018年中医医术确有专长人员医师资格市场申报材料和报名条件审核工作方案</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宛中医药〔2019〕11号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清理</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工作结束</w:t>
            </w:r>
          </w:p>
        </w:tc>
        <w:tc>
          <w:tcPr>
            <w:tcW w:w="80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419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关于中医类别医师从事精神障碍疾病诊断与治疗有关问题的通知</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宛中医药〔2019〕24号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仍然指导工作</w:t>
            </w:r>
          </w:p>
        </w:tc>
        <w:tc>
          <w:tcPr>
            <w:tcW w:w="80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419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vertAlign w:val="baseline"/>
                <w:lang w:val="en-US" w:eastAsia="zh-CN"/>
              </w:rPr>
              <w:t>关于持续开展“患者满意提升工程”的通知</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宛中医药〔2019〕26号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仍然指导工作</w:t>
            </w:r>
          </w:p>
        </w:tc>
        <w:tc>
          <w:tcPr>
            <w:tcW w:w="80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419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关于推进县级中医院开展县域医共体建设工作的通知</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宛中医药〔2019〕27号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仍然指导工作</w:t>
            </w:r>
          </w:p>
        </w:tc>
        <w:tc>
          <w:tcPr>
            <w:tcW w:w="80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419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关于做好中医疗机构医疗技术临床应用管理的通知</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宛中医药〔2019〕31号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仍然指导工作</w:t>
            </w:r>
          </w:p>
        </w:tc>
        <w:tc>
          <w:tcPr>
            <w:tcW w:w="80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419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关于印发《南阳市二级中医医院设置规划（2019-2024）》的通知</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宛中医药〔2019〕32号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仍然指导工作</w:t>
            </w:r>
          </w:p>
        </w:tc>
        <w:tc>
          <w:tcPr>
            <w:tcW w:w="80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419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市中医药发展局关于公务员日常登记备案的报告</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宛中医药〔2019〕35号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仍然指导工作</w:t>
            </w:r>
          </w:p>
        </w:tc>
        <w:tc>
          <w:tcPr>
            <w:tcW w:w="80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419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开展中医医疗机构感染防控排查整顿工作的通知</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宛中医药〔2019〕39号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清理</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新文件代替</w:t>
            </w:r>
          </w:p>
        </w:tc>
        <w:tc>
          <w:tcPr>
            <w:tcW w:w="80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323" w:type="dxa"/>
            <w:gridSpan w:val="6"/>
            <w:vAlign w:val="center"/>
          </w:tcPr>
          <w:p>
            <w:pPr>
              <w:keepNext w:val="0"/>
              <w:keepLines w:val="0"/>
              <w:pageBreakBefore w:val="0"/>
              <w:widowControl w:val="0"/>
              <w:kinsoku/>
              <w:wordWrap/>
              <w:overflowPunct/>
              <w:topLinePunct/>
              <w:autoSpaceDE/>
              <w:autoSpaceDN/>
              <w:bidi w:val="0"/>
              <w:adjustRightInd/>
              <w:snapToGrid/>
              <w:spacing w:line="360" w:lineRule="exact"/>
              <w:jc w:val="left"/>
              <w:rPr>
                <w:rFonts w:hint="default" w:ascii="宋体" w:hAnsi="宋体" w:eastAsia="宋体" w:cs="宋体"/>
                <w:sz w:val="24"/>
                <w:szCs w:val="24"/>
                <w:lang w:val="en-US" w:eastAsia="zh-CN"/>
              </w:rPr>
            </w:pPr>
            <w:r>
              <w:rPr>
                <w:rFonts w:hint="eastAsia" w:ascii="宋体" w:hAnsi="宋体" w:cs="宋体"/>
                <w:b/>
                <w:bCs/>
                <w:sz w:val="28"/>
                <w:szCs w:val="28"/>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keepNext w:val="0"/>
              <w:keepLines w:val="0"/>
              <w:pageBreakBefore w:val="0"/>
              <w:widowControl w:val="0"/>
              <w:suppressLineNumbers w:val="0"/>
              <w:kinsoku/>
              <w:wordWrap/>
              <w:overflowPunct/>
              <w:topLinePunct/>
              <w:autoSpaceDE/>
              <w:autoSpaceDN/>
              <w:bidi w:val="0"/>
              <w:adjustRightInd/>
              <w:snapToGrid/>
              <w:spacing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1</w:t>
            </w:r>
          </w:p>
        </w:tc>
        <w:tc>
          <w:tcPr>
            <w:tcW w:w="4198" w:type="dxa"/>
            <w:vAlign w:val="top"/>
          </w:tcPr>
          <w:p>
            <w:pPr>
              <w:keepNext w:val="0"/>
              <w:keepLines w:val="0"/>
              <w:pageBreakBefore w:val="0"/>
              <w:widowControl w:val="0"/>
              <w:kinsoku/>
              <w:wordWrap/>
              <w:overflowPunct/>
              <w:topLinePunct/>
              <w:autoSpaceDE/>
              <w:autoSpaceDN/>
              <w:bidi w:val="0"/>
              <w:adjustRightInd/>
              <w:snapToGrid/>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关于进一步落实新冠肺炎防治中西医协同机制的紧急通知</w:t>
            </w:r>
          </w:p>
        </w:tc>
        <w:tc>
          <w:tcPr>
            <w:tcW w:w="1815" w:type="dxa"/>
            <w:vAlign w:val="center"/>
          </w:tcPr>
          <w:p>
            <w:pPr>
              <w:keepNext w:val="0"/>
              <w:keepLines w:val="0"/>
              <w:pageBreakBefore w:val="0"/>
              <w:widowControl w:val="0"/>
              <w:suppressLineNumbers w:val="0"/>
              <w:kinsoku/>
              <w:wordWrap/>
              <w:overflowPunct/>
              <w:topLinePunct/>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宛中医药〔2020〕12号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kern w:val="2"/>
                <w:sz w:val="24"/>
                <w:szCs w:val="24"/>
                <w:lang w:val="en-US" w:eastAsia="zh-CN" w:bidi="ar-SA"/>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keepNext w:val="0"/>
              <w:keepLines w:val="0"/>
              <w:pageBreakBefore w:val="0"/>
              <w:widowControl w:val="0"/>
              <w:suppressLineNumbers w:val="0"/>
              <w:kinsoku/>
              <w:wordWrap/>
              <w:overflowPunct/>
              <w:topLinePunct/>
              <w:autoSpaceDE/>
              <w:autoSpaceDN/>
              <w:bidi w:val="0"/>
              <w:adjustRightInd/>
              <w:snapToGrid/>
              <w:spacing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2</w:t>
            </w:r>
          </w:p>
        </w:tc>
        <w:tc>
          <w:tcPr>
            <w:tcW w:w="4198" w:type="dxa"/>
            <w:vAlign w:val="top"/>
          </w:tcPr>
          <w:p>
            <w:pPr>
              <w:keepNext w:val="0"/>
              <w:keepLines w:val="0"/>
              <w:pageBreakBefore w:val="0"/>
              <w:widowControl w:val="0"/>
              <w:kinsoku/>
              <w:wordWrap/>
              <w:overflowPunct/>
              <w:topLinePunct/>
              <w:autoSpaceDE/>
              <w:autoSpaceDN/>
              <w:bidi w:val="0"/>
              <w:adjustRightInd/>
              <w:snapToGrid/>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关于南阳市中医药发展局行政职权清单进行动态调整的通知</w:t>
            </w:r>
          </w:p>
        </w:tc>
        <w:tc>
          <w:tcPr>
            <w:tcW w:w="1815" w:type="dxa"/>
            <w:vAlign w:val="center"/>
          </w:tcPr>
          <w:p>
            <w:pPr>
              <w:keepNext w:val="0"/>
              <w:keepLines w:val="0"/>
              <w:pageBreakBefore w:val="0"/>
              <w:widowControl w:val="0"/>
              <w:suppressLineNumbers w:val="0"/>
              <w:kinsoku/>
              <w:wordWrap/>
              <w:overflowPunct/>
              <w:topLinePunct/>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宛中医药〔2020〕19号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kern w:val="2"/>
                <w:sz w:val="24"/>
                <w:szCs w:val="24"/>
                <w:lang w:val="en-US" w:eastAsia="zh-CN" w:bidi="ar-SA"/>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keepNext w:val="0"/>
              <w:keepLines w:val="0"/>
              <w:pageBreakBefore w:val="0"/>
              <w:widowControl w:val="0"/>
              <w:suppressLineNumbers w:val="0"/>
              <w:kinsoku/>
              <w:wordWrap/>
              <w:overflowPunct/>
              <w:topLinePunct/>
              <w:autoSpaceDE/>
              <w:autoSpaceDN/>
              <w:bidi w:val="0"/>
              <w:adjustRightInd/>
              <w:snapToGrid/>
              <w:spacing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3</w:t>
            </w:r>
          </w:p>
        </w:tc>
        <w:tc>
          <w:tcPr>
            <w:tcW w:w="4198" w:type="dxa"/>
            <w:vAlign w:val="top"/>
          </w:tcPr>
          <w:p>
            <w:pPr>
              <w:keepNext w:val="0"/>
              <w:keepLines w:val="0"/>
              <w:pageBreakBefore w:val="0"/>
              <w:widowControl w:val="0"/>
              <w:kinsoku/>
              <w:wordWrap/>
              <w:overflowPunct/>
              <w:topLinePunct/>
              <w:autoSpaceDE/>
              <w:autoSpaceDN/>
              <w:bidi w:val="0"/>
              <w:adjustRightInd/>
              <w:snapToGrid/>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关于加强南阳名中医和专家宣传的通知</w:t>
            </w:r>
          </w:p>
        </w:tc>
        <w:tc>
          <w:tcPr>
            <w:tcW w:w="1815" w:type="dxa"/>
            <w:vAlign w:val="center"/>
          </w:tcPr>
          <w:p>
            <w:pPr>
              <w:keepNext w:val="0"/>
              <w:keepLines w:val="0"/>
              <w:pageBreakBefore w:val="0"/>
              <w:widowControl w:val="0"/>
              <w:suppressLineNumbers w:val="0"/>
              <w:kinsoku/>
              <w:wordWrap/>
              <w:overflowPunct/>
              <w:topLinePunct/>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宛中医药〔2020〕31号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kern w:val="2"/>
                <w:sz w:val="24"/>
                <w:szCs w:val="24"/>
                <w:lang w:val="en-US" w:eastAsia="zh-CN" w:bidi="ar-SA"/>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keepNext w:val="0"/>
              <w:keepLines w:val="0"/>
              <w:pageBreakBefore w:val="0"/>
              <w:widowControl w:val="0"/>
              <w:suppressLineNumbers w:val="0"/>
              <w:kinsoku/>
              <w:wordWrap/>
              <w:overflowPunct/>
              <w:topLinePunct/>
              <w:autoSpaceDE/>
              <w:autoSpaceDN/>
              <w:bidi w:val="0"/>
              <w:adjustRightInd/>
              <w:snapToGrid/>
              <w:spacing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4</w:t>
            </w:r>
          </w:p>
        </w:tc>
        <w:tc>
          <w:tcPr>
            <w:tcW w:w="4198" w:type="dxa"/>
            <w:vAlign w:val="top"/>
          </w:tcPr>
          <w:p>
            <w:pPr>
              <w:keepNext w:val="0"/>
              <w:keepLines w:val="0"/>
              <w:pageBreakBefore w:val="0"/>
              <w:widowControl w:val="0"/>
              <w:kinsoku/>
              <w:wordWrap/>
              <w:overflowPunct/>
              <w:topLinePunct/>
              <w:autoSpaceDE/>
              <w:autoSpaceDN/>
              <w:bidi w:val="0"/>
              <w:adjustRightInd/>
              <w:snapToGrid/>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关于成立南阳市中医药发展局京宛对口协作工作领导小组的通知</w:t>
            </w:r>
          </w:p>
        </w:tc>
        <w:tc>
          <w:tcPr>
            <w:tcW w:w="1815" w:type="dxa"/>
            <w:vAlign w:val="center"/>
          </w:tcPr>
          <w:p>
            <w:pPr>
              <w:keepNext w:val="0"/>
              <w:keepLines w:val="0"/>
              <w:pageBreakBefore w:val="0"/>
              <w:widowControl w:val="0"/>
              <w:suppressLineNumbers w:val="0"/>
              <w:kinsoku/>
              <w:wordWrap/>
              <w:overflowPunct/>
              <w:topLinePunct/>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宛中医药〔2020〕34号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kern w:val="2"/>
                <w:sz w:val="24"/>
                <w:szCs w:val="24"/>
                <w:lang w:val="en-US" w:eastAsia="zh-CN" w:bidi="ar-SA"/>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keepNext w:val="0"/>
              <w:keepLines w:val="0"/>
              <w:pageBreakBefore w:val="0"/>
              <w:widowControl w:val="0"/>
              <w:suppressLineNumbers w:val="0"/>
              <w:kinsoku/>
              <w:wordWrap/>
              <w:overflowPunct/>
              <w:topLinePunct/>
              <w:autoSpaceDE/>
              <w:autoSpaceDN/>
              <w:bidi w:val="0"/>
              <w:adjustRightInd/>
              <w:snapToGrid/>
              <w:spacing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5</w:t>
            </w:r>
          </w:p>
        </w:tc>
        <w:tc>
          <w:tcPr>
            <w:tcW w:w="4198" w:type="dxa"/>
            <w:vAlign w:val="top"/>
          </w:tcPr>
          <w:p>
            <w:pPr>
              <w:keepNext w:val="0"/>
              <w:keepLines w:val="0"/>
              <w:pageBreakBefore w:val="0"/>
              <w:widowControl w:val="0"/>
              <w:kinsoku/>
              <w:wordWrap/>
              <w:overflowPunct/>
              <w:topLinePunct/>
              <w:autoSpaceDE/>
              <w:autoSpaceDN/>
              <w:bidi w:val="0"/>
              <w:adjustRightInd/>
              <w:snapToGrid/>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关于组织申报市中医药文化宣传教育基地的通知</w:t>
            </w:r>
          </w:p>
        </w:tc>
        <w:tc>
          <w:tcPr>
            <w:tcW w:w="1815" w:type="dxa"/>
            <w:vAlign w:val="center"/>
          </w:tcPr>
          <w:p>
            <w:pPr>
              <w:keepNext w:val="0"/>
              <w:keepLines w:val="0"/>
              <w:pageBreakBefore w:val="0"/>
              <w:widowControl w:val="0"/>
              <w:suppressLineNumbers w:val="0"/>
              <w:kinsoku/>
              <w:wordWrap/>
              <w:overflowPunct/>
              <w:topLinePunct/>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宛中医药〔2020〕36号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kern w:val="2"/>
                <w:sz w:val="24"/>
                <w:szCs w:val="24"/>
                <w:lang w:val="en-US" w:eastAsia="zh-CN" w:bidi="ar-SA"/>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keepNext w:val="0"/>
              <w:keepLines w:val="0"/>
              <w:pageBreakBefore w:val="0"/>
              <w:widowControl w:val="0"/>
              <w:suppressLineNumbers w:val="0"/>
              <w:kinsoku/>
              <w:wordWrap/>
              <w:overflowPunct/>
              <w:topLinePunct/>
              <w:autoSpaceDE/>
              <w:autoSpaceDN/>
              <w:bidi w:val="0"/>
              <w:adjustRightInd/>
              <w:snapToGrid/>
              <w:spacing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6</w:t>
            </w:r>
          </w:p>
        </w:tc>
        <w:tc>
          <w:tcPr>
            <w:tcW w:w="4198" w:type="dxa"/>
            <w:vAlign w:val="top"/>
          </w:tcPr>
          <w:p>
            <w:pPr>
              <w:keepNext w:val="0"/>
              <w:keepLines w:val="0"/>
              <w:pageBreakBefore w:val="0"/>
              <w:widowControl w:val="0"/>
              <w:kinsoku/>
              <w:wordWrap/>
              <w:overflowPunct/>
              <w:topLinePunct/>
              <w:autoSpaceDE/>
              <w:autoSpaceDN/>
              <w:bidi w:val="0"/>
              <w:adjustRightInd/>
              <w:snapToGrid/>
              <w:spacing w:line="360" w:lineRule="exact"/>
              <w:jc w:val="center"/>
              <w:rPr>
                <w:rFonts w:hint="eastAsia" w:ascii="宋体" w:hAnsi="宋体" w:eastAsia="宋体" w:cs="宋体"/>
                <w:sz w:val="24"/>
                <w:szCs w:val="24"/>
              </w:rPr>
            </w:pPr>
            <w:r>
              <w:rPr>
                <w:rFonts w:hint="eastAsia" w:ascii="宋体" w:hAnsi="宋体" w:eastAsia="宋体" w:cs="宋体"/>
                <w:sz w:val="24"/>
                <w:szCs w:val="24"/>
              </w:rPr>
              <w:t>关于成立国家安全工作领导小组的通知</w:t>
            </w:r>
          </w:p>
        </w:tc>
        <w:tc>
          <w:tcPr>
            <w:tcW w:w="1815" w:type="dxa"/>
            <w:vAlign w:val="center"/>
          </w:tcPr>
          <w:p>
            <w:pPr>
              <w:keepNext w:val="0"/>
              <w:keepLines w:val="0"/>
              <w:pageBreakBefore w:val="0"/>
              <w:widowControl w:val="0"/>
              <w:suppressLineNumbers w:val="0"/>
              <w:kinsoku/>
              <w:wordWrap/>
              <w:overflowPunct/>
              <w:topLinePunct/>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宛中医药〔2020〕38号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keepNext w:val="0"/>
              <w:keepLines w:val="0"/>
              <w:pageBreakBefore w:val="0"/>
              <w:widowControl w:val="0"/>
              <w:suppressLineNumbers w:val="0"/>
              <w:kinsoku/>
              <w:wordWrap/>
              <w:overflowPunct/>
              <w:topLinePunct/>
              <w:autoSpaceDE/>
              <w:autoSpaceDN/>
              <w:bidi w:val="0"/>
              <w:adjustRightInd/>
              <w:snapToGrid/>
              <w:spacing w:line="36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7</w:t>
            </w:r>
          </w:p>
        </w:tc>
        <w:tc>
          <w:tcPr>
            <w:tcW w:w="4198" w:type="dxa"/>
            <w:vAlign w:val="top"/>
          </w:tcPr>
          <w:p>
            <w:pPr>
              <w:keepNext w:val="0"/>
              <w:keepLines w:val="0"/>
              <w:pageBreakBefore w:val="0"/>
              <w:widowControl w:val="0"/>
              <w:kinsoku/>
              <w:wordWrap/>
              <w:overflowPunct/>
              <w:topLinePunct/>
              <w:autoSpaceDE/>
              <w:autoSpaceDN/>
              <w:bidi w:val="0"/>
              <w:adjustRightInd/>
              <w:snapToGrid/>
              <w:spacing w:line="360" w:lineRule="exact"/>
              <w:jc w:val="center"/>
              <w:rPr>
                <w:rFonts w:hint="eastAsia" w:ascii="宋体" w:hAnsi="宋体" w:eastAsia="宋体" w:cs="宋体"/>
                <w:sz w:val="24"/>
                <w:szCs w:val="24"/>
              </w:rPr>
            </w:pPr>
            <w:r>
              <w:rPr>
                <w:rFonts w:hint="eastAsia" w:ascii="宋体" w:hAnsi="宋体" w:eastAsia="宋体" w:cs="宋体"/>
                <w:sz w:val="24"/>
                <w:szCs w:val="24"/>
              </w:rPr>
              <w:t>关于开展2020年中医师承和确有专长考核考试的通知</w:t>
            </w:r>
          </w:p>
        </w:tc>
        <w:tc>
          <w:tcPr>
            <w:tcW w:w="1815" w:type="dxa"/>
            <w:vAlign w:val="center"/>
          </w:tcPr>
          <w:p>
            <w:pPr>
              <w:keepNext w:val="0"/>
              <w:keepLines w:val="0"/>
              <w:pageBreakBefore w:val="0"/>
              <w:widowControl w:val="0"/>
              <w:suppressLineNumbers w:val="0"/>
              <w:kinsoku/>
              <w:wordWrap/>
              <w:overflowPunct/>
              <w:topLinePunct/>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宛中医药〔2020〕51号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eastAsia="zh-CN"/>
              </w:rPr>
              <w:t>清理</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工作结束</w:t>
            </w:r>
          </w:p>
        </w:tc>
        <w:tc>
          <w:tcPr>
            <w:tcW w:w="804"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323" w:type="dxa"/>
            <w:gridSpan w:val="6"/>
            <w:vAlign w:val="center"/>
          </w:tcPr>
          <w:p>
            <w:pPr>
              <w:rPr>
                <w:rFonts w:hint="eastAsia" w:ascii="宋体" w:hAnsi="宋体" w:eastAsia="宋体" w:cs="宋体"/>
                <w:sz w:val="24"/>
                <w:szCs w:val="24"/>
              </w:rPr>
            </w:pPr>
            <w:r>
              <w:rPr>
                <w:rFonts w:hint="eastAsia" w:ascii="宋体" w:hAnsi="宋体" w:cs="宋体"/>
                <w:b/>
                <w:bCs/>
                <w:sz w:val="28"/>
                <w:szCs w:val="28"/>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default" w:ascii="宋体" w:hAnsi="宋体" w:cs="宋体"/>
                <w:sz w:val="21"/>
                <w:szCs w:val="21"/>
                <w:lang w:val="en" w:eastAsia="zh-CN"/>
              </w:rPr>
              <w:t>1</w:t>
            </w:r>
          </w:p>
        </w:tc>
        <w:tc>
          <w:tcPr>
            <w:tcW w:w="4198" w:type="dxa"/>
            <w:vAlign w:val="top"/>
          </w:tcPr>
          <w:p>
            <w:pPr>
              <w:jc w:val="center"/>
              <w:rPr>
                <w:rFonts w:hint="eastAsia" w:ascii="宋体" w:hAnsi="宋体" w:eastAsia="宋体" w:cs="宋体"/>
                <w:sz w:val="21"/>
                <w:szCs w:val="21"/>
              </w:rPr>
            </w:pPr>
            <w:r>
              <w:rPr>
                <w:rFonts w:hint="eastAsia" w:ascii="宋体" w:hAnsi="宋体" w:eastAsia="宋体" w:cs="宋体"/>
                <w:sz w:val="21"/>
                <w:szCs w:val="21"/>
              </w:rPr>
              <w:t>关于印发南阳市2021年持续深化安全生产风险隐患双重预防体系建设工作方案的通知</w:t>
            </w:r>
          </w:p>
          <w:p>
            <w:pPr>
              <w:jc w:val="center"/>
              <w:rPr>
                <w:rFonts w:hint="eastAsia" w:ascii="宋体" w:hAnsi="宋体" w:eastAsia="宋体" w:cs="宋体"/>
                <w:sz w:val="24"/>
                <w:szCs w:val="24"/>
              </w:rPr>
            </w:pPr>
          </w:p>
        </w:tc>
        <w:tc>
          <w:tcPr>
            <w:tcW w:w="1815"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宛中医药【2021】10号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default" w:ascii="宋体" w:hAnsi="宋体" w:cs="宋体"/>
                <w:sz w:val="21"/>
                <w:szCs w:val="21"/>
                <w:lang w:val="en" w:eastAsia="zh-CN"/>
              </w:rPr>
              <w:t>2</w:t>
            </w:r>
          </w:p>
        </w:tc>
        <w:tc>
          <w:tcPr>
            <w:tcW w:w="4198" w:type="dxa"/>
            <w:vAlign w:val="top"/>
          </w:tcPr>
          <w:p>
            <w:pPr>
              <w:jc w:val="center"/>
              <w:rPr>
                <w:rFonts w:hint="eastAsia" w:ascii="宋体" w:hAnsi="宋体" w:eastAsia="宋体" w:cs="宋体"/>
                <w:sz w:val="21"/>
                <w:szCs w:val="21"/>
              </w:rPr>
            </w:pPr>
            <w:r>
              <w:rPr>
                <w:rFonts w:hint="eastAsia" w:ascii="宋体" w:hAnsi="宋体" w:eastAsia="宋体" w:cs="宋体"/>
                <w:sz w:val="21"/>
                <w:szCs w:val="21"/>
              </w:rPr>
              <w:t>关于进一步细化企业双重预防体系质量标准的通知</w:t>
            </w:r>
          </w:p>
          <w:p>
            <w:pPr>
              <w:jc w:val="center"/>
              <w:rPr>
                <w:rFonts w:hint="eastAsia" w:ascii="宋体" w:hAnsi="宋体" w:eastAsia="宋体" w:cs="宋体"/>
                <w:sz w:val="24"/>
                <w:szCs w:val="24"/>
              </w:rPr>
            </w:pPr>
          </w:p>
        </w:tc>
        <w:tc>
          <w:tcPr>
            <w:tcW w:w="1815"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宛中医药【2021】11号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default" w:ascii="宋体" w:hAnsi="宋体" w:cs="宋体"/>
                <w:sz w:val="21"/>
                <w:szCs w:val="21"/>
                <w:lang w:val="en" w:eastAsia="zh-CN"/>
              </w:rPr>
              <w:t>3</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color w:val="000000"/>
                <w:sz w:val="21"/>
                <w:szCs w:val="21"/>
              </w:rPr>
              <w:t>关于切实加强中医医院院内感染做好常态化疫情防控工作的通知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28号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4</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color w:val="000000"/>
                <w:sz w:val="21"/>
                <w:szCs w:val="21"/>
              </w:rPr>
              <w:t>关于深刻吸取事故教训切实做好当前安全生产工作的紧急通知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44号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5</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color w:val="000000"/>
                <w:sz w:val="21"/>
                <w:szCs w:val="21"/>
              </w:rPr>
              <w:t>关于进一步加强全省卫生健康系统安全稳定工作的通知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45号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6</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sz w:val="21"/>
                <w:szCs w:val="21"/>
              </w:rPr>
              <w:t>关于推进综合医院、专科医院中医药科室标准化建设的实施意见的通知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46</w:t>
            </w:r>
            <w:r>
              <w:rPr>
                <w:rFonts w:hint="eastAsia" w:ascii="宋体" w:hAnsi="宋体" w:eastAsia="宋体" w:cs="宋体"/>
                <w:sz w:val="21"/>
                <w:szCs w:val="21"/>
              </w:rPr>
              <w:t>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7</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sz w:val="21"/>
                <w:szCs w:val="21"/>
              </w:rPr>
              <w:t>关于重申进一步加强医疗机构重点部门感染防控工作的通知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47号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8</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sz w:val="21"/>
                <w:szCs w:val="21"/>
              </w:rPr>
              <w:t>关于成立南阳市中医药发展局新冠肺炎中医防治工作领导小组的通知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52号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9</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sz w:val="21"/>
                <w:szCs w:val="21"/>
              </w:rPr>
              <w:t>关于加强中医药新冠肺炎疫情防控工作的紧急通知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53号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10</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sz w:val="21"/>
                <w:szCs w:val="21"/>
              </w:rPr>
              <w:t>关于公布南阳市夏秋季新冠肺炎中医药预防方案的通知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55号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11</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sz w:val="21"/>
                <w:szCs w:val="21"/>
              </w:rPr>
              <w:t>关于印发南阳市中医药发展局“万人助万企”支持措施的通知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56号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12</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sz w:val="21"/>
                <w:szCs w:val="21"/>
              </w:rPr>
              <w:t>关于调整南阳市新冠肺炎中医防治组的专家组</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57号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13</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sz w:val="21"/>
                <w:szCs w:val="21"/>
              </w:rPr>
              <w:t>中医药发展局关于落实13710工作实施方案</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58号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14</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sz w:val="21"/>
                <w:szCs w:val="21"/>
              </w:rPr>
              <w:t>关于调整南阳市中医药发展局京宛对口协作工作领导小组成员的通知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67号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default" w:ascii="宋体" w:hAnsi="宋体" w:cs="宋体"/>
                <w:sz w:val="21"/>
                <w:szCs w:val="21"/>
                <w:lang w:val="en" w:eastAsia="zh-CN"/>
              </w:rPr>
              <w:t>1</w:t>
            </w:r>
            <w:r>
              <w:rPr>
                <w:rFonts w:hint="eastAsia" w:ascii="宋体" w:hAnsi="宋体" w:cs="宋体"/>
                <w:sz w:val="21"/>
                <w:szCs w:val="21"/>
                <w:lang w:val="en-US" w:eastAsia="zh-CN"/>
              </w:rPr>
              <w:t>5</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sz w:val="21"/>
                <w:szCs w:val="21"/>
              </w:rPr>
              <w:t>关于对权责清单进行梳理调整的报告</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72号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default" w:ascii="宋体" w:hAnsi="宋体" w:cs="宋体"/>
                <w:sz w:val="21"/>
                <w:szCs w:val="21"/>
                <w:lang w:val="en" w:eastAsia="zh-CN"/>
              </w:rPr>
              <w:t>1</w:t>
            </w:r>
            <w:r>
              <w:rPr>
                <w:rFonts w:hint="eastAsia" w:ascii="宋体" w:hAnsi="宋体" w:cs="宋体"/>
                <w:sz w:val="21"/>
                <w:szCs w:val="21"/>
                <w:lang w:val="en-US" w:eastAsia="zh-CN"/>
              </w:rPr>
              <w:t>6</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sz w:val="21"/>
                <w:szCs w:val="21"/>
              </w:rPr>
              <w:t>关于公布南阳市冬季新冠肺炎中医药预防方案的通知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83号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default" w:ascii="宋体" w:hAnsi="宋体" w:cs="宋体"/>
                <w:sz w:val="21"/>
                <w:szCs w:val="21"/>
                <w:lang w:val="en" w:eastAsia="zh-CN"/>
              </w:rPr>
              <w:t>1</w:t>
            </w:r>
            <w:r>
              <w:rPr>
                <w:rFonts w:hint="eastAsia" w:ascii="宋体" w:hAnsi="宋体" w:cs="宋体"/>
                <w:sz w:val="21"/>
                <w:szCs w:val="21"/>
                <w:lang w:val="en-US" w:eastAsia="zh-CN"/>
              </w:rPr>
              <w:t>7</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sz w:val="21"/>
                <w:szCs w:val="21"/>
              </w:rPr>
              <w:t>关于加强国</w:t>
            </w:r>
            <w:r>
              <w:rPr>
                <w:rFonts w:hint="eastAsia" w:ascii="宋体" w:hAnsi="宋体" w:cs="宋体"/>
                <w:sz w:val="21"/>
                <w:szCs w:val="21"/>
                <w:lang w:eastAsia="zh-CN"/>
              </w:rPr>
              <w:t>家</w:t>
            </w:r>
            <w:r>
              <w:rPr>
                <w:rFonts w:hint="eastAsia" w:ascii="宋体" w:hAnsi="宋体" w:eastAsia="宋体" w:cs="宋体"/>
                <w:sz w:val="21"/>
                <w:szCs w:val="21"/>
              </w:rPr>
              <w:t>基本公共卫生服务中医药健康教育的通知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85号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18</w:t>
            </w:r>
          </w:p>
        </w:tc>
        <w:tc>
          <w:tcPr>
            <w:tcW w:w="4198" w:type="dxa"/>
            <w:vAlign w:val="center"/>
          </w:tcPr>
          <w:p>
            <w:pPr>
              <w:widowControl w:val="0"/>
              <w:autoSpaceDE w:val="0"/>
              <w:autoSpaceDN w:val="0"/>
              <w:jc w:val="center"/>
              <w:rPr>
                <w:rFonts w:hint="eastAsia" w:ascii="宋体" w:hAnsi="宋体" w:eastAsia="宋体" w:cs="宋体"/>
                <w:sz w:val="24"/>
                <w:szCs w:val="24"/>
              </w:rPr>
            </w:pPr>
            <w:r>
              <w:rPr>
                <w:rFonts w:hint="eastAsia" w:ascii="宋体" w:hAnsi="宋体" w:eastAsia="宋体" w:cs="宋体"/>
                <w:sz w:val="21"/>
                <w:szCs w:val="21"/>
                <w:lang w:eastAsia="zh-CN"/>
              </w:rPr>
              <w:t>关于下放部分二级医疗机构设置登记管理权限的通知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〔2021〕</w:t>
            </w:r>
            <w:r>
              <w:rPr>
                <w:rFonts w:hint="eastAsia" w:ascii="宋体" w:hAnsi="宋体" w:eastAsia="宋体" w:cs="宋体"/>
                <w:sz w:val="21"/>
                <w:szCs w:val="21"/>
                <w:lang w:val="en-US" w:eastAsia="zh-CN"/>
              </w:rPr>
              <w:t>93号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323" w:type="dxa"/>
            <w:gridSpan w:val="6"/>
            <w:vAlign w:val="center"/>
          </w:tcPr>
          <w:p>
            <w:pPr>
              <w:rPr>
                <w:rFonts w:hint="eastAsia" w:ascii="宋体" w:hAnsi="宋体" w:eastAsia="宋体" w:cs="宋体"/>
                <w:sz w:val="24"/>
                <w:szCs w:val="24"/>
              </w:rPr>
            </w:pPr>
            <w:r>
              <w:rPr>
                <w:rFonts w:hint="eastAsia" w:ascii="宋体" w:hAnsi="宋体" w:cs="宋体"/>
                <w:b/>
                <w:bCs/>
                <w:sz w:val="28"/>
                <w:szCs w:val="28"/>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1</w:t>
            </w:r>
          </w:p>
        </w:tc>
        <w:tc>
          <w:tcPr>
            <w:tcW w:w="4198" w:type="dxa"/>
            <w:vAlign w:val="top"/>
          </w:tcPr>
          <w:p>
            <w:pPr>
              <w:jc w:val="center"/>
              <w:rPr>
                <w:rFonts w:hint="eastAsia" w:ascii="宋体" w:hAnsi="宋体" w:eastAsia="宋体" w:cs="宋体"/>
                <w:sz w:val="24"/>
                <w:szCs w:val="24"/>
              </w:rPr>
            </w:pPr>
            <w:r>
              <w:rPr>
                <w:rFonts w:hint="eastAsia"/>
              </w:rPr>
              <w:t>关于印发标准化灸疗中心（</w:t>
            </w:r>
            <w:r>
              <w:rPr>
                <w:rFonts w:hint="eastAsia"/>
                <w:lang w:eastAsia="zh-CN"/>
              </w:rPr>
              <w:t>馆</w:t>
            </w:r>
            <w:r>
              <w:rPr>
                <w:rFonts w:hint="eastAsia"/>
                <w:lang w:val="en-US" w:eastAsia="zh-CN"/>
              </w:rPr>
              <w:t>.室</w:t>
            </w:r>
            <w:r>
              <w:rPr>
                <w:rFonts w:hint="eastAsia"/>
              </w:rPr>
              <w:t>）项目通知</w:t>
            </w:r>
          </w:p>
        </w:tc>
        <w:tc>
          <w:tcPr>
            <w:tcW w:w="1815"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宛中医药【202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号</w:t>
            </w:r>
          </w:p>
        </w:tc>
        <w:tc>
          <w:tcPr>
            <w:tcW w:w="1740" w:type="dxa"/>
            <w:vAlign w:val="top"/>
          </w:tcPr>
          <w:p>
            <w:pPr>
              <w:jc w:val="center"/>
              <w:rPr>
                <w:rFonts w:hint="eastAsia" w:ascii="宋体" w:hAnsi="宋体" w:cs="宋体"/>
                <w:sz w:val="21"/>
                <w:szCs w:val="21"/>
                <w:lang w:val="en-US" w:eastAsia="zh-CN"/>
              </w:rPr>
            </w:pP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top"/>
          </w:tcPr>
          <w:p>
            <w:pP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2</w:t>
            </w:r>
          </w:p>
        </w:tc>
        <w:tc>
          <w:tcPr>
            <w:tcW w:w="4198" w:type="dxa"/>
            <w:vAlign w:val="top"/>
          </w:tcPr>
          <w:p>
            <w:pPr>
              <w:jc w:val="center"/>
              <w:rPr>
                <w:rFonts w:hint="eastAsia" w:ascii="宋体" w:hAnsi="宋体" w:eastAsia="宋体" w:cs="宋体"/>
                <w:sz w:val="24"/>
                <w:szCs w:val="24"/>
              </w:rPr>
            </w:pPr>
            <w:r>
              <w:rPr>
                <w:rFonts w:hint="eastAsia"/>
              </w:rPr>
              <w:t>关于确定2021年度南阳市中医重点专科建设单位的通知</w:t>
            </w:r>
          </w:p>
        </w:tc>
        <w:tc>
          <w:tcPr>
            <w:tcW w:w="1815"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宛中医药【202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号</w:t>
            </w:r>
          </w:p>
        </w:tc>
        <w:tc>
          <w:tcPr>
            <w:tcW w:w="1740" w:type="dxa"/>
            <w:vAlign w:val="top"/>
          </w:tcPr>
          <w:p>
            <w:pPr>
              <w:jc w:val="center"/>
              <w:rPr>
                <w:rFonts w:hint="eastAsia" w:ascii="宋体" w:hAnsi="宋体" w:cs="宋体"/>
                <w:sz w:val="21"/>
                <w:szCs w:val="21"/>
                <w:lang w:val="en-US" w:eastAsia="zh-CN"/>
              </w:rPr>
            </w:pP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top"/>
          </w:tcPr>
          <w:p>
            <w:pP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3</w:t>
            </w:r>
          </w:p>
        </w:tc>
        <w:tc>
          <w:tcPr>
            <w:tcW w:w="4198" w:type="dxa"/>
            <w:vAlign w:val="top"/>
          </w:tcPr>
          <w:p>
            <w:pPr>
              <w:jc w:val="center"/>
              <w:rPr>
                <w:rFonts w:hint="eastAsia" w:ascii="宋体" w:hAnsi="宋体" w:eastAsia="宋体" w:cs="宋体"/>
                <w:sz w:val="24"/>
                <w:szCs w:val="24"/>
              </w:rPr>
            </w:pPr>
            <w:r>
              <w:rPr>
                <w:rFonts w:hint="eastAsia"/>
              </w:rPr>
              <w:t>关于成立中医药重点任务工作专班的通知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13</w:t>
            </w:r>
            <w:r>
              <w:rPr>
                <w:rFonts w:hint="eastAsia" w:ascii="宋体" w:hAnsi="宋体" w:eastAsia="宋体" w:cs="宋体"/>
                <w:sz w:val="21"/>
                <w:szCs w:val="21"/>
              </w:rPr>
              <w:t>号</w:t>
            </w:r>
          </w:p>
        </w:tc>
        <w:tc>
          <w:tcPr>
            <w:tcW w:w="1740" w:type="dxa"/>
            <w:vAlign w:val="top"/>
          </w:tcPr>
          <w:p>
            <w:pPr>
              <w:jc w:val="center"/>
              <w:rPr>
                <w:rFonts w:hint="eastAsia" w:ascii="宋体" w:hAnsi="宋体" w:cs="宋体"/>
                <w:sz w:val="21"/>
                <w:szCs w:val="21"/>
                <w:lang w:val="en-US" w:eastAsia="zh-CN"/>
              </w:rPr>
            </w:pP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top"/>
          </w:tcPr>
          <w:p>
            <w:pP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4</w:t>
            </w:r>
          </w:p>
        </w:tc>
        <w:tc>
          <w:tcPr>
            <w:tcW w:w="4198" w:type="dxa"/>
            <w:vAlign w:val="top"/>
          </w:tcPr>
          <w:p>
            <w:pPr>
              <w:jc w:val="center"/>
              <w:rPr>
                <w:rFonts w:hint="eastAsia" w:ascii="宋体" w:hAnsi="宋体" w:eastAsia="宋体" w:cs="宋体"/>
                <w:sz w:val="24"/>
                <w:szCs w:val="24"/>
              </w:rPr>
            </w:pPr>
            <w:r>
              <w:rPr>
                <w:rFonts w:hint="eastAsia"/>
              </w:rPr>
              <w:t>关于印发南阳市中医药事宜技术遴选推广工作方案的通知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25</w:t>
            </w:r>
            <w:r>
              <w:rPr>
                <w:rFonts w:hint="eastAsia" w:ascii="宋体" w:hAnsi="宋体" w:eastAsia="宋体" w:cs="宋体"/>
                <w:sz w:val="21"/>
                <w:szCs w:val="21"/>
                <w:lang w:val="en-US" w:eastAsia="zh-CN"/>
              </w:rPr>
              <w:t>号</w:t>
            </w:r>
          </w:p>
        </w:tc>
        <w:tc>
          <w:tcPr>
            <w:tcW w:w="1740" w:type="dxa"/>
            <w:vAlign w:val="top"/>
          </w:tcPr>
          <w:p>
            <w:pPr>
              <w:jc w:val="center"/>
              <w:rPr>
                <w:rFonts w:hint="eastAsia" w:ascii="宋体" w:hAnsi="宋体" w:cs="宋体"/>
                <w:sz w:val="21"/>
                <w:szCs w:val="21"/>
                <w:lang w:val="en-US" w:eastAsia="zh-CN"/>
              </w:rPr>
            </w:pP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top"/>
          </w:tcPr>
          <w:p>
            <w:pP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0" w:type="dxa"/>
            <w:vAlign w:val="center"/>
          </w:tcPr>
          <w:p>
            <w:pPr>
              <w:widowControl w:val="0"/>
              <w:autoSpaceDE w:val="0"/>
              <w:autoSpaceDN w:val="0"/>
              <w:jc w:val="center"/>
              <w:rPr>
                <w:rFonts w:hint="eastAsia" w:ascii="宋体" w:hAnsi="宋体" w:cs="宋体"/>
                <w:sz w:val="24"/>
                <w:szCs w:val="24"/>
                <w:lang w:val="en-US" w:eastAsia="zh-CN"/>
              </w:rPr>
            </w:pPr>
            <w:r>
              <w:rPr>
                <w:rFonts w:hint="eastAsia" w:ascii="宋体" w:hAnsi="宋体" w:cs="宋体"/>
                <w:sz w:val="21"/>
                <w:szCs w:val="21"/>
                <w:lang w:val="en-US" w:eastAsia="zh-CN"/>
              </w:rPr>
              <w:t>5</w:t>
            </w:r>
          </w:p>
        </w:tc>
        <w:tc>
          <w:tcPr>
            <w:tcW w:w="4198" w:type="dxa"/>
            <w:vAlign w:val="top"/>
          </w:tcPr>
          <w:p>
            <w:pPr>
              <w:jc w:val="center"/>
              <w:rPr>
                <w:rFonts w:hint="eastAsia" w:ascii="宋体" w:hAnsi="宋体" w:eastAsia="宋体" w:cs="宋体"/>
                <w:sz w:val="24"/>
                <w:szCs w:val="24"/>
              </w:rPr>
            </w:pPr>
            <w:r>
              <w:rPr>
                <w:rFonts w:hint="eastAsia"/>
              </w:rPr>
              <w:t>关于印发南阳市万名中医师家庭签约服务实施方案（试行）的通知</w:t>
            </w:r>
          </w:p>
        </w:tc>
        <w:tc>
          <w:tcPr>
            <w:tcW w:w="1815" w:type="dxa"/>
            <w:vAlign w:val="center"/>
          </w:tcPr>
          <w:p>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rPr>
              <w:t>宛</w:t>
            </w:r>
            <w:r>
              <w:rPr>
                <w:rFonts w:hint="eastAsia" w:ascii="宋体" w:hAnsi="宋体" w:eastAsia="宋体" w:cs="宋体"/>
                <w:sz w:val="21"/>
                <w:szCs w:val="21"/>
                <w:lang w:eastAsia="zh-CN"/>
              </w:rPr>
              <w:t>中医药</w:t>
            </w:r>
            <w:r>
              <w:rPr>
                <w:rFonts w:hint="eastAsia" w:ascii="宋体" w:hAnsi="宋体" w:eastAsia="宋体" w:cs="宋体"/>
                <w:sz w:val="21"/>
                <w:szCs w:val="21"/>
              </w:rPr>
              <w:t>〔202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26</w:t>
            </w:r>
            <w:r>
              <w:rPr>
                <w:rFonts w:hint="eastAsia" w:ascii="宋体" w:hAnsi="宋体" w:eastAsia="宋体" w:cs="宋体"/>
                <w:sz w:val="21"/>
                <w:szCs w:val="21"/>
                <w:lang w:val="en-US" w:eastAsia="zh-CN"/>
              </w:rPr>
              <w:t>号</w:t>
            </w:r>
          </w:p>
        </w:tc>
        <w:tc>
          <w:tcPr>
            <w:tcW w:w="1740" w:type="dxa"/>
            <w:vAlign w:val="top"/>
          </w:tcPr>
          <w:p>
            <w:pPr>
              <w:jc w:val="center"/>
              <w:rPr>
                <w:rFonts w:hint="eastAsia" w:ascii="宋体" w:hAnsi="宋体" w:cs="宋体"/>
                <w:sz w:val="21"/>
                <w:szCs w:val="21"/>
                <w:lang w:val="en-US" w:eastAsia="zh-CN"/>
              </w:rPr>
            </w:pP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保留</w:t>
            </w:r>
          </w:p>
        </w:tc>
        <w:tc>
          <w:tcPr>
            <w:tcW w:w="1006" w:type="dxa"/>
            <w:vAlign w:val="top"/>
          </w:tcPr>
          <w:p>
            <w:pPr>
              <w:rPr>
                <w:rFonts w:hint="eastAsia" w:ascii="宋体" w:hAnsi="宋体" w:cs="宋体"/>
                <w:sz w:val="24"/>
                <w:szCs w:val="24"/>
                <w:lang w:eastAsia="zh-CN"/>
              </w:rPr>
            </w:pPr>
            <w:r>
              <w:rPr>
                <w:rFonts w:hint="eastAsia" w:ascii="宋体" w:hAnsi="宋体" w:cs="宋体"/>
                <w:sz w:val="24"/>
                <w:szCs w:val="24"/>
                <w:lang w:eastAsia="zh-CN"/>
              </w:rPr>
              <w:t>仍然指导工作</w:t>
            </w:r>
          </w:p>
        </w:tc>
        <w:tc>
          <w:tcPr>
            <w:tcW w:w="804" w:type="dxa"/>
            <w:vAlign w:val="center"/>
          </w:tcPr>
          <w:p>
            <w:pPr>
              <w:spacing w:line="240" w:lineRule="exact"/>
              <w:jc w:val="both"/>
              <w:rPr>
                <w:rFonts w:hint="eastAsia" w:ascii="宋体" w:hAnsi="宋体" w:eastAsia="宋体" w:cs="宋体"/>
                <w:sz w:val="24"/>
                <w:szCs w:val="24"/>
              </w:rPr>
            </w:pPr>
          </w:p>
        </w:tc>
      </w:tr>
    </w:tbl>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mI2MzhiOGE1MmY4YTkyOTNlYzA0NTgyNmMyMDgifQ=="/>
  </w:docVars>
  <w:rsids>
    <w:rsidRoot w:val="1D5E62CC"/>
    <w:rsid w:val="0149786C"/>
    <w:rsid w:val="03DD1CE2"/>
    <w:rsid w:val="05F06FC9"/>
    <w:rsid w:val="08A15134"/>
    <w:rsid w:val="0F702CD7"/>
    <w:rsid w:val="105C6685"/>
    <w:rsid w:val="11493F61"/>
    <w:rsid w:val="1D5E62CC"/>
    <w:rsid w:val="30D8545C"/>
    <w:rsid w:val="34760AA1"/>
    <w:rsid w:val="34FB68E4"/>
    <w:rsid w:val="39D55FB3"/>
    <w:rsid w:val="3D2B40FC"/>
    <w:rsid w:val="404B7DB0"/>
    <w:rsid w:val="4FEB77F5"/>
    <w:rsid w:val="52F57307"/>
    <w:rsid w:val="583D379B"/>
    <w:rsid w:val="58F52F19"/>
    <w:rsid w:val="5AB671D7"/>
    <w:rsid w:val="5C081842"/>
    <w:rsid w:val="63EE6DA6"/>
    <w:rsid w:val="67CF1E5C"/>
    <w:rsid w:val="6A345E41"/>
    <w:rsid w:val="6DE226E4"/>
    <w:rsid w:val="79E132AF"/>
    <w:rsid w:val="7F71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1872</Words>
  <Characters>2089</Characters>
  <Lines>0</Lines>
  <Paragraphs>0</Paragraphs>
  <TotalTime>1</TotalTime>
  <ScaleCrop>false</ScaleCrop>
  <LinksUpToDate>false</LinksUpToDate>
  <CharactersWithSpaces>2103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2021-09-29T03:23:00Z</dcterms:created>
  <dc:creator>Administrator</dc:creator>
  <cp:lastModifiedBy>张娟</cp:lastModifiedBy>
  <cp:lastPrinted>2022-05-24T02:38:00Z</cp:lastPrinted>
  <dcterms:modified xsi:type="dcterms:W3CDTF">2023-06-13T08:37:59Z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6DA24FADE43D493FA39239E5B4F0C5D5_13</vt:lpwstr>
  </property>
</Properties>
</file>