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w:t>
      </w:r>
      <w:r>
        <w:rPr>
          <w:rFonts w:hint="eastAsia" w:ascii="黑体" w:hAnsi="黑体" w:eastAsia="黑体" w:cs="黑体"/>
          <w:sz w:val="52"/>
          <w:szCs w:val="52"/>
          <w:lang w:val="en-US" w:eastAsia="zh-CN"/>
        </w:rPr>
        <w:t>2</w:t>
      </w:r>
      <w:r>
        <w:rPr>
          <w:rFonts w:hint="eastAsia" w:ascii="黑体" w:hAnsi="黑体" w:eastAsia="黑体" w:cs="黑体"/>
          <w:sz w:val="52"/>
          <w:szCs w:val="52"/>
        </w:rPr>
        <w:t>年度</w:t>
      </w:r>
    </w:p>
    <w:p>
      <w:pPr>
        <w:jc w:val="center"/>
        <w:rPr>
          <w:rFonts w:hint="eastAsia" w:ascii="黑体" w:hAnsi="黑体" w:eastAsia="黑体" w:cs="黑体"/>
          <w:sz w:val="48"/>
          <w:szCs w:val="48"/>
        </w:rPr>
      </w:pPr>
      <w:r>
        <w:rPr>
          <w:rFonts w:hint="eastAsia" w:ascii="黑体" w:hAnsi="黑体" w:eastAsia="黑体" w:cs="黑体"/>
          <w:sz w:val="48"/>
          <w:szCs w:val="48"/>
          <w:lang w:eastAsia="zh-CN"/>
        </w:rPr>
        <w:t>南阳市鸭河工区管委会区级</w:t>
      </w:r>
      <w:r>
        <w:rPr>
          <w:rFonts w:hint="eastAsia" w:ascii="黑体" w:hAnsi="黑体" w:eastAsia="黑体" w:cs="黑体"/>
          <w:sz w:val="48"/>
          <w:szCs w:val="48"/>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headerReference r:id="rId5" w:type="first"/>
          <w:footerReference r:id="rId7" w:type="first"/>
          <w:headerReference r:id="rId3" w:type="default"/>
          <w:headerReference r:id="rId4" w:type="even"/>
          <w:footerReference r:id="rId6"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三</w:t>
      </w:r>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南阳市鸭河工区管理委员会</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pPr>
        <w:bidi w:val="0"/>
        <w:ind w:firstLine="640" w:firstLineChars="200"/>
        <w:rPr>
          <w:rFonts w:hint="eastAsia"/>
          <w:lang w:eastAsia="zh-CN"/>
        </w:rPr>
      </w:pPr>
      <w:r>
        <w:rPr>
          <w:rFonts w:hint="eastAsia" w:ascii="宋体" w:hAnsi="宋体" w:cs="黑体"/>
          <w:sz w:val="32"/>
          <w:szCs w:val="32"/>
        </w:rPr>
        <w:t>九、财政拨款“三公”经费支出决算表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adjustRightInd w:val="0"/>
        <w:snapToGrid w:val="0"/>
        <w:spacing w:line="36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第一部分</w:t>
      </w:r>
    </w:p>
    <w:p>
      <w:pPr>
        <w:adjustRightInd w:val="0"/>
        <w:snapToGrid w:val="0"/>
        <w:spacing w:line="360" w:lineRule="auto"/>
        <w:ind w:firstLine="0" w:firstLineChars="0"/>
        <w:jc w:val="center"/>
        <w:rPr>
          <w:rFonts w:hint="eastAsia" w:ascii="黑体" w:hAnsi="黑体" w:eastAsia="黑体" w:cs="黑体"/>
          <w:kern w:val="0"/>
          <w:sz w:val="48"/>
          <w:szCs w:val="48"/>
        </w:rPr>
      </w:pPr>
      <w:r>
        <w:rPr>
          <w:rFonts w:hint="eastAsia" w:ascii="黑体" w:hAnsi="黑体" w:eastAsia="黑体" w:cs="黑体"/>
          <w:sz w:val="48"/>
          <w:szCs w:val="48"/>
        </w:rPr>
        <w:t>南阳市鸭河工区管理委员会概况</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南阳市鸭河工区管理委员会</w:t>
      </w:r>
      <w:r>
        <w:rPr>
          <w:rFonts w:hint="eastAsia" w:ascii="黑体" w:hAnsi="黑体" w:eastAsia="黑体" w:cs="黑体"/>
          <w:kern w:val="0"/>
          <w:sz w:val="32"/>
          <w:szCs w:val="32"/>
        </w:rPr>
        <w:t>部门</w:t>
      </w:r>
      <w:r>
        <w:rPr>
          <w:rFonts w:hint="eastAsia" w:ascii="黑体" w:hAnsi="黑体" w:eastAsia="黑体" w:cs="黑体"/>
          <w:bCs/>
          <w:sz w:val="32"/>
          <w:szCs w:val="32"/>
        </w:rPr>
        <w:t>职责</w:t>
      </w:r>
    </w:p>
    <w:p>
      <w:pPr>
        <w:widowControl/>
        <w:spacing w:line="560" w:lineRule="exact"/>
        <w:ind w:firstLine="640"/>
        <w:rPr>
          <w:rFonts w:hint="eastAsia" w:ascii="仿宋_GB2312" w:hAnsi="仿宋_GB2312" w:cs="仿宋_GB2312"/>
          <w:sz w:val="32"/>
          <w:szCs w:val="32"/>
        </w:rPr>
      </w:pPr>
      <w:r>
        <w:rPr>
          <w:rFonts w:hint="eastAsia" w:ascii="楷体_GB2312" w:hAnsi="宋体" w:eastAsia="楷体_GB2312" w:cs="Courier New"/>
          <w:kern w:val="0"/>
          <w:sz w:val="32"/>
          <w:szCs w:val="32"/>
        </w:rPr>
        <w:t>（一）</w:t>
      </w:r>
      <w:r>
        <w:rPr>
          <w:rFonts w:hint="eastAsia" w:ascii="仿宋_GB2312" w:hAnsi="仿宋_GB2312" w:cs="仿宋_GB2312"/>
          <w:sz w:val="32"/>
          <w:szCs w:val="32"/>
        </w:rPr>
        <w:t>南阳市鸭河工区管理委员会及各部门依据市编委批复的职能履行经济调节、市场引导、社会管理和公共服务职能，形成权界清晰、分工合理、权责一致、运转高效、法治保障的机构职能体系，创造良好发展环境，提供基本均等公共服务，维护社会公平正义。</w:t>
      </w:r>
    </w:p>
    <w:p>
      <w:pPr>
        <w:widowControl/>
        <w:spacing w:line="560" w:lineRule="exact"/>
        <w:ind w:firstLine="640"/>
        <w:rPr>
          <w:rFonts w:hint="eastAsia" w:ascii="仿宋_GB2312" w:hAnsi="仿宋_GB2312" w:cs="仿宋_GB2312"/>
          <w:sz w:val="32"/>
          <w:szCs w:val="32"/>
        </w:rPr>
      </w:pPr>
      <w:r>
        <w:rPr>
          <w:rFonts w:hint="eastAsia" w:ascii="仿宋_GB2312" w:hAnsi="仿宋_GB2312" w:cs="仿宋_GB2312"/>
          <w:sz w:val="32"/>
          <w:szCs w:val="32"/>
        </w:rPr>
        <w:t>（二）加强经济调节，认真执行国家宏观调控政策，适时运用经济、法律手段和必要的行政手段，引导和调控经济运行，调整和优化经济结构，发展对外经济贸易和区域经济合作，促进经济持续健康发展。</w:t>
      </w:r>
    </w:p>
    <w:p>
      <w:pPr>
        <w:widowControl/>
        <w:spacing w:line="560" w:lineRule="exact"/>
        <w:ind w:firstLine="640"/>
        <w:rPr>
          <w:rFonts w:hint="eastAsia" w:ascii="仿宋_GB2312" w:hAnsi="仿宋_GB2312" w:cs="仿宋_GB2312"/>
          <w:sz w:val="32"/>
          <w:szCs w:val="32"/>
        </w:rPr>
      </w:pPr>
      <w:r>
        <w:rPr>
          <w:rFonts w:hint="eastAsia" w:ascii="仿宋_GB2312" w:hAnsi="仿宋_GB2312" w:cs="仿宋_GB2312"/>
          <w:sz w:val="32"/>
          <w:szCs w:val="32"/>
        </w:rPr>
        <w:t>（三）配合有关部门严格市场监管，推进公平准入，激发市场主体活力，完善监管体系，加强事中事后监管，建立健全社会信用体系，整顿和规范市场经济秩序，规范市场执法，建设统一、开放、竞争、有序的现代市场体系。</w:t>
      </w:r>
    </w:p>
    <w:p>
      <w:pPr>
        <w:widowControl/>
        <w:spacing w:line="560" w:lineRule="exact"/>
        <w:ind w:firstLine="640"/>
        <w:rPr>
          <w:rFonts w:hint="eastAsia" w:ascii="仿宋_GB2312" w:hAnsi="仿宋_GB2312" w:cs="仿宋_GB2312"/>
          <w:sz w:val="32"/>
          <w:szCs w:val="32"/>
        </w:rPr>
      </w:pPr>
      <w:r>
        <w:rPr>
          <w:rFonts w:hint="eastAsia" w:ascii="仿宋_GB2312" w:hAnsi="仿宋_GB2312" w:cs="仿宋_GB2312"/>
          <w:sz w:val="32"/>
          <w:szCs w:val="32"/>
        </w:rPr>
        <w:t>（四）配合有关部门推进社会治理创新，完善社会保障体系，健全基层社会管理体制，妥善处理社会矛盾，维护社会公平正义和社会稳定，健全各类突发公共事件应急机制，提高管委会应对突发事件的能力。</w:t>
      </w:r>
    </w:p>
    <w:p>
      <w:pPr>
        <w:widowControl/>
        <w:spacing w:line="560" w:lineRule="exact"/>
        <w:ind w:firstLine="640"/>
        <w:rPr>
          <w:rFonts w:hint="eastAsia" w:ascii="仿宋_GB2312" w:hAnsi="仿宋_GB2312" w:cs="仿宋_GB2312"/>
          <w:sz w:val="32"/>
          <w:szCs w:val="32"/>
        </w:rPr>
      </w:pPr>
      <w:r>
        <w:rPr>
          <w:rFonts w:hint="eastAsia" w:ascii="仿宋_GB2312" w:hAnsi="仿宋_GB2312" w:cs="仿宋_GB2312"/>
          <w:sz w:val="32"/>
          <w:szCs w:val="32"/>
        </w:rPr>
        <w:t>（五）注重公共服务，完善公共政策，健全管委会主导、社会参与、覆盖城乡、可持续的基本公共服务体系，增强基本公共服务能力，促进基本公共服务均等化。</w:t>
      </w:r>
    </w:p>
    <w:p>
      <w:pPr>
        <w:spacing w:line="600" w:lineRule="exact"/>
        <w:ind w:firstLine="640" w:firstLineChars="200"/>
        <w:rPr>
          <w:rFonts w:hint="eastAsia" w:ascii="仿宋_GB2312" w:hAnsi="宋体" w:eastAsia="仿宋_GB2312" w:cs="宋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pStyle w:val="2"/>
        <w:kinsoku w:val="0"/>
        <w:overflowPunct w:val="0"/>
        <w:snapToGrid w:val="0"/>
        <w:spacing w:line="360" w:lineRule="auto"/>
        <w:ind w:left="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南阳市鸭河工区管理委员会为市政府派出机构，下设党政办公室、社会事业局等8个局办、</w:t>
      </w:r>
      <w:r>
        <w:rPr>
          <w:rFonts w:hint="eastAsia" w:ascii="宋体" w:hAnsi="宋体" w:eastAsia="宋体" w:cs="宋体"/>
          <w:sz w:val="32"/>
          <w:szCs w:val="32"/>
          <w:lang w:val="en-US" w:eastAsia="zh-CN"/>
        </w:rPr>
        <w:t>23</w:t>
      </w:r>
      <w:r>
        <w:rPr>
          <w:rFonts w:hint="eastAsia" w:ascii="宋体" w:hAnsi="宋体" w:eastAsia="宋体" w:cs="宋体"/>
          <w:sz w:val="32"/>
          <w:szCs w:val="32"/>
        </w:rPr>
        <w:t>个工作办以及皇路店镇等部门。</w:t>
      </w:r>
    </w:p>
    <w:p>
      <w:pPr>
        <w:pStyle w:val="2"/>
        <w:kinsoku w:val="0"/>
        <w:overflowPunct w:val="0"/>
        <w:snapToGrid w:val="0"/>
        <w:spacing w:line="360" w:lineRule="auto"/>
        <w:ind w:left="0" w:firstLine="960" w:firstLineChars="300"/>
        <w:rPr>
          <w:rFonts w:hint="eastAsia" w:ascii="宋体" w:hAnsi="宋体" w:eastAsia="宋体" w:cs="宋体"/>
          <w:kern w:val="0"/>
          <w:sz w:val="32"/>
          <w:szCs w:val="32"/>
          <w:lang w:eastAsia="zh-CN"/>
        </w:rPr>
      </w:pPr>
      <w:r>
        <w:rPr>
          <w:rFonts w:hint="eastAsia" w:ascii="宋体" w:hAnsi="宋体" w:eastAsia="宋体" w:cs="宋体"/>
          <w:kern w:val="0"/>
          <w:sz w:val="32"/>
          <w:szCs w:val="32"/>
        </w:rPr>
        <w:t>从决算单位构成看，</w:t>
      </w:r>
      <w:r>
        <w:rPr>
          <w:rFonts w:hint="eastAsia" w:ascii="宋体" w:hAnsi="宋体" w:eastAsia="宋体" w:cs="宋体"/>
          <w:sz w:val="32"/>
          <w:szCs w:val="32"/>
        </w:rPr>
        <w:t>南阳市鸭河工区管理委员</w:t>
      </w:r>
      <w:r>
        <w:rPr>
          <w:rFonts w:hint="eastAsia" w:ascii="宋体" w:hAnsi="宋体" w:eastAsia="宋体" w:cs="宋体"/>
          <w:kern w:val="0"/>
          <w:sz w:val="32"/>
          <w:szCs w:val="32"/>
        </w:rPr>
        <w:t>部门决算包括：本级决算、所属单位决算</w:t>
      </w:r>
      <w:r>
        <w:rPr>
          <w:rFonts w:hint="eastAsia" w:ascii="宋体" w:hAnsi="宋体" w:eastAsia="宋体" w:cs="宋体"/>
          <w:kern w:val="0"/>
          <w:sz w:val="32"/>
          <w:szCs w:val="32"/>
          <w:lang w:eastAsia="zh-CN"/>
        </w:rPr>
        <w:t>及皇路店镇部门决算。</w:t>
      </w:r>
    </w:p>
    <w:p>
      <w:pPr>
        <w:pStyle w:val="2"/>
        <w:kinsoku w:val="0"/>
        <w:overflowPunct w:val="0"/>
        <w:snapToGrid w:val="0"/>
        <w:spacing w:line="360" w:lineRule="auto"/>
        <w:ind w:left="0" w:firstLine="960" w:firstLineChars="300"/>
        <w:rPr>
          <w:rFonts w:hint="eastAsia" w:ascii="宋体" w:hAnsi="宋体" w:eastAsia="宋体" w:cs="宋体"/>
          <w:kern w:val="0"/>
          <w:sz w:val="32"/>
          <w:szCs w:val="32"/>
          <w:lang w:eastAsia="zh-CN"/>
        </w:rPr>
      </w:pPr>
      <w:r>
        <w:rPr>
          <w:rFonts w:hint="eastAsia" w:ascii="宋体" w:hAnsi="宋体" w:eastAsia="宋体" w:cs="宋体"/>
          <w:kern w:val="0"/>
          <w:sz w:val="32"/>
          <w:szCs w:val="32"/>
        </w:rPr>
        <w:t>纳入本部门20</w:t>
      </w:r>
      <w:r>
        <w:rPr>
          <w:rFonts w:hint="eastAsia" w:ascii="宋体" w:hAnsi="宋体" w:eastAsia="宋体" w:cs="宋体"/>
          <w:kern w:val="0"/>
          <w:sz w:val="32"/>
          <w:szCs w:val="32"/>
          <w:lang w:val="en-US" w:eastAsia="zh-CN"/>
        </w:rPr>
        <w:t>2</w:t>
      </w:r>
      <w:r>
        <w:rPr>
          <w:rFonts w:hint="eastAsia" w:ascii="宋体" w:hAnsi="宋体" w:cs="宋体"/>
          <w:kern w:val="0"/>
          <w:sz w:val="32"/>
          <w:szCs w:val="32"/>
          <w:lang w:val="en-US" w:eastAsia="zh-CN"/>
        </w:rPr>
        <w:t>2</w:t>
      </w:r>
      <w:r>
        <w:rPr>
          <w:rFonts w:hint="eastAsia" w:ascii="宋体" w:hAnsi="宋体" w:eastAsia="宋体" w:cs="宋体"/>
          <w:kern w:val="0"/>
          <w:sz w:val="32"/>
          <w:szCs w:val="32"/>
        </w:rPr>
        <w:t>年度部门决算编制范围的单位共</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个，</w:t>
      </w:r>
      <w:r>
        <w:rPr>
          <w:rFonts w:hint="eastAsia" w:ascii="宋体" w:hAnsi="宋体" w:eastAsia="宋体" w:cs="宋体"/>
          <w:kern w:val="0"/>
          <w:sz w:val="32"/>
          <w:szCs w:val="32"/>
          <w:lang w:eastAsia="zh-CN"/>
        </w:rPr>
        <w:t>具体是：</w:t>
      </w:r>
    </w:p>
    <w:p>
      <w:pPr>
        <w:pStyle w:val="2"/>
        <w:numPr>
          <w:ilvl w:val="0"/>
          <w:numId w:val="2"/>
        </w:numPr>
        <w:kinsoku w:val="0"/>
        <w:overflowPunct w:val="0"/>
        <w:snapToGrid w:val="0"/>
        <w:spacing w:line="360" w:lineRule="auto"/>
        <w:ind w:left="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南阳市鸭河工区管理委员</w:t>
      </w:r>
      <w:r>
        <w:rPr>
          <w:rFonts w:hint="eastAsia" w:ascii="宋体" w:hAnsi="宋体" w:eastAsia="宋体" w:cs="宋体"/>
          <w:sz w:val="32"/>
          <w:szCs w:val="32"/>
          <w:lang w:eastAsia="zh-CN"/>
        </w:rPr>
        <w:t>本级</w:t>
      </w:r>
    </w:p>
    <w:p>
      <w:pPr>
        <w:numPr>
          <w:ilvl w:val="0"/>
          <w:numId w:val="2"/>
        </w:numPr>
        <w:adjustRightInd w:val="0"/>
        <w:snapToGrid w:val="0"/>
        <w:spacing w:line="360" w:lineRule="auto"/>
        <w:ind w:left="0" w:leftChars="0" w:firstLine="640" w:firstLineChars="200"/>
        <w:jc w:val="both"/>
        <w:rPr>
          <w:rFonts w:hint="eastAsia" w:ascii="宋体" w:hAnsi="宋体" w:eastAsia="宋体" w:cs="宋体"/>
          <w:sz w:val="32"/>
          <w:szCs w:val="32"/>
        </w:rPr>
      </w:pPr>
      <w:r>
        <w:rPr>
          <w:rFonts w:hint="eastAsia" w:ascii="宋体" w:hAnsi="宋体" w:eastAsia="宋体" w:cs="宋体"/>
          <w:kern w:val="0"/>
          <w:sz w:val="32"/>
          <w:szCs w:val="32"/>
          <w:lang w:val="en-US" w:eastAsia="zh-CN" w:bidi="ar-SA"/>
        </w:rPr>
        <w:t>皇</w:t>
      </w:r>
      <w:r>
        <w:rPr>
          <w:rFonts w:hint="eastAsia" w:ascii="宋体" w:hAnsi="宋体" w:eastAsia="宋体" w:cs="宋体"/>
          <w:sz w:val="32"/>
          <w:szCs w:val="32"/>
          <w:lang w:val="en-US" w:eastAsia="zh-CN"/>
        </w:rPr>
        <w:t>路店镇人民政府</w:t>
      </w:r>
    </w:p>
    <w:p>
      <w:pPr>
        <w:adjustRightInd w:val="0"/>
        <w:snapToGrid w:val="0"/>
        <w:spacing w:line="360" w:lineRule="auto"/>
        <w:ind w:firstLine="0" w:firstLineChars="0"/>
        <w:jc w:val="both"/>
        <w:rPr>
          <w:rFonts w:hint="eastAsia" w:ascii="黑体" w:hAnsi="黑体" w:eastAsia="黑体"/>
          <w:szCs w:val="32"/>
        </w:rPr>
      </w:pPr>
    </w:p>
    <w:p/>
    <w:p/>
    <w:p/>
    <w:p/>
    <w:p/>
    <w:p/>
    <w:p/>
    <w:p/>
    <w:p/>
    <w:p/>
    <w:p/>
    <w:p/>
    <w:p/>
    <w:p/>
    <w:p/>
    <w:p/>
    <w:p/>
    <w:p/>
    <w:p/>
    <w:p/>
    <w:p/>
    <w:p/>
    <w:p/>
    <w:p/>
    <w:p/>
    <w:p/>
    <w:p/>
    <w:p/>
    <w:p/>
    <w:p/>
    <w:p/>
    <w:p/>
    <w:p/>
    <w:p/>
    <w:p/>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w:t>
      </w:r>
      <w:r>
        <w:rPr>
          <w:rFonts w:ascii="黑体" w:hAnsi="黑体" w:eastAsia="黑体" w:cs="黑体"/>
          <w:sz w:val="48"/>
          <w:szCs w:val="48"/>
        </w:rPr>
        <w:t>2</w:t>
      </w:r>
      <w:r>
        <w:rPr>
          <w:rFonts w:hint="eastAsia" w:ascii="黑体" w:hAnsi="黑体" w:eastAsia="黑体" w:cs="黑体"/>
          <w:sz w:val="48"/>
          <w:szCs w:val="48"/>
        </w:rPr>
        <w:t>年度部门决算表</w:t>
      </w:r>
    </w:p>
    <w:p/>
    <w:p/>
    <w:p/>
    <w:p/>
    <w:p/>
    <w:p/>
    <w:p/>
    <w:p/>
    <w:p/>
    <w:p/>
    <w:p/>
    <w:p/>
    <w:p/>
    <w:p/>
    <w:p/>
    <w:p/>
    <w:p/>
    <w:p/>
    <w:p/>
    <w:p/>
    <w:p/>
    <w:p/>
    <w:tbl>
      <w:tblPr>
        <w:tblStyle w:val="5"/>
        <w:tblpPr w:leftFromText="180" w:rightFromText="180" w:vertAnchor="text" w:horzAnchor="page" w:tblpX="668" w:tblpY="273"/>
        <w:tblOverlap w:val="never"/>
        <w:tblW w:w="10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3" w:type="dxa"/>
            <w:tcBorders>
              <w:top w:val="nil"/>
              <w:left w:val="nil"/>
              <w:bottom w:val="nil"/>
              <w:right w:val="nil"/>
            </w:tcBorders>
            <w:shd w:val="clear" w:color="auto" w:fill="auto"/>
            <w:noWrap/>
            <w:vAlign w:val="center"/>
          </w:tcPr>
          <w:tbl>
            <w:tblPr>
              <w:tblStyle w:val="5"/>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
              <w:gridCol w:w="3730"/>
              <w:gridCol w:w="1608"/>
              <w:gridCol w:w="111"/>
              <w:gridCol w:w="387"/>
              <w:gridCol w:w="386"/>
              <w:gridCol w:w="1758"/>
              <w:gridCol w:w="1758"/>
              <w:gridCol w:w="328"/>
              <w:gridCol w:w="328"/>
              <w:gridCol w:w="767"/>
              <w:gridCol w:w="6"/>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0" w:type="auto"/>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55" w:hRule="atLeast"/>
              </w:trPr>
              <w:tc>
                <w:tcPr>
                  <w:tcW w:w="0" w:type="auto"/>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5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gridSpan w:val="2"/>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gridSpan w:val="2"/>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31481</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29117</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62600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62640</w:t>
                  </w:r>
                </w:p>
              </w:tc>
              <w:tc>
                <w:tcPr>
                  <w:tcW w:w="0" w:type="auto"/>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gridSpan w:val="2"/>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08" w:hRule="atLeast"/>
              </w:trPr>
              <w:tc>
                <w:tcPr>
                  <w:tcW w:w="0" w:type="auto"/>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08" w:hRule="atLeast"/>
              </w:trPr>
              <w:tc>
                <w:tcPr>
                  <w:tcW w:w="0" w:type="auto"/>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6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p>
      <w:pPr>
        <w:rPr>
          <w:rFonts w:hint="default"/>
          <w:lang w:val="en-US" w:eastAsia="zh-CN"/>
        </w:rPr>
        <w:sectPr>
          <w:pgSz w:w="11906" w:h="16838"/>
          <w:pgMar w:top="1440" w:right="1800" w:bottom="1440" w:left="1800" w:header="720" w:footer="720" w:gutter="0"/>
          <w:pgNumType w:fmt="numberInDash"/>
          <w:cols w:space="720" w:num="1"/>
          <w:docGrid w:type="lines" w:linePitch="312" w:charSpace="0"/>
        </w:sectPr>
      </w:pPr>
    </w:p>
    <w:tbl>
      <w:tblPr>
        <w:tblStyle w:val="5"/>
        <w:tblW w:w="14902" w:type="dxa"/>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3072"/>
        <w:gridCol w:w="624"/>
        <w:gridCol w:w="986"/>
        <w:gridCol w:w="2782"/>
        <w:gridCol w:w="865"/>
        <w:gridCol w:w="1371"/>
        <w:gridCol w:w="1241"/>
        <w:gridCol w:w="1173"/>
        <w:gridCol w:w="1596"/>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02" w:type="dxa"/>
            <w:gridSpan w:val="11"/>
            <w:tcBorders>
              <w:top w:val="nil"/>
              <w:left w:val="nil"/>
              <w:bottom w:val="nil"/>
              <w:right w:val="nil"/>
            </w:tcBorders>
            <w:shd w:val="clear" w:color="auto" w:fill="auto"/>
            <w:noWrap/>
            <w:vAlign w:val="bottom"/>
          </w:tcPr>
          <w:tbl>
            <w:tblPr>
              <w:tblStyle w:val="5"/>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216"/>
              <w:gridCol w:w="222"/>
              <w:gridCol w:w="217"/>
              <w:gridCol w:w="5"/>
              <w:gridCol w:w="5491"/>
              <w:gridCol w:w="5"/>
              <w:gridCol w:w="924"/>
              <w:gridCol w:w="5"/>
              <w:gridCol w:w="924"/>
              <w:gridCol w:w="5"/>
              <w:gridCol w:w="628"/>
              <w:gridCol w:w="5"/>
              <w:gridCol w:w="755"/>
              <w:gridCol w:w="5"/>
              <w:gridCol w:w="556"/>
              <w:gridCol w:w="5"/>
              <w:gridCol w:w="699"/>
              <w:gridCol w:w="5"/>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3892" w:type="dxa"/>
                  <w:gridSpan w:val="1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55" w:hRule="atLeast"/>
              </w:trPr>
              <w:tc>
                <w:tcPr>
                  <w:tcW w:w="32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9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1"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55" w:hRule="atLeast"/>
              </w:trPr>
              <w:tc>
                <w:tcPr>
                  <w:tcW w:w="32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9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1"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56"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2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2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3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6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61"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0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921"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496"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2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9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2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9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2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56" w:type="dxa"/>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29" w:type="dxa"/>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9" w:type="dxa"/>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3" w:type="dxa"/>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1" w:type="dxa"/>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4" w:type="dxa"/>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1" w:type="dxa"/>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56" w:type="dxa"/>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62600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60598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财政委托业务支出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9416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9416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体育场馆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职业技能鉴定补贴</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其他社会福利支出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残疾人就业</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医疗救助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环境监测与监察</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建设项目环评审查与监督</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19641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19641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补助被征地农民支出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棚户区改造专项债券收入安排的支出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2121699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其他棚户区改造专项债券收入安排的支出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7186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7186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技术推广与转化</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森林资源管理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水质监测</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抗旱</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信息管理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普惠金融发展支出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农业保险保费补贴</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其他普惠金融发展支出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工程建设及运行维护</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农村危房改造</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2240150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其他消防救援事务支出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自然灾害灾后重建补助</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2296006</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用于残疾人事业的彩票公益金支出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54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08" w:hRule="atLeast"/>
              </w:trPr>
              <w:tc>
                <w:tcPr>
                  <w:tcW w:w="13892"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keepNext w:val="0"/>
              <w:keepLines w:val="0"/>
              <w:widowControl/>
              <w:suppressLineNumbers w:val="0"/>
              <w:jc w:val="center"/>
              <w:textAlignment w:val="bottom"/>
              <w:rPr>
                <w:rFonts w:hint="eastAsia" w:ascii="宋体" w:hAnsi="宋体" w:cs="宋体"/>
                <w:i w:val="0"/>
                <w:iCs w:val="0"/>
                <w:color w:val="000000"/>
                <w:sz w:val="32"/>
                <w:szCs w:val="32"/>
                <w:u w:val="none"/>
                <w:lang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213"/>
              <w:gridCol w:w="222"/>
              <w:gridCol w:w="220"/>
              <w:gridCol w:w="5"/>
              <w:gridCol w:w="5420"/>
              <w:gridCol w:w="5"/>
              <w:gridCol w:w="838"/>
              <w:gridCol w:w="5"/>
              <w:gridCol w:w="768"/>
              <w:gridCol w:w="5"/>
              <w:gridCol w:w="768"/>
              <w:gridCol w:w="5"/>
              <w:gridCol w:w="430"/>
              <w:gridCol w:w="5"/>
              <w:gridCol w:w="430"/>
              <w:gridCol w:w="5"/>
              <w:gridCol w:w="2324"/>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390" w:hRule="atLeast"/>
              </w:trPr>
              <w:tc>
                <w:tcPr>
                  <w:tcW w:w="4998" w:type="pct"/>
                  <w:gridSpan w:val="1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255" w:hRule="atLeast"/>
              </w:trPr>
              <w:tc>
                <w:tcPr>
                  <w:tcW w:w="109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4"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255" w:hRule="atLeast"/>
              </w:trPr>
              <w:tc>
                <w:tcPr>
                  <w:tcW w:w="109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4"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3093" w:type="pct"/>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26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8"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48"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79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46" w:type="pct"/>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46" w:type="pct"/>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8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46" w:type="pct"/>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8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3093" w:type="pct"/>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7" w:type="pct"/>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3" w:type="pct"/>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3" w:type="pct"/>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 w:type="pct"/>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 w:type="pct"/>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3" w:type="pct"/>
                  <w:gridSpan w:val="2"/>
                  <w:tcBorders>
                    <w:top w:val="nil"/>
                    <w:left w:val="nil"/>
                    <w:bottom w:val="nil"/>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3093" w:type="pct"/>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62640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18297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44343</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财政委托业务支出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9145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9416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8553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863</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体育场馆</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3516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职业技能鉴定补贴</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其他社会福利支出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残疾人就业</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医疗救助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环境监测与监察</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建设项目环评审查与监督</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23806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19641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19641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3363</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补助被征地农民支出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棚户区改造专项债券收入安排的支出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2121699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其他棚户区改造专项债券收入安排的支出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6003</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技术推广与转化</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森林资源管理</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2322</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水质监测</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抗旱</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信息管理</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普惠金融发展支出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农业保险保费补贴</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其他普惠金融发展支出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工程建设及运行维护</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农村危房改造</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438</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2240150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其他消防救援事务支出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自然灾害灾后重建补助</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5884</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5375</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2296006</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用于残疾人事业的彩票公益金支出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08" w:hRule="atLeast"/>
              </w:trPr>
              <w:tc>
                <w:tcPr>
                  <w:tcW w:w="1246"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846"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308" w:hRule="atLeast"/>
              </w:trPr>
              <w:tc>
                <w:tcPr>
                  <w:tcW w:w="4998" w:type="pct"/>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keepNext w:val="0"/>
              <w:keepLines w:val="0"/>
              <w:widowControl/>
              <w:suppressLineNumbers w:val="0"/>
              <w:jc w:val="center"/>
              <w:textAlignment w:val="bottom"/>
              <w:rPr>
                <w:rFonts w:hint="eastAsia" w:ascii="宋体" w:hAnsi="宋体" w:cs="宋体"/>
                <w:i w:val="0"/>
                <w:iCs w:val="0"/>
                <w:color w:val="000000"/>
                <w:sz w:val="32"/>
                <w:szCs w:val="32"/>
                <w:u w:val="none"/>
                <w:lang w:eastAsia="zh-CN"/>
              </w:rPr>
            </w:pPr>
          </w:p>
          <w:p>
            <w:pPr>
              <w:keepNext w:val="0"/>
              <w:keepLines w:val="0"/>
              <w:widowControl/>
              <w:suppressLineNumbers w:val="0"/>
              <w:jc w:val="both"/>
              <w:textAlignment w:val="bottom"/>
              <w:rPr>
                <w:rFonts w:hint="eastAsia" w:ascii="宋体" w:hAnsi="宋体" w:eastAsia="宋体" w:cs="宋体"/>
                <w:i w:val="0"/>
                <w:iCs w:val="0"/>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90" w:hRule="atLeast"/>
        </w:trPr>
        <w:tc>
          <w:tcPr>
            <w:tcW w:w="1371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255" w:hRule="atLeast"/>
        </w:trPr>
        <w:tc>
          <w:tcPr>
            <w:tcW w:w="307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255" w:hRule="atLeast"/>
        </w:trPr>
        <w:tc>
          <w:tcPr>
            <w:tcW w:w="307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6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468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028"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292" w:hRule="atLeast"/>
        </w:trPr>
        <w:tc>
          <w:tcPr>
            <w:tcW w:w="3072"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78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7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7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615" w:hRule="atLeast"/>
        </w:trPr>
        <w:tc>
          <w:tcPr>
            <w:tcW w:w="307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4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4"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86" w:type="dxa"/>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65"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71" w:type="dxa"/>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1" w:type="dxa"/>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3" w:type="dxa"/>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31481</w:t>
            </w: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3524</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29117</w:t>
            </w: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11017</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2884</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1749</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2142</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22866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7217</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791</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5365</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60598</w:t>
            </w: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60638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31521</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29117</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27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7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7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307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24"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60638</w:t>
            </w:r>
          </w:p>
        </w:tc>
        <w:tc>
          <w:tcPr>
            <w:tcW w:w="2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65" w:type="dxa"/>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60638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31521</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29117</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31" w:type="dxa"/>
          <w:wAfter w:w="761" w:type="dxa"/>
          <w:trHeight w:val="308" w:hRule="atLeast"/>
        </w:trPr>
        <w:tc>
          <w:tcPr>
            <w:tcW w:w="1211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w:t>
            </w:r>
          </w:p>
        </w:tc>
        <w:tc>
          <w:tcPr>
            <w:tcW w:w="159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转结余情况。</w:t>
            </w:r>
          </w:p>
        </w:tc>
      </w:tr>
    </w:tbl>
    <w:p>
      <w:pPr>
        <w:bidi w:val="0"/>
        <w:rPr>
          <w:rFonts w:hint="eastAsia"/>
          <w:lang w:val="en-US" w:eastAsia="zh-CN"/>
        </w:rPr>
      </w:pPr>
    </w:p>
    <w:p>
      <w:pPr>
        <w:tabs>
          <w:tab w:val="center" w:pos="6979"/>
        </w:tabs>
        <w:bidi w:val="0"/>
        <w:jc w:val="left"/>
        <w:rPr>
          <w:rFonts w:hint="eastAsia"/>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rPr>
          <w:rFonts w:hint="eastAsia" w:ascii="宋体" w:hAnsi="宋体" w:cs="宋体"/>
          <w:color w:val="000000"/>
          <w:kern w:val="0"/>
          <w:sz w:val="20"/>
          <w:szCs w:val="20"/>
          <w:lang w:bidi="ar"/>
        </w:rPr>
      </w:pPr>
    </w:p>
    <w:tbl>
      <w:tblPr>
        <w:tblStyle w:val="5"/>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0"/>
        <w:gridCol w:w="240"/>
        <w:gridCol w:w="240"/>
        <w:gridCol w:w="2561"/>
        <w:gridCol w:w="1404"/>
        <w:gridCol w:w="996"/>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2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2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2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559"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56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5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50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6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6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04" w:type="dxa"/>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31521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财政委托业务支出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9145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9416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8553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体育场馆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2884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职业技能鉴定补贴</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其他社会福利支出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残疾人就业</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医疗救助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环境监测与监察</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建设项目环评审查与监督</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7217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技术推广与转化</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森林资源管理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水质监测</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抗旱</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信息管理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普惠金融发展支出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农业保险保费补贴</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其他普惠金融发展支出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2150516</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工程建设及运行维护</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农村危房改造</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2240150</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其他消防救援事务支出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自然灾害灾后重建补助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56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62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sectPr>
          <w:pgSz w:w="11906" w:h="16838"/>
          <w:pgMar w:top="1440" w:right="1800" w:bottom="1440" w:left="1800" w:header="720" w:footer="720" w:gutter="0"/>
          <w:pgNumType w:fmt="numberInDash"/>
          <w:cols w:space="720" w:num="1"/>
          <w:docGrid w:type="lines" w:linePitch="312" w:charSpace="0"/>
        </w:sectPr>
      </w:pPr>
      <w:r>
        <w:rPr>
          <w:rFonts w:hint="eastAsia" w:ascii="宋体" w:hAnsi="宋体" w:eastAsia="宋体" w:cs="宋体"/>
          <w:i w:val="0"/>
          <w:iCs w:val="0"/>
          <w:color w:val="000000"/>
          <w:kern w:val="0"/>
          <w:sz w:val="20"/>
          <w:szCs w:val="20"/>
          <w:u w:val="none"/>
          <w:lang w:val="en-US" w:eastAsia="zh-CN" w:bidi="ar"/>
        </w:rPr>
        <w:br w:type="page"/>
      </w:r>
    </w:p>
    <w:tbl>
      <w:tblPr>
        <w:tblStyle w:val="5"/>
        <w:tblW w:w="47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2263"/>
        <w:gridCol w:w="1513"/>
        <w:gridCol w:w="1255"/>
        <w:gridCol w:w="1827"/>
        <w:gridCol w:w="1309"/>
        <w:gridCol w:w="1173"/>
        <w:gridCol w:w="1336"/>
        <w:gridCol w:w="368"/>
        <w:gridCol w:w="1119"/>
        <w:gridCol w:w="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pct"/>
          <w:trHeight w:val="390" w:hRule="atLeast"/>
        </w:trPr>
        <w:tc>
          <w:tcPr>
            <w:tcW w:w="4979"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255" w:hRule="atLeast"/>
        </w:trPr>
        <w:tc>
          <w:tcPr>
            <w:tcW w:w="45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41" w:type="pct"/>
            <w:tcBorders>
              <w:top w:val="nil"/>
              <w:left w:val="nil"/>
              <w:bottom w:val="nil"/>
              <w:right w:val="nil"/>
            </w:tcBorders>
            <w:shd w:val="clear" w:color="auto" w:fill="auto"/>
            <w:noWrap/>
            <w:vAlign w:val="bottom"/>
          </w:tcPr>
          <w:p/>
        </w:tc>
        <w:tc>
          <w:tcPr>
            <w:tcW w:w="5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6" w:type="pct"/>
            <w:tcBorders>
              <w:top w:val="nil"/>
              <w:left w:val="nil"/>
              <w:bottom w:val="nil"/>
              <w:right w:val="nil"/>
            </w:tcBorders>
            <w:shd w:val="clear" w:color="auto" w:fill="auto"/>
            <w:noWrap/>
            <w:vAlign w:val="bottom"/>
          </w:tcPr>
          <w:p/>
        </w:tc>
        <w:tc>
          <w:tcPr>
            <w:tcW w:w="679" w:type="pct"/>
            <w:tcBorders>
              <w:top w:val="nil"/>
              <w:left w:val="nil"/>
              <w:bottom w:val="nil"/>
              <w:right w:val="nil"/>
            </w:tcBorders>
            <w:shd w:val="clear" w:color="auto" w:fill="auto"/>
            <w:noWrap/>
            <w:vAlign w:val="bottom"/>
          </w:tcPr>
          <w:p/>
        </w:tc>
        <w:tc>
          <w:tcPr>
            <w:tcW w:w="4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6" w:type="pct"/>
            <w:tcBorders>
              <w:top w:val="nil"/>
              <w:left w:val="nil"/>
              <w:bottom w:val="nil"/>
              <w:right w:val="nil"/>
            </w:tcBorders>
            <w:shd w:val="clear" w:color="auto" w:fill="auto"/>
            <w:noWrap/>
            <w:vAlign w:val="bottom"/>
          </w:tcPr>
          <w:p/>
        </w:tc>
        <w:tc>
          <w:tcPr>
            <w:tcW w:w="63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255" w:hRule="atLeast"/>
        </w:trPr>
        <w:tc>
          <w:tcPr>
            <w:tcW w:w="45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841" w:type="pct"/>
            <w:tcBorders>
              <w:top w:val="nil"/>
              <w:left w:val="nil"/>
              <w:bottom w:val="nil"/>
              <w:right w:val="nil"/>
            </w:tcBorders>
            <w:shd w:val="clear" w:color="auto" w:fill="auto"/>
            <w:noWrap/>
            <w:vAlign w:val="bottom"/>
          </w:tcPr>
          <w:p/>
        </w:tc>
        <w:tc>
          <w:tcPr>
            <w:tcW w:w="5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6" w:type="pct"/>
            <w:tcBorders>
              <w:top w:val="nil"/>
              <w:left w:val="nil"/>
              <w:bottom w:val="nil"/>
              <w:right w:val="nil"/>
            </w:tcBorders>
            <w:shd w:val="clear" w:color="auto" w:fill="auto"/>
            <w:noWrap/>
            <w:vAlign w:val="bottom"/>
          </w:tcPr>
          <w:p/>
        </w:tc>
        <w:tc>
          <w:tcPr>
            <w:tcW w:w="679" w:type="pct"/>
            <w:tcBorders>
              <w:top w:val="nil"/>
              <w:left w:val="nil"/>
              <w:bottom w:val="nil"/>
              <w:right w:val="nil"/>
            </w:tcBorders>
            <w:shd w:val="clear" w:color="auto" w:fill="auto"/>
            <w:noWrap/>
            <w:vAlign w:val="bottom"/>
          </w:tcPr>
          <w:p/>
        </w:tc>
        <w:tc>
          <w:tcPr>
            <w:tcW w:w="4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6" w:type="pct"/>
            <w:tcBorders>
              <w:top w:val="nil"/>
              <w:left w:val="nil"/>
              <w:bottom w:val="nil"/>
              <w:right w:val="nil"/>
            </w:tcBorders>
            <w:shd w:val="clear" w:color="auto" w:fill="auto"/>
            <w:noWrap/>
            <w:vAlign w:val="bottom"/>
          </w:tcPr>
          <w:p/>
        </w:tc>
        <w:tc>
          <w:tcPr>
            <w:tcW w:w="63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1861"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118" w:type="pct"/>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41"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科目名称</w:t>
            </w:r>
          </w:p>
        </w:tc>
        <w:tc>
          <w:tcPr>
            <w:tcW w:w="56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6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科目代码</w:t>
            </w:r>
          </w:p>
        </w:tc>
        <w:tc>
          <w:tcPr>
            <w:tcW w:w="67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科目名称</w:t>
            </w:r>
          </w:p>
        </w:tc>
        <w:tc>
          <w:tcPr>
            <w:tcW w:w="48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3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科目代码</w:t>
            </w:r>
          </w:p>
        </w:tc>
        <w:tc>
          <w:tcPr>
            <w:tcW w:w="63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841"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工资福利支出</w:t>
            </w:r>
          </w:p>
        </w:tc>
        <w:tc>
          <w:tcPr>
            <w:tcW w:w="562" w:type="pct"/>
            <w:tcBorders>
              <w:top w:val="nil"/>
              <w:left w:val="nil"/>
              <w:bottom w:val="single" w:color="000000" w:sz="4" w:space="0"/>
              <w:right w:val="single" w:color="000000" w:sz="4" w:space="0"/>
            </w:tcBorders>
            <w:shd w:val="clear" w:color="FFFFFF" w:fill="C0C0C0"/>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10261</w:t>
            </w:r>
          </w:p>
        </w:tc>
        <w:tc>
          <w:tcPr>
            <w:tcW w:w="46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w:t>
            </w:r>
          </w:p>
        </w:tc>
        <w:tc>
          <w:tcPr>
            <w:tcW w:w="67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商品和服务支出</w:t>
            </w:r>
          </w:p>
        </w:tc>
        <w:tc>
          <w:tcPr>
            <w:tcW w:w="486" w:type="pct"/>
            <w:tcBorders>
              <w:top w:val="nil"/>
              <w:left w:val="nil"/>
              <w:bottom w:val="single" w:color="000000" w:sz="4" w:space="0"/>
              <w:right w:val="single" w:color="000000" w:sz="4" w:space="0"/>
            </w:tcBorders>
            <w:shd w:val="clear" w:color="FFFFFF" w:fill="C0C0C0"/>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5212</w:t>
            </w:r>
          </w:p>
        </w:tc>
        <w:tc>
          <w:tcPr>
            <w:tcW w:w="43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w:t>
            </w:r>
          </w:p>
        </w:tc>
        <w:tc>
          <w:tcPr>
            <w:tcW w:w="63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16" w:type="pct"/>
            <w:tcBorders>
              <w:top w:val="nil"/>
              <w:left w:val="nil"/>
              <w:bottom w:val="single" w:color="000000" w:sz="4" w:space="0"/>
              <w:right w:val="single" w:color="000000" w:sz="4" w:space="0"/>
            </w:tcBorders>
            <w:shd w:val="clear" w:color="FFFFFF" w:fill="C0C0C0"/>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基本工资</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6540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办公费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1197</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30701</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津贴补贴</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1122</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30202</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印刷费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30702</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奖金</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30203</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咨询费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30204</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手续费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31001</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绩效工资</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564</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水费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31002</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665"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804</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30206</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电费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31003</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251</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30207</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邮电费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31005</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451</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30208</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取暖费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31006</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30209</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31007</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66</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30211</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差旅费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31008</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457</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30212</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31009</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医疗费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616</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31010</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3</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30214</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租赁费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31011</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对个人和家庭的补助</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708</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30215</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会议费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31012</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离休费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30216</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培训费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31013</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退休费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161</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30217</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31019</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退职（役）费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30218</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31021</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抚恤金</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3</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30224</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31022</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生活补助</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498</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30225</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31099</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救济费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5</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30226</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劳务费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1464</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30227</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39907</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助学金</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12</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30228</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39908</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奖励金</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30229</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福利费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39909</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0</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30231</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39910</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26</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30239</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39999</w:t>
            </w:r>
          </w:p>
        </w:tc>
        <w:tc>
          <w:tcPr>
            <w:tcW w:w="63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2</w:t>
            </w: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30240</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pPr>
          </w:p>
        </w:tc>
        <w:tc>
          <w:tcPr>
            <w:tcW w:w="633" w:type="pct"/>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nil"/>
            </w:tcBorders>
            <w:shd w:val="clear" w:color="FFFFFF" w:fill="C0C0C0"/>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5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41" w:type="pct"/>
            <w:tcBorders>
              <w:top w:val="nil"/>
              <w:left w:val="single" w:color="000000" w:sz="4" w:space="0"/>
              <w:bottom w:val="single" w:color="000000" w:sz="4" w:space="0"/>
              <w:right w:val="single" w:color="000000" w:sz="4" w:space="0"/>
            </w:tcBorders>
            <w:shd w:val="clear" w:color="FFFFFF" w:fill="C0C0C0"/>
            <w:noWrap/>
            <w:vAlign w:val="center"/>
          </w:tcPr>
          <w:p>
            <w:pPr>
              <w:jc w:val="left"/>
            </w:pPr>
          </w:p>
        </w:tc>
        <w:tc>
          <w:tcPr>
            <w:tcW w:w="562" w:type="pct"/>
            <w:tcBorders>
              <w:top w:val="nil"/>
              <w:left w:val="nil"/>
              <w:bottom w:val="single" w:color="000000" w:sz="4" w:space="0"/>
              <w:right w:val="nil"/>
            </w:tcBorders>
            <w:shd w:val="clear" w:color="FFFFFF" w:fill="C0C0C0"/>
            <w:noWrap/>
            <w:vAlign w:val="bottom"/>
          </w:tcPr>
          <w:p>
            <w:pPr>
              <w:rPr>
                <w:rFonts w:hint="eastAsia" w:ascii="宋体" w:hAnsi="宋体" w:eastAsia="宋体" w:cs="宋体"/>
                <w:i w:val="0"/>
                <w:iCs w:val="0"/>
                <w:color w:val="000000"/>
                <w:sz w:val="22"/>
                <w:szCs w:val="22"/>
                <w:u w:val="none"/>
              </w:rPr>
            </w:pPr>
          </w:p>
        </w:tc>
        <w:tc>
          <w:tcPr>
            <w:tcW w:w="466"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30299</w:t>
            </w:r>
          </w:p>
        </w:tc>
        <w:tc>
          <w:tcPr>
            <w:tcW w:w="679" w:type="pct"/>
            <w:tcBorders>
              <w:top w:val="nil"/>
              <w:left w:val="nil"/>
              <w:bottom w:val="single" w:color="000000" w:sz="4" w:space="0"/>
              <w:right w:val="nil"/>
            </w:tcBorders>
            <w:shd w:val="clear" w:color="FFFFFF" w:fill="C0C0C0"/>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pPr>
          </w:p>
        </w:tc>
        <w:tc>
          <w:tcPr>
            <w:tcW w:w="633" w:type="pct"/>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nil"/>
            </w:tcBorders>
            <w:shd w:val="clear" w:color="FFFFFF" w:fill="C0C0C0"/>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1299"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562"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10970</w:t>
            </w:r>
          </w:p>
        </w:tc>
        <w:tc>
          <w:tcPr>
            <w:tcW w:w="2702" w:type="pct"/>
            <w:gridSpan w:val="6"/>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16" w:type="pct"/>
            <w:tcBorders>
              <w:top w:val="nil"/>
              <w:left w:val="nil"/>
              <w:bottom w:val="single" w:color="000000" w:sz="4" w:space="0"/>
              <w:right w:val="nil"/>
            </w:tcBorders>
            <w:shd w:val="clear" w:color="FFFFFF" w:fill="C0C0C0"/>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08" w:hRule="atLeast"/>
        </w:trPr>
        <w:tc>
          <w:tcPr>
            <w:tcW w:w="4979" w:type="pct"/>
            <w:gridSpan w:val="10"/>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27" w:type="pct"/>
            <w:gridSpan w:val="8"/>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p>
        </w:tc>
        <w:tc>
          <w:tcPr>
            <w:tcW w:w="572"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pPr>
          </w:p>
        </w:tc>
      </w:tr>
    </w:tbl>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pStyle w:val="2"/>
        <w:rPr>
          <w:rFonts w:hint="eastAsia" w:ascii="黑体" w:hAnsi="黑体" w:eastAsia="黑体" w:cs="黑体"/>
          <w:sz w:val="48"/>
          <w:szCs w:val="48"/>
        </w:rPr>
      </w:pPr>
    </w:p>
    <w:p>
      <w:pPr>
        <w:rPr>
          <w:rFonts w:hint="eastAsia" w:ascii="黑体" w:hAnsi="黑体" w:eastAsia="黑体" w:cs="黑体"/>
          <w:sz w:val="48"/>
          <w:szCs w:val="48"/>
        </w:rPr>
      </w:pPr>
    </w:p>
    <w:p>
      <w:pPr>
        <w:pStyle w:val="2"/>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tbl>
      <w:tblPr>
        <w:tblStyle w:val="5"/>
        <w:tblW w:w="14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0"/>
        <w:gridCol w:w="545"/>
        <w:gridCol w:w="1432"/>
        <w:gridCol w:w="518"/>
        <w:gridCol w:w="1336"/>
        <w:gridCol w:w="1555"/>
        <w:gridCol w:w="1582"/>
        <w:gridCol w:w="600"/>
        <w:gridCol w:w="1432"/>
        <w:gridCol w:w="763"/>
        <w:gridCol w:w="1459"/>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549"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4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8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4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5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8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2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623"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286"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5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58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54"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7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4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1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6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5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7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8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1935243.91</w:t>
            </w:r>
          </w:p>
        </w:tc>
        <w:tc>
          <w:tcPr>
            <w:tcW w:w="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248,720.00</w:t>
            </w:r>
          </w:p>
        </w:tc>
        <w:tc>
          <w:tcPr>
            <w:tcW w:w="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248,720.00</w:t>
            </w:r>
          </w:p>
        </w:tc>
        <w:tc>
          <w:tcPr>
            <w:tcW w:w="1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1686395.5</w:t>
            </w:r>
          </w:p>
        </w:tc>
        <w:tc>
          <w:tcPr>
            <w:tcW w:w="15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1,870,050.00</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17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549"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rPr>
          <w:rFonts w:hint="eastAsia"/>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tbl>
      <w:tblPr>
        <w:tblStyle w:val="5"/>
        <w:tblW w:w="13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5496"/>
        <w:gridCol w:w="436"/>
        <w:gridCol w:w="773"/>
        <w:gridCol w:w="773"/>
        <w:gridCol w:w="436"/>
        <w:gridCol w:w="77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65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51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nil"/>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2120805</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补助被征地农民支出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21216</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棚户区改造专项债券收入安排的支出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2121699</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其他棚户区改造专项债券收入安排的支出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2296006</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tbl>
      <w:tblPr>
        <w:tblStyle w:val="5"/>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04"/>
        <w:gridCol w:w="263"/>
        <w:gridCol w:w="263"/>
        <w:gridCol w:w="1296"/>
        <w:gridCol w:w="1252"/>
        <w:gridCol w:w="1252"/>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部门：南阳市鸭河工区管理委员会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jc w:val="both"/>
        <w:outlineLvl w:val="0"/>
        <w:rPr>
          <w:rFonts w:hint="eastAsia" w:ascii="黑体" w:hAnsi="黑体" w:eastAsia="黑体" w:cs="黑体"/>
          <w:sz w:val="48"/>
          <w:szCs w:val="48"/>
        </w:rPr>
      </w:pPr>
      <w:r>
        <w:rPr>
          <w:rFonts w:hint="eastAsia" w:ascii="宋体" w:hAnsi="宋体" w:cs="宋体"/>
          <w:bCs/>
          <w:kern w:val="0"/>
          <w:sz w:val="21"/>
          <w:szCs w:val="21"/>
        </w:rPr>
        <w:t>说明：我部门没有使用国有资本经营预算安排的支出，故本表无数据</w:t>
      </w:r>
      <w:r>
        <w:rPr>
          <w:rFonts w:hint="eastAsia" w:ascii="宋体" w:hAnsi="宋体" w:cs="宋体"/>
          <w:bCs/>
          <w:kern w:val="0"/>
          <w:sz w:val="24"/>
          <w:szCs w:val="24"/>
        </w:rPr>
        <w:t>。</w:t>
      </w:r>
    </w:p>
    <w:p>
      <w:pPr>
        <w:jc w:val="center"/>
        <w:outlineLvl w:val="0"/>
        <w:rPr>
          <w:rFonts w:hint="eastAsia" w:ascii="黑体" w:hAnsi="黑体" w:eastAsia="黑体" w:cs="黑体"/>
          <w:sz w:val="48"/>
          <w:szCs w:val="48"/>
        </w:rPr>
        <w:sectPr>
          <w:pgSz w:w="16838" w:h="11906" w:orient="landscape"/>
          <w:pgMar w:top="1800" w:right="1440" w:bottom="1800" w:left="1440" w:header="720" w:footer="720" w:gutter="0"/>
          <w:pgNumType w:fmt="numberInDash"/>
          <w:cols w:space="720" w:num="1"/>
          <w:docGrid w:type="lines" w:linePitch="312" w:charSpace="0"/>
        </w:sect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w:t>
      </w:r>
      <w:r>
        <w:rPr>
          <w:rFonts w:hint="eastAsia" w:ascii="黑体" w:hAnsi="黑体" w:eastAsia="黑体" w:cs="黑体"/>
          <w:sz w:val="48"/>
          <w:szCs w:val="48"/>
          <w:lang w:val="en-US" w:eastAsia="zh-CN"/>
        </w:rPr>
        <w:t>2</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62640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，上年结余</w:t>
      </w:r>
      <w:r>
        <w:rPr>
          <w:rFonts w:hint="eastAsia" w:ascii="仿宋_GB2312" w:hAnsi="仿宋_GB2312" w:eastAsia="仿宋_GB2312" w:cs="仿宋_GB2312"/>
          <w:sz w:val="32"/>
          <w:szCs w:val="32"/>
          <w:lang w:val="en-US" w:eastAsia="zh-CN"/>
        </w:rPr>
        <w:t>0万元。合计62640万元。</w:t>
      </w:r>
      <w:r>
        <w:rPr>
          <w:rFonts w:hint="eastAsia" w:ascii="仿宋_GB2312" w:hAnsi="仿宋_GB2312" w:eastAsia="仿宋_GB2312" w:cs="仿宋_GB2312"/>
          <w:sz w:val="32"/>
          <w:szCs w:val="32"/>
        </w:rPr>
        <w:t>与上年度相比，收、支总计各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31146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98.9</w:t>
      </w:r>
      <w:r>
        <w:rPr>
          <w:rFonts w:hint="eastAsia" w:ascii="仿宋_GB2312" w:hAnsi="仿宋_GB2312" w:eastAsia="仿宋_GB2312" w:cs="仿宋_GB2312"/>
          <w:sz w:val="32"/>
          <w:szCs w:val="32"/>
        </w:rPr>
        <w:t>%。</w:t>
      </w:r>
      <w:r>
        <w:rPr>
          <w:rFonts w:hint="eastAsia" w:ascii="仿宋_GB2312" w:hAnsi="仿宋_GB2312" w:eastAsia="仿宋_GB2312" w:cs="仿宋_GB2312"/>
          <w:color w:val="0000FF"/>
          <w:sz w:val="32"/>
          <w:szCs w:val="32"/>
        </w:rPr>
        <w:t>主要原因是</w:t>
      </w:r>
      <w:r>
        <w:rPr>
          <w:rFonts w:hint="eastAsia" w:ascii="仿宋_GB2312" w:hAnsi="仿宋_GB2312" w:eastAsia="仿宋_GB2312" w:cs="仿宋_GB2312"/>
          <w:color w:val="0000FF"/>
          <w:sz w:val="32"/>
          <w:szCs w:val="32"/>
          <w:lang w:val="en-US" w:eastAsia="zh-CN"/>
        </w:rPr>
        <w:t>2021年增加土地专项债券20000万元，用于国有土地使用权出让收入安排的有关支出</w:t>
      </w:r>
      <w:r>
        <w:rPr>
          <w:rFonts w:hint="eastAsia" w:ascii="仿宋_GB2312" w:hAnsi="仿宋_GB2312" w:eastAsia="仿宋_GB2312" w:cs="仿宋_GB2312"/>
          <w:color w:val="0000FF"/>
          <w:sz w:val="32"/>
          <w:szCs w:val="32"/>
        </w:rPr>
        <w:t>。</w:t>
      </w:r>
    </w:p>
    <w:p>
      <w:pPr>
        <w:pStyle w:val="2"/>
        <w:rPr>
          <w:rFonts w:hint="eastAsia"/>
        </w:rPr>
      </w:pPr>
    </w:p>
    <w:p>
      <w:pPr>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4742815" cy="3224530"/>
            <wp:effectExtent l="0" t="0" r="635" b="13970"/>
            <wp:docPr id="3" name="图片 3" descr="图1：收支决算总计变动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1：收支决算总计变动情况表"/>
                    <pic:cNvPicPr>
                      <a:picLocks noChangeAspect="1"/>
                    </pic:cNvPicPr>
                  </pic:nvPicPr>
                  <pic:blipFill>
                    <a:blip r:embed="rId9"/>
                    <a:stretch>
                      <a:fillRect/>
                    </a:stretch>
                  </pic:blipFill>
                  <pic:spPr>
                    <a:xfrm>
                      <a:off x="0" y="0"/>
                      <a:ext cx="4742815" cy="3224530"/>
                    </a:xfrm>
                    <a:prstGeom prst="rect">
                      <a:avLst/>
                    </a:prstGeom>
                  </pic:spPr>
                </pic:pic>
              </a:graphicData>
            </a:graphic>
          </wp:inline>
        </w:drawing>
      </w:r>
    </w:p>
    <w:p>
      <w:pPr>
        <w:pStyle w:val="2"/>
        <w:rPr>
          <w:rFonts w:hint="eastAsia"/>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62600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上年结余</w:t>
      </w:r>
      <w:r>
        <w:rPr>
          <w:rFonts w:hint="eastAsia" w:ascii="仿宋_GB2312" w:hAnsi="仿宋_GB2312" w:eastAsia="仿宋_GB2312" w:cs="仿宋_GB2312"/>
          <w:sz w:val="32"/>
          <w:szCs w:val="32"/>
          <w:lang w:val="en-US" w:eastAsia="zh-CN"/>
        </w:rPr>
        <w:t>40万元。</w:t>
      </w:r>
      <w:r>
        <w:rPr>
          <w:rFonts w:hint="eastAsia" w:ascii="仿宋_GB2312" w:hAnsi="仿宋_GB2312" w:eastAsia="仿宋_GB2312" w:cs="仿宋_GB2312"/>
          <w:sz w:val="32"/>
          <w:szCs w:val="32"/>
        </w:rPr>
        <w:t>其中：财政拨款收入</w:t>
      </w:r>
      <w:r>
        <w:rPr>
          <w:rFonts w:hint="eastAsia" w:ascii="仿宋_GB2312" w:hAnsi="仿宋_GB2312" w:eastAsia="仿宋_GB2312" w:cs="仿宋_GB2312"/>
          <w:sz w:val="32"/>
          <w:szCs w:val="32"/>
          <w:lang w:val="en-US" w:eastAsia="zh-CN"/>
        </w:rPr>
        <w:t>31481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政府性基金预算收入</w:t>
      </w:r>
      <w:r>
        <w:rPr>
          <w:rFonts w:hint="eastAsia" w:ascii="仿宋_GB2312" w:hAnsi="仿宋_GB2312" w:eastAsia="仿宋_GB2312" w:cs="仿宋_GB2312"/>
          <w:sz w:val="32"/>
          <w:szCs w:val="32"/>
          <w:lang w:val="en-US" w:eastAsia="zh-CN"/>
        </w:rPr>
        <w:t>29117万元，占46%。</w:t>
      </w:r>
    </w:p>
    <w:p>
      <w:pPr>
        <w:pStyle w:val="2"/>
        <w:rPr>
          <w:rFonts w:hint="eastAsia"/>
        </w:rPr>
      </w:pPr>
    </w:p>
    <w:p>
      <w:pPr>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4972050" cy="3807460"/>
            <wp:effectExtent l="0" t="0" r="0" b="2540"/>
            <wp:docPr id="5" name="图片 5" descr="图2：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2：收入决算表"/>
                    <pic:cNvPicPr>
                      <a:picLocks noChangeAspect="1"/>
                    </pic:cNvPicPr>
                  </pic:nvPicPr>
                  <pic:blipFill>
                    <a:blip r:embed="rId10"/>
                    <a:stretch>
                      <a:fillRect/>
                    </a:stretch>
                  </pic:blipFill>
                  <pic:spPr>
                    <a:xfrm>
                      <a:off x="0" y="0"/>
                      <a:ext cx="4972050" cy="3807460"/>
                    </a:xfrm>
                    <a:prstGeom prst="rect">
                      <a:avLst/>
                    </a:prstGeom>
                  </pic:spPr>
                </pic:pic>
              </a:graphicData>
            </a:graphic>
          </wp:inline>
        </w:drawing>
      </w:r>
    </w:p>
    <w:p>
      <w:pPr>
        <w:pStyle w:val="2"/>
        <w:rPr>
          <w:rFonts w:hint="eastAsia"/>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62640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18297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44343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w:t>
      </w:r>
    </w:p>
    <w:p>
      <w:pPr>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4662170" cy="3471545"/>
            <wp:effectExtent l="0" t="0" r="5080" b="14605"/>
            <wp:docPr id="6" name="图片 6" descr="图3：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3：支出决算表"/>
                    <pic:cNvPicPr>
                      <a:picLocks noChangeAspect="1"/>
                    </pic:cNvPicPr>
                  </pic:nvPicPr>
                  <pic:blipFill>
                    <a:blip r:embed="rId11"/>
                    <a:stretch>
                      <a:fillRect/>
                    </a:stretch>
                  </pic:blipFill>
                  <pic:spPr>
                    <a:xfrm>
                      <a:off x="0" y="0"/>
                      <a:ext cx="4662170" cy="3471545"/>
                    </a:xfrm>
                    <a:prstGeom prst="rect">
                      <a:avLst/>
                    </a:prstGeom>
                  </pic:spPr>
                </pic:pic>
              </a:graphicData>
            </a:graphic>
          </wp:inline>
        </w:drawing>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color w:val="0000FF"/>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lang w:val="en-US" w:eastAsia="zh-CN"/>
        </w:rPr>
        <w:t>(本年度收入60598万元，结余40万元)</w:t>
      </w:r>
      <w:r>
        <w:rPr>
          <w:rFonts w:hint="eastAsia" w:ascii="仿宋_GB2312" w:hAnsi="仿宋_GB2312" w:eastAsia="仿宋_GB2312" w:cs="仿宋_GB2312"/>
          <w:sz w:val="32"/>
          <w:szCs w:val="32"/>
        </w:rPr>
        <w:t>、支总计均为</w:t>
      </w:r>
      <w:r>
        <w:rPr>
          <w:rFonts w:hint="eastAsia" w:ascii="仿宋_GB2312" w:hAnsi="仿宋_GB2312" w:eastAsia="仿宋_GB2312" w:cs="仿宋_GB2312"/>
          <w:sz w:val="32"/>
          <w:szCs w:val="32"/>
          <w:lang w:val="en-US" w:eastAsia="zh-CN"/>
        </w:rPr>
        <w:t>60638</w:t>
      </w:r>
      <w:r>
        <w:rPr>
          <w:rFonts w:hint="eastAsia" w:ascii="仿宋_GB2312" w:hAnsi="仿宋_GB2312" w:eastAsia="仿宋_GB2312" w:cs="仿宋_GB2312"/>
          <w:sz w:val="32"/>
          <w:szCs w:val="32"/>
        </w:rPr>
        <w:t>万元。与上年度相比，财政拨款收、支总计各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31409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w:t>
      </w:r>
      <w:r>
        <w:rPr>
          <w:rFonts w:hint="eastAsia" w:ascii="仿宋_GB2312" w:hAnsi="仿宋_GB2312" w:eastAsia="仿宋_GB2312" w:cs="仿宋_GB2312"/>
          <w:color w:val="0000FF"/>
          <w:sz w:val="32"/>
          <w:szCs w:val="32"/>
        </w:rPr>
        <w:t>主要原因是</w:t>
      </w:r>
      <w:r>
        <w:rPr>
          <w:rFonts w:hint="eastAsia" w:ascii="仿宋_GB2312" w:hAnsi="仿宋_GB2312" w:eastAsia="仿宋_GB2312" w:cs="仿宋_GB2312"/>
          <w:color w:val="0000FF"/>
          <w:sz w:val="32"/>
          <w:szCs w:val="32"/>
          <w:lang w:val="en-US" w:eastAsia="zh-CN"/>
        </w:rPr>
        <w:t>2020年增加土地专项债券20000万元，用于国有土地使用权出让收入安排的有关支出</w:t>
      </w:r>
      <w:r>
        <w:rPr>
          <w:rFonts w:hint="eastAsia" w:ascii="仿宋_GB2312" w:hAnsi="仿宋_GB2312" w:eastAsia="仿宋_GB2312" w:cs="仿宋_GB2312"/>
          <w:color w:val="0000FF"/>
          <w:sz w:val="32"/>
          <w:szCs w:val="32"/>
        </w:rPr>
        <w:t>。</w:t>
      </w:r>
    </w:p>
    <w:p>
      <w:pPr>
        <w:rPr>
          <w:rFonts w:hint="eastAsia" w:eastAsia="仿宋_GB2312"/>
          <w:lang w:eastAsia="zh-CN"/>
        </w:rPr>
      </w:pPr>
      <w:r>
        <w:rPr>
          <w:rFonts w:hint="eastAsia" w:eastAsia="仿宋_GB2312"/>
          <w:lang w:val="en-US" w:eastAsia="zh-CN"/>
        </w:rPr>
        <w:t xml:space="preserve">        </w:t>
      </w:r>
      <w:r>
        <w:rPr>
          <w:rFonts w:hint="eastAsia" w:eastAsia="仿宋_GB2312"/>
          <w:lang w:eastAsia="zh-CN"/>
        </w:rPr>
        <w:drawing>
          <wp:inline distT="0" distB="0" distL="114300" distR="114300">
            <wp:extent cx="4013835" cy="2729230"/>
            <wp:effectExtent l="0" t="0" r="5715" b="13970"/>
            <wp:docPr id="7" name="图片 7" descr="图4：财政拨款收支决算总计变动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4：财政拨款收支决算总计变动情况"/>
                    <pic:cNvPicPr>
                      <a:picLocks noChangeAspect="1"/>
                    </pic:cNvPicPr>
                  </pic:nvPicPr>
                  <pic:blipFill>
                    <a:blip r:embed="rId12"/>
                    <a:stretch>
                      <a:fillRect/>
                    </a:stretch>
                  </pic:blipFill>
                  <pic:spPr>
                    <a:xfrm>
                      <a:off x="0" y="0"/>
                      <a:ext cx="4013835" cy="2729230"/>
                    </a:xfrm>
                    <a:prstGeom prst="rect">
                      <a:avLst/>
                    </a:prstGeom>
                  </pic:spPr>
                </pic:pic>
              </a:graphicData>
            </a:graphic>
          </wp:inline>
        </w:drawing>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31521</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50.3</w:t>
      </w:r>
      <w:r>
        <w:rPr>
          <w:rFonts w:hint="eastAsia" w:ascii="仿宋_GB2312" w:hAnsi="仿宋_GB2312" w:eastAsia="仿宋_GB2312" w:cs="仿宋_GB2312"/>
          <w:sz w:val="32"/>
          <w:szCs w:val="32"/>
        </w:rPr>
        <w:t>%。与上年度相比，一般公共预算财政拨款支出增加</w:t>
      </w:r>
      <w:r>
        <w:rPr>
          <w:rFonts w:hint="eastAsia" w:ascii="仿宋_GB2312" w:hAnsi="仿宋_GB2312" w:eastAsia="仿宋_GB2312" w:cs="仿宋_GB2312"/>
          <w:sz w:val="32"/>
          <w:szCs w:val="32"/>
          <w:lang w:val="en-US" w:eastAsia="zh-CN"/>
        </w:rPr>
        <w:t>4983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鸭河工区收入增加</w:t>
      </w:r>
      <w:r>
        <w:rPr>
          <w:rFonts w:hint="eastAsia" w:ascii="仿宋_GB2312" w:hAnsi="仿宋_GB2312" w:eastAsia="仿宋_GB2312" w:cs="仿宋_GB2312"/>
          <w:sz w:val="32"/>
          <w:szCs w:val="32"/>
        </w:rPr>
        <w:t>。</w:t>
      </w:r>
    </w:p>
    <w:p>
      <w:pPr>
        <w:rPr>
          <w:rFonts w:hint="eastAsia" w:eastAsia="仿宋_GB2312"/>
          <w:lang w:eastAsia="zh-CN"/>
        </w:rPr>
      </w:pPr>
      <w:r>
        <w:rPr>
          <w:rFonts w:hint="eastAsia" w:eastAsia="仿宋_GB2312"/>
          <w:lang w:val="en-US" w:eastAsia="zh-CN"/>
        </w:rPr>
        <w:t xml:space="preserve">            </w:t>
      </w:r>
      <w:r>
        <w:rPr>
          <w:rFonts w:hint="eastAsia" w:eastAsia="仿宋_GB2312"/>
          <w:lang w:eastAsia="zh-CN"/>
        </w:rPr>
        <w:drawing>
          <wp:inline distT="0" distB="0" distL="114300" distR="114300">
            <wp:extent cx="4185920" cy="2585720"/>
            <wp:effectExtent l="0" t="0" r="5080" b="5080"/>
            <wp:docPr id="8" name="图片 8" descr="图5：财政拨款支出决算变动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5：财政拨款支出决算变动情况表"/>
                    <pic:cNvPicPr>
                      <a:picLocks noChangeAspect="1"/>
                    </pic:cNvPicPr>
                  </pic:nvPicPr>
                  <pic:blipFill>
                    <a:blip r:embed="rId13"/>
                    <a:stretch>
                      <a:fillRect/>
                    </a:stretch>
                  </pic:blipFill>
                  <pic:spPr>
                    <a:xfrm>
                      <a:off x="0" y="0"/>
                      <a:ext cx="4185920" cy="2585720"/>
                    </a:xfrm>
                    <a:prstGeom prst="rect">
                      <a:avLst/>
                    </a:prstGeom>
                  </pic:spPr>
                </pic:pic>
              </a:graphicData>
            </a:graphic>
          </wp:inline>
        </w:drawing>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31521</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3524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11.2%；</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公共安全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（类）支出</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268</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万元，占</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0.85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%；教育（类）支出</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11017</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万元，占</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34.95%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文化旅游</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体育与传媒（类）支出69万元，占</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0.22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%；社会保障和就业（类）支出</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2884</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占9.15%；</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卫生健康</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（类）支出</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1749万元，占5.55%；节能环保</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（类） </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支出507万元，占1.61%；城乡社区支出2143万元，占6.8%；</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农林水（类）支出</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7218</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占22.9%；交通运输（类）支出791万元，占2.51%；</w:t>
      </w:r>
      <w:r>
        <w:rPr>
          <w:rFonts w:hint="eastAsia" w:ascii="仿宋" w:hAnsi="仿宋" w:eastAsia="仿宋" w:cs="仿宋"/>
          <w:color w:val="000000" w:themeColor="text1"/>
          <w:sz w:val="32"/>
          <w:szCs w:val="32"/>
          <w:lang w:eastAsia="zh-CN"/>
          <w14:textFill>
            <w14:solidFill>
              <w14:schemeClr w14:val="tx1"/>
            </w14:solidFill>
          </w14:textFill>
        </w:rPr>
        <w:t>自然资源</w:t>
      </w:r>
      <w:r>
        <w:rPr>
          <w:rFonts w:hint="eastAsia" w:ascii="仿宋" w:hAnsi="仿宋" w:eastAsia="仿宋" w:cs="仿宋"/>
          <w:color w:val="000000" w:themeColor="text1"/>
          <w:sz w:val="32"/>
          <w:szCs w:val="32"/>
          <w14:textFill>
            <w14:solidFill>
              <w14:schemeClr w14:val="tx1"/>
            </w14:solidFill>
          </w14:textFill>
        </w:rPr>
        <w:t>海洋气象等支出</w:t>
      </w:r>
      <w:r>
        <w:rPr>
          <w:rFonts w:hint="eastAsia" w:ascii="仿宋" w:hAnsi="仿宋" w:eastAsia="仿宋" w:cs="仿宋"/>
          <w:color w:val="000000" w:themeColor="text1"/>
          <w:sz w:val="32"/>
          <w:szCs w:val="32"/>
          <w:lang w:val="en-US" w:eastAsia="zh-CN"/>
          <w14:textFill>
            <w14:solidFill>
              <w14:schemeClr w14:val="tx1"/>
            </w14:solidFill>
          </w14:textFill>
        </w:rPr>
        <w:t>349万元，占1.11%</w:t>
      </w:r>
      <w:r>
        <w:rPr>
          <w:rFonts w:hint="eastAsia" w:ascii="仿宋_GB2312" w:hAnsi="宋体" w:cs="Courier New"/>
          <w:color w:val="000000" w:themeColor="text1"/>
          <w:sz w:val="32"/>
          <w:szCs w:val="32"/>
          <w:lang w:val="en-US" w:eastAsia="zh-CN"/>
          <w14:textFill>
            <w14:solidFill>
              <w14:schemeClr w14:val="tx1"/>
            </w14:solidFill>
          </w14:textFill>
        </w:rPr>
        <w:t>；资源勘探工业信息支出11万元，占0.035 %。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住房保障（类）支出</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14</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r>
        <w:rPr>
          <w:rFonts w:hint="eastAsia" w:ascii="仿宋_GB2312" w:hAnsi="仿宋_GB2312" w:eastAsia="仿宋_GB2312" w:cs="仿宋_GB2312"/>
          <w:color w:val="C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占</w:t>
      </w:r>
      <w:r>
        <w:rPr>
          <w:rFonts w:hint="eastAsia" w:ascii="仿宋_GB2312" w:hAnsi="仿宋_GB2312" w:cs="仿宋_GB2312"/>
          <w:color w:val="000000"/>
          <w:kern w:val="0"/>
          <w:sz w:val="32"/>
          <w:szCs w:val="32"/>
          <w:lang w:val="en-US" w:eastAsia="zh-CN" w:bidi="ar"/>
        </w:rPr>
        <w:t>0.044</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灾害防治及应急管理（类）支出458万元，占1.45%，其他支出519万元，占1.65%。</w:t>
      </w:r>
    </w:p>
    <w:p>
      <w:pPr>
        <w:pStyle w:val="2"/>
        <w:rPr>
          <w:rFonts w:hint="eastAsia"/>
          <w:lang w:val="en-US" w:eastAsia="zh-CN"/>
        </w:rPr>
      </w:pPr>
      <w:r>
        <w:rPr>
          <w:rFonts w:hint="eastAsia"/>
          <w:lang w:val="en-US" w:eastAsia="zh-CN"/>
        </w:rPr>
        <w:drawing>
          <wp:inline distT="0" distB="0" distL="114300" distR="114300">
            <wp:extent cx="5575300" cy="3812540"/>
            <wp:effectExtent l="0" t="0" r="6350" b="16510"/>
            <wp:docPr id="9" name="图片 9" descr="图6：财政拨款支出决算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6：财政拨款支出决算结构"/>
                    <pic:cNvPicPr>
                      <a:picLocks noChangeAspect="1"/>
                    </pic:cNvPicPr>
                  </pic:nvPicPr>
                  <pic:blipFill>
                    <a:blip r:embed="rId14"/>
                    <a:stretch>
                      <a:fillRect/>
                    </a:stretch>
                  </pic:blipFill>
                  <pic:spPr>
                    <a:xfrm>
                      <a:off x="0" y="0"/>
                      <a:ext cx="5575300" cy="3812540"/>
                    </a:xfrm>
                    <a:prstGeom prst="rect">
                      <a:avLst/>
                    </a:prstGeom>
                  </pic:spPr>
                </pic:pic>
              </a:graphicData>
            </a:graphic>
          </wp:inline>
        </w:drawing>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color w:val="000000" w:themeColor="text1"/>
          <w:sz w:val="32"/>
          <w:szCs w:val="32"/>
          <w:shd w:val="clear" w:color="auto" w:fill="auto"/>
          <w14:textFill>
            <w14:solidFill>
              <w14:schemeClr w14:val="tx1"/>
            </w14:solidFill>
          </w14:textFill>
        </w:rPr>
        <w:t>2021</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年度一般公共预算财政拨款支出年初预算为</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26639</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万元，支出决算为</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31521</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万元</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完成年初预算的</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118.3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%。其中：</w:t>
      </w:r>
    </w:p>
    <w:p>
      <w:pPr>
        <w:adjustRightInd w:val="0"/>
        <w:snapToGrid w:val="0"/>
        <w:spacing w:line="360" w:lineRule="auto"/>
        <w:rPr>
          <w:rFonts w:hint="eastAsia" w:ascii="仿宋" w:hAnsi="仿宋" w:eastAsia="仿宋" w:cs="仿宋"/>
          <w:color w:val="000000" w:themeColor="text1"/>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（一）一般公共服务支出（类）年初预算为3520</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万元，支出决算为</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3524</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万元，完成年初预算的</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100.1</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w:t>
      </w:r>
    </w:p>
    <w:p>
      <w:pPr>
        <w:adjustRightInd w:val="0"/>
        <w:snapToGrid w:val="0"/>
        <w:spacing w:line="360" w:lineRule="auto"/>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lang w:eastAsia="zh-CN"/>
          <w14:textFill>
            <w14:solidFill>
              <w14:schemeClr w14:val="tx1"/>
            </w14:solidFill>
          </w14:textFill>
        </w:rPr>
        <w:t>（二）公共安全支出（类）年</w:t>
      </w:r>
      <w:r>
        <w:rPr>
          <w:rFonts w:hint="eastAsia" w:ascii="仿宋" w:hAnsi="仿宋" w:eastAsia="仿宋" w:cs="仿宋"/>
          <w:color w:val="000000" w:themeColor="text1"/>
          <w:sz w:val="32"/>
          <w:szCs w:val="32"/>
          <w:shd w:val="clear" w:color="auto" w:fill="auto"/>
          <w14:textFill>
            <w14:solidFill>
              <w14:schemeClr w14:val="tx1"/>
            </w14:solidFill>
          </w14:textFill>
        </w:rPr>
        <w:t>初预算为</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268</w:t>
      </w:r>
      <w:r>
        <w:rPr>
          <w:rFonts w:hint="eastAsia" w:ascii="仿宋" w:hAnsi="仿宋" w:eastAsia="仿宋" w:cs="仿宋"/>
          <w:color w:val="000000" w:themeColor="text1"/>
          <w:sz w:val="32"/>
          <w:szCs w:val="32"/>
          <w:shd w:val="clear" w:color="auto" w:fill="auto"/>
          <w14:textFill>
            <w14:solidFill>
              <w14:schemeClr w14:val="tx1"/>
            </w14:solidFill>
          </w14:textFill>
        </w:rPr>
        <w:t>万元，支出决算为</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268</w:t>
      </w:r>
      <w:r>
        <w:rPr>
          <w:rFonts w:hint="eastAsia" w:ascii="仿宋" w:hAnsi="仿宋" w:eastAsia="仿宋" w:cs="仿宋"/>
          <w:color w:val="000000" w:themeColor="text1"/>
          <w:sz w:val="32"/>
          <w:szCs w:val="32"/>
          <w:shd w:val="clear" w:color="auto" w:fill="auto"/>
          <w14:textFill>
            <w14:solidFill>
              <w14:schemeClr w14:val="tx1"/>
            </w14:solidFill>
          </w14:textFill>
        </w:rPr>
        <w:t>万元，完成年初预算的</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100</w:t>
      </w:r>
      <w:r>
        <w:rPr>
          <w:rFonts w:hint="eastAsia" w:ascii="仿宋" w:hAnsi="仿宋" w:eastAsia="仿宋" w:cs="仿宋"/>
          <w:color w:val="000000" w:themeColor="text1"/>
          <w:sz w:val="32"/>
          <w:szCs w:val="32"/>
          <w:shd w:val="clear" w:color="auto" w:fill="auto"/>
          <w14:textFill>
            <w14:solidFill>
              <w14:schemeClr w14:val="tx1"/>
            </w14:solidFill>
          </w14:textFill>
        </w:rPr>
        <w:t>%。</w:t>
      </w:r>
    </w:p>
    <w:p>
      <w:pPr>
        <w:adjustRightInd w:val="0"/>
        <w:snapToGrid w:val="0"/>
        <w:spacing w:line="360" w:lineRule="auto"/>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（三）教育支出（类）年初预算为</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8050</w:t>
      </w:r>
      <w:r>
        <w:rPr>
          <w:rFonts w:hint="eastAsia" w:ascii="仿宋" w:hAnsi="仿宋" w:eastAsia="仿宋" w:cs="仿宋"/>
          <w:color w:val="000000" w:themeColor="text1"/>
          <w:sz w:val="32"/>
          <w:szCs w:val="32"/>
          <w:shd w:val="clear" w:color="auto" w:fill="auto"/>
          <w14:textFill>
            <w14:solidFill>
              <w14:schemeClr w14:val="tx1"/>
            </w14:solidFill>
          </w14:textFill>
        </w:rPr>
        <w:t>万元，支出决算为</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11017</w:t>
      </w:r>
      <w:r>
        <w:rPr>
          <w:rFonts w:hint="eastAsia" w:ascii="仿宋" w:hAnsi="仿宋" w:eastAsia="仿宋" w:cs="仿宋"/>
          <w:color w:val="000000" w:themeColor="text1"/>
          <w:sz w:val="32"/>
          <w:szCs w:val="32"/>
          <w:shd w:val="clear" w:color="auto" w:fill="auto"/>
          <w14:textFill>
            <w14:solidFill>
              <w14:schemeClr w14:val="tx1"/>
            </w14:solidFill>
          </w14:textFill>
        </w:rPr>
        <w:t>万元，完成年初预算的</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136.8</w:t>
      </w:r>
      <w:r>
        <w:rPr>
          <w:rFonts w:hint="eastAsia" w:ascii="仿宋" w:hAnsi="仿宋" w:eastAsia="仿宋" w:cs="仿宋"/>
          <w:color w:val="000000" w:themeColor="text1"/>
          <w:sz w:val="32"/>
          <w:szCs w:val="32"/>
          <w:shd w:val="clear" w:color="auto" w:fill="auto"/>
          <w14:textFill>
            <w14:solidFill>
              <w14:schemeClr w14:val="tx1"/>
            </w14:solidFill>
          </w14:textFill>
        </w:rPr>
        <w:t>%。</w:t>
      </w:r>
    </w:p>
    <w:p>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CN"/>
          <w14:textFill>
            <w14:solidFill>
              <w14:schemeClr w14:val="tx1"/>
            </w14:solidFill>
          </w14:textFill>
        </w:rPr>
        <w:t>旅游</w:t>
      </w:r>
      <w:r>
        <w:rPr>
          <w:rFonts w:hint="eastAsia" w:ascii="仿宋" w:hAnsi="仿宋" w:eastAsia="仿宋" w:cs="仿宋"/>
          <w:color w:val="000000" w:themeColor="text1"/>
          <w:sz w:val="32"/>
          <w:szCs w:val="32"/>
          <w14:textFill>
            <w14:solidFill>
              <w14:schemeClr w14:val="tx1"/>
            </w14:solidFill>
          </w14:textFill>
        </w:rPr>
        <w:t>体育与传媒支出（类）</w:t>
      </w:r>
      <w:r>
        <w:rPr>
          <w:rFonts w:hint="eastAsia" w:ascii="仿宋" w:hAnsi="仿宋" w:eastAsia="仿宋" w:cs="仿宋"/>
          <w:color w:val="auto"/>
          <w:sz w:val="32"/>
          <w:szCs w:val="32"/>
        </w:rPr>
        <w:t>年初预算为</w:t>
      </w:r>
      <w:r>
        <w:rPr>
          <w:rFonts w:hint="eastAsia" w:ascii="仿宋" w:hAnsi="仿宋" w:eastAsia="仿宋" w:cs="仿宋"/>
          <w:color w:val="000000"/>
          <w:sz w:val="32"/>
          <w:szCs w:val="32"/>
          <w:lang w:val="en-US" w:eastAsia="zh-CN"/>
        </w:rPr>
        <w:t>69</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69</w:t>
      </w:r>
      <w:r>
        <w:rPr>
          <w:rFonts w:hint="eastAsia" w:ascii="仿宋" w:hAnsi="仿宋" w:eastAsia="仿宋" w:cs="仿宋"/>
          <w:color w:val="auto"/>
          <w:sz w:val="32"/>
          <w:szCs w:val="32"/>
        </w:rPr>
        <w:t>万元，完成年初预算的</w:t>
      </w:r>
      <w:r>
        <w:rPr>
          <w:rFonts w:hint="eastAsia" w:ascii="仿宋" w:hAnsi="仿宋" w:eastAsia="仿宋" w:cs="仿宋"/>
          <w:color w:val="000000"/>
          <w:sz w:val="32"/>
          <w:szCs w:val="32"/>
        </w:rPr>
        <w:t>100 %。</w:t>
      </w:r>
    </w:p>
    <w:p>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）社会</w:t>
      </w:r>
      <w:r>
        <w:rPr>
          <w:rFonts w:hint="eastAsia" w:ascii="仿宋" w:hAnsi="仿宋" w:eastAsia="仿宋" w:cs="仿宋"/>
          <w:color w:val="auto"/>
          <w:sz w:val="32"/>
          <w:szCs w:val="32"/>
          <w:lang w:eastAsia="zh-CN"/>
        </w:rPr>
        <w:t>保障和就业</w:t>
      </w:r>
      <w:r>
        <w:rPr>
          <w:rFonts w:hint="eastAsia" w:ascii="仿宋" w:hAnsi="仿宋" w:eastAsia="仿宋" w:cs="仿宋"/>
          <w:color w:val="000000" w:themeColor="text1"/>
          <w:sz w:val="32"/>
          <w:szCs w:val="32"/>
          <w14:textFill>
            <w14:solidFill>
              <w14:schemeClr w14:val="tx1"/>
            </w14:solidFill>
          </w14:textFill>
        </w:rPr>
        <w:t>支出（类）</w:t>
      </w:r>
      <w:r>
        <w:rPr>
          <w:rFonts w:hint="eastAsia" w:ascii="仿宋" w:hAnsi="仿宋" w:eastAsia="仿宋" w:cs="仿宋"/>
          <w:color w:val="auto"/>
          <w:sz w:val="32"/>
          <w:szCs w:val="32"/>
        </w:rPr>
        <w:t>年初</w:t>
      </w:r>
      <w:r>
        <w:rPr>
          <w:rFonts w:hint="eastAsia" w:ascii="仿宋" w:hAnsi="仿宋" w:eastAsia="仿宋" w:cs="仿宋"/>
          <w:color w:val="auto"/>
          <w:sz w:val="32"/>
          <w:szCs w:val="32"/>
          <w:lang w:eastAsia="zh-CN"/>
        </w:rPr>
        <w:t>预算数为</w:t>
      </w:r>
      <w:r>
        <w:rPr>
          <w:rFonts w:hint="eastAsia" w:ascii="仿宋" w:hAnsi="仿宋" w:eastAsia="仿宋" w:cs="仿宋"/>
          <w:color w:val="auto"/>
          <w:sz w:val="32"/>
          <w:szCs w:val="32"/>
          <w:lang w:val="en-US" w:eastAsia="zh-CN"/>
        </w:rPr>
        <w:t>2884万元，支出决算数为2884万元，完成年初预算的100</w:t>
      </w:r>
      <w:r>
        <w:rPr>
          <w:rFonts w:hint="eastAsia" w:ascii="仿宋" w:hAnsi="仿宋" w:eastAsia="仿宋" w:cs="仿宋"/>
          <w:color w:val="000000"/>
          <w:sz w:val="32"/>
          <w:szCs w:val="32"/>
        </w:rPr>
        <w:t>%。</w:t>
      </w:r>
    </w:p>
    <w:p>
      <w:pPr>
        <w:adjustRightInd w:val="0"/>
        <w:snapToGrid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）卫生</w:t>
      </w:r>
      <w:r>
        <w:rPr>
          <w:rFonts w:hint="eastAsia" w:ascii="仿宋" w:hAnsi="仿宋" w:eastAsia="仿宋" w:cs="仿宋"/>
          <w:color w:val="auto"/>
          <w:sz w:val="32"/>
          <w:szCs w:val="32"/>
          <w:lang w:eastAsia="zh-CN"/>
        </w:rPr>
        <w:t>健康</w:t>
      </w:r>
      <w:r>
        <w:rPr>
          <w:rFonts w:hint="eastAsia" w:ascii="仿宋" w:hAnsi="仿宋" w:eastAsia="仿宋" w:cs="仿宋"/>
          <w:color w:val="auto"/>
          <w:sz w:val="32"/>
          <w:szCs w:val="32"/>
        </w:rPr>
        <w:t>支出（类）年初预算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1749</w:t>
      </w:r>
      <w:r>
        <w:rPr>
          <w:rFonts w:hint="eastAsia" w:ascii="仿宋" w:hAnsi="仿宋" w:eastAsia="仿宋" w:cs="仿宋"/>
          <w:color w:val="000000"/>
          <w:sz w:val="32"/>
          <w:szCs w:val="32"/>
        </w:rPr>
        <w:t>万元，支</w:t>
      </w:r>
      <w:r>
        <w:rPr>
          <w:rFonts w:hint="eastAsia" w:ascii="仿宋" w:hAnsi="仿宋" w:eastAsia="仿宋" w:cs="仿宋"/>
          <w:color w:val="auto"/>
          <w:sz w:val="32"/>
          <w:szCs w:val="32"/>
        </w:rPr>
        <w:t>出决算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1749</w:t>
      </w:r>
      <w:r>
        <w:rPr>
          <w:rFonts w:hint="eastAsia" w:ascii="仿宋" w:hAnsi="仿宋" w:eastAsia="仿宋" w:cs="仿宋"/>
          <w:color w:val="000000"/>
          <w:sz w:val="32"/>
          <w:szCs w:val="32"/>
        </w:rPr>
        <w:t>万</w:t>
      </w:r>
      <w:r>
        <w:rPr>
          <w:rFonts w:hint="eastAsia" w:ascii="仿宋" w:hAnsi="仿宋" w:eastAsia="仿宋" w:cs="仿宋"/>
          <w:color w:val="auto"/>
          <w:sz w:val="32"/>
          <w:szCs w:val="32"/>
        </w:rPr>
        <w:t>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adjustRightInd w:val="0"/>
        <w:snapToGrid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）节能环保支出（类）年初预算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507</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507</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adjustRightInd w:val="0"/>
        <w:snapToGrid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）城乡社区支出（类）年初预算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2143</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2143</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）农林水支出（类）年初预算为</w:t>
      </w:r>
      <w:r>
        <w:rPr>
          <w:rFonts w:hint="eastAsia" w:ascii="仿宋" w:hAnsi="仿宋" w:eastAsia="仿宋" w:cs="仿宋"/>
          <w:color w:val="000000"/>
          <w:sz w:val="32"/>
          <w:szCs w:val="32"/>
          <w:lang w:val="en-US" w:eastAsia="zh-CN"/>
        </w:rPr>
        <w:t>6922</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7218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99.8</w:t>
      </w:r>
      <w:r>
        <w:rPr>
          <w:rFonts w:hint="eastAsia" w:ascii="仿宋" w:hAnsi="仿宋" w:eastAsia="仿宋" w:cs="仿宋"/>
          <w:color w:val="auto"/>
          <w:sz w:val="32"/>
          <w:szCs w:val="32"/>
        </w:rPr>
        <w:t>%。</w:t>
      </w:r>
    </w:p>
    <w:p>
      <w:pPr>
        <w:adjustRightInd w:val="0"/>
        <w:snapToGrid w:val="0"/>
        <w:spacing w:line="360" w:lineRule="auto"/>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（十）交通运输（类）年初预算</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791</w:t>
      </w:r>
      <w:r>
        <w:rPr>
          <w:rFonts w:hint="eastAsia" w:ascii="仿宋" w:hAnsi="仿宋" w:eastAsia="仿宋" w:cs="仿宋"/>
          <w:color w:val="auto"/>
          <w:sz w:val="32"/>
          <w:szCs w:val="32"/>
          <w:lang w:val="en-US" w:eastAsia="zh-CN"/>
        </w:rPr>
        <w:t>万元，</w:t>
      </w:r>
      <w:r>
        <w:rPr>
          <w:rFonts w:hint="eastAsia" w:ascii="仿宋" w:hAnsi="仿宋" w:eastAsia="仿宋" w:cs="仿宋"/>
          <w:color w:val="auto"/>
          <w:sz w:val="32"/>
          <w:szCs w:val="32"/>
        </w:rPr>
        <w:t>支出决算为</w:t>
      </w:r>
      <w:r>
        <w:rPr>
          <w:rFonts w:hint="eastAsia" w:ascii="仿宋" w:hAnsi="仿宋" w:eastAsia="仿宋" w:cs="仿宋"/>
          <w:color w:val="auto"/>
          <w:sz w:val="32"/>
          <w:szCs w:val="32"/>
          <w:lang w:val="en-US" w:eastAsia="zh-CN"/>
        </w:rPr>
        <w:t>791</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104.3</w:t>
      </w:r>
      <w:r>
        <w:rPr>
          <w:rFonts w:hint="eastAsia" w:ascii="仿宋" w:hAnsi="仿宋" w:eastAsia="仿宋" w:cs="仿宋"/>
          <w:color w:val="auto"/>
          <w:sz w:val="32"/>
          <w:szCs w:val="32"/>
        </w:rPr>
        <w:t>%。</w:t>
      </w:r>
    </w:p>
    <w:p>
      <w:pPr>
        <w:adjustRightInd w:val="0"/>
        <w:snapToGrid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自然资源</w:t>
      </w:r>
      <w:r>
        <w:rPr>
          <w:rFonts w:hint="eastAsia" w:ascii="仿宋" w:hAnsi="仿宋" w:eastAsia="仿宋" w:cs="仿宋"/>
          <w:color w:val="auto"/>
          <w:sz w:val="32"/>
          <w:szCs w:val="32"/>
        </w:rPr>
        <w:t>海洋气象等支出（类）年初预算为</w:t>
      </w:r>
      <w:r>
        <w:rPr>
          <w:rFonts w:hint="eastAsia" w:ascii="仿宋" w:hAnsi="仿宋" w:eastAsia="仿宋" w:cs="仿宋"/>
          <w:color w:val="000000"/>
          <w:sz w:val="32"/>
          <w:szCs w:val="32"/>
          <w:lang w:val="en-US" w:eastAsia="zh-CN"/>
        </w:rPr>
        <w:t>339</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349</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103</w:t>
      </w:r>
      <w:r>
        <w:rPr>
          <w:rFonts w:hint="eastAsia" w:ascii="仿宋" w:hAnsi="仿宋" w:eastAsia="仿宋" w:cs="仿宋"/>
          <w:color w:val="auto"/>
          <w:sz w:val="32"/>
          <w:szCs w:val="32"/>
        </w:rPr>
        <w:t>%。</w:t>
      </w:r>
    </w:p>
    <w:p>
      <w:pPr>
        <w:adjustRightInd w:val="0"/>
        <w:snapToGrid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）住房保障支出（类）年初预算为</w:t>
      </w:r>
      <w:r>
        <w:rPr>
          <w:rFonts w:hint="eastAsia" w:ascii="仿宋" w:hAnsi="仿宋" w:eastAsia="仿宋" w:cs="仿宋"/>
          <w:color w:val="000000"/>
          <w:sz w:val="32"/>
          <w:szCs w:val="32"/>
          <w:lang w:val="en-US" w:eastAsia="zh-CN"/>
        </w:rPr>
        <w:t>14</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adjustRightInd w:val="0"/>
        <w:snapToGrid w:val="0"/>
        <w:spacing w:line="360" w:lineRule="auto"/>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灾害防治及应急管理支出(类)年初预算为</w:t>
      </w:r>
      <w:r>
        <w:rPr>
          <w:rFonts w:hint="eastAsia" w:ascii="仿宋" w:hAnsi="仿宋" w:eastAsia="仿宋" w:cs="仿宋"/>
          <w:color w:val="000000"/>
          <w:sz w:val="32"/>
          <w:szCs w:val="32"/>
          <w:lang w:val="en-US" w:eastAsia="zh-CN"/>
        </w:rPr>
        <w:t>458万</w:t>
      </w:r>
      <w:r>
        <w:rPr>
          <w:rFonts w:hint="eastAsia" w:ascii="仿宋" w:hAnsi="仿宋" w:eastAsia="仿宋" w:cs="仿宋"/>
          <w:color w:val="auto"/>
          <w:sz w:val="32"/>
          <w:szCs w:val="32"/>
          <w:lang w:val="en-US" w:eastAsia="zh-CN"/>
        </w:rPr>
        <w:t>元，支出决算数为458万元，完成年初预算的100%。</w:t>
      </w:r>
    </w:p>
    <w:p>
      <w:pPr>
        <w:adjustRightInd w:val="0"/>
        <w:snapToGrid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）其他支出（类）年初预算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519</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519</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adjustRightInd w:val="0"/>
        <w:snapToGrid w:val="0"/>
        <w:spacing w:line="360" w:lineRule="auto"/>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（十五）资源勘探工业信息支出年初预算数为</w:t>
      </w:r>
      <w:r>
        <w:rPr>
          <w:rFonts w:hint="eastAsia" w:ascii="仿宋" w:hAnsi="仿宋" w:eastAsia="仿宋" w:cs="仿宋"/>
          <w:color w:val="auto"/>
          <w:sz w:val="32"/>
          <w:szCs w:val="32"/>
          <w:lang w:val="en-US" w:eastAsia="zh-CN"/>
        </w:rPr>
        <w:t>11万元，支出决算数为11万元，完成年初预算数的100%。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16295</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10970</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5325</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 w:hAnsi="仿宋" w:eastAsia="仿宋" w:cs="仿宋"/>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193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96.9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年度“三公”经费支出决算数与预算数存在差异的</w:t>
      </w:r>
      <w:r>
        <w:rPr>
          <w:rFonts w:hint="eastAsia" w:ascii="仿宋" w:hAnsi="仿宋" w:eastAsia="仿宋" w:cs="仿宋"/>
          <w:color w:val="auto"/>
          <w:kern w:val="2"/>
          <w:sz w:val="32"/>
          <w:szCs w:val="32"/>
        </w:rPr>
        <w:t>主要原因认真贯彻落实八项规定要求</w:t>
      </w:r>
      <w:r>
        <w:rPr>
          <w:rFonts w:hint="eastAsia" w:ascii="仿宋" w:hAnsi="仿宋" w:eastAsia="仿宋" w:cs="仿宋"/>
          <w:kern w:val="2"/>
          <w:sz w:val="32"/>
          <w:szCs w:val="32"/>
        </w:rPr>
        <w:t>，厉行节约、严格控制支出。</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万元，公务用车购置及运行费支出决算</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88.4</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eastAsia="zh-CN"/>
        </w:rPr>
        <w:t>决算数的</w:t>
      </w:r>
      <w:r>
        <w:rPr>
          <w:rFonts w:hint="eastAsia" w:ascii="仿宋_GB2312" w:hAnsi="仿宋_GB2312" w:eastAsia="仿宋_GB2312" w:cs="仿宋_GB2312"/>
          <w:sz w:val="32"/>
          <w:szCs w:val="32"/>
          <w:lang w:val="en-US" w:eastAsia="zh-CN"/>
        </w:rPr>
        <w:t>11.77</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97.63</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eastAsia="zh-CN"/>
        </w:rPr>
        <w:t>决算数的</w:t>
      </w:r>
      <w:r>
        <w:rPr>
          <w:rFonts w:hint="eastAsia" w:ascii="仿宋_GB2312" w:hAnsi="仿宋_GB2312" w:eastAsia="仿宋_GB2312" w:cs="仿宋_GB2312"/>
          <w:sz w:val="32"/>
          <w:szCs w:val="32"/>
          <w:lang w:val="en-US" w:eastAsia="zh-CN"/>
        </w:rPr>
        <w:t>88.23</w:t>
      </w:r>
      <w:r>
        <w:rPr>
          <w:rFonts w:hint="eastAsia" w:ascii="仿宋_GB2312" w:hAnsi="仿宋_GB2312" w:eastAsia="仿宋_GB2312" w:cs="仿宋_GB2312"/>
          <w:sz w:val="32"/>
          <w:szCs w:val="32"/>
        </w:rPr>
        <w:t>%。具体情况如下：</w:t>
      </w:r>
    </w:p>
    <w:p>
      <w:pPr>
        <w:pStyle w:val="2"/>
        <w:rPr>
          <w:rFonts w:hint="eastAsia" w:ascii="仿宋_GB2312" w:hAnsi="仿宋_GB2312" w:eastAsia="仿宋_GB2312" w:cs="仿宋_GB2312"/>
          <w:sz w:val="32"/>
          <w:szCs w:val="32"/>
          <w:lang w:eastAsia="zh-CN"/>
        </w:rPr>
      </w:pPr>
      <w:r>
        <w:rPr>
          <w:rFonts w:hint="eastAsia"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3796030" cy="3213100"/>
            <wp:effectExtent l="0" t="0" r="13970" b="6350"/>
            <wp:docPr id="10" name="图片 10" descr="图7：“三公”经费财政拨款支出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7：“三公”经费财政拨款支出结构"/>
                    <pic:cNvPicPr>
                      <a:picLocks noChangeAspect="1"/>
                    </pic:cNvPicPr>
                  </pic:nvPicPr>
                  <pic:blipFill>
                    <a:blip r:embed="rId15"/>
                    <a:stretch>
                      <a:fillRect/>
                    </a:stretch>
                  </pic:blipFill>
                  <pic:spPr>
                    <a:xfrm>
                      <a:off x="0" y="0"/>
                      <a:ext cx="3796030" cy="3213100"/>
                    </a:xfrm>
                    <a:prstGeom prst="rect">
                      <a:avLst/>
                    </a:prstGeom>
                  </pic:spPr>
                </pic:pic>
              </a:graphicData>
            </a:graphic>
          </wp:inline>
        </w:drawing>
      </w:r>
    </w:p>
    <w:p>
      <w:pPr>
        <w:rPr>
          <w:rFonts w:hint="eastAsia"/>
        </w:rPr>
      </w:pPr>
    </w:p>
    <w:p>
      <w:pPr>
        <w:pStyle w:val="2"/>
        <w:kinsoku w:val="0"/>
        <w:overflowPunct w:val="0"/>
        <w:snapToGrid w:val="0"/>
        <w:spacing w:line="360" w:lineRule="auto"/>
        <w:ind w:left="0" w:firstLine="643" w:firstLineChars="200"/>
        <w:jc w:val="both"/>
        <w:rPr>
          <w:rFonts w:hint="eastAsia" w:ascii="仿宋" w:hAnsi="仿宋" w:eastAsia="仿宋" w:cs="仿宋"/>
          <w:sz w:val="32"/>
          <w:szCs w:val="32"/>
        </w:rPr>
      </w:pPr>
      <w:r>
        <w:rPr>
          <w:rFonts w:hint="eastAsia" w:ascii="仿宋_GB2312" w:hAnsi="仿宋_GB2312" w:eastAsia="仿宋_GB2312" w:cs="仿宋_GB2312"/>
          <w:b/>
          <w:bCs/>
          <w:sz w:val="32"/>
          <w:szCs w:val="32"/>
        </w:rPr>
        <w:t>1．因公出国（境）费</w:t>
      </w:r>
      <w:r>
        <w:rPr>
          <w:rFonts w:hint="eastAsia" w:ascii="仿宋" w:hAnsi="仿宋" w:eastAsia="仿宋" w:cs="仿宋"/>
          <w:b/>
          <w:spacing w:val="-1"/>
          <w:sz w:val="32"/>
          <w:szCs w:val="32"/>
        </w:rPr>
        <w:t xml:space="preserve"> </w:t>
      </w:r>
      <w:r>
        <w:rPr>
          <w:rFonts w:hint="eastAsia" w:ascii="仿宋" w:hAnsi="仿宋" w:eastAsia="仿宋" w:cs="仿宋"/>
          <w:spacing w:val="-1"/>
          <w:sz w:val="32"/>
          <w:szCs w:val="32"/>
        </w:rPr>
        <w:t>。</w:t>
      </w:r>
    </w:p>
    <w:p>
      <w:pPr>
        <w:pStyle w:val="2"/>
        <w:kinsoku w:val="0"/>
        <w:overflowPunct w:val="0"/>
        <w:snapToGrid w:val="0"/>
        <w:spacing w:line="360" w:lineRule="auto"/>
        <w:ind w:left="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val="0"/>
          <w:bCs w:val="0"/>
          <w:sz w:val="32"/>
          <w:szCs w:val="32"/>
        </w:rPr>
        <w:t>公务用车购置及运行费</w:t>
      </w:r>
      <w:r>
        <w:rPr>
          <w:rFonts w:hint="eastAsia" w:hAnsi="仿宋_GB2312" w:eastAsia="仿宋_GB2312" w:cs="仿宋_GB2312"/>
          <w:b w:val="0"/>
          <w:bCs w:val="0"/>
          <w:sz w:val="32"/>
          <w:szCs w:val="32"/>
          <w:lang w:eastAsia="zh-CN"/>
        </w:rPr>
        <w:t>年</w:t>
      </w:r>
      <w:r>
        <w:rPr>
          <w:rFonts w:hint="eastAsia" w:ascii="仿宋_GB2312" w:hAnsi="仿宋_GB2312" w:eastAsia="仿宋_GB2312" w:cs="仿宋_GB2312"/>
          <w:sz w:val="32"/>
          <w:szCs w:val="32"/>
        </w:rPr>
        <w:t>初预算为</w:t>
      </w:r>
      <w:r>
        <w:rPr>
          <w:rFonts w:hint="eastAsia" w:hAnsi="仿宋_GB2312" w:eastAsia="仿宋_GB2312" w:cs="仿宋_GB2312"/>
          <w:sz w:val="32"/>
          <w:szCs w:val="32"/>
          <w:lang w:val="en-US" w:eastAsia="zh-CN"/>
        </w:rPr>
        <w:t>25</w:t>
      </w:r>
      <w:r>
        <w:rPr>
          <w:rFonts w:hint="eastAsia" w:ascii="仿宋_GB2312" w:hAnsi="仿宋_GB2312" w:eastAsia="仿宋_GB2312" w:cs="仿宋_GB2312"/>
          <w:sz w:val="32"/>
          <w:szCs w:val="32"/>
        </w:rPr>
        <w:t>万元，支出决算为</w:t>
      </w:r>
      <w:r>
        <w:rPr>
          <w:rFonts w:hint="eastAsia" w:hAnsi="仿宋_GB2312" w:eastAsia="仿宋_GB2312" w:cs="仿宋_GB2312"/>
          <w:sz w:val="32"/>
          <w:szCs w:val="32"/>
          <w:lang w:val="en-US" w:eastAsia="zh-CN"/>
        </w:rPr>
        <w:t>22</w:t>
      </w:r>
      <w:r>
        <w:rPr>
          <w:rFonts w:hint="eastAsia" w:ascii="仿宋_GB2312" w:hAnsi="仿宋_GB2312" w:eastAsia="仿宋_GB2312" w:cs="仿宋_GB2312"/>
          <w:sz w:val="32"/>
          <w:szCs w:val="32"/>
        </w:rPr>
        <w:t>万元，完成年初预算的</w:t>
      </w:r>
      <w:r>
        <w:rPr>
          <w:rFonts w:hint="eastAsia" w:hAnsi="仿宋_GB2312" w:eastAsia="仿宋_GB2312" w:cs="仿宋_GB2312"/>
          <w:sz w:val="32"/>
          <w:szCs w:val="32"/>
          <w:lang w:val="en-US" w:eastAsia="zh-CN"/>
        </w:rPr>
        <w:t>88.4</w:t>
      </w:r>
      <w:r>
        <w:rPr>
          <w:rFonts w:hint="eastAsia" w:ascii="仿宋_GB2312" w:hAnsi="仿宋_GB2312" w:eastAsia="仿宋_GB2312" w:cs="仿宋_GB2312"/>
          <w:sz w:val="32"/>
          <w:szCs w:val="32"/>
        </w:rPr>
        <w:t>%。决算数与年初预算数存在差异的主要原因</w:t>
      </w:r>
      <w:r>
        <w:rPr>
          <w:rFonts w:hint="eastAsia" w:ascii="仿宋" w:hAnsi="仿宋" w:eastAsia="仿宋" w:cs="仿宋"/>
          <w:color w:val="auto"/>
          <w:kern w:val="2"/>
          <w:sz w:val="32"/>
          <w:szCs w:val="32"/>
        </w:rPr>
        <w:t>认真贯彻落实八项规定要求，厉行节约、严格控制支出</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其</w:t>
      </w:r>
      <w:r>
        <w:rPr>
          <w:rFonts w:hint="eastAsia" w:ascii="仿宋_GB2312" w:hAnsi="仿宋_GB2312" w:eastAsia="仿宋_GB2312" w:cs="仿宋_GB2312"/>
          <w:sz w:val="32"/>
          <w:szCs w:val="32"/>
        </w:rPr>
        <w:t>中：</w:t>
      </w:r>
    </w:p>
    <w:p>
      <w:pPr>
        <w:pStyle w:val="2"/>
        <w:kinsoku w:val="0"/>
        <w:overflowPunct w:val="0"/>
        <w:snapToGrid w:val="0"/>
        <w:spacing w:line="360" w:lineRule="auto"/>
        <w:ind w:lef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公务用车购置支出</w:t>
      </w:r>
      <w:r>
        <w:rPr>
          <w:rFonts w:hint="eastAsia"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eastAsia="zh-CN"/>
        </w:rPr>
        <w:t>。</w:t>
      </w:r>
    </w:p>
    <w:p>
      <w:pPr>
        <w:pStyle w:val="2"/>
        <w:kinsoku w:val="0"/>
        <w:overflowPunct w:val="0"/>
        <w:snapToGrid w:val="0"/>
        <w:spacing w:line="360" w:lineRule="auto"/>
        <w:ind w:left="0" w:firstLine="640" w:firstLineChars="200"/>
        <w:jc w:val="both"/>
        <w:rPr>
          <w:rFonts w:hint="eastAsia" w:ascii="仿宋" w:hAnsi="仿宋" w:eastAsia="仿宋" w:cs="仿宋"/>
          <w:color w:val="auto"/>
          <w:kern w:val="2"/>
          <w:sz w:val="32"/>
          <w:szCs w:val="32"/>
        </w:rPr>
      </w:pPr>
      <w:r>
        <w:rPr>
          <w:rFonts w:hint="eastAsia" w:ascii="仿宋_GB2312" w:hAnsi="仿宋_GB2312" w:eastAsia="仿宋_GB2312" w:cs="仿宋_GB2312"/>
          <w:b w:val="0"/>
          <w:bCs w:val="0"/>
          <w:sz w:val="32"/>
          <w:szCs w:val="32"/>
        </w:rPr>
        <w:t>公务用车运行支出</w:t>
      </w:r>
      <w:r>
        <w:rPr>
          <w:rFonts w:hint="eastAsia" w:hAnsi="仿宋_GB2312" w:eastAsia="仿宋_GB2312" w:cs="仿宋_GB2312"/>
          <w:b w:val="0"/>
          <w:bCs w:val="0"/>
          <w:sz w:val="32"/>
          <w:szCs w:val="32"/>
          <w:lang w:val="en-US" w:eastAsia="zh-CN"/>
        </w:rPr>
        <w:t>2</w:t>
      </w:r>
      <w:r>
        <w:rPr>
          <w:rFonts w:hint="eastAsia"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 w:hAnsi="仿宋" w:eastAsia="仿宋" w:cs="仿宋"/>
          <w:color w:val="auto"/>
          <w:kern w:val="2"/>
          <w:sz w:val="32"/>
          <w:szCs w:val="32"/>
        </w:rPr>
        <w:t>主要用于开展工作所需公务用车的燃料费、维修费、过路过桥费、保险费、安全奖励费用等支出。</w:t>
      </w:r>
    </w:p>
    <w:p>
      <w:pPr>
        <w:widowControl/>
        <w:spacing w:line="59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年期末，</w:t>
      </w:r>
      <w:r>
        <w:rPr>
          <w:rFonts w:hint="eastAsia" w:ascii="仿宋_GB2312" w:hAnsi="仿宋_GB2312" w:eastAsia="仿宋_GB2312" w:cs="仿宋_GB2312"/>
          <w:color w:val="0000FF"/>
          <w:sz w:val="32"/>
          <w:szCs w:val="32"/>
        </w:rPr>
        <w:t>单位开支财政拨款的公务用车保有量为</w:t>
      </w:r>
      <w:r>
        <w:rPr>
          <w:rFonts w:hint="eastAsia" w:ascii="仿宋_GB2312" w:hAnsi="仿宋_GB2312" w:eastAsia="仿宋_GB2312" w:cs="仿宋_GB2312"/>
          <w:color w:val="0000FF"/>
          <w:sz w:val="32"/>
          <w:szCs w:val="32"/>
          <w:lang w:val="en-US" w:eastAsia="zh-CN"/>
        </w:rPr>
        <w:t>12辆。</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3.公务接待费</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97.63</w:t>
      </w:r>
      <w:r>
        <w:rPr>
          <w:rFonts w:hint="eastAsia" w:ascii="仿宋_GB2312" w:hAnsi="仿宋_GB2312" w:eastAsia="仿宋_GB2312" w:cs="仿宋_GB2312"/>
          <w:sz w:val="32"/>
          <w:szCs w:val="32"/>
        </w:rPr>
        <w:t>%。决算数与年初预算数存在差异的主要原因是</w:t>
      </w:r>
      <w:r>
        <w:rPr>
          <w:rFonts w:hint="eastAsia" w:ascii="仿宋" w:hAnsi="仿宋" w:eastAsia="仿宋" w:cs="仿宋"/>
          <w:color w:val="auto"/>
          <w:kern w:val="2"/>
          <w:sz w:val="32"/>
          <w:szCs w:val="32"/>
        </w:rPr>
        <w:t>认真贯彻落实八项规定要求，厉行节约、严格控制支出</w:t>
      </w:r>
      <w:r>
        <w:rPr>
          <w:rFonts w:hint="eastAsia" w:ascii="仿宋" w:hAnsi="仿宋" w:eastAsia="仿宋" w:cs="仿宋"/>
          <w:sz w:val="32"/>
          <w:szCs w:val="32"/>
        </w:rPr>
        <w:t>。</w:t>
      </w:r>
      <w:r>
        <w:rPr>
          <w:rFonts w:hint="eastAsia" w:ascii="仿宋_GB2312" w:hAnsi="仿宋_GB2312" w:eastAsia="仿宋_GB2312" w:cs="仿宋_GB2312"/>
          <w:sz w:val="32"/>
          <w:szCs w:val="32"/>
        </w:rPr>
        <w:t>其中：</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外宾接待支出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eastAsia="zh-CN"/>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其他国内公务</w:t>
      </w:r>
      <w:r>
        <w:rPr>
          <w:rFonts w:hint="eastAsia" w:ascii="仿宋_GB2312" w:hAnsi="仿宋_GB2312" w:eastAsia="仿宋_GB2312" w:cs="仿宋_GB2312"/>
          <w:b w:val="0"/>
          <w:bCs w:val="0"/>
          <w:color w:val="000000" w:themeColor="text1"/>
          <w:sz w:val="32"/>
          <w:szCs w:val="32"/>
          <w14:textFill>
            <w14:solidFill>
              <w14:schemeClr w14:val="tx1"/>
            </w14:solidFill>
          </w14:textFill>
        </w:rPr>
        <w:t>接待支出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sz w:val="32"/>
          <w:szCs w:val="32"/>
        </w:rPr>
        <w:t>元。主要用于</w:t>
      </w:r>
      <w:r>
        <w:rPr>
          <w:rFonts w:hint="eastAsia" w:ascii="仿宋" w:hAnsi="仿宋" w:eastAsia="仿宋" w:cs="仿宋"/>
          <w:color w:val="auto"/>
          <w:kern w:val="2"/>
          <w:sz w:val="32"/>
          <w:szCs w:val="32"/>
        </w:rPr>
        <w:t>主要用于按规定开支的各类公务接待支出</w:t>
      </w:r>
      <w:r>
        <w:rPr>
          <w:rFonts w:hint="eastAsia" w:ascii="仿宋" w:hAnsi="仿宋" w:eastAsia="仿宋" w:cs="仿宋"/>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2662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32555</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29052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29117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100.2</w:t>
      </w:r>
      <w:r>
        <w:rPr>
          <w:rFonts w:hint="eastAsia" w:ascii="仿宋_GB2312" w:hAnsi="仿宋_GB2312" w:eastAsia="仿宋_GB2312" w:cs="仿宋_GB2312"/>
          <w:sz w:val="32"/>
          <w:szCs w:val="32"/>
        </w:rPr>
        <w:t>%。</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社会保障和就业支出。年初预算为</w:t>
      </w:r>
      <w:r>
        <w:rPr>
          <w:rFonts w:hint="eastAsia" w:ascii="仿宋_GB2312" w:hAnsi="仿宋_GB2312" w:eastAsia="仿宋_GB2312" w:cs="仿宋_GB2312"/>
          <w:sz w:val="32"/>
          <w:szCs w:val="32"/>
          <w:lang w:val="en-US" w:eastAsia="zh-CN"/>
        </w:rPr>
        <w:t>886万元，支出决算数为886万元，完成年初预算的100%，与年预算持平。</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城乡社区支出。年初预算为22866万，支出决算数为22866万元，完成年初预算的100%，与年预算持平。</w:t>
      </w:r>
    </w:p>
    <w:p>
      <w:pPr>
        <w:widowControl/>
        <w:spacing w:line="59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其他支出。年初预算5300万元，支出决算数为5365万元，完成年初预算的101.2%，超额完成年初预算。</w:t>
      </w:r>
    </w:p>
    <w:p>
      <w:pPr>
        <w:widowControl/>
        <w:numPr>
          <w:ilvl w:val="0"/>
          <w:numId w:val="3"/>
        </w:numPr>
        <w:shd w:val="clear" w:color="auto" w:fill="FFFFFF"/>
        <w:spacing w:line="15" w:lineRule="atLeas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lang w:val="en-US" w:eastAsia="zh-CN"/>
        </w:rPr>
        <w:t>国有资本经营</w:t>
      </w:r>
      <w:r>
        <w:rPr>
          <w:rFonts w:ascii="黑体" w:hAnsi="黑体" w:eastAsia="黑体" w:cs="仿宋_GB2312"/>
          <w:kern w:val="0"/>
          <w:sz w:val="32"/>
          <w:szCs w:val="32"/>
        </w:rPr>
        <w:t>预算财政拨款支出决算情况说明</w:t>
      </w:r>
    </w:p>
    <w:p>
      <w:pPr>
        <w:pStyle w:val="2"/>
        <w:ind w:left="0" w:leftChars="0" w:firstLine="640" w:firstLineChars="200"/>
        <w:rPr>
          <w:rFonts w:hint="eastAsia" w:ascii="黑体" w:hAnsi="黑体" w:eastAsia="黑体" w:cs="黑体"/>
          <w:b w:val="0"/>
          <w:bCs w:val="0"/>
          <w:sz w:val="32"/>
          <w:szCs w:val="32"/>
          <w:lang w:val="en-US" w:eastAsia="zh-CN"/>
        </w:rPr>
      </w:pPr>
      <w:r>
        <w:rPr>
          <w:rFonts w:hint="eastAsia" w:ascii="仿宋_GB2312" w:eastAsia="仿宋_GB2312" w:cs="仿宋_GB2312"/>
          <w:kern w:val="0"/>
          <w:sz w:val="32"/>
          <w:szCs w:val="32"/>
        </w:rPr>
        <w:t>本部门</w:t>
      </w:r>
      <w:r>
        <w:rPr>
          <w:rFonts w:hint="eastAsia" w:ascii="仿宋_GB2312" w:eastAsia="仿宋_GB2312"/>
          <w:bCs/>
          <w:kern w:val="0"/>
          <w:sz w:val="32"/>
          <w:szCs w:val="32"/>
        </w:rPr>
        <w:t>202</w:t>
      </w:r>
      <w:r>
        <w:rPr>
          <w:rFonts w:hint="eastAsia" w:eastAsia="仿宋_GB2312"/>
          <w:bCs/>
          <w:kern w:val="0"/>
          <w:sz w:val="32"/>
          <w:szCs w:val="32"/>
          <w:lang w:val="en-US" w:eastAsia="zh-CN"/>
        </w:rPr>
        <w:t>2</w:t>
      </w:r>
      <w:r>
        <w:rPr>
          <w:rFonts w:hint="eastAsia" w:ascii="仿宋_GB2312" w:eastAsia="仿宋_GB2312"/>
          <w:bCs/>
          <w:kern w:val="0"/>
          <w:sz w:val="32"/>
          <w:szCs w:val="32"/>
        </w:rPr>
        <w:t>年度没有国有资本经营预算财政拨款收入，也没有国有资本经营预算财政拨款安排的支出，故无数据情况说明。</w:t>
      </w:r>
    </w:p>
    <w:p>
      <w:pPr>
        <w:rPr>
          <w:rFonts w:hint="eastAsia" w:ascii="仿宋_GB2312" w:hAnsi="仿宋_GB2312" w:eastAsia="仿宋_GB2312" w:cs="仿宋_GB2312"/>
          <w:b/>
          <w:bCs/>
          <w:sz w:val="32"/>
          <w:szCs w:val="32"/>
          <w:lang w:val="en-US" w:eastAsia="zh-CN"/>
        </w:rPr>
      </w:pPr>
    </w:p>
    <w:p>
      <w:pPr>
        <w:pStyle w:val="2"/>
        <w:rPr>
          <w:rFonts w:hint="default"/>
          <w:lang w:val="en-US"/>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、机关运行经费支出情况说明</w:t>
      </w:r>
    </w:p>
    <w:p>
      <w:pPr>
        <w:widowControl/>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2888</w:t>
      </w:r>
      <w:r>
        <w:rPr>
          <w:rFonts w:hint="eastAsia" w:ascii="仿宋_GB2312" w:hAnsi="仿宋_GB2312" w:eastAsia="仿宋_GB2312" w:cs="仿宋_GB2312"/>
          <w:sz w:val="32"/>
          <w:szCs w:val="32"/>
        </w:rPr>
        <w:t>万元，其中：政府采购</w:t>
      </w:r>
      <w:r>
        <w:rPr>
          <w:rFonts w:hint="eastAsia" w:ascii="仿宋_GB2312" w:hAnsi="仿宋_GB2312" w:eastAsia="仿宋_GB2312" w:cs="仿宋_GB2312"/>
          <w:sz w:val="32"/>
          <w:szCs w:val="32"/>
          <w:lang w:eastAsia="zh-CN"/>
        </w:rPr>
        <w:t>货物</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占政府采购支出总额的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政府采购工程支出</w:t>
      </w:r>
      <w:r>
        <w:rPr>
          <w:rFonts w:hint="eastAsia" w:ascii="仿宋_GB2312" w:hAnsi="仿宋_GB2312" w:eastAsia="仿宋_GB2312" w:cs="仿宋_GB2312"/>
          <w:sz w:val="32"/>
          <w:szCs w:val="32"/>
          <w:lang w:val="en-US" w:eastAsia="zh-CN"/>
        </w:rPr>
        <w:t>2788万元，</w:t>
      </w:r>
      <w:r>
        <w:rPr>
          <w:rFonts w:hint="eastAsia" w:ascii="仿宋_GB2312" w:hAnsi="仿宋_GB2312" w:eastAsia="仿宋_GB2312" w:cs="仿宋_GB2312"/>
          <w:sz w:val="32"/>
          <w:szCs w:val="32"/>
        </w:rPr>
        <w:t>占政府采购支出总额的</w:t>
      </w:r>
      <w:r>
        <w:rPr>
          <w:rFonts w:hint="eastAsia" w:ascii="仿宋_GB2312" w:hAnsi="仿宋_GB2312" w:eastAsia="仿宋_GB2312" w:cs="仿宋_GB2312"/>
          <w:sz w:val="32"/>
          <w:szCs w:val="32"/>
          <w:lang w:val="en-US" w:eastAsia="zh-CN"/>
        </w:rPr>
        <w:t>96.5</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、国有资产占用情况说明</w:t>
      </w:r>
    </w:p>
    <w:p>
      <w:pPr>
        <w:pStyle w:val="2"/>
        <w:kinsoku w:val="0"/>
        <w:overflowPunct w:val="0"/>
        <w:snapToGrid w:val="0"/>
        <w:spacing w:line="360" w:lineRule="auto"/>
        <w:ind w:left="0" w:firstLine="640" w:firstLineChars="200"/>
        <w:jc w:val="both"/>
        <w:rPr>
          <w:rFonts w:hint="eastAsia" w:ascii="仿宋" w:hAnsi="仿宋" w:eastAsia="仿宋" w:cs="仿宋"/>
          <w:kern w:val="2"/>
          <w:sz w:val="32"/>
          <w:szCs w:val="32"/>
        </w:rPr>
      </w:pPr>
      <w:r>
        <w:rPr>
          <w:rFonts w:hint="eastAsia" w:ascii="仿宋" w:hAnsi="仿宋" w:eastAsia="仿宋" w:cs="仿宋"/>
          <w:sz w:val="32"/>
          <w:szCs w:val="32"/>
        </w:rPr>
        <w:t>南阳市鸭河工区管</w:t>
      </w:r>
      <w:r>
        <w:rPr>
          <w:rFonts w:hint="eastAsia" w:ascii="仿宋" w:hAnsi="仿宋" w:eastAsia="仿宋" w:cs="仿宋"/>
          <w:color w:val="auto"/>
          <w:sz w:val="32"/>
          <w:szCs w:val="32"/>
        </w:rPr>
        <w:t>理委员会</w:t>
      </w:r>
      <w:r>
        <w:rPr>
          <w:rFonts w:hint="eastAsia" w:ascii="仿宋" w:hAnsi="仿宋" w:eastAsia="仿宋" w:cs="仿宋"/>
          <w:color w:val="auto"/>
          <w:kern w:val="2"/>
          <w:sz w:val="32"/>
          <w:szCs w:val="32"/>
          <w:lang w:val="en-US" w:eastAsia="zh-CN"/>
        </w:rPr>
        <w:t>2022年不</w:t>
      </w:r>
      <w:r>
        <w:rPr>
          <w:rFonts w:hint="eastAsia" w:ascii="仿宋" w:hAnsi="仿宋" w:eastAsia="仿宋" w:cs="仿宋"/>
          <w:kern w:val="2"/>
          <w:sz w:val="32"/>
          <w:szCs w:val="32"/>
          <w:lang w:val="en-US" w:eastAsia="zh-CN"/>
        </w:rPr>
        <w:t>涉及此项</w:t>
      </w:r>
      <w:r>
        <w:rPr>
          <w:rFonts w:hint="eastAsia" w:ascii="仿宋" w:hAnsi="仿宋" w:eastAsia="仿宋" w:cs="仿宋"/>
          <w:kern w:val="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年，我部门纳入预算绩效管理的支出总额为</w:t>
      </w:r>
      <w:r>
        <w:rPr>
          <w:rFonts w:hint="eastAsia" w:ascii="仿宋_GB2312" w:eastAsia="仿宋_GB2312" w:cs="仿宋_GB2312"/>
          <w:kern w:val="0"/>
          <w:sz w:val="32"/>
          <w:szCs w:val="32"/>
          <w:lang w:val="en-US" w:eastAsia="zh-CN"/>
        </w:rPr>
        <w:t>16295</w:t>
      </w:r>
      <w:r>
        <w:rPr>
          <w:rFonts w:hint="eastAsia" w:ascii="仿宋_GB2312" w:eastAsia="仿宋_GB2312" w:cs="仿宋_GB2312"/>
          <w:kern w:val="0"/>
          <w:sz w:val="32"/>
          <w:szCs w:val="32"/>
        </w:rPr>
        <w:t>万元，其中人员经费支出</w:t>
      </w:r>
      <w:r>
        <w:rPr>
          <w:rFonts w:hint="eastAsia" w:ascii="仿宋_GB2312" w:eastAsia="仿宋_GB2312" w:cs="仿宋_GB2312"/>
          <w:kern w:val="0"/>
          <w:sz w:val="32"/>
          <w:szCs w:val="32"/>
          <w:lang w:val="en-US" w:eastAsia="zh-CN"/>
        </w:rPr>
        <w:t>10970</w:t>
      </w:r>
      <w:r>
        <w:rPr>
          <w:rFonts w:hint="eastAsia" w:ascii="仿宋_GB2312" w:eastAsia="仿宋_GB2312" w:cs="仿宋_GB2312"/>
          <w:kern w:val="0"/>
          <w:sz w:val="32"/>
          <w:szCs w:val="32"/>
        </w:rPr>
        <w:t>万元，公用经费支出</w:t>
      </w:r>
      <w:r>
        <w:rPr>
          <w:rFonts w:hint="eastAsia" w:ascii="仿宋_GB2312" w:eastAsia="仿宋_GB2312" w:cs="仿宋_GB2312"/>
          <w:kern w:val="0"/>
          <w:sz w:val="32"/>
          <w:szCs w:val="32"/>
          <w:lang w:val="en-US" w:eastAsia="zh-CN"/>
        </w:rPr>
        <w:t>5382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numPr>
          <w:ilvl w:val="0"/>
          <w:numId w:val="4"/>
        </w:num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ascii="仿宋_GB2312" w:eastAsia="仿宋_GB2312" w:cs="仿宋_GB2312"/>
          <w:b/>
          <w:bCs/>
          <w:kern w:val="0"/>
          <w:sz w:val="32"/>
          <w:szCs w:val="32"/>
        </w:rPr>
        <w:t>项目绩效自评结果</w:t>
      </w:r>
      <w:r>
        <w:rPr>
          <w:rFonts w:hint="eastAsia" w:ascii="仿宋_GB2312" w:eastAsia="仿宋_GB2312" w:cs="仿宋_GB2312"/>
          <w:b/>
          <w:bCs/>
          <w:kern w:val="0"/>
          <w:sz w:val="32"/>
          <w:szCs w:val="32"/>
        </w:rPr>
        <w:t>。</w:t>
      </w:r>
    </w:p>
    <w:p>
      <w:pPr>
        <w:pStyle w:val="2"/>
        <w:numPr>
          <w:ilvl w:val="0"/>
          <w:numId w:val="0"/>
        </w:numPr>
        <w:ind w:left="761" w:leftChars="0"/>
        <w:rPr>
          <w:rFonts w:hint="eastAsia" w:ascii="仿宋" w:hAnsi="仿宋" w:eastAsia="仿宋" w:cs="仿宋"/>
          <w:b w:val="0"/>
          <w:bCs w:val="0"/>
          <w:lang w:eastAsia="zh-CN"/>
        </w:rPr>
      </w:pPr>
      <w:r>
        <w:rPr>
          <w:rFonts w:hint="eastAsia" w:ascii="仿宋" w:hAnsi="仿宋" w:eastAsia="仿宋" w:cs="仿宋"/>
          <w:b/>
          <w:bCs/>
          <w:lang w:val="en-US" w:eastAsia="zh-CN"/>
        </w:rPr>
        <w:t xml:space="preserve"> </w:t>
      </w:r>
      <w:r>
        <w:rPr>
          <w:rFonts w:hint="eastAsia" w:ascii="仿宋" w:hAnsi="仿宋" w:eastAsia="仿宋" w:cs="仿宋"/>
          <w:b w:val="0"/>
          <w:bCs w:val="0"/>
          <w:kern w:val="0"/>
          <w:sz w:val="32"/>
          <w:szCs w:val="32"/>
        </w:rPr>
        <w:t>本部门未开展预算绩效自评工作，因此无自评结果</w:t>
      </w:r>
      <w:r>
        <w:rPr>
          <w:rFonts w:hint="eastAsia" w:ascii="仿宋" w:hAnsi="仿宋" w:eastAsia="仿宋" w:cs="仿宋"/>
          <w:b w:val="0"/>
          <w:bCs w:val="0"/>
          <w:kern w:val="0"/>
          <w:sz w:val="32"/>
          <w:szCs w:val="32"/>
          <w:lang w:eastAsia="zh-CN"/>
        </w:rPr>
        <w:t>。</w:t>
      </w:r>
    </w:p>
    <w:p>
      <w:pPr>
        <w:pStyle w:val="2"/>
        <w:rPr>
          <w:rFonts w:hint="eastAsia"/>
        </w:rPr>
      </w:pPr>
    </w:p>
    <w:p>
      <w:pPr>
        <w:widowControl/>
        <w:jc w:val="left"/>
        <w:rPr>
          <w:rFonts w:hint="eastAsia" w:ascii="黑体" w:hAnsi="宋体" w:eastAsia="黑体" w:cs="宋体"/>
          <w:kern w:val="0"/>
          <w:sz w:val="28"/>
          <w:szCs w:val="28"/>
        </w:rPr>
      </w:pPr>
      <w:bookmarkStart w:id="0" w:name="_GoBack"/>
      <w:bookmarkEnd w:id="0"/>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rPr>
          <w:rFonts w:hint="eastAsia" w:ascii="宋体" w:hAnsi="宋体" w:cs="宋体"/>
          <w:color w:val="000000"/>
          <w:kern w:val="0"/>
          <w:sz w:val="20"/>
          <w:szCs w:val="2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025F7"/>
    <w:multiLevelType w:val="singleLevel"/>
    <w:tmpl w:val="894025F7"/>
    <w:lvl w:ilvl="0" w:tentative="0">
      <w:start w:val="1"/>
      <w:numFmt w:val="decimal"/>
      <w:suff w:val="nothing"/>
      <w:lvlText w:val="%1、"/>
      <w:lvlJc w:val="left"/>
    </w:lvl>
  </w:abstractNum>
  <w:abstractNum w:abstractNumId="1">
    <w:nsid w:val="1415A21B"/>
    <w:multiLevelType w:val="singleLevel"/>
    <w:tmpl w:val="1415A21B"/>
    <w:lvl w:ilvl="0" w:tentative="0">
      <w:start w:val="9"/>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abstractNum w:abstractNumId="3">
    <w:nsid w:val="5AB5CF57"/>
    <w:multiLevelType w:val="singleLevel"/>
    <w:tmpl w:val="5AB5CF5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jI0NDU4M2FmNTAyZGYyYmUxYjgwNDk0ZTQ1MzIifQ=="/>
  </w:docVars>
  <w:rsids>
    <w:rsidRoot w:val="77D36003"/>
    <w:rsid w:val="0265438C"/>
    <w:rsid w:val="05FB6D97"/>
    <w:rsid w:val="0871715D"/>
    <w:rsid w:val="092E4D8E"/>
    <w:rsid w:val="10C94930"/>
    <w:rsid w:val="14414AFF"/>
    <w:rsid w:val="17974219"/>
    <w:rsid w:val="1C72396A"/>
    <w:rsid w:val="253F3A43"/>
    <w:rsid w:val="27F4610C"/>
    <w:rsid w:val="2B6F1F96"/>
    <w:rsid w:val="321C5D3B"/>
    <w:rsid w:val="4533581F"/>
    <w:rsid w:val="4AB01759"/>
    <w:rsid w:val="4CD741AB"/>
    <w:rsid w:val="4EA40A6E"/>
    <w:rsid w:val="4F981FC6"/>
    <w:rsid w:val="5E3072F0"/>
    <w:rsid w:val="64B74DAD"/>
    <w:rsid w:val="6D086833"/>
    <w:rsid w:val="77D3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spacing w:line="240" w:lineRule="auto"/>
      <w:ind w:left="761" w:firstLine="0" w:firstLineChars="0"/>
      <w:jc w:val="left"/>
    </w:pPr>
    <w:rPr>
      <w:rFonts w:ascii="仿宋_GB2312" w:cs="仿宋_GB2312"/>
      <w:kern w:val="0"/>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16023</Words>
  <Characters>22604</Characters>
  <Lines>0</Lines>
  <Paragraphs>0</Paragraphs>
  <TotalTime>49</TotalTime>
  <ScaleCrop>false</ScaleCrop>
  <LinksUpToDate>false</LinksUpToDate>
  <CharactersWithSpaces>23639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2022-09-13T08:51:00Z</dcterms:created>
  <dc:creator>梦可可</dc:creator>
  <cp:lastModifiedBy>梦可可</cp:lastModifiedBy>
  <dcterms:modified xsi:type="dcterms:W3CDTF">2023-09-25T04:11:15Z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25772C3EA03D4F779D907B5DEF03597E_13</vt:lpwstr>
  </property>
</Properties>
</file>