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806" w:tblpY="1695"/>
        <w:tblOverlap w:val="never"/>
        <w:tblW w:w="10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2021年南阳市鸭河工区政府决算公开目录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鸭河工区2021年政府性基金预算转移支付安排情况说明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鸭河工区2021年政府债务情况说明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鸭河工区2021年预算绩效评价开展情况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鸭河工区2021年一般公共预算税收返还和财政转移支付安排执行情况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关于鸭河工区2021年财政决算草案和2022年上半年预算执行情况的报告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鸭河工区2021年“三公”经费支出情况说明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jI0NDU4M2FmNTAyZGYyYmUxYjgwNDk0ZTQ1MzIifQ=="/>
  </w:docVars>
  <w:rsids>
    <w:rsidRoot w:val="58371C4F"/>
    <w:rsid w:val="583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2022-09-13T03:15:00Z</dcterms:created>
  <dc:creator>梦可可</dc:creator>
  <cp:lastModifiedBy>梦可可</cp:lastModifiedBy>
  <dcterms:modified xsi:type="dcterms:W3CDTF">2022-09-13T03:16:57Z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E0BB9EC859044BC485491847F07B3B10</vt:lpwstr>
  </property>
</Properties>
</file>