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ascii="方正小标宋简体" w:hAnsi="新宋体" w:eastAsia="方正小标宋简体"/>
          <w:color w:val="000000" w:themeColor="text1"/>
          <w:sz w:val="44"/>
          <w:szCs w:val="44"/>
          <w:lang w:val="zh-CN"/>
          <w14:textFill>
            <w14:solidFill>
              <w14:schemeClr w14:val="tx1"/>
            </w14:solidFill>
          </w14:textFill>
        </w:rPr>
      </w:pPr>
      <w:r>
        <w:rPr>
          <w:rFonts w:hint="eastAsia" w:ascii="方正小标宋简体" w:hAnsi="新宋体" w:eastAsia="方正小标宋简体"/>
          <w:color w:val="000000" w:themeColor="text1"/>
          <w:sz w:val="44"/>
          <w:szCs w:val="44"/>
          <w14:textFill>
            <w14:solidFill>
              <w14:schemeClr w14:val="tx1"/>
            </w14:solidFill>
          </w14:textFill>
        </w:rPr>
        <w:t>河南省机关事业单位</w:t>
      </w:r>
      <w:r>
        <w:rPr>
          <w:rFonts w:hint="eastAsia" w:ascii="方正小标宋简体" w:hAnsi="新宋体" w:eastAsia="方正小标宋简体"/>
          <w:color w:val="000000" w:themeColor="text1"/>
          <w:sz w:val="44"/>
          <w:szCs w:val="44"/>
          <w:lang w:val="zh-CN"/>
          <w14:textFill>
            <w14:solidFill>
              <w14:schemeClr w14:val="tx1"/>
            </w14:solidFill>
          </w14:textFill>
        </w:rPr>
        <w:t>工勤技能岗位</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仿宋_GB2312" w:hAnsi="仿宋_GB2312" w:eastAsia="仿宋_GB2312" w:cs="仿宋_GB2312"/>
          <w:color w:val="000000" w:themeColor="text1"/>
          <w:sz w:val="44"/>
          <w:szCs w:val="44"/>
          <w14:textFill>
            <w14:solidFill>
              <w14:schemeClr w14:val="tx1"/>
            </w14:solidFill>
          </w14:textFill>
        </w:rPr>
      </w:pPr>
      <w:r>
        <w:rPr>
          <w:rFonts w:hint="eastAsia" w:ascii="方正小标宋简体" w:hAnsi="新宋体" w:eastAsia="方正小标宋简体"/>
          <w:color w:val="000000" w:themeColor="text1"/>
          <w:sz w:val="44"/>
          <w:szCs w:val="44"/>
          <w14:textFill>
            <w14:solidFill>
              <w14:schemeClr w14:val="tx1"/>
            </w14:solidFill>
          </w14:textFill>
        </w:rPr>
        <w:t>高级技师申报资格条件附则</w:t>
      </w:r>
    </w:p>
    <w:p>
      <w:pPr>
        <w:keepNext w:val="0"/>
        <w:keepLines w:val="0"/>
        <w:pageBreakBefore w:val="0"/>
        <w:widowControl w:val="0"/>
        <w:kinsoku/>
        <w:wordWrap/>
        <w:overflowPunct/>
        <w:topLinePunct w:val="0"/>
        <w:autoSpaceDE/>
        <w:autoSpaceDN/>
        <w:bidi w:val="0"/>
        <w:adjustRightInd/>
        <w:snapToGrid/>
        <w:spacing w:line="600" w:lineRule="exact"/>
        <w:ind w:left="0" w:firstLine="880" w:firstLineChars="200"/>
        <w:jc w:val="both"/>
        <w:textAlignment w:val="auto"/>
        <w:rPr>
          <w:rFonts w:hint="eastAsia" w:ascii="仿宋_GB2312" w:hAnsi="仿宋_GB2312" w:eastAsia="仿宋_GB2312" w:cs="仿宋_GB2312"/>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第一条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申报资格条件中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的表彰奖励、</w:t>
      </w:r>
      <w:r>
        <w:rPr>
          <w:rFonts w:hint="eastAsia" w:ascii="仿宋_GB2312" w:hAnsi="仿宋_GB2312" w:eastAsia="仿宋_GB2312" w:cs="仿宋_GB2312"/>
          <w:color w:val="000000" w:themeColor="text1"/>
          <w:kern w:val="0"/>
          <w:sz w:val="32"/>
          <w:szCs w:val="32"/>
          <w14:textFill>
            <w14:solidFill>
              <w14:schemeClr w14:val="tx1"/>
            </w14:solidFill>
          </w14:textFill>
        </w:rPr>
        <w:t>业绩</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成果等，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除特殊规定外，</w:t>
      </w:r>
      <w:r>
        <w:rPr>
          <w:rFonts w:hint="eastAsia" w:ascii="仿宋_GB2312" w:hAnsi="仿宋_GB2312" w:eastAsia="仿宋_GB2312" w:cs="仿宋_GB2312"/>
          <w:color w:val="000000" w:themeColor="text1"/>
          <w:kern w:val="0"/>
          <w:sz w:val="32"/>
          <w:szCs w:val="32"/>
          <w14:textFill>
            <w14:solidFill>
              <w14:schemeClr w14:val="tx1"/>
            </w14:solidFill>
          </w14:textFill>
        </w:rPr>
        <w:t>均应为</w:t>
      </w:r>
      <w:r>
        <w:rPr>
          <w:rFonts w:hint="eastAsia" w:ascii="仿宋_GB2312" w:hAnsi="仿宋_GB2312" w:eastAsia="仿宋_GB2312" w:cs="仿宋_GB2312"/>
          <w:color w:val="000000" w:themeColor="text1"/>
          <w:sz w:val="32"/>
          <w:szCs w:val="32"/>
          <w14:textFill>
            <w14:solidFill>
              <w14:schemeClr w14:val="tx1"/>
            </w14:solidFill>
          </w14:textFill>
        </w:rPr>
        <w:t>取得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机关事业单位二级工勤技能岗位等级资格证书（</w:t>
      </w:r>
      <w:r>
        <w:rPr>
          <w:rFonts w:hint="eastAsia" w:ascii="仿宋_GB2312" w:hAnsi="仿宋_GB2312" w:eastAsia="仿宋_GB2312" w:cs="仿宋_GB2312"/>
          <w:color w:val="000000" w:themeColor="text1"/>
          <w:sz w:val="32"/>
          <w:szCs w:val="32"/>
          <w14:textFill>
            <w14:solidFill>
              <w14:schemeClr w14:val="tx1"/>
            </w14:solidFill>
          </w14:textFill>
        </w:rPr>
        <w:t>机关事业单位工人技师资格证书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以来取得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申报人员的各项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表彰、奖励、</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成果等工作</w:t>
      </w:r>
      <w:r>
        <w:rPr>
          <w:rFonts w:hint="eastAsia" w:ascii="仿宋_GB2312" w:hAnsi="仿宋_GB2312" w:eastAsia="仿宋_GB2312" w:cs="仿宋_GB2312"/>
          <w:color w:val="000000" w:themeColor="text1"/>
          <w:kern w:val="0"/>
          <w:sz w:val="32"/>
          <w:szCs w:val="32"/>
          <w14:textFill>
            <w14:solidFill>
              <w14:schemeClr w14:val="tx1"/>
            </w14:solidFill>
          </w14:textFill>
        </w:rPr>
        <w:t>业绩</w:t>
      </w:r>
      <w:r>
        <w:rPr>
          <w:rFonts w:hint="eastAsia" w:ascii="仿宋_GB2312" w:hAnsi="仿宋_GB2312" w:eastAsia="仿宋_GB2312" w:cs="仿宋_GB2312"/>
          <w:color w:val="000000" w:themeColor="text1"/>
          <w:sz w:val="32"/>
          <w:szCs w:val="32"/>
          <w14:textFill>
            <w14:solidFill>
              <w14:schemeClr w14:val="tx1"/>
            </w14:solidFill>
          </w14:textFill>
        </w:rPr>
        <w:t>应经过单位推荐、核实，凡未经过单位推荐、核实并公示的业绩，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报名资格审查和评审时</w:t>
      </w:r>
      <w:r>
        <w:rPr>
          <w:rFonts w:hint="eastAsia" w:ascii="仿宋_GB2312" w:hAnsi="仿宋_GB2312" w:eastAsia="仿宋_GB2312" w:cs="仿宋_GB2312"/>
          <w:color w:val="000000" w:themeColor="text1"/>
          <w:sz w:val="32"/>
          <w:szCs w:val="32"/>
          <w14:textFill>
            <w14:solidFill>
              <w14:schemeClr w14:val="tx1"/>
            </w14:solidFill>
          </w14:textFill>
        </w:rPr>
        <w:t>不予认可。</w:t>
      </w:r>
      <w:r>
        <w:rPr>
          <w:rFonts w:hint="eastAsia" w:ascii="仿宋_GB2312" w:hAnsi="仿宋_GB2312" w:eastAsia="仿宋_GB2312" w:cs="仿宋_GB2312"/>
          <w:color w:val="000000" w:themeColor="text1"/>
          <w:kern w:val="0"/>
          <w:sz w:val="32"/>
          <w:szCs w:val="32"/>
          <w14:textFill>
            <w14:solidFill>
              <w14:schemeClr w14:val="tx1"/>
            </w14:solidFill>
          </w14:textFill>
        </w:rPr>
        <w:t>以单位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团体等</w:t>
      </w:r>
      <w:r>
        <w:rPr>
          <w:rFonts w:hint="eastAsia" w:ascii="仿宋_GB2312" w:hAnsi="仿宋_GB2312" w:eastAsia="仿宋_GB2312" w:cs="仿宋_GB2312"/>
          <w:color w:val="000000" w:themeColor="text1"/>
          <w:kern w:val="0"/>
          <w:sz w:val="32"/>
          <w:szCs w:val="32"/>
          <w14:textFill>
            <w14:solidFill>
              <w14:schemeClr w14:val="tx1"/>
            </w14:solidFill>
          </w14:textFill>
        </w:rPr>
        <w:t>名义获得</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或被撤销</w:t>
      </w:r>
      <w:r>
        <w:rPr>
          <w:rFonts w:hint="eastAsia" w:ascii="仿宋_GB2312" w:hAnsi="仿宋_GB2312" w:eastAsia="仿宋_GB2312" w:cs="仿宋_GB2312"/>
          <w:color w:val="000000" w:themeColor="text1"/>
          <w:kern w:val="0"/>
          <w:sz w:val="32"/>
          <w:szCs w:val="32"/>
          <w14:textFill>
            <w14:solidFill>
              <w14:schemeClr w14:val="tx1"/>
            </w14:solidFill>
          </w14:textFill>
        </w:rPr>
        <w:t>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表彰、</w:t>
      </w:r>
      <w:r>
        <w:rPr>
          <w:rFonts w:hint="eastAsia" w:ascii="仿宋_GB2312" w:hAnsi="仿宋_GB2312" w:eastAsia="仿宋_GB2312" w:cs="仿宋_GB2312"/>
          <w:color w:val="000000" w:themeColor="text1"/>
          <w:kern w:val="0"/>
          <w:sz w:val="32"/>
          <w:szCs w:val="32"/>
          <w14:textFill>
            <w14:solidFill>
              <w14:schemeClr w14:val="tx1"/>
            </w14:solidFill>
          </w14:textFill>
        </w:rPr>
        <w:t>奖励</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成果等，</w:t>
      </w:r>
      <w:r>
        <w:rPr>
          <w:rFonts w:hint="eastAsia" w:ascii="仿宋_GB2312" w:hAnsi="仿宋_GB2312" w:eastAsia="仿宋_GB2312" w:cs="仿宋_GB2312"/>
          <w:color w:val="000000" w:themeColor="text1"/>
          <w:kern w:val="0"/>
          <w:sz w:val="32"/>
          <w:szCs w:val="32"/>
          <w14:textFill>
            <w14:solidFill>
              <w14:schemeClr w14:val="tx1"/>
            </w14:solidFill>
          </w14:textFill>
        </w:rPr>
        <w:t>不得作为个人业绩上报。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申报资格条件所称的“以上”</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均</w:t>
      </w:r>
      <w:r>
        <w:rPr>
          <w:rFonts w:hint="eastAsia" w:ascii="仿宋_GB2312" w:hAnsi="仿宋_GB2312" w:eastAsia="仿宋_GB2312" w:cs="仿宋_GB2312"/>
          <w:color w:val="000000" w:themeColor="text1"/>
          <w:kern w:val="0"/>
          <w:sz w:val="32"/>
          <w:szCs w:val="32"/>
          <w14:textFill>
            <w14:solidFill>
              <w14:schemeClr w14:val="tx1"/>
            </w14:solidFill>
          </w14:textFill>
        </w:rPr>
        <w:t>含本级或本数量</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同一项目所获的不同奖项不重复计算，按最高奖项认定。</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济源示范区、</w:t>
      </w:r>
      <w:r>
        <w:rPr>
          <w:rFonts w:hint="eastAsia" w:ascii="仿宋_GB2312" w:hAnsi="仿宋_GB2312" w:eastAsia="仿宋_GB2312" w:cs="仿宋_GB2312"/>
          <w:color w:val="000000" w:themeColor="text1"/>
          <w:sz w:val="32"/>
          <w:szCs w:val="32"/>
          <w14:textFill>
            <w14:solidFill>
              <w14:schemeClr w14:val="tx1"/>
            </w14:solidFill>
          </w14:textFill>
        </w:rPr>
        <w:t>省直管县（市）级表彰奖励等参照省辖市级有关规定对待。</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第四条</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各类表彰奖励应按规定履行审批备案程序，以省委、省政府，省辖市党委、政府，省级工作部门授予的为准。表彰、奖励应提供有关正式文件、证书等原件及复印件。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第五条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同一年度</w:t>
      </w:r>
      <w:r>
        <w:rPr>
          <w:rFonts w:hint="eastAsia" w:ascii="仿宋_GB2312" w:hAnsi="仿宋_GB2312" w:eastAsia="仿宋_GB2312" w:cs="仿宋_GB2312"/>
          <w:color w:val="000000" w:themeColor="text1"/>
          <w:sz w:val="32"/>
          <w:szCs w:val="32"/>
          <w14:textFill>
            <w14:solidFill>
              <w14:schemeClr w14:val="tx1"/>
            </w14:solidFill>
          </w14:textFill>
        </w:rPr>
        <w:t>考核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结果</w:t>
      </w:r>
      <w:r>
        <w:rPr>
          <w:rFonts w:hint="eastAsia" w:ascii="仿宋_GB2312" w:hAnsi="仿宋_GB2312" w:eastAsia="仿宋_GB2312" w:cs="仿宋_GB2312"/>
          <w:color w:val="000000" w:themeColor="text1"/>
          <w:sz w:val="32"/>
          <w:szCs w:val="32"/>
          <w14:textFill>
            <w14:solidFill>
              <w14:schemeClr w14:val="tx1"/>
            </w14:solidFill>
          </w14:textFill>
        </w:rPr>
        <w:t>为优秀等次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被评定为</w:t>
      </w:r>
      <w:r>
        <w:rPr>
          <w:rFonts w:hint="eastAsia" w:ascii="仿宋_GB2312" w:hAnsi="仿宋_GB2312" w:eastAsia="仿宋_GB2312" w:cs="仿宋_GB2312"/>
          <w:color w:val="000000" w:themeColor="text1"/>
          <w:sz w:val="32"/>
          <w:szCs w:val="32"/>
          <w14:textFill>
            <w14:solidFill>
              <w14:schemeClr w14:val="tx1"/>
            </w14:solidFill>
          </w14:textFill>
        </w:rPr>
        <w:t>优秀共产党员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的，按1年对待，不进行年度累计。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级工作</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部门仅面向其内设机构及直属单位进行的工作表彰，不作为申报资格条件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省辖市级以上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技术能手是指</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省辖市以上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人力资源社会保障部门授予的技术能手。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省辖市级以上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技能竞赛是指</w:t>
      </w:r>
      <w:r>
        <w:rPr>
          <w:rFonts w:hint="eastAsia" w:ascii="仿宋_GB2312" w:hAnsi="仿宋_GB2312" w:eastAsia="仿宋_GB2312" w:cs="仿宋_GB2312"/>
          <w:color w:val="000000" w:themeColor="text1"/>
          <w:sz w:val="32"/>
          <w:szCs w:val="32"/>
          <w14:textFill>
            <w14:solidFill>
              <w14:schemeClr w14:val="tx1"/>
            </w14:solidFill>
          </w14:textFill>
        </w:rPr>
        <w:t>省辖市级以上人力资源社会保障部门组织参与或省级人力资源社会保障部门认可的技能竞赛。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对奖项设立层次过多、获奖名额过多，与人力资源社会保障部门有关竞赛奖励政策明显不一致的技能竞赛，不予认可。</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国家发明</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专利</w:t>
      </w:r>
      <w:r>
        <w:rPr>
          <w:rFonts w:hint="eastAsia" w:ascii="仿宋_GB2312" w:hAnsi="仿宋_GB2312" w:eastAsia="仿宋_GB2312" w:cs="仿宋_GB2312"/>
          <w:color w:val="000000" w:themeColor="text1"/>
          <w:kern w:val="0"/>
          <w:sz w:val="32"/>
          <w:szCs w:val="32"/>
          <w14:textFill>
            <w14:solidFill>
              <w14:schemeClr w14:val="tx1"/>
            </w14:solidFill>
          </w14:textFill>
        </w:rPr>
        <w:t>或实用新型专利，应提供相应证书和国家知识产权局官方网站的检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索结果</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未经国家知识产权局官方网站检索、验证的专利，不予认可。</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省级以上劳动模范和先进工作者，是指党中央、国务院授予的“全国劳动模范和先进工作者”，省委、省政府授予的“河南省劳动模范和先进工作者”。</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申报资格条件中的工作年限时间计算到考评当年度12月31日。</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有下列情形之一者，不得申报：</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（一）被立案审查尚未结案； </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（二）尚在党纪处分影响期和</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政务处分期间；</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（三）法律、法规、规章规定的其它不得申报情形。</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专业技术人才申报高级技师考评的资格条件，按照国家和我省有关规定执行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p>
    <w:p>
      <w:pPr>
        <w:snapToGrid w:val="0"/>
        <w:spacing w:line="360" w:lineRule="auto"/>
        <w:rPr>
          <w:rFonts w:hint="eastAsia" w:ascii="黑体" w:eastAsia="黑体"/>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color w:val="000000" w:themeColor="text1"/>
          <w14:textFill>
            <w14:solidFill>
              <w14:schemeClr w14:val="tx1"/>
            </w14:solidFill>
          </w14:textFill>
        </w:rPr>
      </w:pPr>
    </w:p>
    <w:sectPr>
      <w:footerReference r:id="rId3" w:type="default"/>
      <w:pgSz w:w="11906" w:h="16838"/>
      <w:pgMar w:top="1701" w:right="1417" w:bottom="1701" w:left="1417" w:header="851" w:footer="1134"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A2AEB"/>
    <w:rsid w:val="0B3C60AC"/>
    <w:rsid w:val="0CCC26B0"/>
    <w:rsid w:val="1EC63994"/>
    <w:rsid w:val="3BE77BF0"/>
    <w:rsid w:val="46EC6778"/>
    <w:rsid w:val="4F7F0343"/>
    <w:rsid w:val="51DF46DB"/>
    <w:rsid w:val="524C464B"/>
    <w:rsid w:val="5E7A2AEB"/>
    <w:rsid w:val="645600C2"/>
    <w:rsid w:val="679C4919"/>
    <w:rsid w:val="6B19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2021-04-09T02:32:00Z</dcterms:created>
  <dc:creator>VK9599</dc:creator>
  <cp:lastModifiedBy>雪花粉飞</cp:lastModifiedBy>
  <cp:lastPrinted>2021-04-14T05:18:00Z</cp:lastPrinted>
  <dcterms:modified xsi:type="dcterms:W3CDTF">2021-04-22T08:08:56Z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89308470D10649ABA59EED62078E58CE</vt:lpwstr>
  </property>
</Properties>
</file>